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00C12" w14:textId="77777777" w:rsidR="00882488" w:rsidRDefault="00882488" w:rsidP="00882488">
      <w:pPr>
        <w:jc w:val="center"/>
        <w:rPr>
          <w:sz w:val="36"/>
          <w:szCs w:val="36"/>
        </w:rPr>
      </w:pPr>
    </w:p>
    <w:p w14:paraId="151BECCD" w14:textId="77777777" w:rsidR="00882488" w:rsidRDefault="00882488" w:rsidP="00882488">
      <w:pPr>
        <w:jc w:val="center"/>
        <w:rPr>
          <w:sz w:val="36"/>
          <w:szCs w:val="36"/>
        </w:rPr>
      </w:pPr>
    </w:p>
    <w:p w14:paraId="6B583B47" w14:textId="77777777" w:rsidR="00882488" w:rsidRDefault="00882488" w:rsidP="00882488">
      <w:pPr>
        <w:jc w:val="center"/>
        <w:rPr>
          <w:sz w:val="36"/>
          <w:szCs w:val="36"/>
        </w:rPr>
      </w:pPr>
    </w:p>
    <w:p w14:paraId="32E70596" w14:textId="77777777" w:rsidR="00882488" w:rsidRDefault="00882488" w:rsidP="00882488">
      <w:pPr>
        <w:jc w:val="center"/>
        <w:rPr>
          <w:sz w:val="36"/>
          <w:szCs w:val="36"/>
        </w:rPr>
      </w:pPr>
    </w:p>
    <w:p w14:paraId="63CE0975" w14:textId="4DF9E6C7" w:rsidR="00882488" w:rsidRDefault="00882488" w:rsidP="00882488">
      <w:pPr>
        <w:jc w:val="center"/>
        <w:rPr>
          <w:sz w:val="36"/>
          <w:szCs w:val="36"/>
        </w:rPr>
      </w:pPr>
      <w:r>
        <w:rPr>
          <w:sz w:val="36"/>
          <w:szCs w:val="36"/>
        </w:rPr>
        <w:t>BMPL4009 Criminal Law – Assignment 2</w:t>
      </w:r>
    </w:p>
    <w:p w14:paraId="724DAFA8" w14:textId="77777777" w:rsidR="00882488" w:rsidRDefault="00882488" w:rsidP="00882488">
      <w:pPr>
        <w:jc w:val="center"/>
        <w:rPr>
          <w:sz w:val="36"/>
          <w:szCs w:val="36"/>
        </w:rPr>
      </w:pPr>
    </w:p>
    <w:p w14:paraId="2958BE4A" w14:textId="77777777" w:rsidR="00882488" w:rsidRDefault="00882488" w:rsidP="00882488">
      <w:pPr>
        <w:jc w:val="center"/>
        <w:rPr>
          <w:sz w:val="36"/>
          <w:szCs w:val="36"/>
        </w:rPr>
      </w:pPr>
    </w:p>
    <w:p w14:paraId="4C88D2E8" w14:textId="792F5527" w:rsidR="00882488" w:rsidRDefault="00E91454" w:rsidP="00882488">
      <w:pPr>
        <w:jc w:val="center"/>
        <w:rPr>
          <w:sz w:val="36"/>
          <w:szCs w:val="36"/>
        </w:rPr>
      </w:pPr>
      <w:r>
        <w:rPr>
          <w:sz w:val="36"/>
          <w:szCs w:val="36"/>
        </w:rPr>
        <w:t>Scenario Question</w:t>
      </w:r>
    </w:p>
    <w:p w14:paraId="380FE6B3" w14:textId="77777777" w:rsidR="00882488" w:rsidRDefault="00882488" w:rsidP="00882488">
      <w:pPr>
        <w:jc w:val="center"/>
        <w:rPr>
          <w:sz w:val="36"/>
          <w:szCs w:val="36"/>
        </w:rPr>
      </w:pPr>
    </w:p>
    <w:p w14:paraId="55122164" w14:textId="77777777" w:rsidR="00882488" w:rsidRDefault="00882488" w:rsidP="00882488">
      <w:pPr>
        <w:jc w:val="center"/>
      </w:pPr>
    </w:p>
    <w:p w14:paraId="3397D44B" w14:textId="77777777" w:rsidR="00882488" w:rsidRDefault="00882488" w:rsidP="00882488">
      <w:pPr>
        <w:jc w:val="center"/>
      </w:pPr>
    </w:p>
    <w:p w14:paraId="62B8085A" w14:textId="77777777" w:rsidR="00882488" w:rsidRDefault="00882488" w:rsidP="00882488">
      <w:pPr>
        <w:jc w:val="center"/>
      </w:pPr>
    </w:p>
    <w:p w14:paraId="49254CFF" w14:textId="3166F7F8" w:rsidR="00E91454" w:rsidRDefault="00882488" w:rsidP="00882488">
      <w:pPr>
        <w:jc w:val="center"/>
      </w:pPr>
      <w:r>
        <w:t>Steffan Williams (2203204)</w:t>
      </w:r>
    </w:p>
    <w:p w14:paraId="5643ABD3" w14:textId="77777777" w:rsidR="00E91454" w:rsidRDefault="00E91454">
      <w:r>
        <w:br w:type="page"/>
      </w:r>
    </w:p>
    <w:p w14:paraId="5056EA4A" w14:textId="5EA3161B" w:rsidR="00882488" w:rsidRDefault="00E91454" w:rsidP="00E91454">
      <w:r>
        <w:lastRenderedPageBreak/>
        <w:tab/>
      </w:r>
      <w:r w:rsidR="00EC737D" w:rsidRPr="00EC737D">
        <w:t>Both parties of the scenario may be liable for several offences</w:t>
      </w:r>
      <w:r w:rsidR="002D529E">
        <w:t xml:space="preserve">. </w:t>
      </w:r>
      <w:r w:rsidR="009E7EAC">
        <w:t>To</w:t>
      </w:r>
      <w:r w:rsidR="001357A5">
        <w:t xml:space="preserve"> determine whether </w:t>
      </w:r>
      <w:r w:rsidR="006744E1">
        <w:t xml:space="preserve">each person </w:t>
      </w:r>
      <w:r w:rsidR="001357A5">
        <w:t xml:space="preserve">is liable for an offence, I will look at </w:t>
      </w:r>
      <w:r w:rsidR="00AC4265">
        <w:t xml:space="preserve">elements that are required to be satisfied </w:t>
      </w:r>
      <w:r w:rsidR="00FA59A1">
        <w:t xml:space="preserve">to determine criminal liability. </w:t>
      </w:r>
      <w:r w:rsidR="00D860E9">
        <w:t xml:space="preserve">For a person to be criminally liable for an offence, they must satisfy </w:t>
      </w:r>
      <w:r w:rsidR="007F2165">
        <w:t xml:space="preserve">both the actus reus and mens rea elements of the </w:t>
      </w:r>
      <w:r w:rsidR="00D61DB3">
        <w:t>offence and</w:t>
      </w:r>
      <w:r w:rsidR="007F2165">
        <w:t xml:space="preserve"> must also have no defence. </w:t>
      </w:r>
      <w:r w:rsidR="00D61DB3">
        <w:t xml:space="preserve">These elements and the defences to the offences can be found in </w:t>
      </w:r>
      <w:r w:rsidR="00E137AD">
        <w:t xml:space="preserve">the </w:t>
      </w:r>
      <w:r w:rsidR="003E2975">
        <w:t>statute</w:t>
      </w:r>
      <w:r w:rsidR="00EC737D">
        <w:t xml:space="preserve"> and</w:t>
      </w:r>
      <w:r w:rsidR="003E2975">
        <w:t xml:space="preserve"> case law</w:t>
      </w:r>
      <w:r w:rsidR="00625533">
        <w:t xml:space="preserve">. </w:t>
      </w:r>
      <w:r w:rsidR="00E137AD">
        <w:t xml:space="preserve">To identify any offences, and their corresponding defences, I will </w:t>
      </w:r>
      <w:r w:rsidR="0048791A">
        <w:t xml:space="preserve">work through the events of the </w:t>
      </w:r>
      <w:r w:rsidR="009762F0">
        <w:t xml:space="preserve">situation in chronological </w:t>
      </w:r>
      <w:r w:rsidR="00655C94">
        <w:t>order and</w:t>
      </w:r>
      <w:r w:rsidR="00407D21">
        <w:t xml:space="preserve"> will then </w:t>
      </w:r>
      <w:r w:rsidR="00B85346">
        <w:t>conclude</w:t>
      </w:r>
      <w:r w:rsidR="00407D21">
        <w:t xml:space="preserve"> as to who is liable for which offences.</w:t>
      </w:r>
      <w:r w:rsidR="001B3B11">
        <w:t xml:space="preserve"> Firstly, I will look at the actus reus elements of the offence, followed by the mens rea elements. If both elements are satisfied by the defendant (D), then I will look at possible defences that D may present.</w:t>
      </w:r>
    </w:p>
    <w:p w14:paraId="0F2365E6" w14:textId="77777777" w:rsidR="00D9466D" w:rsidRDefault="00655C94" w:rsidP="00E91454">
      <w:r>
        <w:tab/>
        <w:t xml:space="preserve">The first possible offence is </w:t>
      </w:r>
      <w:r w:rsidR="00B85346">
        <w:t xml:space="preserve">common assault. </w:t>
      </w:r>
      <w:r w:rsidR="00734902">
        <w:t>Fagan v Metropolitan Police Commissioner</w:t>
      </w:r>
      <w:r w:rsidR="00EE4F93">
        <w:t xml:space="preserve"> [1969] </w:t>
      </w:r>
      <w:r w:rsidR="009B7197">
        <w:t xml:space="preserve">defines common assault as </w:t>
      </w:r>
      <w:r w:rsidR="00731ECA">
        <w:t>‘</w:t>
      </w:r>
      <w:r w:rsidR="00731ECA" w:rsidRPr="00731ECA">
        <w:t>an assault is committed where the defendant intentionally or recklessly causes the victim to apprehend immediate unlawful personal violence</w:t>
      </w:r>
      <w:r w:rsidR="00731ECA">
        <w:t xml:space="preserve">’. The actus </w:t>
      </w:r>
      <w:r w:rsidR="001B3B11">
        <w:t>reus elements of the offence are</w:t>
      </w:r>
      <w:r w:rsidR="00B671E6">
        <w:t xml:space="preserve">; the victim must </w:t>
      </w:r>
      <w:r w:rsidR="008D3A55">
        <w:t xml:space="preserve">apprehend, immediate, unlawful, </w:t>
      </w:r>
      <w:r w:rsidR="007A68B5">
        <w:t xml:space="preserve">and </w:t>
      </w:r>
      <w:r w:rsidR="008D3A55">
        <w:t>personal violence</w:t>
      </w:r>
      <w:r w:rsidR="007A68B5">
        <w:t xml:space="preserve">. </w:t>
      </w:r>
      <w:r w:rsidR="00E20191">
        <w:t xml:space="preserve">R v Lamb [1967] sets out that the victim does not need to feel </w:t>
      </w:r>
      <w:r w:rsidR="00CE0134">
        <w:t>fear but</w:t>
      </w:r>
      <w:r w:rsidR="00E20191">
        <w:t xml:space="preserve"> must recognise</w:t>
      </w:r>
      <w:r w:rsidR="00C543FC">
        <w:t xml:space="preserve"> that they are about to be subject to violence, and ‘i</w:t>
      </w:r>
      <w:r w:rsidR="00C543FC" w:rsidRPr="00C543FC">
        <w:t>f the victim does not anticipate unlawful personal violence there is no assault</w:t>
      </w:r>
      <w:r w:rsidR="00C543FC">
        <w:t>’. In</w:t>
      </w:r>
      <w:r w:rsidR="00FC762D">
        <w:t xml:space="preserve"> Logdon v DPP [</w:t>
      </w:r>
      <w:r w:rsidR="001047B6">
        <w:t>1976], it is set out that ‘</w:t>
      </w:r>
      <w:r w:rsidR="009E7EAC">
        <w:t>w</w:t>
      </w:r>
      <w:r w:rsidR="009E7EAC" w:rsidRPr="009E7EAC">
        <w:t xml:space="preserve">here the victim apprehends immediate unlawful personal violence an assault will be committed even if there was no actual threat of </w:t>
      </w:r>
      <w:r w:rsidR="009E7EAC">
        <w:t>violence’.</w:t>
      </w:r>
      <w:r w:rsidR="00467FF4">
        <w:t xml:space="preserve"> Furthermore, </w:t>
      </w:r>
      <w:r w:rsidR="00EC27A2">
        <w:t xml:space="preserve">it is set out in R v Meade and Belt [1823] that </w:t>
      </w:r>
      <w:r w:rsidR="00AE5408">
        <w:t>D’s actions must cause an immediate apprehension of unlawful personal</w:t>
      </w:r>
      <w:r w:rsidR="00E27A43">
        <w:t xml:space="preserve"> violence and conduct only cannot amount to an assault.</w:t>
      </w:r>
      <w:r w:rsidR="009E7EAC">
        <w:t xml:space="preserve"> </w:t>
      </w:r>
      <w:r w:rsidR="00E27A43">
        <w:t xml:space="preserve">Also, </w:t>
      </w:r>
      <w:r w:rsidR="008A013A">
        <w:t>R v Wilson [1955]</w:t>
      </w:r>
      <w:r w:rsidR="001F100D">
        <w:t>, and R v Constanza [1997] state and confirm that words only can amount to an assault.</w:t>
      </w:r>
      <w:r w:rsidR="00221430">
        <w:t xml:space="preserve"> </w:t>
      </w:r>
      <w:r w:rsidR="003926DA">
        <w:t xml:space="preserve">The word ‘immediate’ is set out in the cases R v Constanza [1997], and </w:t>
      </w:r>
      <w:r w:rsidR="001B3F10">
        <w:t>Smith</w:t>
      </w:r>
      <w:r w:rsidR="00193057">
        <w:t xml:space="preserve"> v Chief Constable of Woking</w:t>
      </w:r>
      <w:r w:rsidR="009A2BA3">
        <w:t xml:space="preserve"> [1983</w:t>
      </w:r>
      <w:r w:rsidR="00DA50B7">
        <w:t>] and</w:t>
      </w:r>
      <w:r w:rsidR="009A2BA3">
        <w:t xml:space="preserve"> is as follows</w:t>
      </w:r>
      <w:r w:rsidR="00204722">
        <w:t>; ‘w</w:t>
      </w:r>
      <w:r w:rsidR="00204722" w:rsidRPr="00204722">
        <w:t>here the victim apprehends immediate unlawful personal violence an assault will be committed even if there was no actual threat of violence</w:t>
      </w:r>
      <w:r w:rsidR="00204722">
        <w:t>’</w:t>
      </w:r>
      <w:r w:rsidR="00F331D0">
        <w:t xml:space="preserve">. This means that there is no assault committed if it is clear to the </w:t>
      </w:r>
      <w:r w:rsidR="006B7E8E">
        <w:t>com</w:t>
      </w:r>
      <w:r w:rsidR="003D4B44">
        <w:t>plainant that</w:t>
      </w:r>
      <w:r w:rsidR="004D2CD4">
        <w:t xml:space="preserve"> D is unable to carry out their threat. </w:t>
      </w:r>
      <w:r w:rsidR="004B142C">
        <w:t>The unlawful elements means that</w:t>
      </w:r>
      <w:r w:rsidR="006744E1">
        <w:t xml:space="preserve"> D has no lawful excuse to use force</w:t>
      </w:r>
      <w:r w:rsidR="0061767A">
        <w:t xml:space="preserve">. These excuses could be one of the following; </w:t>
      </w:r>
      <w:r w:rsidR="00F87390">
        <w:t>s</w:t>
      </w:r>
      <w:r w:rsidR="0061767A">
        <w:t xml:space="preserve">58 </w:t>
      </w:r>
      <w:r w:rsidR="00D361DD">
        <w:t>Children Act 2004 (reasonable punishment of children</w:t>
      </w:r>
      <w:r w:rsidR="00166B2B">
        <w:t xml:space="preserve">), where the victim consents, or </w:t>
      </w:r>
      <w:r w:rsidR="00C41D6A">
        <w:t xml:space="preserve">in self-defence. </w:t>
      </w:r>
      <w:r w:rsidR="006F25CD">
        <w:t xml:space="preserve">None of these defences applies to Polly in this situation, therefore her actions are unlawful. </w:t>
      </w:r>
      <w:r w:rsidR="00E057EE">
        <w:t xml:space="preserve">The mens rea elements of </w:t>
      </w:r>
      <w:r w:rsidR="008E55D7">
        <w:t xml:space="preserve">common assault </w:t>
      </w:r>
      <w:r w:rsidR="00B96624">
        <w:t>are</w:t>
      </w:r>
      <w:r w:rsidR="008E55D7">
        <w:t xml:space="preserve"> </w:t>
      </w:r>
      <w:r w:rsidR="00B17A72">
        <w:t xml:space="preserve">whether the defendant intended to cause an immediate apprehension of unlawful </w:t>
      </w:r>
      <w:r w:rsidR="008D2595">
        <w:t>violence or</w:t>
      </w:r>
      <w:r w:rsidR="00B17A72">
        <w:t xml:space="preserve"> was reckless as to cause </w:t>
      </w:r>
      <w:r w:rsidR="00362B2B">
        <w:t>the apprehension</w:t>
      </w:r>
      <w:r w:rsidR="008D2595">
        <w:t xml:space="preserve">. </w:t>
      </w:r>
      <w:r w:rsidR="00AD5ABC">
        <w:t xml:space="preserve">Polly intentionally causes Roxanne to feel an immediate apprehension of fear, therefore </w:t>
      </w:r>
      <w:r w:rsidR="003E746D">
        <w:t xml:space="preserve">satisfying all mens rea elements of common assault. </w:t>
      </w:r>
      <w:r w:rsidR="00D9466D">
        <w:t>In conclusion, Polly may be liable for common assault.</w:t>
      </w:r>
    </w:p>
    <w:p w14:paraId="6CCFF2D3" w14:textId="6884BB23" w:rsidR="00455A42" w:rsidRDefault="00D9466D" w:rsidP="00455A42">
      <w:pPr>
        <w:ind w:firstLine="720"/>
      </w:pPr>
      <w:r>
        <w:t xml:space="preserve">The next offence that Polly may be liable for is criminal damage.  The definition of criminal damage is set out </w:t>
      </w:r>
      <w:r w:rsidR="00B93ED7">
        <w:t xml:space="preserve">under s1(1) of the Criminal </w:t>
      </w:r>
      <w:r w:rsidR="00B073A7">
        <w:t xml:space="preserve">Damage Act </w:t>
      </w:r>
      <w:r w:rsidR="00C03B90">
        <w:t>1971 and</w:t>
      </w:r>
      <w:r w:rsidR="00B073A7">
        <w:t xml:space="preserve"> is set out as the following</w:t>
      </w:r>
      <w:r w:rsidR="0069251F">
        <w:t>; ‘</w:t>
      </w:r>
      <w:r w:rsidR="0069251F" w:rsidRPr="0069251F">
        <w:t>A person who without lawful excuse destroys or damages any property belonging to another intending to destroy or damage any such property or being reckless as to whether any such property would be destroyed or damaged shall be guilty of an offence.</w:t>
      </w:r>
      <w:r w:rsidR="0069251F">
        <w:t xml:space="preserve">’ </w:t>
      </w:r>
      <w:r w:rsidR="006D2A58">
        <w:t xml:space="preserve">From this definition, both the actus reus and mens rea elements can be derived, the actus reus elements being </w:t>
      </w:r>
      <w:r w:rsidR="0085563E">
        <w:t xml:space="preserve">‘A person who </w:t>
      </w:r>
      <w:r w:rsidR="000248B4">
        <w:t xml:space="preserve">without lawful excuse destroys any property belonging to another’. </w:t>
      </w:r>
      <w:r w:rsidR="00393D2D">
        <w:t xml:space="preserve">These elements </w:t>
      </w:r>
      <w:r w:rsidR="00C03B90">
        <w:t xml:space="preserve">are derived from two cases; with the first being R v </w:t>
      </w:r>
      <w:r w:rsidR="00A322C4">
        <w:t>Fiak</w:t>
      </w:r>
      <w:r w:rsidR="003365E0">
        <w:t xml:space="preserve"> </w:t>
      </w:r>
      <w:r w:rsidR="00ED18C8">
        <w:t>[2005]</w:t>
      </w:r>
      <w:r w:rsidR="00A322C4">
        <w:t xml:space="preserve">, where the defendant deliberately sets fire to </w:t>
      </w:r>
      <w:r w:rsidR="0064133C" w:rsidRPr="0064133C">
        <w:t>a rubbish bin placed outside a house, causing damage to the bin and the house. The court held that the defendant had committed the actus reus of criminal damage by intentionally damaging the bin and the property belonging to another person.</w:t>
      </w:r>
      <w:r w:rsidR="0064133C">
        <w:t xml:space="preserve"> The sec</w:t>
      </w:r>
      <w:r w:rsidR="00ED18C8">
        <w:t xml:space="preserve">ond case </w:t>
      </w:r>
      <w:r w:rsidR="00E02E16">
        <w:t>was</w:t>
      </w:r>
      <w:r w:rsidR="00ED18C8">
        <w:t xml:space="preserve"> R v Whiteley [1991], where </w:t>
      </w:r>
      <w:r w:rsidR="00D12E82" w:rsidRPr="00D12E82">
        <w:t>the defendant was convicted of criminal damage for pouring paint stripper onto another person’s car. The court held that the act of pouring the paint stripper on the car constituted an intentional and unlawful act that caused damage to the property belonging to another person, thus satisfying the actus reus of criminal damage.</w:t>
      </w:r>
      <w:r w:rsidR="00D12E82">
        <w:t xml:space="preserve"> In this </w:t>
      </w:r>
      <w:r w:rsidR="004A2E4C">
        <w:t xml:space="preserve">case, Polly intentionally causes damage </w:t>
      </w:r>
      <w:r w:rsidR="00E02E16">
        <w:t xml:space="preserve">to property belonging to another, </w:t>
      </w:r>
      <w:r w:rsidR="00E02E16">
        <w:lastRenderedPageBreak/>
        <w:t xml:space="preserve">therefore </w:t>
      </w:r>
      <w:r w:rsidR="00EC5FF4">
        <w:t xml:space="preserve">Polly satisfies all </w:t>
      </w:r>
      <w:r w:rsidR="00166DDB">
        <w:t>actus reu</w:t>
      </w:r>
      <w:r w:rsidR="00271B18">
        <w:t xml:space="preserve">s </w:t>
      </w:r>
      <w:r w:rsidR="00EC5FF4">
        <w:t>elements</w:t>
      </w:r>
      <w:r w:rsidR="00011154">
        <w:t xml:space="preserve"> of criminal damage</w:t>
      </w:r>
      <w:r w:rsidR="00A3260A">
        <w:t xml:space="preserve">. </w:t>
      </w:r>
      <w:r w:rsidR="00861724">
        <w:t xml:space="preserve">R v </w:t>
      </w:r>
      <w:r w:rsidR="00EB6A55">
        <w:t xml:space="preserve">Cunningham </w:t>
      </w:r>
      <w:r w:rsidR="00A86E8F">
        <w:t xml:space="preserve">[1957] and R v G and another [2003] sets out that the mens rea of criminal damage </w:t>
      </w:r>
      <w:r w:rsidR="008E5A16">
        <w:t>‘</w:t>
      </w:r>
      <w:r w:rsidR="008E5A16" w:rsidRPr="008E5A16">
        <w:t>requires either an intention to cause damage or recklessness as to whether damage would occur</w:t>
      </w:r>
      <w:r w:rsidR="008E5A16">
        <w:t xml:space="preserve">’. </w:t>
      </w:r>
      <w:r w:rsidR="008C67DA">
        <w:t>In R v Cunningham [1957], the defendant tor</w:t>
      </w:r>
      <w:r w:rsidR="00661057">
        <w:t>e</w:t>
      </w:r>
      <w:r w:rsidR="008C67DA">
        <w:t xml:space="preserve"> a gas meter off the wall of </w:t>
      </w:r>
      <w:r w:rsidR="00661057">
        <w:t>an empty house</w:t>
      </w:r>
      <w:r w:rsidR="001323FD">
        <w:t xml:space="preserve"> </w:t>
      </w:r>
      <w:r w:rsidR="00F94EA6">
        <w:t>to</w:t>
      </w:r>
      <w:r w:rsidR="001323FD">
        <w:t xml:space="preserve"> steal the money inside, but subsequently released</w:t>
      </w:r>
      <w:r w:rsidR="00BE55C5">
        <w:t xml:space="preserve"> the gas into the neighbouring house, endangering their lives. </w:t>
      </w:r>
      <w:r w:rsidR="00F94EA6">
        <w:t>T</w:t>
      </w:r>
      <w:r w:rsidR="00F94EA6" w:rsidRPr="00F94EA6">
        <w:t xml:space="preserve">he defendant was charged with the offence of maliciously administering a noxious </w:t>
      </w:r>
      <w:r w:rsidR="00F94EA6">
        <w:t>substance</w:t>
      </w:r>
      <w:r w:rsidR="00F94EA6" w:rsidRPr="00F94EA6">
        <w:t xml:space="preserve"> under </w:t>
      </w:r>
      <w:r w:rsidR="00F94EA6">
        <w:t>s</w:t>
      </w:r>
      <w:r w:rsidR="00F94EA6" w:rsidRPr="00F94EA6">
        <w:t xml:space="preserve">23 of the Offences Against </w:t>
      </w:r>
      <w:r w:rsidR="008F7904" w:rsidRPr="00F94EA6">
        <w:t>the</w:t>
      </w:r>
      <w:r w:rsidR="00F94EA6" w:rsidRPr="00F94EA6">
        <w:t xml:space="preserve"> Person Act 1861</w:t>
      </w:r>
      <w:r w:rsidR="00BD6B71">
        <w:t>, but t</w:t>
      </w:r>
      <w:r w:rsidR="00F94EA6" w:rsidRPr="00F94EA6">
        <w:t>he House of Lords held that the jury had been wrongly directed on the issue of mens rea and established that a charge of reckless damage to property can apply where the defendant foresaw the risk of damage but carried on regardless of the potential consequences.</w:t>
      </w:r>
      <w:r w:rsidR="00A9236D">
        <w:t xml:space="preserve"> In this case, Polly </w:t>
      </w:r>
      <w:r w:rsidR="00A52AAC">
        <w:t xml:space="preserve">intended to </w:t>
      </w:r>
      <w:r w:rsidR="00886FDA">
        <w:t>cause damage</w:t>
      </w:r>
      <w:r w:rsidR="00644F77">
        <w:t xml:space="preserve">, therefore </w:t>
      </w:r>
      <w:r w:rsidR="00630C38">
        <w:t>satisfying</w:t>
      </w:r>
      <w:r w:rsidR="008F7904">
        <w:t xml:space="preserve"> </w:t>
      </w:r>
      <w:r w:rsidR="00630C38">
        <w:t xml:space="preserve">the mens rea elements of criminal damage. </w:t>
      </w:r>
      <w:r w:rsidR="00C03EE0">
        <w:t xml:space="preserve">Defences covered by the </w:t>
      </w:r>
      <w:r w:rsidR="00133B15">
        <w:t xml:space="preserve">Criminal Damage Act 1971 include </w:t>
      </w:r>
      <w:r w:rsidR="00C32230">
        <w:t xml:space="preserve">whether the defendant is the owner of the property, whether the defendant believed that the owner of the property would’ve consented to them causing damage, or whether the defendant damaged property </w:t>
      </w:r>
      <w:r w:rsidR="00151F71">
        <w:t>to</w:t>
      </w:r>
      <w:r w:rsidR="00455A42">
        <w:t xml:space="preserve"> protect life or prevent injury. None of these defences apply to Polly in this situation, therefore </w:t>
      </w:r>
      <w:r w:rsidR="00B06FD5">
        <w:t xml:space="preserve">Polly can be found liable for criminal damage. </w:t>
      </w:r>
    </w:p>
    <w:p w14:paraId="4CA0E12E" w14:textId="13429E33" w:rsidR="00B06FD5" w:rsidRDefault="00B06FD5" w:rsidP="00455A42">
      <w:pPr>
        <w:ind w:firstLine="720"/>
      </w:pPr>
      <w:r>
        <w:t>Furthermore, Polly could be found liable for causing criminal damage with intent to endanger life. This is set out under s</w:t>
      </w:r>
      <w:r w:rsidR="00AA3955">
        <w:t xml:space="preserve">1(2)(b) of the Criminal Damage Act 1971 as </w:t>
      </w:r>
      <w:r w:rsidR="00897002">
        <w:t>the following; ‘</w:t>
      </w:r>
      <w:r w:rsidR="00897002" w:rsidRPr="00897002">
        <w:t>A person who without lawful excuse destroys or damages any property, whether belonging to himself or another</w:t>
      </w:r>
      <w:r w:rsidR="00975143">
        <w:t xml:space="preserve"> </w:t>
      </w:r>
      <w:r w:rsidR="00975143" w:rsidRPr="00975143">
        <w:t>intending by the destruction or damage to endanger the life of another or being reckless as to whether the life of another would be thereby endangered</w:t>
      </w:r>
      <w:r w:rsidR="00975143">
        <w:t xml:space="preserve"> shall be guilty of an offence’. The main </w:t>
      </w:r>
      <w:r w:rsidR="002D1A92">
        <w:t>difference</w:t>
      </w:r>
      <w:r w:rsidR="00975143">
        <w:t xml:space="preserve"> between this offence and standard criminal damage is that </w:t>
      </w:r>
      <w:r w:rsidR="00FB2519">
        <w:t xml:space="preserve">the defendant must </w:t>
      </w:r>
      <w:r w:rsidR="002D1A92">
        <w:t>intend or</w:t>
      </w:r>
      <w:r w:rsidR="00FB2519">
        <w:t xml:space="preserve"> be reckless as to endanger life by causing criminal damage, and the damage can be caused to their own property, </w:t>
      </w:r>
      <w:r w:rsidR="003E1B5B">
        <w:t>whereas</w:t>
      </w:r>
      <w:r w:rsidR="00FB2519">
        <w:t xml:space="preserve"> standard criminal damage can only be </w:t>
      </w:r>
      <w:r w:rsidR="003E1B5B">
        <w:t xml:space="preserve">caused to property belonging to another. </w:t>
      </w:r>
      <w:r w:rsidR="00590FD0">
        <w:t>This is supported by the case R v Steer [1988]</w:t>
      </w:r>
      <w:r w:rsidR="00FA78C4">
        <w:t xml:space="preserve">, where the defendant set fire to a block of flats where people were sleeping. D argued that </w:t>
      </w:r>
      <w:r w:rsidR="002D1A92">
        <w:t xml:space="preserve">he didn’t intend to endanger life, but the </w:t>
      </w:r>
      <w:r w:rsidR="00A7345C">
        <w:t xml:space="preserve">judge determined that recklessness was sufficient to be charged </w:t>
      </w:r>
      <w:r w:rsidR="00503E81">
        <w:t>with</w:t>
      </w:r>
      <w:r w:rsidR="00A7345C">
        <w:t xml:space="preserve"> criminal damage with intent to engender life. </w:t>
      </w:r>
      <w:r w:rsidR="00503E81">
        <w:t xml:space="preserve">In this scenario, Polly causes criminal damage </w:t>
      </w:r>
      <w:r w:rsidR="00151F71">
        <w:t xml:space="preserve">and </w:t>
      </w:r>
      <w:r w:rsidR="0017759D">
        <w:t>can</w:t>
      </w:r>
      <w:r w:rsidR="00151F71">
        <w:t xml:space="preserve"> foresee the consequences, but nevertheless continues with her action, endangering life. </w:t>
      </w:r>
      <w:r w:rsidR="0017759D">
        <w:t xml:space="preserve">Consequently, </w:t>
      </w:r>
      <w:r w:rsidR="00512A55">
        <w:t xml:space="preserve">Polly may be liable for causing criminal damage with intent to endanger life, which would overrule the previous charge for causing criminal damage alone. </w:t>
      </w:r>
    </w:p>
    <w:p w14:paraId="11F0CA17" w14:textId="215AC1DB" w:rsidR="00FE68C5" w:rsidRDefault="00512A55" w:rsidP="00FE68C5">
      <w:pPr>
        <w:ind w:firstLine="720"/>
      </w:pPr>
      <w:r>
        <w:t xml:space="preserve">The final </w:t>
      </w:r>
      <w:r w:rsidR="00F470E7">
        <w:t xml:space="preserve">offence that Polly may be liable for is </w:t>
      </w:r>
      <w:r w:rsidR="00C52809">
        <w:t>homicide</w:t>
      </w:r>
      <w:r w:rsidR="00F470E7">
        <w:t>.</w:t>
      </w:r>
      <w:r w:rsidR="00C52809">
        <w:t xml:space="preserve"> </w:t>
      </w:r>
      <w:r w:rsidR="008B7CC0">
        <w:t>Homicide can be committed by either murder or manslaughter</w:t>
      </w:r>
      <w:r w:rsidR="00136DAA">
        <w:t xml:space="preserve">. Murder is defined in common law as </w:t>
      </w:r>
      <w:r w:rsidR="00F639FF">
        <w:t>‘</w:t>
      </w:r>
      <w:r w:rsidR="00136DAA">
        <w:t xml:space="preserve">the unlawful killing of a </w:t>
      </w:r>
      <w:r w:rsidR="00F639FF">
        <w:t>human being under the King’s peace, with malice or aforethought’.</w:t>
      </w:r>
      <w:r w:rsidR="00930F40">
        <w:t xml:space="preserve"> From this definition, the actus reus can be defined as ‘the unlawful killing of a human being under the King’s peace’. </w:t>
      </w:r>
      <w:r w:rsidR="00F639FF">
        <w:t xml:space="preserve"> </w:t>
      </w:r>
      <w:r w:rsidR="00FA5E4B">
        <w:t>R v Woolin [19</w:t>
      </w:r>
      <w:r w:rsidR="00D9364C">
        <w:t>9</w:t>
      </w:r>
      <w:r w:rsidR="00FA5E4B">
        <w:t xml:space="preserve">8] sets out </w:t>
      </w:r>
      <w:r w:rsidR="003D0BE8" w:rsidRPr="003D0BE8">
        <w:t>t</w:t>
      </w:r>
      <w:r w:rsidR="003D0BE8">
        <w:t>hat t</w:t>
      </w:r>
      <w:r w:rsidR="003D0BE8" w:rsidRPr="003D0BE8">
        <w:t>he defendant must have both the actus reus of causing the victim's death and the mens rea of intending to cause death or serious bodily harm; or, if the defendant did not intend the consequences of their actions, that they foresaw death or serious bodily harm as a "virtual certainty."</w:t>
      </w:r>
      <w:r w:rsidR="00EB3388">
        <w:t xml:space="preserve"> This then developed the ‘woolin test’ which is used to determine the mens rea for murder</w:t>
      </w:r>
      <w:r w:rsidR="00BF1751">
        <w:t xml:space="preserve">. </w:t>
      </w:r>
      <w:r w:rsidR="00930F40">
        <w:t>In this case</w:t>
      </w:r>
      <w:r w:rsidR="002F47F3">
        <w:t xml:space="preserve">, it can be stated that Polly intended to cause </w:t>
      </w:r>
      <w:r w:rsidR="00AF46C5">
        <w:t xml:space="preserve">serious bodily harm or </w:t>
      </w:r>
      <w:r w:rsidR="002C112C">
        <w:t>death and</w:t>
      </w:r>
      <w:r w:rsidR="00AF46C5">
        <w:t xml:space="preserve"> saw this as a virtual certainty of her actions. </w:t>
      </w:r>
      <w:r w:rsidR="002C112C">
        <w:t xml:space="preserve">Polly satisfies all mens rea and actus reus elements for murder. One defence that Polly could </w:t>
      </w:r>
      <w:r w:rsidR="00C874A9">
        <w:t xml:space="preserve">use is the defence of diminished responsibility. </w:t>
      </w:r>
      <w:r w:rsidR="00270D9C" w:rsidRPr="00270D9C">
        <w:t xml:space="preserve">R v Smith </w:t>
      </w:r>
      <w:r w:rsidR="00270D9C">
        <w:t xml:space="preserve">[1959] </w:t>
      </w:r>
      <w:r w:rsidR="00270D9C" w:rsidRPr="00270D9C">
        <w:t>helped to establish the legal test for "diminished responsibility" in murder cases. The defendant had killed someone during a blackout caused by epilepsy and argued that he was not fully responsible for his actions. The court ruled that a defendant who suffers from a recognized mental illness or defect may be found guilty of manslaughter instead of murder if they can demonstrate that their condition had a significant impact on their actions.</w:t>
      </w:r>
      <w:r w:rsidR="00CF78FD">
        <w:t xml:space="preserve"> If Poppy could demonstrate that </w:t>
      </w:r>
      <w:r w:rsidR="00E07B8E">
        <w:t xml:space="preserve">her </w:t>
      </w:r>
      <w:r w:rsidR="00E07B8E">
        <w:lastRenderedPageBreak/>
        <w:t xml:space="preserve">schizophrenia had a significant impact on her actions, then </w:t>
      </w:r>
      <w:r w:rsidR="00FE68C5">
        <w:t>she would not be liable for murder, but would rather be liable for manslaughter.</w:t>
      </w:r>
    </w:p>
    <w:p w14:paraId="43FB7B95" w14:textId="1DEFA553" w:rsidR="00FE68C5" w:rsidRDefault="00FE68C5" w:rsidP="00FE68C5">
      <w:pPr>
        <w:ind w:firstLine="720"/>
      </w:pPr>
      <w:r>
        <w:t xml:space="preserve">In conclusion, Polly </w:t>
      </w:r>
      <w:r w:rsidR="00A83FEB">
        <w:t xml:space="preserve">satisfies all mens rea and actus reus elements for common assault against Roxanne, criminal damage with intent to endanger life </w:t>
      </w:r>
      <w:r w:rsidR="00102BE5">
        <w:t xml:space="preserve">against Roxanne’s vehicle, and manslaughter against </w:t>
      </w:r>
      <w:r w:rsidR="00373568">
        <w:t xml:space="preserve">Mohammed. </w:t>
      </w:r>
      <w:r w:rsidR="000C488E">
        <w:t xml:space="preserve">Polly’s schizophrenia is a vital </w:t>
      </w:r>
      <w:r w:rsidR="005D117C">
        <w:t>point when determining her defences to these charges.</w:t>
      </w:r>
    </w:p>
    <w:p w14:paraId="1520785F" w14:textId="77777777" w:rsidR="002E2D30" w:rsidRDefault="002E2D30" w:rsidP="002E2D30"/>
    <w:p w14:paraId="290CBD15" w14:textId="77777777" w:rsidR="002E2D30" w:rsidRDefault="002E2D30" w:rsidP="002E2D30"/>
    <w:p w14:paraId="750158E2" w14:textId="77777777" w:rsidR="002E2D30" w:rsidRDefault="002E2D30" w:rsidP="002E2D30"/>
    <w:p w14:paraId="64468A49" w14:textId="77777777" w:rsidR="002E2D30" w:rsidRPr="002E2D30" w:rsidRDefault="002E2D30" w:rsidP="002E2D30">
      <w:pPr>
        <w:rPr>
          <w:u w:val="single"/>
        </w:rPr>
      </w:pPr>
      <w:r w:rsidRPr="002E2D30">
        <w:rPr>
          <w:u w:val="single"/>
        </w:rPr>
        <w:t>Case Law</w:t>
      </w:r>
    </w:p>
    <w:p w14:paraId="49456C3D" w14:textId="4DFC549B" w:rsidR="002E2D30" w:rsidRDefault="002E2D30" w:rsidP="002E2D30">
      <w:pPr>
        <w:spacing w:line="240" w:lineRule="auto"/>
      </w:pPr>
      <w:r>
        <w:t>Fagan v Metropolitan Police Commissioner [1969] 1 QB 439</w:t>
      </w:r>
    </w:p>
    <w:p w14:paraId="07564518" w14:textId="77777777" w:rsidR="002E2D30" w:rsidRDefault="002E2D30" w:rsidP="002E2D30">
      <w:pPr>
        <w:spacing w:line="240" w:lineRule="auto"/>
      </w:pPr>
      <w:r>
        <w:t>R v Lamb [1967] 2 QB 981</w:t>
      </w:r>
    </w:p>
    <w:p w14:paraId="13A55089" w14:textId="77777777" w:rsidR="002E2D30" w:rsidRDefault="002E2D30" w:rsidP="002E2D30">
      <w:pPr>
        <w:spacing w:line="240" w:lineRule="auto"/>
      </w:pPr>
      <w:r>
        <w:t>Logdon v DPP [1976] AC 181</w:t>
      </w:r>
    </w:p>
    <w:p w14:paraId="480F4EB1" w14:textId="77777777" w:rsidR="002E2D30" w:rsidRDefault="002E2D30" w:rsidP="002E2D30">
      <w:pPr>
        <w:spacing w:line="240" w:lineRule="auto"/>
      </w:pPr>
      <w:r>
        <w:t>R v Meade and Belt [1823] 1 Lew CC 184</w:t>
      </w:r>
    </w:p>
    <w:p w14:paraId="0E4ABB9D" w14:textId="77777777" w:rsidR="002E2D30" w:rsidRDefault="002E2D30" w:rsidP="002E2D30">
      <w:pPr>
        <w:spacing w:line="240" w:lineRule="auto"/>
      </w:pPr>
      <w:r>
        <w:t>R v Wilson [1955] 2 QB 54</w:t>
      </w:r>
    </w:p>
    <w:p w14:paraId="640C2B4F" w14:textId="77777777" w:rsidR="002E2D30" w:rsidRDefault="002E2D30" w:rsidP="002E2D30">
      <w:pPr>
        <w:spacing w:line="240" w:lineRule="auto"/>
      </w:pPr>
      <w:r>
        <w:t>R v Constanza [1997] 2 Cr App R 492</w:t>
      </w:r>
    </w:p>
    <w:p w14:paraId="41E65528" w14:textId="77777777" w:rsidR="002E2D30" w:rsidRDefault="002E2D30" w:rsidP="002E2D30">
      <w:pPr>
        <w:spacing w:line="240" w:lineRule="auto"/>
      </w:pPr>
      <w:r>
        <w:t>Smith v Chief Constable of Woking [1983] 1 WLR 521</w:t>
      </w:r>
    </w:p>
    <w:p w14:paraId="74F8E806" w14:textId="77777777" w:rsidR="002E2D30" w:rsidRDefault="002E2D30" w:rsidP="002E2D30">
      <w:pPr>
        <w:spacing w:line="240" w:lineRule="auto"/>
      </w:pPr>
      <w:r>
        <w:t>R v Fiak [2005] EWCA Crim 241</w:t>
      </w:r>
    </w:p>
    <w:p w14:paraId="0BEA1882" w14:textId="77777777" w:rsidR="002E2D30" w:rsidRDefault="002E2D30" w:rsidP="002E2D30">
      <w:pPr>
        <w:spacing w:line="240" w:lineRule="auto"/>
      </w:pPr>
      <w:r>
        <w:t>R v Whiteley [1991] 2 QB 283</w:t>
      </w:r>
    </w:p>
    <w:p w14:paraId="2EBADD1D" w14:textId="77777777" w:rsidR="002E2D30" w:rsidRDefault="002E2D30" w:rsidP="002E2D30">
      <w:pPr>
        <w:spacing w:line="240" w:lineRule="auto"/>
      </w:pPr>
      <w:r>
        <w:t>R v Cunningham [1957] 2 QB 396</w:t>
      </w:r>
    </w:p>
    <w:p w14:paraId="51C1699E" w14:textId="77777777" w:rsidR="002E2D30" w:rsidRDefault="002E2D30" w:rsidP="002E2D30">
      <w:pPr>
        <w:spacing w:line="240" w:lineRule="auto"/>
      </w:pPr>
      <w:r>
        <w:t>R v G and another [2003] UKHL 50</w:t>
      </w:r>
    </w:p>
    <w:p w14:paraId="03FDA233" w14:textId="77777777" w:rsidR="002E2D30" w:rsidRDefault="002E2D30" w:rsidP="002E2D30">
      <w:pPr>
        <w:spacing w:line="240" w:lineRule="auto"/>
      </w:pPr>
      <w:r>
        <w:t>R v Steer [1988] QB 623</w:t>
      </w:r>
    </w:p>
    <w:p w14:paraId="3444432A" w14:textId="77777777" w:rsidR="002E2D30" w:rsidRDefault="002E2D30" w:rsidP="002E2D30">
      <w:pPr>
        <w:spacing w:line="240" w:lineRule="auto"/>
      </w:pPr>
      <w:r>
        <w:t>R v Woolin [1998] AC 82</w:t>
      </w:r>
    </w:p>
    <w:p w14:paraId="74138057" w14:textId="39D1646C" w:rsidR="002E2D30" w:rsidRDefault="002E2D30" w:rsidP="002E2D30">
      <w:pPr>
        <w:spacing w:line="240" w:lineRule="auto"/>
      </w:pPr>
      <w:r>
        <w:t>R v Smith [1959] 2 QB 35</w:t>
      </w:r>
    </w:p>
    <w:p w14:paraId="637349C0" w14:textId="67FF3404" w:rsidR="00693BF1" w:rsidRDefault="00693BF1" w:rsidP="00E91454"/>
    <w:sectPr w:rsidR="00693B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20C7A"/>
    <w:multiLevelType w:val="multilevel"/>
    <w:tmpl w:val="C818CA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707351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F4E"/>
    <w:rsid w:val="00011154"/>
    <w:rsid w:val="000248B4"/>
    <w:rsid w:val="000C488E"/>
    <w:rsid w:val="00102BE5"/>
    <w:rsid w:val="001047B6"/>
    <w:rsid w:val="001323FD"/>
    <w:rsid w:val="00133B15"/>
    <w:rsid w:val="001357A5"/>
    <w:rsid w:val="00136DAA"/>
    <w:rsid w:val="00151F71"/>
    <w:rsid w:val="00166B2B"/>
    <w:rsid w:val="00166DDB"/>
    <w:rsid w:val="00173840"/>
    <w:rsid w:val="0017759D"/>
    <w:rsid w:val="00193057"/>
    <w:rsid w:val="001A459A"/>
    <w:rsid w:val="001B3B11"/>
    <w:rsid w:val="001B3F10"/>
    <w:rsid w:val="001F100D"/>
    <w:rsid w:val="00204722"/>
    <w:rsid w:val="00213E01"/>
    <w:rsid w:val="00221430"/>
    <w:rsid w:val="00270D9C"/>
    <w:rsid w:val="00271B18"/>
    <w:rsid w:val="002C112C"/>
    <w:rsid w:val="002D1A92"/>
    <w:rsid w:val="002D529E"/>
    <w:rsid w:val="002E2D30"/>
    <w:rsid w:val="002F47F3"/>
    <w:rsid w:val="003365E0"/>
    <w:rsid w:val="00362B2B"/>
    <w:rsid w:val="00373568"/>
    <w:rsid w:val="003926DA"/>
    <w:rsid w:val="00393D2D"/>
    <w:rsid w:val="003D0BE8"/>
    <w:rsid w:val="003D4B44"/>
    <w:rsid w:val="003E1B5B"/>
    <w:rsid w:val="003E2975"/>
    <w:rsid w:val="003E746D"/>
    <w:rsid w:val="00407D21"/>
    <w:rsid w:val="00455A42"/>
    <w:rsid w:val="00467FF4"/>
    <w:rsid w:val="0048791A"/>
    <w:rsid w:val="004A2E4C"/>
    <w:rsid w:val="004B142C"/>
    <w:rsid w:val="004D2CD4"/>
    <w:rsid w:val="00503E81"/>
    <w:rsid w:val="00512A55"/>
    <w:rsid w:val="00574373"/>
    <w:rsid w:val="00585524"/>
    <w:rsid w:val="00590FD0"/>
    <w:rsid w:val="005D117C"/>
    <w:rsid w:val="0061767A"/>
    <w:rsid w:val="00625533"/>
    <w:rsid w:val="00630C38"/>
    <w:rsid w:val="0064133C"/>
    <w:rsid w:val="00644F77"/>
    <w:rsid w:val="00655C94"/>
    <w:rsid w:val="00661057"/>
    <w:rsid w:val="006744E1"/>
    <w:rsid w:val="0069251F"/>
    <w:rsid w:val="00693BF1"/>
    <w:rsid w:val="006B7E8E"/>
    <w:rsid w:val="006C4200"/>
    <w:rsid w:val="006D2A58"/>
    <w:rsid w:val="006F25CD"/>
    <w:rsid w:val="00731ECA"/>
    <w:rsid w:val="00734902"/>
    <w:rsid w:val="007A68B5"/>
    <w:rsid w:val="007F2165"/>
    <w:rsid w:val="007F2F4E"/>
    <w:rsid w:val="0085563E"/>
    <w:rsid w:val="00861724"/>
    <w:rsid w:val="00882488"/>
    <w:rsid w:val="00886FDA"/>
    <w:rsid w:val="00897002"/>
    <w:rsid w:val="008A013A"/>
    <w:rsid w:val="008B7CC0"/>
    <w:rsid w:val="008C67DA"/>
    <w:rsid w:val="008D2595"/>
    <w:rsid w:val="008D3A55"/>
    <w:rsid w:val="008E55D7"/>
    <w:rsid w:val="008E5A16"/>
    <w:rsid w:val="008F7904"/>
    <w:rsid w:val="00930F40"/>
    <w:rsid w:val="00975143"/>
    <w:rsid w:val="009762F0"/>
    <w:rsid w:val="009A2BA3"/>
    <w:rsid w:val="009B7197"/>
    <w:rsid w:val="009E7EAC"/>
    <w:rsid w:val="00A322C4"/>
    <w:rsid w:val="00A3260A"/>
    <w:rsid w:val="00A32E6D"/>
    <w:rsid w:val="00A50163"/>
    <w:rsid w:val="00A52AAC"/>
    <w:rsid w:val="00A7345C"/>
    <w:rsid w:val="00A83FEB"/>
    <w:rsid w:val="00A86E8F"/>
    <w:rsid w:val="00A9236D"/>
    <w:rsid w:val="00AA3955"/>
    <w:rsid w:val="00AC4265"/>
    <w:rsid w:val="00AD5ABC"/>
    <w:rsid w:val="00AE5408"/>
    <w:rsid w:val="00AF46C5"/>
    <w:rsid w:val="00B06FD5"/>
    <w:rsid w:val="00B073A7"/>
    <w:rsid w:val="00B17A72"/>
    <w:rsid w:val="00B671E6"/>
    <w:rsid w:val="00B72FD4"/>
    <w:rsid w:val="00B85346"/>
    <w:rsid w:val="00B93ED7"/>
    <w:rsid w:val="00B96624"/>
    <w:rsid w:val="00BD6B71"/>
    <w:rsid w:val="00BE55C5"/>
    <w:rsid w:val="00BF1751"/>
    <w:rsid w:val="00C03B90"/>
    <w:rsid w:val="00C03EE0"/>
    <w:rsid w:val="00C32230"/>
    <w:rsid w:val="00C41D6A"/>
    <w:rsid w:val="00C52809"/>
    <w:rsid w:val="00C543FC"/>
    <w:rsid w:val="00C874A9"/>
    <w:rsid w:val="00CC70A8"/>
    <w:rsid w:val="00CE0134"/>
    <w:rsid w:val="00CF78FD"/>
    <w:rsid w:val="00D12E82"/>
    <w:rsid w:val="00D361DD"/>
    <w:rsid w:val="00D61DB3"/>
    <w:rsid w:val="00D860E9"/>
    <w:rsid w:val="00D9364C"/>
    <w:rsid w:val="00D9466D"/>
    <w:rsid w:val="00DA50B7"/>
    <w:rsid w:val="00E02E16"/>
    <w:rsid w:val="00E03EE2"/>
    <w:rsid w:val="00E057EE"/>
    <w:rsid w:val="00E07B8E"/>
    <w:rsid w:val="00E137AD"/>
    <w:rsid w:val="00E20191"/>
    <w:rsid w:val="00E27A43"/>
    <w:rsid w:val="00E91454"/>
    <w:rsid w:val="00EB3388"/>
    <w:rsid w:val="00EB6A55"/>
    <w:rsid w:val="00EC27A2"/>
    <w:rsid w:val="00EC5FF4"/>
    <w:rsid w:val="00EC737D"/>
    <w:rsid w:val="00ED18C8"/>
    <w:rsid w:val="00EE4F93"/>
    <w:rsid w:val="00F331D0"/>
    <w:rsid w:val="00F470E7"/>
    <w:rsid w:val="00F639FF"/>
    <w:rsid w:val="00F87390"/>
    <w:rsid w:val="00F94EA6"/>
    <w:rsid w:val="00FA59A1"/>
    <w:rsid w:val="00FA5E4B"/>
    <w:rsid w:val="00FA78C4"/>
    <w:rsid w:val="00FB2519"/>
    <w:rsid w:val="00FC762D"/>
    <w:rsid w:val="00FE68C5"/>
    <w:rsid w:val="00FF19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A72A9"/>
  <w15:chartTrackingRefBased/>
  <w15:docId w15:val="{BAFD3BAF-B2D8-44B8-A481-F7D150843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2488"/>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5418921">
      <w:bodyDiv w:val="1"/>
      <w:marLeft w:val="0"/>
      <w:marRight w:val="0"/>
      <w:marTop w:val="0"/>
      <w:marBottom w:val="0"/>
      <w:divBdr>
        <w:top w:val="none" w:sz="0" w:space="0" w:color="auto"/>
        <w:left w:val="none" w:sz="0" w:space="0" w:color="auto"/>
        <w:bottom w:val="none" w:sz="0" w:space="0" w:color="auto"/>
        <w:right w:val="none" w:sz="0" w:space="0" w:color="auto"/>
      </w:divBdr>
    </w:div>
    <w:div w:id="1177426666">
      <w:bodyDiv w:val="1"/>
      <w:marLeft w:val="0"/>
      <w:marRight w:val="0"/>
      <w:marTop w:val="0"/>
      <w:marBottom w:val="0"/>
      <w:divBdr>
        <w:top w:val="none" w:sz="0" w:space="0" w:color="auto"/>
        <w:left w:val="none" w:sz="0" w:space="0" w:color="auto"/>
        <w:bottom w:val="none" w:sz="0" w:space="0" w:color="auto"/>
        <w:right w:val="none" w:sz="0" w:space="0" w:color="auto"/>
      </w:divBdr>
    </w:div>
    <w:div w:id="1482580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eba1161c81c6469d74261bea3b30c8c6">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c9c83ea47bd98b70c65cde76df8b3b7"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CF3DAC8-3F4E-4FFC-BB74-F2822FCCF1D2}">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8A5E7520-A744-40B7-9AD2-5218DB170FE6}">
  <ds:schemaRefs>
    <ds:schemaRef ds:uri="http://schemas.microsoft.com/sharepoint/v3/contenttype/forms"/>
  </ds:schemaRefs>
</ds:datastoreItem>
</file>

<file path=customXml/itemProps3.xml><?xml version="1.0" encoding="utf-8"?>
<ds:datastoreItem xmlns:ds="http://schemas.openxmlformats.org/officeDocument/2006/customXml" ds:itemID="{A1C388CA-58FA-48E5-946D-6C72ED6974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20484</TotalTime>
  <Pages>4</Pages>
  <Words>1469</Words>
  <Characters>8375</Characters>
  <Application>Microsoft Office Word</Application>
  <DocSecurity>0</DocSecurity>
  <Lines>69</Lines>
  <Paragraphs>19</Paragraphs>
  <ScaleCrop>false</ScaleCrop>
  <Company/>
  <LinksUpToDate>false</LinksUpToDate>
  <CharactersWithSpaces>9825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Williams (2203204)</dc:creator>
  <cp:keywords/>
  <dc:description/>
  <cp:lastModifiedBy>Steffan</cp:lastModifiedBy>
  <cp:revision>157</cp:revision>
  <dcterms:created xsi:type="dcterms:W3CDTF">2023-03-28T19:36:00Z</dcterms:created>
  <dcterms:modified xsi:type="dcterms:W3CDTF">2023-05-11T21:32:00Z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fb1dc992-66fa-4306-bb1d-ee4e27eeed3a</vt:lpwstr>
  </property>
  <property fmtid="{D5CDD505-2E9C-101B-9397-08002B2CF9AE}" pid="3" name="ContentTypeId">
    <vt:lpwstr>0x01010060EEA2F366178047808FA03462A57F61</vt:lpwstr>
  </property>
</Properties>
</file>