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957937128"/>
        <w:docPartObj>
          <w:docPartGallery w:val="Cover Pages"/>
          <w:docPartUnique/>
        </w:docPartObj>
      </w:sdtPr>
      <w:sdtEndPr>
        <w:rPr>
          <w:rFonts w:eastAsiaTheme="minorHAnsi"/>
          <w:color w:val="auto"/>
          <w:kern w:val="2"/>
          <w:sz w:val="24"/>
          <w:szCs w:val="24"/>
          <w:lang w:val="en-GB"/>
          <w14:ligatures w14:val="standardContextual"/>
        </w:rPr>
      </w:sdtEndPr>
      <w:sdtContent>
        <w:p w14:paraId="7A1F9B0C" w14:textId="77777777" w:rsidR="00CE2B9E" w:rsidRDefault="00CE2B9E">
          <w:pPr>
            <w:pStyle w:val="NoSpacing"/>
            <w:spacing w:before="1540" w:after="240"/>
            <w:jc w:val="center"/>
            <w:rPr>
              <w:color w:val="156082" w:themeColor="accent1"/>
            </w:rPr>
          </w:pPr>
          <w:r>
            <w:rPr>
              <w:noProof/>
              <w:color w:val="156082" w:themeColor="accent1"/>
            </w:rPr>
            <w:drawing>
              <wp:inline distT="0" distB="0" distL="0" distR="0" wp14:anchorId="329812E9" wp14:editId="0F1A404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F31B84BF98441238F217182531CB4FB"/>
            </w:placeholder>
            <w:dataBinding w:prefixMappings="xmlns:ns0='http://purl.org/dc/elements/1.1/' xmlns:ns1='http://schemas.openxmlformats.org/package/2006/metadata/core-properties' " w:xpath="/ns1:coreProperties[1]/ns0:title[1]" w:storeItemID="{6C3C8BC8-F283-45AE-878A-BAB7291924A1}"/>
            <w:text/>
          </w:sdtPr>
          <w:sdtContent>
            <w:p w14:paraId="298C127F" w14:textId="77777777" w:rsidR="00CE2B9E" w:rsidRDefault="00CE2B9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E2B9E">
                <w:rPr>
                  <w:rFonts w:asciiTheme="majorHAnsi" w:eastAsiaTheme="majorEastAsia" w:hAnsiTheme="majorHAnsi" w:cstheme="majorBidi"/>
                  <w:caps/>
                  <w:color w:val="156082" w:themeColor="accent1"/>
                  <w:sz w:val="72"/>
                  <w:szCs w:val="72"/>
                </w:rPr>
                <w:t>principles and practices of Data security, Governance and Compliance</w:t>
              </w:r>
            </w:p>
          </w:sdtContent>
        </w:sdt>
        <w:sdt>
          <w:sdtPr>
            <w:rPr>
              <w:color w:val="156082" w:themeColor="accent1"/>
              <w:sz w:val="28"/>
              <w:szCs w:val="28"/>
            </w:rPr>
            <w:alias w:val="Subtitle"/>
            <w:tag w:val=""/>
            <w:id w:val="328029620"/>
            <w:placeholder>
              <w:docPart w:val="6BA59FA8C3F844B08F76E68D3C286EDF"/>
            </w:placeholder>
            <w:dataBinding w:prefixMappings="xmlns:ns0='http://purl.org/dc/elements/1.1/' xmlns:ns1='http://schemas.openxmlformats.org/package/2006/metadata/core-properties' " w:xpath="/ns1:coreProperties[1]/ns0:subject[1]" w:storeItemID="{6C3C8BC8-F283-45AE-878A-BAB7291924A1}"/>
            <w:text/>
          </w:sdtPr>
          <w:sdtContent>
            <w:p w14:paraId="7DAE64C7" w14:textId="77777777" w:rsidR="00CE2B9E" w:rsidRDefault="00CE2B9E">
              <w:pPr>
                <w:pStyle w:val="NoSpacing"/>
                <w:jc w:val="center"/>
                <w:rPr>
                  <w:color w:val="156082" w:themeColor="accent1"/>
                  <w:sz w:val="28"/>
                  <w:szCs w:val="28"/>
                </w:rPr>
              </w:pPr>
              <w:r w:rsidRPr="00CE2B9E">
                <w:rPr>
                  <w:color w:val="156082" w:themeColor="accent1"/>
                  <w:sz w:val="28"/>
                  <w:szCs w:val="28"/>
                </w:rPr>
                <w:t>ACCA7028</w:t>
              </w:r>
            </w:p>
          </w:sdtContent>
        </w:sdt>
        <w:p w14:paraId="265D33E9" w14:textId="77777777" w:rsidR="00CE2B9E" w:rsidRDefault="00CE2B9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D1F954A" wp14:editId="3FAF210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C01450" w14:textId="77777777" w:rsidR="00CE2B9E" w:rsidRDefault="00CE2B9E">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8D7FE48" w14:textId="77777777" w:rsidR="00CE2B9E" w:rsidRDefault="00CE2B9E">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0142D2FF" w14:textId="77777777" w:rsidR="00CE2B9E" w:rsidRDefault="00CE2B9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Kelly Casey </w:t>
                                    </w:r>
                                  </w:sdtContent>
                                </w:sdt>
                              </w:p>
                              <w:p w14:paraId="7BA53502" w14:textId="77777777" w:rsidR="00CE2B9E" w:rsidRDefault="00CE2B9E">
                                <w:pPr>
                                  <w:pStyle w:val="NoSpacing"/>
                                  <w:jc w:val="center"/>
                                  <w:rPr>
                                    <w:color w:val="156082" w:themeColor="accent1"/>
                                  </w:rPr>
                                </w:pPr>
                                <w:hyperlink r:id="rId13" w:history="1">
                                  <w:r w:rsidRPr="00CE2B9E">
                                    <w:rPr>
                                      <w:rStyle w:val="Hyperlink"/>
                                      <w:lang w:val="en-GB"/>
                                    </w:rPr>
                                    <w:t>2106451</w:t>
                                  </w:r>
                                </w:hyperlink>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1F954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C01450" w14:textId="77777777" w:rsidR="00CE2B9E" w:rsidRDefault="00CE2B9E">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8D7FE48" w14:textId="77777777" w:rsidR="00CE2B9E" w:rsidRDefault="00CE2B9E">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0142D2FF" w14:textId="77777777" w:rsidR="00CE2B9E" w:rsidRDefault="00CE2B9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Kelly Casey </w:t>
                              </w:r>
                            </w:sdtContent>
                          </w:sdt>
                        </w:p>
                        <w:p w14:paraId="7BA53502" w14:textId="77777777" w:rsidR="00CE2B9E" w:rsidRDefault="00CE2B9E">
                          <w:pPr>
                            <w:pStyle w:val="NoSpacing"/>
                            <w:jc w:val="center"/>
                            <w:rPr>
                              <w:color w:val="156082" w:themeColor="accent1"/>
                            </w:rPr>
                          </w:pPr>
                          <w:hyperlink r:id="rId14" w:history="1">
                            <w:r w:rsidRPr="00CE2B9E">
                              <w:rPr>
                                <w:rStyle w:val="Hyperlink"/>
                                <w:lang w:val="en-GB"/>
                              </w:rPr>
                              <w:t>2106451</w:t>
                            </w:r>
                          </w:hyperlink>
                        </w:p>
                      </w:txbxContent>
                    </v:textbox>
                    <w10:wrap anchorx="margin" anchory="page"/>
                  </v:shape>
                </w:pict>
              </mc:Fallback>
            </mc:AlternateContent>
          </w:r>
          <w:r>
            <w:rPr>
              <w:noProof/>
              <w:color w:val="156082" w:themeColor="accent1"/>
            </w:rPr>
            <w:drawing>
              <wp:inline distT="0" distB="0" distL="0" distR="0" wp14:anchorId="3C921D92" wp14:editId="4C854DB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9D30CF" w14:textId="77777777" w:rsidR="00CE2B9E" w:rsidRDefault="00CE2B9E">
          <w:r>
            <w:br w:type="page"/>
          </w:r>
        </w:p>
      </w:sdtContent>
    </w:sdt>
    <w:sdt>
      <w:sdtPr>
        <w:id w:val="66591307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96653C3" w14:textId="77777777" w:rsidR="00CE2B9E" w:rsidRDefault="00CE2B9E">
          <w:pPr>
            <w:pStyle w:val="TOCHeading"/>
          </w:pPr>
          <w:r>
            <w:t>Contents</w:t>
          </w:r>
        </w:p>
        <w:p w14:paraId="5B9DC58C" w14:textId="1A82F9EE" w:rsidR="0060308D" w:rsidRDefault="00CE2B9E">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1733951" w:history="1">
            <w:r w:rsidR="0060308D" w:rsidRPr="00A45061">
              <w:rPr>
                <w:rStyle w:val="Hyperlink"/>
                <w:noProof/>
              </w:rPr>
              <w:t>Abstract</w:t>
            </w:r>
            <w:r w:rsidR="0060308D">
              <w:rPr>
                <w:noProof/>
                <w:webHidden/>
              </w:rPr>
              <w:tab/>
            </w:r>
            <w:r w:rsidR="0060308D">
              <w:rPr>
                <w:noProof/>
                <w:webHidden/>
              </w:rPr>
              <w:fldChar w:fldCharType="begin"/>
            </w:r>
            <w:r w:rsidR="0060308D">
              <w:rPr>
                <w:noProof/>
                <w:webHidden/>
              </w:rPr>
              <w:instrText xml:space="preserve"> PAGEREF _Toc221733951 \h </w:instrText>
            </w:r>
            <w:r w:rsidR="0060308D">
              <w:rPr>
                <w:noProof/>
                <w:webHidden/>
              </w:rPr>
            </w:r>
            <w:r w:rsidR="0060308D">
              <w:rPr>
                <w:noProof/>
                <w:webHidden/>
              </w:rPr>
              <w:fldChar w:fldCharType="separate"/>
            </w:r>
            <w:r w:rsidR="0060308D">
              <w:rPr>
                <w:noProof/>
                <w:webHidden/>
              </w:rPr>
              <w:t>3</w:t>
            </w:r>
            <w:r w:rsidR="0060308D">
              <w:rPr>
                <w:noProof/>
                <w:webHidden/>
              </w:rPr>
              <w:fldChar w:fldCharType="end"/>
            </w:r>
          </w:hyperlink>
        </w:p>
        <w:p w14:paraId="4EB07C40" w14:textId="7454C62F" w:rsidR="0060308D" w:rsidRDefault="0060308D">
          <w:pPr>
            <w:pStyle w:val="TOC1"/>
            <w:tabs>
              <w:tab w:val="left" w:pos="480"/>
              <w:tab w:val="right" w:leader="dot" w:pos="9350"/>
            </w:tabs>
            <w:rPr>
              <w:rFonts w:eastAsiaTheme="minorEastAsia"/>
              <w:noProof/>
              <w:lang w:eastAsia="en-GB"/>
            </w:rPr>
          </w:pPr>
          <w:hyperlink w:anchor="_Toc221733952" w:history="1">
            <w:r w:rsidRPr="00A45061">
              <w:rPr>
                <w:rStyle w:val="Hyperlink"/>
                <w:noProof/>
              </w:rPr>
              <w:t>1.</w:t>
            </w:r>
            <w:r>
              <w:rPr>
                <w:rFonts w:eastAsiaTheme="minorEastAsia"/>
                <w:noProof/>
                <w:lang w:eastAsia="en-GB"/>
              </w:rPr>
              <w:tab/>
            </w:r>
            <w:r w:rsidRPr="00A45061">
              <w:rPr>
                <w:rStyle w:val="Hyperlink"/>
                <w:noProof/>
              </w:rPr>
              <w:t>Introduction</w:t>
            </w:r>
            <w:r>
              <w:rPr>
                <w:noProof/>
                <w:webHidden/>
              </w:rPr>
              <w:tab/>
            </w:r>
            <w:r>
              <w:rPr>
                <w:noProof/>
                <w:webHidden/>
              </w:rPr>
              <w:fldChar w:fldCharType="begin"/>
            </w:r>
            <w:r>
              <w:rPr>
                <w:noProof/>
                <w:webHidden/>
              </w:rPr>
              <w:instrText xml:space="preserve"> PAGEREF _Toc221733952 \h </w:instrText>
            </w:r>
            <w:r>
              <w:rPr>
                <w:noProof/>
                <w:webHidden/>
              </w:rPr>
            </w:r>
            <w:r>
              <w:rPr>
                <w:noProof/>
                <w:webHidden/>
              </w:rPr>
              <w:fldChar w:fldCharType="separate"/>
            </w:r>
            <w:r>
              <w:rPr>
                <w:noProof/>
                <w:webHidden/>
              </w:rPr>
              <w:t>3</w:t>
            </w:r>
            <w:r>
              <w:rPr>
                <w:noProof/>
                <w:webHidden/>
              </w:rPr>
              <w:fldChar w:fldCharType="end"/>
            </w:r>
          </w:hyperlink>
        </w:p>
        <w:p w14:paraId="639B8EC5" w14:textId="0EA58E3D" w:rsidR="0060308D" w:rsidRDefault="0060308D">
          <w:pPr>
            <w:pStyle w:val="TOC1"/>
            <w:tabs>
              <w:tab w:val="left" w:pos="480"/>
              <w:tab w:val="right" w:leader="dot" w:pos="9350"/>
            </w:tabs>
            <w:rPr>
              <w:rFonts w:eastAsiaTheme="minorEastAsia"/>
              <w:noProof/>
              <w:lang w:eastAsia="en-GB"/>
            </w:rPr>
          </w:pPr>
          <w:hyperlink w:anchor="_Toc221733953" w:history="1">
            <w:r w:rsidRPr="00A45061">
              <w:rPr>
                <w:rStyle w:val="Hyperlink"/>
                <w:noProof/>
              </w:rPr>
              <w:t>2.</w:t>
            </w:r>
            <w:r>
              <w:rPr>
                <w:rFonts w:eastAsiaTheme="minorEastAsia"/>
                <w:noProof/>
                <w:lang w:eastAsia="en-GB"/>
              </w:rPr>
              <w:tab/>
            </w:r>
            <w:r w:rsidRPr="00A45061">
              <w:rPr>
                <w:rStyle w:val="Hyperlink"/>
                <w:noProof/>
              </w:rPr>
              <w:t>Literature review</w:t>
            </w:r>
            <w:r>
              <w:rPr>
                <w:noProof/>
                <w:webHidden/>
              </w:rPr>
              <w:tab/>
            </w:r>
            <w:r>
              <w:rPr>
                <w:noProof/>
                <w:webHidden/>
              </w:rPr>
              <w:fldChar w:fldCharType="begin"/>
            </w:r>
            <w:r>
              <w:rPr>
                <w:noProof/>
                <w:webHidden/>
              </w:rPr>
              <w:instrText xml:space="preserve"> PAGEREF _Toc221733953 \h </w:instrText>
            </w:r>
            <w:r>
              <w:rPr>
                <w:noProof/>
                <w:webHidden/>
              </w:rPr>
            </w:r>
            <w:r>
              <w:rPr>
                <w:noProof/>
                <w:webHidden/>
              </w:rPr>
              <w:fldChar w:fldCharType="separate"/>
            </w:r>
            <w:r>
              <w:rPr>
                <w:noProof/>
                <w:webHidden/>
              </w:rPr>
              <w:t>4</w:t>
            </w:r>
            <w:r>
              <w:rPr>
                <w:noProof/>
                <w:webHidden/>
              </w:rPr>
              <w:fldChar w:fldCharType="end"/>
            </w:r>
          </w:hyperlink>
        </w:p>
        <w:p w14:paraId="61C10E81" w14:textId="5AC863C9" w:rsidR="0060308D" w:rsidRDefault="0060308D">
          <w:pPr>
            <w:pStyle w:val="TOC2"/>
            <w:tabs>
              <w:tab w:val="left" w:pos="960"/>
              <w:tab w:val="right" w:leader="dot" w:pos="9350"/>
            </w:tabs>
            <w:rPr>
              <w:rFonts w:eastAsiaTheme="minorEastAsia"/>
              <w:noProof/>
              <w:lang w:eastAsia="en-GB"/>
            </w:rPr>
          </w:pPr>
          <w:hyperlink w:anchor="_Toc221733954" w:history="1">
            <w:r w:rsidRPr="00A45061">
              <w:rPr>
                <w:rStyle w:val="Hyperlink"/>
                <w:noProof/>
              </w:rPr>
              <w:t>2.1</w:t>
            </w:r>
            <w:r>
              <w:rPr>
                <w:rFonts w:eastAsiaTheme="minorEastAsia"/>
                <w:noProof/>
                <w:lang w:eastAsia="en-GB"/>
              </w:rPr>
              <w:tab/>
            </w:r>
            <w:r w:rsidRPr="00A45061">
              <w:rPr>
                <w:rStyle w:val="Hyperlink"/>
                <w:noProof/>
              </w:rPr>
              <w:t>ISO/IEC 27001 – A Risk-Based Information Security Management System</w:t>
            </w:r>
            <w:r>
              <w:rPr>
                <w:noProof/>
                <w:webHidden/>
              </w:rPr>
              <w:tab/>
            </w:r>
            <w:r>
              <w:rPr>
                <w:noProof/>
                <w:webHidden/>
              </w:rPr>
              <w:fldChar w:fldCharType="begin"/>
            </w:r>
            <w:r>
              <w:rPr>
                <w:noProof/>
                <w:webHidden/>
              </w:rPr>
              <w:instrText xml:space="preserve"> PAGEREF _Toc221733954 \h </w:instrText>
            </w:r>
            <w:r>
              <w:rPr>
                <w:noProof/>
                <w:webHidden/>
              </w:rPr>
            </w:r>
            <w:r>
              <w:rPr>
                <w:noProof/>
                <w:webHidden/>
              </w:rPr>
              <w:fldChar w:fldCharType="separate"/>
            </w:r>
            <w:r>
              <w:rPr>
                <w:noProof/>
                <w:webHidden/>
              </w:rPr>
              <w:t>5</w:t>
            </w:r>
            <w:r>
              <w:rPr>
                <w:noProof/>
                <w:webHidden/>
              </w:rPr>
              <w:fldChar w:fldCharType="end"/>
            </w:r>
          </w:hyperlink>
        </w:p>
        <w:p w14:paraId="46565D21" w14:textId="6F48F383" w:rsidR="0060308D" w:rsidRDefault="0060308D">
          <w:pPr>
            <w:pStyle w:val="TOC2"/>
            <w:tabs>
              <w:tab w:val="left" w:pos="960"/>
              <w:tab w:val="right" w:leader="dot" w:pos="9350"/>
            </w:tabs>
            <w:rPr>
              <w:rFonts w:eastAsiaTheme="minorEastAsia"/>
              <w:noProof/>
              <w:lang w:eastAsia="en-GB"/>
            </w:rPr>
          </w:pPr>
          <w:hyperlink w:anchor="_Toc221733955" w:history="1">
            <w:r w:rsidRPr="00A45061">
              <w:rPr>
                <w:rStyle w:val="Hyperlink"/>
                <w:noProof/>
              </w:rPr>
              <w:t>2.2</w:t>
            </w:r>
            <w:r>
              <w:rPr>
                <w:rFonts w:eastAsiaTheme="minorEastAsia"/>
                <w:noProof/>
                <w:lang w:eastAsia="en-GB"/>
              </w:rPr>
              <w:tab/>
            </w:r>
            <w:r w:rsidRPr="00A45061">
              <w:rPr>
                <w:rStyle w:val="Hyperlink"/>
                <w:noProof/>
              </w:rPr>
              <w:t>NIST Cybersecurity Framework (CSF)</w:t>
            </w:r>
            <w:r>
              <w:rPr>
                <w:noProof/>
                <w:webHidden/>
              </w:rPr>
              <w:tab/>
            </w:r>
            <w:r>
              <w:rPr>
                <w:noProof/>
                <w:webHidden/>
              </w:rPr>
              <w:fldChar w:fldCharType="begin"/>
            </w:r>
            <w:r>
              <w:rPr>
                <w:noProof/>
                <w:webHidden/>
              </w:rPr>
              <w:instrText xml:space="preserve"> PAGEREF _Toc221733955 \h </w:instrText>
            </w:r>
            <w:r>
              <w:rPr>
                <w:noProof/>
                <w:webHidden/>
              </w:rPr>
            </w:r>
            <w:r>
              <w:rPr>
                <w:noProof/>
                <w:webHidden/>
              </w:rPr>
              <w:fldChar w:fldCharType="separate"/>
            </w:r>
            <w:r>
              <w:rPr>
                <w:noProof/>
                <w:webHidden/>
              </w:rPr>
              <w:t>5</w:t>
            </w:r>
            <w:r>
              <w:rPr>
                <w:noProof/>
                <w:webHidden/>
              </w:rPr>
              <w:fldChar w:fldCharType="end"/>
            </w:r>
          </w:hyperlink>
        </w:p>
        <w:p w14:paraId="7A3F94E6" w14:textId="56548898" w:rsidR="0060308D" w:rsidRDefault="0060308D">
          <w:pPr>
            <w:pStyle w:val="TOC2"/>
            <w:tabs>
              <w:tab w:val="left" w:pos="960"/>
              <w:tab w:val="right" w:leader="dot" w:pos="9350"/>
            </w:tabs>
            <w:rPr>
              <w:rFonts w:eastAsiaTheme="minorEastAsia"/>
              <w:noProof/>
              <w:lang w:eastAsia="en-GB"/>
            </w:rPr>
          </w:pPr>
          <w:hyperlink w:anchor="_Toc221733956" w:history="1">
            <w:r w:rsidRPr="00A45061">
              <w:rPr>
                <w:rStyle w:val="Hyperlink"/>
                <w:noProof/>
              </w:rPr>
              <w:t>2.3</w:t>
            </w:r>
            <w:r>
              <w:rPr>
                <w:rFonts w:eastAsiaTheme="minorEastAsia"/>
                <w:noProof/>
                <w:lang w:eastAsia="en-GB"/>
              </w:rPr>
              <w:tab/>
            </w:r>
            <w:r w:rsidRPr="00A45061">
              <w:rPr>
                <w:rStyle w:val="Hyperlink"/>
                <w:noProof/>
              </w:rPr>
              <w:t>COBIT – Governance and Enterprise Alignment</w:t>
            </w:r>
            <w:r>
              <w:rPr>
                <w:noProof/>
                <w:webHidden/>
              </w:rPr>
              <w:tab/>
            </w:r>
            <w:r>
              <w:rPr>
                <w:noProof/>
                <w:webHidden/>
              </w:rPr>
              <w:fldChar w:fldCharType="begin"/>
            </w:r>
            <w:r>
              <w:rPr>
                <w:noProof/>
                <w:webHidden/>
              </w:rPr>
              <w:instrText xml:space="preserve"> PAGEREF _Toc221733956 \h </w:instrText>
            </w:r>
            <w:r>
              <w:rPr>
                <w:noProof/>
                <w:webHidden/>
              </w:rPr>
            </w:r>
            <w:r>
              <w:rPr>
                <w:noProof/>
                <w:webHidden/>
              </w:rPr>
              <w:fldChar w:fldCharType="separate"/>
            </w:r>
            <w:r>
              <w:rPr>
                <w:noProof/>
                <w:webHidden/>
              </w:rPr>
              <w:t>6</w:t>
            </w:r>
            <w:r>
              <w:rPr>
                <w:noProof/>
                <w:webHidden/>
              </w:rPr>
              <w:fldChar w:fldCharType="end"/>
            </w:r>
          </w:hyperlink>
        </w:p>
        <w:p w14:paraId="74403A8E" w14:textId="6DFA4496" w:rsidR="0060308D" w:rsidRDefault="0060308D">
          <w:pPr>
            <w:pStyle w:val="TOC2"/>
            <w:tabs>
              <w:tab w:val="left" w:pos="960"/>
              <w:tab w:val="right" w:leader="dot" w:pos="9350"/>
            </w:tabs>
            <w:rPr>
              <w:rFonts w:eastAsiaTheme="minorEastAsia"/>
              <w:noProof/>
              <w:lang w:eastAsia="en-GB"/>
            </w:rPr>
          </w:pPr>
          <w:hyperlink w:anchor="_Toc221733957" w:history="1">
            <w:r w:rsidRPr="00A45061">
              <w:rPr>
                <w:rStyle w:val="Hyperlink"/>
                <w:noProof/>
              </w:rPr>
              <w:t>2.4</w:t>
            </w:r>
            <w:r>
              <w:rPr>
                <w:rFonts w:eastAsiaTheme="minorEastAsia"/>
                <w:noProof/>
                <w:lang w:eastAsia="en-GB"/>
              </w:rPr>
              <w:tab/>
            </w:r>
            <w:r w:rsidRPr="00A45061">
              <w:rPr>
                <w:rStyle w:val="Hyperlink"/>
                <w:noProof/>
              </w:rPr>
              <w:t>ITIL – Service Management and Operational Integration</w:t>
            </w:r>
            <w:r>
              <w:rPr>
                <w:noProof/>
                <w:webHidden/>
              </w:rPr>
              <w:tab/>
            </w:r>
            <w:r>
              <w:rPr>
                <w:noProof/>
                <w:webHidden/>
              </w:rPr>
              <w:fldChar w:fldCharType="begin"/>
            </w:r>
            <w:r>
              <w:rPr>
                <w:noProof/>
                <w:webHidden/>
              </w:rPr>
              <w:instrText xml:space="preserve"> PAGEREF _Toc221733957 \h </w:instrText>
            </w:r>
            <w:r>
              <w:rPr>
                <w:noProof/>
                <w:webHidden/>
              </w:rPr>
            </w:r>
            <w:r>
              <w:rPr>
                <w:noProof/>
                <w:webHidden/>
              </w:rPr>
              <w:fldChar w:fldCharType="separate"/>
            </w:r>
            <w:r>
              <w:rPr>
                <w:noProof/>
                <w:webHidden/>
              </w:rPr>
              <w:t>6</w:t>
            </w:r>
            <w:r>
              <w:rPr>
                <w:noProof/>
                <w:webHidden/>
              </w:rPr>
              <w:fldChar w:fldCharType="end"/>
            </w:r>
          </w:hyperlink>
        </w:p>
        <w:p w14:paraId="5F13554A" w14:textId="13F71E8E" w:rsidR="0060308D" w:rsidRDefault="0060308D">
          <w:pPr>
            <w:pStyle w:val="TOC2"/>
            <w:tabs>
              <w:tab w:val="left" w:pos="960"/>
              <w:tab w:val="right" w:leader="dot" w:pos="9350"/>
            </w:tabs>
            <w:rPr>
              <w:rFonts w:eastAsiaTheme="minorEastAsia"/>
              <w:noProof/>
              <w:lang w:eastAsia="en-GB"/>
            </w:rPr>
          </w:pPr>
          <w:hyperlink w:anchor="_Toc221733958" w:history="1">
            <w:r w:rsidRPr="00A45061">
              <w:rPr>
                <w:rStyle w:val="Hyperlink"/>
                <w:noProof/>
              </w:rPr>
              <w:t>2.5</w:t>
            </w:r>
            <w:r>
              <w:rPr>
                <w:rFonts w:eastAsiaTheme="minorEastAsia"/>
                <w:noProof/>
                <w:lang w:eastAsia="en-GB"/>
              </w:rPr>
              <w:tab/>
            </w:r>
            <w:r w:rsidRPr="00A45061">
              <w:rPr>
                <w:rStyle w:val="Hyperlink"/>
                <w:noProof/>
              </w:rPr>
              <w:t>Comparative Analysis of ISO/IEC 27001, NIST CSF, COBIT and ITIL</w:t>
            </w:r>
            <w:r>
              <w:rPr>
                <w:noProof/>
                <w:webHidden/>
              </w:rPr>
              <w:tab/>
            </w:r>
            <w:r>
              <w:rPr>
                <w:noProof/>
                <w:webHidden/>
              </w:rPr>
              <w:fldChar w:fldCharType="begin"/>
            </w:r>
            <w:r>
              <w:rPr>
                <w:noProof/>
                <w:webHidden/>
              </w:rPr>
              <w:instrText xml:space="preserve"> PAGEREF _Toc221733958 \h </w:instrText>
            </w:r>
            <w:r>
              <w:rPr>
                <w:noProof/>
                <w:webHidden/>
              </w:rPr>
            </w:r>
            <w:r>
              <w:rPr>
                <w:noProof/>
                <w:webHidden/>
              </w:rPr>
              <w:fldChar w:fldCharType="separate"/>
            </w:r>
            <w:r>
              <w:rPr>
                <w:noProof/>
                <w:webHidden/>
              </w:rPr>
              <w:t>6</w:t>
            </w:r>
            <w:r>
              <w:rPr>
                <w:noProof/>
                <w:webHidden/>
              </w:rPr>
              <w:fldChar w:fldCharType="end"/>
            </w:r>
          </w:hyperlink>
        </w:p>
        <w:p w14:paraId="03BBF3E5" w14:textId="04907510" w:rsidR="0060308D" w:rsidRDefault="0060308D">
          <w:pPr>
            <w:pStyle w:val="TOC1"/>
            <w:tabs>
              <w:tab w:val="left" w:pos="480"/>
              <w:tab w:val="right" w:leader="dot" w:pos="9350"/>
            </w:tabs>
            <w:rPr>
              <w:rFonts w:eastAsiaTheme="minorEastAsia"/>
              <w:noProof/>
              <w:lang w:eastAsia="en-GB"/>
            </w:rPr>
          </w:pPr>
          <w:hyperlink w:anchor="_Toc221733959" w:history="1">
            <w:r w:rsidRPr="00A45061">
              <w:rPr>
                <w:rStyle w:val="Hyperlink"/>
                <w:noProof/>
              </w:rPr>
              <w:t>3.</w:t>
            </w:r>
            <w:r>
              <w:rPr>
                <w:rFonts w:eastAsiaTheme="minorEastAsia"/>
                <w:noProof/>
                <w:lang w:eastAsia="en-GB"/>
              </w:rPr>
              <w:tab/>
            </w:r>
            <w:r w:rsidRPr="00A45061">
              <w:rPr>
                <w:rStyle w:val="Hyperlink"/>
                <w:noProof/>
              </w:rPr>
              <w:t>Designing an Integrated Security Governance, Risk and Compliance Approach for NatureGreen</w:t>
            </w:r>
            <w:r>
              <w:rPr>
                <w:noProof/>
                <w:webHidden/>
              </w:rPr>
              <w:tab/>
            </w:r>
            <w:r>
              <w:rPr>
                <w:noProof/>
                <w:webHidden/>
              </w:rPr>
              <w:fldChar w:fldCharType="begin"/>
            </w:r>
            <w:r>
              <w:rPr>
                <w:noProof/>
                <w:webHidden/>
              </w:rPr>
              <w:instrText xml:space="preserve"> PAGEREF _Toc221733959 \h </w:instrText>
            </w:r>
            <w:r>
              <w:rPr>
                <w:noProof/>
                <w:webHidden/>
              </w:rPr>
            </w:r>
            <w:r>
              <w:rPr>
                <w:noProof/>
                <w:webHidden/>
              </w:rPr>
              <w:fldChar w:fldCharType="separate"/>
            </w:r>
            <w:r>
              <w:rPr>
                <w:noProof/>
                <w:webHidden/>
              </w:rPr>
              <w:t>8</w:t>
            </w:r>
            <w:r>
              <w:rPr>
                <w:noProof/>
                <w:webHidden/>
              </w:rPr>
              <w:fldChar w:fldCharType="end"/>
            </w:r>
          </w:hyperlink>
        </w:p>
        <w:p w14:paraId="5C883CE8" w14:textId="336D4230" w:rsidR="0060308D" w:rsidRDefault="0060308D">
          <w:pPr>
            <w:pStyle w:val="TOC2"/>
            <w:tabs>
              <w:tab w:val="left" w:pos="960"/>
              <w:tab w:val="right" w:leader="dot" w:pos="9350"/>
            </w:tabs>
            <w:rPr>
              <w:rFonts w:eastAsiaTheme="minorEastAsia"/>
              <w:noProof/>
              <w:lang w:eastAsia="en-GB"/>
            </w:rPr>
          </w:pPr>
          <w:hyperlink w:anchor="_Toc221733960" w:history="1">
            <w:r w:rsidRPr="00A45061">
              <w:rPr>
                <w:rStyle w:val="Hyperlink"/>
                <w:noProof/>
              </w:rPr>
              <w:t>3.1</w:t>
            </w:r>
            <w:r>
              <w:rPr>
                <w:rFonts w:eastAsiaTheme="minorEastAsia"/>
                <w:noProof/>
                <w:lang w:eastAsia="en-GB"/>
              </w:rPr>
              <w:tab/>
            </w:r>
            <w:r w:rsidRPr="00A45061">
              <w:rPr>
                <w:rStyle w:val="Hyperlink"/>
                <w:noProof/>
              </w:rPr>
              <w:t>Assumptions</w:t>
            </w:r>
            <w:r>
              <w:rPr>
                <w:noProof/>
                <w:webHidden/>
              </w:rPr>
              <w:tab/>
            </w:r>
            <w:r>
              <w:rPr>
                <w:noProof/>
                <w:webHidden/>
              </w:rPr>
              <w:fldChar w:fldCharType="begin"/>
            </w:r>
            <w:r>
              <w:rPr>
                <w:noProof/>
                <w:webHidden/>
              </w:rPr>
              <w:instrText xml:space="preserve"> PAGEREF _Toc221733960 \h </w:instrText>
            </w:r>
            <w:r>
              <w:rPr>
                <w:noProof/>
                <w:webHidden/>
              </w:rPr>
            </w:r>
            <w:r>
              <w:rPr>
                <w:noProof/>
                <w:webHidden/>
              </w:rPr>
              <w:fldChar w:fldCharType="separate"/>
            </w:r>
            <w:r>
              <w:rPr>
                <w:noProof/>
                <w:webHidden/>
              </w:rPr>
              <w:t>8</w:t>
            </w:r>
            <w:r>
              <w:rPr>
                <w:noProof/>
                <w:webHidden/>
              </w:rPr>
              <w:fldChar w:fldCharType="end"/>
            </w:r>
          </w:hyperlink>
        </w:p>
        <w:p w14:paraId="71956A44" w14:textId="2FA49315" w:rsidR="0060308D" w:rsidRDefault="0060308D">
          <w:pPr>
            <w:pStyle w:val="TOC2"/>
            <w:tabs>
              <w:tab w:val="left" w:pos="960"/>
              <w:tab w:val="right" w:leader="dot" w:pos="9350"/>
            </w:tabs>
            <w:rPr>
              <w:rFonts w:eastAsiaTheme="minorEastAsia"/>
              <w:noProof/>
              <w:lang w:eastAsia="en-GB"/>
            </w:rPr>
          </w:pPr>
          <w:hyperlink w:anchor="_Toc221733961" w:history="1">
            <w:r w:rsidRPr="00A45061">
              <w:rPr>
                <w:rStyle w:val="Hyperlink"/>
                <w:noProof/>
              </w:rPr>
              <w:t>3.2</w:t>
            </w:r>
            <w:r>
              <w:rPr>
                <w:rFonts w:eastAsiaTheme="minorEastAsia"/>
                <w:noProof/>
                <w:lang w:eastAsia="en-GB"/>
              </w:rPr>
              <w:tab/>
            </w:r>
            <w:r w:rsidRPr="00A45061">
              <w:rPr>
                <w:rStyle w:val="Hyperlink"/>
                <w:noProof/>
              </w:rPr>
              <w:t>Governance Structure and Oversight Model</w:t>
            </w:r>
            <w:r>
              <w:rPr>
                <w:noProof/>
                <w:webHidden/>
              </w:rPr>
              <w:tab/>
            </w:r>
            <w:r>
              <w:rPr>
                <w:noProof/>
                <w:webHidden/>
              </w:rPr>
              <w:fldChar w:fldCharType="begin"/>
            </w:r>
            <w:r>
              <w:rPr>
                <w:noProof/>
                <w:webHidden/>
              </w:rPr>
              <w:instrText xml:space="preserve"> PAGEREF _Toc221733961 \h </w:instrText>
            </w:r>
            <w:r>
              <w:rPr>
                <w:noProof/>
                <w:webHidden/>
              </w:rPr>
            </w:r>
            <w:r>
              <w:rPr>
                <w:noProof/>
                <w:webHidden/>
              </w:rPr>
              <w:fldChar w:fldCharType="separate"/>
            </w:r>
            <w:r>
              <w:rPr>
                <w:noProof/>
                <w:webHidden/>
              </w:rPr>
              <w:t>9</w:t>
            </w:r>
            <w:r>
              <w:rPr>
                <w:noProof/>
                <w:webHidden/>
              </w:rPr>
              <w:fldChar w:fldCharType="end"/>
            </w:r>
          </w:hyperlink>
        </w:p>
        <w:p w14:paraId="0C1AB8AE" w14:textId="65CEC388" w:rsidR="0060308D" w:rsidRDefault="0060308D">
          <w:pPr>
            <w:pStyle w:val="TOC3"/>
            <w:tabs>
              <w:tab w:val="left" w:pos="1440"/>
              <w:tab w:val="right" w:leader="dot" w:pos="9350"/>
            </w:tabs>
            <w:rPr>
              <w:rFonts w:eastAsiaTheme="minorEastAsia"/>
              <w:noProof/>
              <w:lang w:eastAsia="en-GB"/>
            </w:rPr>
          </w:pPr>
          <w:hyperlink w:anchor="_Toc221733962" w:history="1">
            <w:r w:rsidRPr="00A45061">
              <w:rPr>
                <w:rStyle w:val="Hyperlink"/>
                <w:noProof/>
              </w:rPr>
              <w:t>3.2.1</w:t>
            </w:r>
            <w:r>
              <w:rPr>
                <w:rFonts w:eastAsiaTheme="minorEastAsia"/>
                <w:noProof/>
                <w:lang w:eastAsia="en-GB"/>
              </w:rPr>
              <w:tab/>
            </w:r>
            <w:r w:rsidRPr="00A45061">
              <w:rPr>
                <w:rStyle w:val="Hyperlink"/>
                <w:noProof/>
              </w:rPr>
              <w:t>Proposed Governance Framework</w:t>
            </w:r>
            <w:r>
              <w:rPr>
                <w:noProof/>
                <w:webHidden/>
              </w:rPr>
              <w:tab/>
            </w:r>
            <w:r>
              <w:rPr>
                <w:noProof/>
                <w:webHidden/>
              </w:rPr>
              <w:fldChar w:fldCharType="begin"/>
            </w:r>
            <w:r>
              <w:rPr>
                <w:noProof/>
                <w:webHidden/>
              </w:rPr>
              <w:instrText xml:space="preserve"> PAGEREF _Toc221733962 \h </w:instrText>
            </w:r>
            <w:r>
              <w:rPr>
                <w:noProof/>
                <w:webHidden/>
              </w:rPr>
            </w:r>
            <w:r>
              <w:rPr>
                <w:noProof/>
                <w:webHidden/>
              </w:rPr>
              <w:fldChar w:fldCharType="separate"/>
            </w:r>
            <w:r>
              <w:rPr>
                <w:noProof/>
                <w:webHidden/>
              </w:rPr>
              <w:t>10</w:t>
            </w:r>
            <w:r>
              <w:rPr>
                <w:noProof/>
                <w:webHidden/>
              </w:rPr>
              <w:fldChar w:fldCharType="end"/>
            </w:r>
          </w:hyperlink>
        </w:p>
        <w:p w14:paraId="782B95FE" w14:textId="7B29BF29" w:rsidR="0060308D" w:rsidRDefault="0060308D">
          <w:pPr>
            <w:pStyle w:val="TOC3"/>
            <w:tabs>
              <w:tab w:val="left" w:pos="1440"/>
              <w:tab w:val="right" w:leader="dot" w:pos="9350"/>
            </w:tabs>
            <w:rPr>
              <w:rFonts w:eastAsiaTheme="minorEastAsia"/>
              <w:noProof/>
              <w:lang w:eastAsia="en-GB"/>
            </w:rPr>
          </w:pPr>
          <w:hyperlink w:anchor="_Toc221733963" w:history="1">
            <w:r w:rsidRPr="00A45061">
              <w:rPr>
                <w:rStyle w:val="Hyperlink"/>
                <w:noProof/>
              </w:rPr>
              <w:t>3.2.2</w:t>
            </w:r>
            <w:r>
              <w:rPr>
                <w:rFonts w:eastAsiaTheme="minorEastAsia"/>
                <w:noProof/>
                <w:lang w:eastAsia="en-GB"/>
              </w:rPr>
              <w:tab/>
            </w:r>
            <w:r w:rsidRPr="00A45061">
              <w:rPr>
                <w:rStyle w:val="Hyperlink"/>
                <w:noProof/>
              </w:rPr>
              <w:t>Justification</w:t>
            </w:r>
            <w:r>
              <w:rPr>
                <w:noProof/>
                <w:webHidden/>
              </w:rPr>
              <w:tab/>
            </w:r>
            <w:r>
              <w:rPr>
                <w:noProof/>
                <w:webHidden/>
              </w:rPr>
              <w:fldChar w:fldCharType="begin"/>
            </w:r>
            <w:r>
              <w:rPr>
                <w:noProof/>
                <w:webHidden/>
              </w:rPr>
              <w:instrText xml:space="preserve"> PAGEREF _Toc221733963 \h </w:instrText>
            </w:r>
            <w:r>
              <w:rPr>
                <w:noProof/>
                <w:webHidden/>
              </w:rPr>
            </w:r>
            <w:r>
              <w:rPr>
                <w:noProof/>
                <w:webHidden/>
              </w:rPr>
              <w:fldChar w:fldCharType="separate"/>
            </w:r>
            <w:r>
              <w:rPr>
                <w:noProof/>
                <w:webHidden/>
              </w:rPr>
              <w:t>11</w:t>
            </w:r>
            <w:r>
              <w:rPr>
                <w:noProof/>
                <w:webHidden/>
              </w:rPr>
              <w:fldChar w:fldCharType="end"/>
            </w:r>
          </w:hyperlink>
        </w:p>
        <w:p w14:paraId="3B26269D" w14:textId="50EDC600" w:rsidR="0060308D" w:rsidRDefault="0060308D">
          <w:pPr>
            <w:pStyle w:val="TOC2"/>
            <w:tabs>
              <w:tab w:val="left" w:pos="960"/>
              <w:tab w:val="right" w:leader="dot" w:pos="9350"/>
            </w:tabs>
            <w:rPr>
              <w:rFonts w:eastAsiaTheme="minorEastAsia"/>
              <w:noProof/>
              <w:lang w:eastAsia="en-GB"/>
            </w:rPr>
          </w:pPr>
          <w:hyperlink w:anchor="_Toc221733964" w:history="1">
            <w:r w:rsidRPr="00A45061">
              <w:rPr>
                <w:rStyle w:val="Hyperlink"/>
                <w:noProof/>
              </w:rPr>
              <w:t>3.3</w:t>
            </w:r>
            <w:r>
              <w:rPr>
                <w:rFonts w:eastAsiaTheme="minorEastAsia"/>
                <w:noProof/>
                <w:lang w:eastAsia="en-GB"/>
              </w:rPr>
              <w:tab/>
            </w:r>
            <w:r w:rsidRPr="00A45061">
              <w:rPr>
                <w:rStyle w:val="Hyperlink"/>
                <w:noProof/>
              </w:rPr>
              <w:t>Information Security Policy Framework</w:t>
            </w:r>
            <w:r>
              <w:rPr>
                <w:noProof/>
                <w:webHidden/>
              </w:rPr>
              <w:tab/>
            </w:r>
            <w:r>
              <w:rPr>
                <w:noProof/>
                <w:webHidden/>
              </w:rPr>
              <w:fldChar w:fldCharType="begin"/>
            </w:r>
            <w:r>
              <w:rPr>
                <w:noProof/>
                <w:webHidden/>
              </w:rPr>
              <w:instrText xml:space="preserve"> PAGEREF _Toc221733964 \h </w:instrText>
            </w:r>
            <w:r>
              <w:rPr>
                <w:noProof/>
                <w:webHidden/>
              </w:rPr>
            </w:r>
            <w:r>
              <w:rPr>
                <w:noProof/>
                <w:webHidden/>
              </w:rPr>
              <w:fldChar w:fldCharType="separate"/>
            </w:r>
            <w:r>
              <w:rPr>
                <w:noProof/>
                <w:webHidden/>
              </w:rPr>
              <w:t>11</w:t>
            </w:r>
            <w:r>
              <w:rPr>
                <w:noProof/>
                <w:webHidden/>
              </w:rPr>
              <w:fldChar w:fldCharType="end"/>
            </w:r>
          </w:hyperlink>
        </w:p>
        <w:p w14:paraId="41A419E5" w14:textId="294AD97E" w:rsidR="0060308D" w:rsidRDefault="0060308D">
          <w:pPr>
            <w:pStyle w:val="TOC3"/>
            <w:tabs>
              <w:tab w:val="left" w:pos="1440"/>
              <w:tab w:val="right" w:leader="dot" w:pos="9350"/>
            </w:tabs>
            <w:rPr>
              <w:rFonts w:eastAsiaTheme="minorEastAsia"/>
              <w:noProof/>
              <w:lang w:eastAsia="en-GB"/>
            </w:rPr>
          </w:pPr>
          <w:hyperlink w:anchor="_Toc221733965" w:history="1">
            <w:r w:rsidRPr="00A45061">
              <w:rPr>
                <w:rStyle w:val="Hyperlink"/>
                <w:noProof/>
              </w:rPr>
              <w:t>3.3.1</w:t>
            </w:r>
            <w:r>
              <w:rPr>
                <w:rFonts w:eastAsiaTheme="minorEastAsia"/>
                <w:noProof/>
                <w:lang w:eastAsia="en-GB"/>
              </w:rPr>
              <w:tab/>
            </w:r>
            <w:r w:rsidRPr="00A45061">
              <w:rPr>
                <w:rStyle w:val="Hyperlink"/>
                <w:noProof/>
              </w:rPr>
              <w:t>Proposed Policy Structure</w:t>
            </w:r>
            <w:r>
              <w:rPr>
                <w:noProof/>
                <w:webHidden/>
              </w:rPr>
              <w:tab/>
            </w:r>
            <w:r>
              <w:rPr>
                <w:noProof/>
                <w:webHidden/>
              </w:rPr>
              <w:fldChar w:fldCharType="begin"/>
            </w:r>
            <w:r>
              <w:rPr>
                <w:noProof/>
                <w:webHidden/>
              </w:rPr>
              <w:instrText xml:space="preserve"> PAGEREF _Toc221733965 \h </w:instrText>
            </w:r>
            <w:r>
              <w:rPr>
                <w:noProof/>
                <w:webHidden/>
              </w:rPr>
            </w:r>
            <w:r>
              <w:rPr>
                <w:noProof/>
                <w:webHidden/>
              </w:rPr>
              <w:fldChar w:fldCharType="separate"/>
            </w:r>
            <w:r>
              <w:rPr>
                <w:noProof/>
                <w:webHidden/>
              </w:rPr>
              <w:t>11</w:t>
            </w:r>
            <w:r>
              <w:rPr>
                <w:noProof/>
                <w:webHidden/>
              </w:rPr>
              <w:fldChar w:fldCharType="end"/>
            </w:r>
          </w:hyperlink>
        </w:p>
        <w:p w14:paraId="4F823D42" w14:textId="3C813595" w:rsidR="0060308D" w:rsidRDefault="0060308D">
          <w:pPr>
            <w:pStyle w:val="TOC3"/>
            <w:tabs>
              <w:tab w:val="left" w:pos="1440"/>
              <w:tab w:val="right" w:leader="dot" w:pos="9350"/>
            </w:tabs>
            <w:rPr>
              <w:rFonts w:eastAsiaTheme="minorEastAsia"/>
              <w:noProof/>
              <w:lang w:eastAsia="en-GB"/>
            </w:rPr>
          </w:pPr>
          <w:hyperlink w:anchor="_Toc221733966" w:history="1">
            <w:r w:rsidRPr="00A45061">
              <w:rPr>
                <w:rStyle w:val="Hyperlink"/>
                <w:noProof/>
              </w:rPr>
              <w:t>3.3.2</w:t>
            </w:r>
            <w:r>
              <w:rPr>
                <w:rFonts w:eastAsiaTheme="minorEastAsia"/>
                <w:noProof/>
                <w:lang w:eastAsia="en-GB"/>
              </w:rPr>
              <w:tab/>
            </w:r>
            <w:r w:rsidRPr="00A45061">
              <w:rPr>
                <w:rStyle w:val="Hyperlink"/>
                <w:noProof/>
              </w:rPr>
              <w:t>Justification</w:t>
            </w:r>
            <w:r>
              <w:rPr>
                <w:noProof/>
                <w:webHidden/>
              </w:rPr>
              <w:tab/>
            </w:r>
            <w:r>
              <w:rPr>
                <w:noProof/>
                <w:webHidden/>
              </w:rPr>
              <w:fldChar w:fldCharType="begin"/>
            </w:r>
            <w:r>
              <w:rPr>
                <w:noProof/>
                <w:webHidden/>
              </w:rPr>
              <w:instrText xml:space="preserve"> PAGEREF _Toc221733966 \h </w:instrText>
            </w:r>
            <w:r>
              <w:rPr>
                <w:noProof/>
                <w:webHidden/>
              </w:rPr>
            </w:r>
            <w:r>
              <w:rPr>
                <w:noProof/>
                <w:webHidden/>
              </w:rPr>
              <w:fldChar w:fldCharType="separate"/>
            </w:r>
            <w:r>
              <w:rPr>
                <w:noProof/>
                <w:webHidden/>
              </w:rPr>
              <w:t>12</w:t>
            </w:r>
            <w:r>
              <w:rPr>
                <w:noProof/>
                <w:webHidden/>
              </w:rPr>
              <w:fldChar w:fldCharType="end"/>
            </w:r>
          </w:hyperlink>
        </w:p>
        <w:p w14:paraId="5274E95D" w14:textId="21BF004F" w:rsidR="0060308D" w:rsidRDefault="0060308D">
          <w:pPr>
            <w:pStyle w:val="TOC2"/>
            <w:tabs>
              <w:tab w:val="left" w:pos="960"/>
              <w:tab w:val="right" w:leader="dot" w:pos="9350"/>
            </w:tabs>
            <w:rPr>
              <w:rFonts w:eastAsiaTheme="minorEastAsia"/>
              <w:noProof/>
              <w:lang w:eastAsia="en-GB"/>
            </w:rPr>
          </w:pPr>
          <w:hyperlink w:anchor="_Toc221733967" w:history="1">
            <w:r w:rsidRPr="00A45061">
              <w:rPr>
                <w:rStyle w:val="Hyperlink"/>
                <w:noProof/>
              </w:rPr>
              <w:t>3.4</w:t>
            </w:r>
            <w:r>
              <w:rPr>
                <w:rFonts w:eastAsiaTheme="minorEastAsia"/>
                <w:noProof/>
                <w:lang w:eastAsia="en-GB"/>
              </w:rPr>
              <w:tab/>
            </w:r>
            <w:r w:rsidRPr="00A45061">
              <w:rPr>
                <w:rStyle w:val="Hyperlink"/>
                <w:noProof/>
              </w:rPr>
              <w:t>Risk Management and Treatment Strategy</w:t>
            </w:r>
            <w:r>
              <w:rPr>
                <w:noProof/>
                <w:webHidden/>
              </w:rPr>
              <w:tab/>
            </w:r>
            <w:r>
              <w:rPr>
                <w:noProof/>
                <w:webHidden/>
              </w:rPr>
              <w:fldChar w:fldCharType="begin"/>
            </w:r>
            <w:r>
              <w:rPr>
                <w:noProof/>
                <w:webHidden/>
              </w:rPr>
              <w:instrText xml:space="preserve"> PAGEREF _Toc221733967 \h </w:instrText>
            </w:r>
            <w:r>
              <w:rPr>
                <w:noProof/>
                <w:webHidden/>
              </w:rPr>
            </w:r>
            <w:r>
              <w:rPr>
                <w:noProof/>
                <w:webHidden/>
              </w:rPr>
              <w:fldChar w:fldCharType="separate"/>
            </w:r>
            <w:r>
              <w:rPr>
                <w:noProof/>
                <w:webHidden/>
              </w:rPr>
              <w:t>13</w:t>
            </w:r>
            <w:r>
              <w:rPr>
                <w:noProof/>
                <w:webHidden/>
              </w:rPr>
              <w:fldChar w:fldCharType="end"/>
            </w:r>
          </w:hyperlink>
        </w:p>
        <w:p w14:paraId="6A296D33" w14:textId="1C3C71D2" w:rsidR="0060308D" w:rsidRDefault="0060308D">
          <w:pPr>
            <w:pStyle w:val="TOC3"/>
            <w:tabs>
              <w:tab w:val="left" w:pos="1440"/>
              <w:tab w:val="right" w:leader="dot" w:pos="9350"/>
            </w:tabs>
            <w:rPr>
              <w:rFonts w:eastAsiaTheme="minorEastAsia"/>
              <w:noProof/>
              <w:lang w:eastAsia="en-GB"/>
            </w:rPr>
          </w:pPr>
          <w:hyperlink w:anchor="_Toc221733968" w:history="1">
            <w:r w:rsidRPr="00A45061">
              <w:rPr>
                <w:rStyle w:val="Hyperlink"/>
                <w:noProof/>
              </w:rPr>
              <w:t>3.4.1</w:t>
            </w:r>
            <w:r>
              <w:rPr>
                <w:rFonts w:eastAsiaTheme="minorEastAsia"/>
                <w:noProof/>
                <w:lang w:eastAsia="en-GB"/>
              </w:rPr>
              <w:tab/>
            </w:r>
            <w:r w:rsidRPr="00A45061">
              <w:rPr>
                <w:rStyle w:val="Hyperlink"/>
                <w:noProof/>
              </w:rPr>
              <w:t>Proposed Risk Management Process</w:t>
            </w:r>
            <w:r>
              <w:rPr>
                <w:noProof/>
                <w:webHidden/>
              </w:rPr>
              <w:tab/>
            </w:r>
            <w:r>
              <w:rPr>
                <w:noProof/>
                <w:webHidden/>
              </w:rPr>
              <w:fldChar w:fldCharType="begin"/>
            </w:r>
            <w:r>
              <w:rPr>
                <w:noProof/>
                <w:webHidden/>
              </w:rPr>
              <w:instrText xml:space="preserve"> PAGEREF _Toc221733968 \h </w:instrText>
            </w:r>
            <w:r>
              <w:rPr>
                <w:noProof/>
                <w:webHidden/>
              </w:rPr>
            </w:r>
            <w:r>
              <w:rPr>
                <w:noProof/>
                <w:webHidden/>
              </w:rPr>
              <w:fldChar w:fldCharType="separate"/>
            </w:r>
            <w:r>
              <w:rPr>
                <w:noProof/>
                <w:webHidden/>
              </w:rPr>
              <w:t>13</w:t>
            </w:r>
            <w:r>
              <w:rPr>
                <w:noProof/>
                <w:webHidden/>
              </w:rPr>
              <w:fldChar w:fldCharType="end"/>
            </w:r>
          </w:hyperlink>
        </w:p>
        <w:p w14:paraId="524F2441" w14:textId="23DB18F8" w:rsidR="0060308D" w:rsidRDefault="0060308D">
          <w:pPr>
            <w:pStyle w:val="TOC3"/>
            <w:tabs>
              <w:tab w:val="left" w:pos="1440"/>
              <w:tab w:val="right" w:leader="dot" w:pos="9350"/>
            </w:tabs>
            <w:rPr>
              <w:rFonts w:eastAsiaTheme="minorEastAsia"/>
              <w:noProof/>
              <w:lang w:eastAsia="en-GB"/>
            </w:rPr>
          </w:pPr>
          <w:hyperlink w:anchor="_Toc221733969" w:history="1">
            <w:r w:rsidRPr="00A45061">
              <w:rPr>
                <w:rStyle w:val="Hyperlink"/>
                <w:noProof/>
              </w:rPr>
              <w:t>3.4.2</w:t>
            </w:r>
            <w:r>
              <w:rPr>
                <w:rFonts w:eastAsiaTheme="minorEastAsia"/>
                <w:noProof/>
                <w:lang w:eastAsia="en-GB"/>
              </w:rPr>
              <w:tab/>
            </w:r>
            <w:r w:rsidRPr="00A45061">
              <w:rPr>
                <w:rStyle w:val="Hyperlink"/>
                <w:noProof/>
              </w:rPr>
              <w:t>Justification</w:t>
            </w:r>
            <w:r>
              <w:rPr>
                <w:noProof/>
                <w:webHidden/>
              </w:rPr>
              <w:tab/>
            </w:r>
            <w:r>
              <w:rPr>
                <w:noProof/>
                <w:webHidden/>
              </w:rPr>
              <w:fldChar w:fldCharType="begin"/>
            </w:r>
            <w:r>
              <w:rPr>
                <w:noProof/>
                <w:webHidden/>
              </w:rPr>
              <w:instrText xml:space="preserve"> PAGEREF _Toc221733969 \h </w:instrText>
            </w:r>
            <w:r>
              <w:rPr>
                <w:noProof/>
                <w:webHidden/>
              </w:rPr>
            </w:r>
            <w:r>
              <w:rPr>
                <w:noProof/>
                <w:webHidden/>
              </w:rPr>
              <w:fldChar w:fldCharType="separate"/>
            </w:r>
            <w:r>
              <w:rPr>
                <w:noProof/>
                <w:webHidden/>
              </w:rPr>
              <w:t>14</w:t>
            </w:r>
            <w:r>
              <w:rPr>
                <w:noProof/>
                <w:webHidden/>
              </w:rPr>
              <w:fldChar w:fldCharType="end"/>
            </w:r>
          </w:hyperlink>
        </w:p>
        <w:p w14:paraId="412EAC94" w14:textId="3741005F" w:rsidR="0060308D" w:rsidRDefault="0060308D">
          <w:pPr>
            <w:pStyle w:val="TOC2"/>
            <w:tabs>
              <w:tab w:val="left" w:pos="960"/>
              <w:tab w:val="right" w:leader="dot" w:pos="9350"/>
            </w:tabs>
            <w:rPr>
              <w:rFonts w:eastAsiaTheme="minorEastAsia"/>
              <w:noProof/>
              <w:lang w:eastAsia="en-GB"/>
            </w:rPr>
          </w:pPr>
          <w:hyperlink w:anchor="_Toc221733970" w:history="1">
            <w:r w:rsidRPr="00A45061">
              <w:rPr>
                <w:rStyle w:val="Hyperlink"/>
                <w:noProof/>
              </w:rPr>
              <w:t>3.5</w:t>
            </w:r>
            <w:r>
              <w:rPr>
                <w:rFonts w:eastAsiaTheme="minorEastAsia"/>
                <w:noProof/>
                <w:lang w:eastAsia="en-GB"/>
              </w:rPr>
              <w:tab/>
            </w:r>
            <w:r w:rsidRPr="00A45061">
              <w:rPr>
                <w:rStyle w:val="Hyperlink"/>
                <w:noProof/>
              </w:rPr>
              <w:t>Technical Protection Mechanisms</w:t>
            </w:r>
            <w:r>
              <w:rPr>
                <w:noProof/>
                <w:webHidden/>
              </w:rPr>
              <w:tab/>
            </w:r>
            <w:r>
              <w:rPr>
                <w:noProof/>
                <w:webHidden/>
              </w:rPr>
              <w:fldChar w:fldCharType="begin"/>
            </w:r>
            <w:r>
              <w:rPr>
                <w:noProof/>
                <w:webHidden/>
              </w:rPr>
              <w:instrText xml:space="preserve"> PAGEREF _Toc221733970 \h </w:instrText>
            </w:r>
            <w:r>
              <w:rPr>
                <w:noProof/>
                <w:webHidden/>
              </w:rPr>
            </w:r>
            <w:r>
              <w:rPr>
                <w:noProof/>
                <w:webHidden/>
              </w:rPr>
              <w:fldChar w:fldCharType="separate"/>
            </w:r>
            <w:r>
              <w:rPr>
                <w:noProof/>
                <w:webHidden/>
              </w:rPr>
              <w:t>15</w:t>
            </w:r>
            <w:r>
              <w:rPr>
                <w:noProof/>
                <w:webHidden/>
              </w:rPr>
              <w:fldChar w:fldCharType="end"/>
            </w:r>
          </w:hyperlink>
        </w:p>
        <w:p w14:paraId="369F70E0" w14:textId="547597F3" w:rsidR="0060308D" w:rsidRDefault="0060308D">
          <w:pPr>
            <w:pStyle w:val="TOC3"/>
            <w:tabs>
              <w:tab w:val="left" w:pos="1440"/>
              <w:tab w:val="right" w:leader="dot" w:pos="9350"/>
            </w:tabs>
            <w:rPr>
              <w:rFonts w:eastAsiaTheme="minorEastAsia"/>
              <w:noProof/>
              <w:lang w:eastAsia="en-GB"/>
            </w:rPr>
          </w:pPr>
          <w:hyperlink w:anchor="_Toc221733971" w:history="1">
            <w:r w:rsidRPr="00A45061">
              <w:rPr>
                <w:rStyle w:val="Hyperlink"/>
                <w:noProof/>
              </w:rPr>
              <w:t>3.5.1</w:t>
            </w:r>
            <w:r>
              <w:rPr>
                <w:rFonts w:eastAsiaTheme="minorEastAsia"/>
                <w:noProof/>
                <w:lang w:eastAsia="en-GB"/>
              </w:rPr>
              <w:tab/>
            </w:r>
            <w:r w:rsidRPr="00A45061">
              <w:rPr>
                <w:rStyle w:val="Hyperlink"/>
                <w:noProof/>
              </w:rPr>
              <w:t>Wireless Security Controls</w:t>
            </w:r>
            <w:r>
              <w:rPr>
                <w:noProof/>
                <w:webHidden/>
              </w:rPr>
              <w:tab/>
            </w:r>
            <w:r>
              <w:rPr>
                <w:noProof/>
                <w:webHidden/>
              </w:rPr>
              <w:fldChar w:fldCharType="begin"/>
            </w:r>
            <w:r>
              <w:rPr>
                <w:noProof/>
                <w:webHidden/>
              </w:rPr>
              <w:instrText xml:space="preserve"> PAGEREF _Toc221733971 \h </w:instrText>
            </w:r>
            <w:r>
              <w:rPr>
                <w:noProof/>
                <w:webHidden/>
              </w:rPr>
            </w:r>
            <w:r>
              <w:rPr>
                <w:noProof/>
                <w:webHidden/>
              </w:rPr>
              <w:fldChar w:fldCharType="separate"/>
            </w:r>
            <w:r>
              <w:rPr>
                <w:noProof/>
                <w:webHidden/>
              </w:rPr>
              <w:t>15</w:t>
            </w:r>
            <w:r>
              <w:rPr>
                <w:noProof/>
                <w:webHidden/>
              </w:rPr>
              <w:fldChar w:fldCharType="end"/>
            </w:r>
          </w:hyperlink>
        </w:p>
        <w:p w14:paraId="1DBA0350" w14:textId="16F46707" w:rsidR="0060308D" w:rsidRDefault="0060308D">
          <w:pPr>
            <w:pStyle w:val="TOC3"/>
            <w:tabs>
              <w:tab w:val="left" w:pos="1440"/>
              <w:tab w:val="right" w:leader="dot" w:pos="9350"/>
            </w:tabs>
            <w:rPr>
              <w:rFonts w:eastAsiaTheme="minorEastAsia"/>
              <w:noProof/>
              <w:lang w:eastAsia="en-GB"/>
            </w:rPr>
          </w:pPr>
          <w:hyperlink w:anchor="_Toc221733972" w:history="1">
            <w:r w:rsidRPr="00A45061">
              <w:rPr>
                <w:rStyle w:val="Hyperlink"/>
                <w:noProof/>
              </w:rPr>
              <w:t>3.5.2</w:t>
            </w:r>
            <w:r>
              <w:rPr>
                <w:rFonts w:eastAsiaTheme="minorEastAsia"/>
                <w:noProof/>
                <w:lang w:eastAsia="en-GB"/>
              </w:rPr>
              <w:tab/>
            </w:r>
            <w:r w:rsidRPr="00A45061">
              <w:rPr>
                <w:rStyle w:val="Hyperlink"/>
                <w:noProof/>
              </w:rPr>
              <w:t>BYOD Security Controls</w:t>
            </w:r>
            <w:r>
              <w:rPr>
                <w:noProof/>
                <w:webHidden/>
              </w:rPr>
              <w:tab/>
            </w:r>
            <w:r>
              <w:rPr>
                <w:noProof/>
                <w:webHidden/>
              </w:rPr>
              <w:fldChar w:fldCharType="begin"/>
            </w:r>
            <w:r>
              <w:rPr>
                <w:noProof/>
                <w:webHidden/>
              </w:rPr>
              <w:instrText xml:space="preserve"> PAGEREF _Toc221733972 \h </w:instrText>
            </w:r>
            <w:r>
              <w:rPr>
                <w:noProof/>
                <w:webHidden/>
              </w:rPr>
            </w:r>
            <w:r>
              <w:rPr>
                <w:noProof/>
                <w:webHidden/>
              </w:rPr>
              <w:fldChar w:fldCharType="separate"/>
            </w:r>
            <w:r>
              <w:rPr>
                <w:noProof/>
                <w:webHidden/>
              </w:rPr>
              <w:t>15</w:t>
            </w:r>
            <w:r>
              <w:rPr>
                <w:noProof/>
                <w:webHidden/>
              </w:rPr>
              <w:fldChar w:fldCharType="end"/>
            </w:r>
          </w:hyperlink>
        </w:p>
        <w:p w14:paraId="041DE7E9" w14:textId="4BC0AADB" w:rsidR="0060308D" w:rsidRDefault="0060308D">
          <w:pPr>
            <w:pStyle w:val="TOC3"/>
            <w:tabs>
              <w:tab w:val="left" w:pos="1440"/>
              <w:tab w:val="right" w:leader="dot" w:pos="9350"/>
            </w:tabs>
            <w:rPr>
              <w:rFonts w:eastAsiaTheme="minorEastAsia"/>
              <w:noProof/>
              <w:lang w:eastAsia="en-GB"/>
            </w:rPr>
          </w:pPr>
          <w:hyperlink w:anchor="_Toc221733973" w:history="1">
            <w:r w:rsidRPr="00A45061">
              <w:rPr>
                <w:rStyle w:val="Hyperlink"/>
                <w:noProof/>
              </w:rPr>
              <w:t>3.5.3</w:t>
            </w:r>
            <w:r>
              <w:rPr>
                <w:rFonts w:eastAsiaTheme="minorEastAsia"/>
                <w:noProof/>
                <w:lang w:eastAsia="en-GB"/>
              </w:rPr>
              <w:tab/>
            </w:r>
            <w:r w:rsidRPr="00A45061">
              <w:rPr>
                <w:rStyle w:val="Hyperlink"/>
                <w:noProof/>
              </w:rPr>
              <w:t>Cloud Security Controls</w:t>
            </w:r>
            <w:r>
              <w:rPr>
                <w:noProof/>
                <w:webHidden/>
              </w:rPr>
              <w:tab/>
            </w:r>
            <w:r>
              <w:rPr>
                <w:noProof/>
                <w:webHidden/>
              </w:rPr>
              <w:fldChar w:fldCharType="begin"/>
            </w:r>
            <w:r>
              <w:rPr>
                <w:noProof/>
                <w:webHidden/>
              </w:rPr>
              <w:instrText xml:space="preserve"> PAGEREF _Toc221733973 \h </w:instrText>
            </w:r>
            <w:r>
              <w:rPr>
                <w:noProof/>
                <w:webHidden/>
              </w:rPr>
            </w:r>
            <w:r>
              <w:rPr>
                <w:noProof/>
                <w:webHidden/>
              </w:rPr>
              <w:fldChar w:fldCharType="separate"/>
            </w:r>
            <w:r>
              <w:rPr>
                <w:noProof/>
                <w:webHidden/>
              </w:rPr>
              <w:t>16</w:t>
            </w:r>
            <w:r>
              <w:rPr>
                <w:noProof/>
                <w:webHidden/>
              </w:rPr>
              <w:fldChar w:fldCharType="end"/>
            </w:r>
          </w:hyperlink>
        </w:p>
        <w:p w14:paraId="0A5692F1" w14:textId="4E4D25B4" w:rsidR="0060308D" w:rsidRDefault="0060308D">
          <w:pPr>
            <w:pStyle w:val="TOC3"/>
            <w:tabs>
              <w:tab w:val="left" w:pos="1440"/>
              <w:tab w:val="right" w:leader="dot" w:pos="9350"/>
            </w:tabs>
            <w:rPr>
              <w:rFonts w:eastAsiaTheme="minorEastAsia"/>
              <w:noProof/>
              <w:lang w:eastAsia="en-GB"/>
            </w:rPr>
          </w:pPr>
          <w:hyperlink w:anchor="_Toc221733974" w:history="1">
            <w:r w:rsidRPr="00A45061">
              <w:rPr>
                <w:rStyle w:val="Hyperlink"/>
                <w:noProof/>
              </w:rPr>
              <w:t>3.5.4</w:t>
            </w:r>
            <w:r>
              <w:rPr>
                <w:rFonts w:eastAsiaTheme="minorEastAsia"/>
                <w:noProof/>
                <w:lang w:eastAsia="en-GB"/>
              </w:rPr>
              <w:tab/>
            </w:r>
            <w:r w:rsidRPr="00A45061">
              <w:rPr>
                <w:rStyle w:val="Hyperlink"/>
                <w:noProof/>
              </w:rPr>
              <w:t>Firewall and Perimeter Protection</w:t>
            </w:r>
            <w:r>
              <w:rPr>
                <w:noProof/>
                <w:webHidden/>
              </w:rPr>
              <w:tab/>
            </w:r>
            <w:r>
              <w:rPr>
                <w:noProof/>
                <w:webHidden/>
              </w:rPr>
              <w:fldChar w:fldCharType="begin"/>
            </w:r>
            <w:r>
              <w:rPr>
                <w:noProof/>
                <w:webHidden/>
              </w:rPr>
              <w:instrText xml:space="preserve"> PAGEREF _Toc221733974 \h </w:instrText>
            </w:r>
            <w:r>
              <w:rPr>
                <w:noProof/>
                <w:webHidden/>
              </w:rPr>
            </w:r>
            <w:r>
              <w:rPr>
                <w:noProof/>
                <w:webHidden/>
              </w:rPr>
              <w:fldChar w:fldCharType="separate"/>
            </w:r>
            <w:r>
              <w:rPr>
                <w:noProof/>
                <w:webHidden/>
              </w:rPr>
              <w:t>16</w:t>
            </w:r>
            <w:r>
              <w:rPr>
                <w:noProof/>
                <w:webHidden/>
              </w:rPr>
              <w:fldChar w:fldCharType="end"/>
            </w:r>
          </w:hyperlink>
        </w:p>
        <w:p w14:paraId="364FCAFE" w14:textId="6B4C8268" w:rsidR="0060308D" w:rsidRDefault="0060308D">
          <w:pPr>
            <w:pStyle w:val="TOC3"/>
            <w:tabs>
              <w:tab w:val="left" w:pos="1440"/>
              <w:tab w:val="right" w:leader="dot" w:pos="9350"/>
            </w:tabs>
            <w:rPr>
              <w:rFonts w:eastAsiaTheme="minorEastAsia"/>
              <w:noProof/>
              <w:lang w:eastAsia="en-GB"/>
            </w:rPr>
          </w:pPr>
          <w:hyperlink w:anchor="_Toc221733975" w:history="1">
            <w:r w:rsidRPr="00A45061">
              <w:rPr>
                <w:rStyle w:val="Hyperlink"/>
                <w:noProof/>
              </w:rPr>
              <w:t>3.5.5</w:t>
            </w:r>
            <w:r>
              <w:rPr>
                <w:rFonts w:eastAsiaTheme="minorEastAsia"/>
                <w:noProof/>
                <w:lang w:eastAsia="en-GB"/>
              </w:rPr>
              <w:tab/>
            </w:r>
            <w:r w:rsidRPr="00A45061">
              <w:rPr>
                <w:rStyle w:val="Hyperlink"/>
                <w:noProof/>
              </w:rPr>
              <w:t>Justification  of Technical Controls</w:t>
            </w:r>
            <w:r>
              <w:rPr>
                <w:noProof/>
                <w:webHidden/>
              </w:rPr>
              <w:tab/>
            </w:r>
            <w:r>
              <w:rPr>
                <w:noProof/>
                <w:webHidden/>
              </w:rPr>
              <w:fldChar w:fldCharType="begin"/>
            </w:r>
            <w:r>
              <w:rPr>
                <w:noProof/>
                <w:webHidden/>
              </w:rPr>
              <w:instrText xml:space="preserve"> PAGEREF _Toc221733975 \h </w:instrText>
            </w:r>
            <w:r>
              <w:rPr>
                <w:noProof/>
                <w:webHidden/>
              </w:rPr>
            </w:r>
            <w:r>
              <w:rPr>
                <w:noProof/>
                <w:webHidden/>
              </w:rPr>
              <w:fldChar w:fldCharType="separate"/>
            </w:r>
            <w:r>
              <w:rPr>
                <w:noProof/>
                <w:webHidden/>
              </w:rPr>
              <w:t>17</w:t>
            </w:r>
            <w:r>
              <w:rPr>
                <w:noProof/>
                <w:webHidden/>
              </w:rPr>
              <w:fldChar w:fldCharType="end"/>
            </w:r>
          </w:hyperlink>
        </w:p>
        <w:p w14:paraId="2E2B48E4" w14:textId="6840DBFA" w:rsidR="0060308D" w:rsidRDefault="0060308D">
          <w:pPr>
            <w:pStyle w:val="TOC2"/>
            <w:tabs>
              <w:tab w:val="left" w:pos="960"/>
              <w:tab w:val="right" w:leader="dot" w:pos="9350"/>
            </w:tabs>
            <w:rPr>
              <w:rFonts w:eastAsiaTheme="minorEastAsia"/>
              <w:noProof/>
              <w:lang w:eastAsia="en-GB"/>
            </w:rPr>
          </w:pPr>
          <w:hyperlink w:anchor="_Toc221733976" w:history="1">
            <w:r w:rsidRPr="00A45061">
              <w:rPr>
                <w:rStyle w:val="Hyperlink"/>
                <w:noProof/>
              </w:rPr>
              <w:t>3.6</w:t>
            </w:r>
            <w:r>
              <w:rPr>
                <w:rFonts w:eastAsiaTheme="minorEastAsia"/>
                <w:noProof/>
                <w:lang w:eastAsia="en-GB"/>
              </w:rPr>
              <w:tab/>
            </w:r>
            <w:r w:rsidRPr="00A45061">
              <w:rPr>
                <w:rStyle w:val="Hyperlink"/>
                <w:noProof/>
              </w:rPr>
              <w:t>Contingency Planning and Incident Management</w:t>
            </w:r>
            <w:r>
              <w:rPr>
                <w:noProof/>
                <w:webHidden/>
              </w:rPr>
              <w:tab/>
            </w:r>
            <w:r>
              <w:rPr>
                <w:noProof/>
                <w:webHidden/>
              </w:rPr>
              <w:fldChar w:fldCharType="begin"/>
            </w:r>
            <w:r>
              <w:rPr>
                <w:noProof/>
                <w:webHidden/>
              </w:rPr>
              <w:instrText xml:space="preserve"> PAGEREF _Toc221733976 \h </w:instrText>
            </w:r>
            <w:r>
              <w:rPr>
                <w:noProof/>
                <w:webHidden/>
              </w:rPr>
            </w:r>
            <w:r>
              <w:rPr>
                <w:noProof/>
                <w:webHidden/>
              </w:rPr>
              <w:fldChar w:fldCharType="separate"/>
            </w:r>
            <w:r>
              <w:rPr>
                <w:noProof/>
                <w:webHidden/>
              </w:rPr>
              <w:t>17</w:t>
            </w:r>
            <w:r>
              <w:rPr>
                <w:noProof/>
                <w:webHidden/>
              </w:rPr>
              <w:fldChar w:fldCharType="end"/>
            </w:r>
          </w:hyperlink>
        </w:p>
        <w:p w14:paraId="4D982BC4" w14:textId="180A4F7F" w:rsidR="0060308D" w:rsidRDefault="0060308D">
          <w:pPr>
            <w:pStyle w:val="TOC3"/>
            <w:tabs>
              <w:tab w:val="left" w:pos="1440"/>
              <w:tab w:val="right" w:leader="dot" w:pos="9350"/>
            </w:tabs>
            <w:rPr>
              <w:rFonts w:eastAsiaTheme="minorEastAsia"/>
              <w:noProof/>
              <w:lang w:eastAsia="en-GB"/>
            </w:rPr>
          </w:pPr>
          <w:hyperlink w:anchor="_Toc221733977" w:history="1">
            <w:r w:rsidRPr="00A45061">
              <w:rPr>
                <w:rStyle w:val="Hyperlink"/>
                <w:noProof/>
              </w:rPr>
              <w:t>3.6.1</w:t>
            </w:r>
            <w:r>
              <w:rPr>
                <w:rFonts w:eastAsiaTheme="minorEastAsia"/>
                <w:noProof/>
                <w:lang w:eastAsia="en-GB"/>
              </w:rPr>
              <w:tab/>
            </w:r>
            <w:r w:rsidRPr="00A45061">
              <w:rPr>
                <w:rStyle w:val="Hyperlink"/>
                <w:noProof/>
              </w:rPr>
              <w:t>Incident Response Framework</w:t>
            </w:r>
            <w:r>
              <w:rPr>
                <w:noProof/>
                <w:webHidden/>
              </w:rPr>
              <w:tab/>
            </w:r>
            <w:r>
              <w:rPr>
                <w:noProof/>
                <w:webHidden/>
              </w:rPr>
              <w:fldChar w:fldCharType="begin"/>
            </w:r>
            <w:r>
              <w:rPr>
                <w:noProof/>
                <w:webHidden/>
              </w:rPr>
              <w:instrText xml:space="preserve"> PAGEREF _Toc221733977 \h </w:instrText>
            </w:r>
            <w:r>
              <w:rPr>
                <w:noProof/>
                <w:webHidden/>
              </w:rPr>
            </w:r>
            <w:r>
              <w:rPr>
                <w:noProof/>
                <w:webHidden/>
              </w:rPr>
              <w:fldChar w:fldCharType="separate"/>
            </w:r>
            <w:r>
              <w:rPr>
                <w:noProof/>
                <w:webHidden/>
              </w:rPr>
              <w:t>18</w:t>
            </w:r>
            <w:r>
              <w:rPr>
                <w:noProof/>
                <w:webHidden/>
              </w:rPr>
              <w:fldChar w:fldCharType="end"/>
            </w:r>
          </w:hyperlink>
        </w:p>
        <w:p w14:paraId="61D3EF58" w14:textId="1C2B286E" w:rsidR="0060308D" w:rsidRDefault="0060308D">
          <w:pPr>
            <w:pStyle w:val="TOC3"/>
            <w:tabs>
              <w:tab w:val="left" w:pos="1440"/>
              <w:tab w:val="right" w:leader="dot" w:pos="9350"/>
            </w:tabs>
            <w:rPr>
              <w:rFonts w:eastAsiaTheme="minorEastAsia"/>
              <w:noProof/>
              <w:lang w:eastAsia="en-GB"/>
            </w:rPr>
          </w:pPr>
          <w:hyperlink w:anchor="_Toc221733978" w:history="1">
            <w:r w:rsidRPr="00A45061">
              <w:rPr>
                <w:rStyle w:val="Hyperlink"/>
                <w:noProof/>
              </w:rPr>
              <w:t>3.6.2</w:t>
            </w:r>
            <w:r>
              <w:rPr>
                <w:rFonts w:eastAsiaTheme="minorEastAsia"/>
                <w:noProof/>
                <w:lang w:eastAsia="en-GB"/>
              </w:rPr>
              <w:tab/>
            </w:r>
            <w:r w:rsidRPr="00A45061">
              <w:rPr>
                <w:rStyle w:val="Hyperlink"/>
                <w:noProof/>
              </w:rPr>
              <w:t>Business Continuity and Disaster Recovery</w:t>
            </w:r>
            <w:r>
              <w:rPr>
                <w:noProof/>
                <w:webHidden/>
              </w:rPr>
              <w:tab/>
            </w:r>
            <w:r>
              <w:rPr>
                <w:noProof/>
                <w:webHidden/>
              </w:rPr>
              <w:fldChar w:fldCharType="begin"/>
            </w:r>
            <w:r>
              <w:rPr>
                <w:noProof/>
                <w:webHidden/>
              </w:rPr>
              <w:instrText xml:space="preserve"> PAGEREF _Toc221733978 \h </w:instrText>
            </w:r>
            <w:r>
              <w:rPr>
                <w:noProof/>
                <w:webHidden/>
              </w:rPr>
            </w:r>
            <w:r>
              <w:rPr>
                <w:noProof/>
                <w:webHidden/>
              </w:rPr>
              <w:fldChar w:fldCharType="separate"/>
            </w:r>
            <w:r>
              <w:rPr>
                <w:noProof/>
                <w:webHidden/>
              </w:rPr>
              <w:t>18</w:t>
            </w:r>
            <w:r>
              <w:rPr>
                <w:noProof/>
                <w:webHidden/>
              </w:rPr>
              <w:fldChar w:fldCharType="end"/>
            </w:r>
          </w:hyperlink>
        </w:p>
        <w:p w14:paraId="1A91E773" w14:textId="1D35C8B0" w:rsidR="0060308D" w:rsidRDefault="0060308D">
          <w:pPr>
            <w:pStyle w:val="TOC3"/>
            <w:tabs>
              <w:tab w:val="left" w:pos="1440"/>
              <w:tab w:val="right" w:leader="dot" w:pos="9350"/>
            </w:tabs>
            <w:rPr>
              <w:rFonts w:eastAsiaTheme="minorEastAsia"/>
              <w:noProof/>
              <w:lang w:eastAsia="en-GB"/>
            </w:rPr>
          </w:pPr>
          <w:hyperlink w:anchor="_Toc221733979" w:history="1">
            <w:r w:rsidRPr="00A45061">
              <w:rPr>
                <w:rStyle w:val="Hyperlink"/>
                <w:noProof/>
              </w:rPr>
              <w:t>3.6.3</w:t>
            </w:r>
            <w:r>
              <w:rPr>
                <w:rFonts w:eastAsiaTheme="minorEastAsia"/>
                <w:noProof/>
                <w:lang w:eastAsia="en-GB"/>
              </w:rPr>
              <w:tab/>
            </w:r>
            <w:r w:rsidRPr="00A45061">
              <w:rPr>
                <w:rStyle w:val="Hyperlink"/>
                <w:noProof/>
              </w:rPr>
              <w:t>Communication and Regulatory Reporting</w:t>
            </w:r>
            <w:r>
              <w:rPr>
                <w:noProof/>
                <w:webHidden/>
              </w:rPr>
              <w:tab/>
            </w:r>
            <w:r>
              <w:rPr>
                <w:noProof/>
                <w:webHidden/>
              </w:rPr>
              <w:fldChar w:fldCharType="begin"/>
            </w:r>
            <w:r>
              <w:rPr>
                <w:noProof/>
                <w:webHidden/>
              </w:rPr>
              <w:instrText xml:space="preserve"> PAGEREF _Toc221733979 \h </w:instrText>
            </w:r>
            <w:r>
              <w:rPr>
                <w:noProof/>
                <w:webHidden/>
              </w:rPr>
            </w:r>
            <w:r>
              <w:rPr>
                <w:noProof/>
                <w:webHidden/>
              </w:rPr>
              <w:fldChar w:fldCharType="separate"/>
            </w:r>
            <w:r>
              <w:rPr>
                <w:noProof/>
                <w:webHidden/>
              </w:rPr>
              <w:t>18</w:t>
            </w:r>
            <w:r>
              <w:rPr>
                <w:noProof/>
                <w:webHidden/>
              </w:rPr>
              <w:fldChar w:fldCharType="end"/>
            </w:r>
          </w:hyperlink>
        </w:p>
        <w:p w14:paraId="6A68F081" w14:textId="23A904A9" w:rsidR="0060308D" w:rsidRDefault="0060308D">
          <w:pPr>
            <w:pStyle w:val="TOC1"/>
            <w:tabs>
              <w:tab w:val="left" w:pos="480"/>
              <w:tab w:val="right" w:leader="dot" w:pos="9350"/>
            </w:tabs>
            <w:rPr>
              <w:rFonts w:eastAsiaTheme="minorEastAsia"/>
              <w:noProof/>
              <w:lang w:eastAsia="en-GB"/>
            </w:rPr>
          </w:pPr>
          <w:hyperlink w:anchor="_Toc221733980" w:history="1">
            <w:r w:rsidRPr="00A45061">
              <w:rPr>
                <w:rStyle w:val="Hyperlink"/>
                <w:noProof/>
              </w:rPr>
              <w:t>4.</w:t>
            </w:r>
            <w:r>
              <w:rPr>
                <w:rFonts w:eastAsiaTheme="minorEastAsia"/>
                <w:noProof/>
                <w:lang w:eastAsia="en-GB"/>
              </w:rPr>
              <w:tab/>
            </w:r>
            <w:r w:rsidRPr="00A45061">
              <w:rPr>
                <w:rStyle w:val="Hyperlink"/>
                <w:noProof/>
              </w:rPr>
              <w:t>The Necessity of Evolving Security Regulations and standards</w:t>
            </w:r>
            <w:r>
              <w:rPr>
                <w:noProof/>
                <w:webHidden/>
              </w:rPr>
              <w:tab/>
            </w:r>
            <w:r>
              <w:rPr>
                <w:noProof/>
                <w:webHidden/>
              </w:rPr>
              <w:fldChar w:fldCharType="begin"/>
            </w:r>
            <w:r>
              <w:rPr>
                <w:noProof/>
                <w:webHidden/>
              </w:rPr>
              <w:instrText xml:space="preserve"> PAGEREF _Toc221733980 \h </w:instrText>
            </w:r>
            <w:r>
              <w:rPr>
                <w:noProof/>
                <w:webHidden/>
              </w:rPr>
            </w:r>
            <w:r>
              <w:rPr>
                <w:noProof/>
                <w:webHidden/>
              </w:rPr>
              <w:fldChar w:fldCharType="separate"/>
            </w:r>
            <w:r>
              <w:rPr>
                <w:noProof/>
                <w:webHidden/>
              </w:rPr>
              <w:t>18</w:t>
            </w:r>
            <w:r>
              <w:rPr>
                <w:noProof/>
                <w:webHidden/>
              </w:rPr>
              <w:fldChar w:fldCharType="end"/>
            </w:r>
          </w:hyperlink>
        </w:p>
        <w:p w14:paraId="56DF7AE0" w14:textId="6433A485" w:rsidR="0060308D" w:rsidRDefault="0060308D">
          <w:pPr>
            <w:pStyle w:val="TOC1"/>
            <w:tabs>
              <w:tab w:val="left" w:pos="480"/>
              <w:tab w:val="right" w:leader="dot" w:pos="9350"/>
            </w:tabs>
            <w:rPr>
              <w:rFonts w:eastAsiaTheme="minorEastAsia"/>
              <w:noProof/>
              <w:lang w:eastAsia="en-GB"/>
            </w:rPr>
          </w:pPr>
          <w:hyperlink w:anchor="_Toc221733981" w:history="1">
            <w:r w:rsidRPr="00A45061">
              <w:rPr>
                <w:rStyle w:val="Hyperlink"/>
                <w:noProof/>
              </w:rPr>
              <w:t>5.</w:t>
            </w:r>
            <w:r>
              <w:rPr>
                <w:rFonts w:eastAsiaTheme="minorEastAsia"/>
                <w:noProof/>
                <w:lang w:eastAsia="en-GB"/>
              </w:rPr>
              <w:tab/>
            </w:r>
            <w:r w:rsidRPr="00A45061">
              <w:rPr>
                <w:rStyle w:val="Hyperlink"/>
                <w:noProof/>
              </w:rPr>
              <w:t>Conclusion</w:t>
            </w:r>
            <w:r>
              <w:rPr>
                <w:noProof/>
                <w:webHidden/>
              </w:rPr>
              <w:tab/>
            </w:r>
            <w:r>
              <w:rPr>
                <w:noProof/>
                <w:webHidden/>
              </w:rPr>
              <w:fldChar w:fldCharType="begin"/>
            </w:r>
            <w:r>
              <w:rPr>
                <w:noProof/>
                <w:webHidden/>
              </w:rPr>
              <w:instrText xml:space="preserve"> PAGEREF _Toc221733981 \h </w:instrText>
            </w:r>
            <w:r>
              <w:rPr>
                <w:noProof/>
                <w:webHidden/>
              </w:rPr>
            </w:r>
            <w:r>
              <w:rPr>
                <w:noProof/>
                <w:webHidden/>
              </w:rPr>
              <w:fldChar w:fldCharType="separate"/>
            </w:r>
            <w:r>
              <w:rPr>
                <w:noProof/>
                <w:webHidden/>
              </w:rPr>
              <w:t>19</w:t>
            </w:r>
            <w:r>
              <w:rPr>
                <w:noProof/>
                <w:webHidden/>
              </w:rPr>
              <w:fldChar w:fldCharType="end"/>
            </w:r>
          </w:hyperlink>
        </w:p>
        <w:p w14:paraId="3837A5C9" w14:textId="5679C06F" w:rsidR="00B6477E" w:rsidRDefault="00CE2B9E" w:rsidP="00EC4807">
          <w:pPr>
            <w:rPr>
              <w:b/>
              <w:bCs/>
              <w:noProof/>
            </w:rPr>
          </w:pPr>
          <w:r>
            <w:rPr>
              <w:b/>
              <w:bCs/>
              <w:noProof/>
            </w:rPr>
            <w:fldChar w:fldCharType="end"/>
          </w:r>
        </w:p>
      </w:sdtContent>
    </w:sdt>
    <w:p w14:paraId="49DFDDDF" w14:textId="3EC04A6C" w:rsidR="00EC4807" w:rsidRDefault="00EC4807" w:rsidP="00EC4807">
      <w:pPr>
        <w:pStyle w:val="Heading1"/>
        <w:rPr>
          <w:noProof/>
        </w:rPr>
      </w:pPr>
      <w:bookmarkStart w:id="0" w:name="_Toc221733951"/>
      <w:r>
        <w:rPr>
          <w:noProof/>
        </w:rPr>
        <w:t>Abs</w:t>
      </w:r>
      <w:r w:rsidR="00DD612B">
        <w:rPr>
          <w:noProof/>
        </w:rPr>
        <w:t>tract</w:t>
      </w:r>
      <w:bookmarkEnd w:id="0"/>
    </w:p>
    <w:p w14:paraId="08DAD462" w14:textId="77777777" w:rsidR="00DD612B" w:rsidRPr="00DD612B" w:rsidRDefault="00DD612B" w:rsidP="00DD612B">
      <w:r w:rsidRPr="00DD612B">
        <w:t>This report evaluated leading information security frameworks and models, including ISO/IEC 27001, the NIST Cybersecurity Framework, COBIT, and ITIL, and applied them to NatureGreen (NG), a global organisation that depends heavily on cloud services and wireless infrastructure. The analysis found that no single framework fully addressed NG’s governance gaps, BYOD risks, cloud dependency, and regulatory complexity. As a result, this report proposes an integrated governance-led security approach.</w:t>
      </w:r>
    </w:p>
    <w:p w14:paraId="4E126414" w14:textId="77777777" w:rsidR="00DD612B" w:rsidRPr="00DD612B" w:rsidRDefault="00DD612B" w:rsidP="00DD612B">
      <w:r w:rsidRPr="00DD612B">
        <w:t>The proposed design establishes board-level oversight, a clear policy hierarchy, risk-based control selection, and a defence-in-depth technical architecture incorporating identity management, network segmentation, cloud monitoring, and centralised logging. Contingency planning and incident response capabilities are also included to strengthen organisational resilience and support alignment with recognised standards.</w:t>
      </w:r>
    </w:p>
    <w:p w14:paraId="3296411D" w14:textId="77777777" w:rsidR="00DD612B" w:rsidRPr="00DD612B" w:rsidRDefault="00DD612B" w:rsidP="00DD612B">
      <w:r w:rsidRPr="00DD612B">
        <w:t>Finally, the report discusses why security regulations and standards must evolve in response to emerging technologies, increasingly sophisticated threat actors, and cross-border data governance challenges. It concludes that compliance alone does not guarantee security; sustainable resilience requires the integration of governance, risk management, technical controls, and continuous adaptation to change.</w:t>
      </w:r>
    </w:p>
    <w:p w14:paraId="4103401C" w14:textId="77777777" w:rsidR="00EC4807" w:rsidRDefault="00EC4807" w:rsidP="00EC4807"/>
    <w:p w14:paraId="34BF523B" w14:textId="77777777" w:rsidR="002D0365" w:rsidRPr="00EC4807" w:rsidRDefault="002D0365" w:rsidP="00EC4807"/>
    <w:p w14:paraId="2AC27607" w14:textId="77777777" w:rsidR="00EC4807" w:rsidRDefault="00EC4807" w:rsidP="00EC4807">
      <w:pPr>
        <w:rPr>
          <w:b/>
          <w:bCs/>
          <w:noProof/>
        </w:rPr>
      </w:pPr>
    </w:p>
    <w:p w14:paraId="34A0AD96" w14:textId="77777777" w:rsidR="0060308D" w:rsidRDefault="0060308D" w:rsidP="00EC4807">
      <w:pPr>
        <w:rPr>
          <w:b/>
          <w:bCs/>
          <w:noProof/>
        </w:rPr>
      </w:pPr>
    </w:p>
    <w:p w14:paraId="37230BC3" w14:textId="77777777" w:rsidR="0060308D" w:rsidRDefault="0060308D" w:rsidP="00EC4807">
      <w:pPr>
        <w:rPr>
          <w:b/>
          <w:bCs/>
          <w:noProof/>
        </w:rPr>
      </w:pPr>
    </w:p>
    <w:p w14:paraId="0136C729" w14:textId="77777777" w:rsidR="00EC4807" w:rsidRDefault="00EC4807" w:rsidP="00EC4807"/>
    <w:p w14:paraId="2D83107D" w14:textId="77777777" w:rsidR="00BA157E" w:rsidRDefault="00821BDD" w:rsidP="00821BDD">
      <w:pPr>
        <w:pStyle w:val="Heading1"/>
        <w:numPr>
          <w:ilvl w:val="0"/>
          <w:numId w:val="1"/>
        </w:numPr>
      </w:pPr>
      <w:bookmarkStart w:id="1" w:name="_Toc221733952"/>
      <w:r>
        <w:lastRenderedPageBreak/>
        <w:t>Introduction</w:t>
      </w:r>
      <w:bookmarkEnd w:id="1"/>
    </w:p>
    <w:p w14:paraId="4AA04F00" w14:textId="55B4ED47" w:rsidR="00DD612B" w:rsidRDefault="00DD612B" w:rsidP="00DD612B">
      <w:r>
        <w:t>The rapid expansion of global Internet connectivity and cloud-based technologies has significantly increased organisational exposure to cyber threats</w:t>
      </w:r>
      <w:sdt>
        <w:sdtPr>
          <w:id w:val="-499118475"/>
          <w:citation/>
        </w:sdtPr>
        <w:sdtContent>
          <w:r w:rsidR="008015BA">
            <w:fldChar w:fldCharType="begin"/>
          </w:r>
          <w:r w:rsidR="008015BA">
            <w:instrText xml:space="preserve"> CITATION Wor24 \l 2057 </w:instrText>
          </w:r>
          <w:r w:rsidR="008015BA">
            <w:fldChar w:fldCharType="separate"/>
          </w:r>
          <w:r w:rsidR="008015BA">
            <w:rPr>
              <w:noProof/>
            </w:rPr>
            <w:t xml:space="preserve"> </w:t>
          </w:r>
          <w:r w:rsidR="008015BA" w:rsidRPr="008015BA">
            <w:rPr>
              <w:noProof/>
            </w:rPr>
            <w:t>[1]</w:t>
          </w:r>
          <w:r w:rsidR="008015BA">
            <w:fldChar w:fldCharType="end"/>
          </w:r>
        </w:sdtContent>
      </w:sdt>
      <w:r>
        <w:t>. Modern enterprises operate within complex digital ecosystems characterised by wireless infrastructures, distributed services, and cross-border data flows. As a result, information security has evolved from a technical concern into a strategic governance priority.</w:t>
      </w:r>
    </w:p>
    <w:p w14:paraId="38E8D52B" w14:textId="6663E61A" w:rsidR="00DD612B" w:rsidRDefault="00DD612B" w:rsidP="00DD612B">
      <w:r>
        <w:t>Information security is traditionally grounded in the principles of confidentiality, integrity, and availability</w:t>
      </w:r>
      <w:sdt>
        <w:sdtPr>
          <w:id w:val="408821518"/>
          <w:citation/>
        </w:sdtPr>
        <w:sdtContent>
          <w:r w:rsidR="008015BA">
            <w:fldChar w:fldCharType="begin"/>
          </w:r>
          <w:r w:rsidR="008015BA">
            <w:instrText xml:space="preserve"> CITATION Nat26 \l 2057 </w:instrText>
          </w:r>
          <w:r w:rsidR="008015BA">
            <w:fldChar w:fldCharType="separate"/>
          </w:r>
          <w:r w:rsidR="008015BA">
            <w:rPr>
              <w:noProof/>
            </w:rPr>
            <w:t xml:space="preserve"> </w:t>
          </w:r>
          <w:r w:rsidR="008015BA" w:rsidRPr="008015BA">
            <w:rPr>
              <w:noProof/>
            </w:rPr>
            <w:t>[2]</w:t>
          </w:r>
          <w:r w:rsidR="008015BA">
            <w:fldChar w:fldCharType="end"/>
          </w:r>
        </w:sdtContent>
      </w:sdt>
      <w:r>
        <w:t>. However, contemporary practice extends beyond technical safeguards to include governance structures, risk management processes, regulatory compliance, and organisational accountability. Internationally recognised frameworks such as ISO/IEC 27001, the NIST Cybersecurity Framework, COBIT, and ITIL provide structured approaches to managing security risk and aligning security objectives with business strategy</w:t>
      </w:r>
      <w:sdt>
        <w:sdtPr>
          <w:id w:val="594055311"/>
          <w:citation/>
        </w:sdtPr>
        <w:sdtContent>
          <w:r w:rsidR="008015BA">
            <w:fldChar w:fldCharType="begin"/>
          </w:r>
          <w:r w:rsidR="008015BA">
            <w:instrText xml:space="preserve"> CITATION Int22 \l 2057 </w:instrText>
          </w:r>
          <w:r w:rsidR="008015BA">
            <w:fldChar w:fldCharType="separate"/>
          </w:r>
          <w:r w:rsidR="008015BA">
            <w:rPr>
              <w:noProof/>
            </w:rPr>
            <w:t xml:space="preserve"> </w:t>
          </w:r>
          <w:r w:rsidR="008015BA" w:rsidRPr="008015BA">
            <w:rPr>
              <w:noProof/>
            </w:rPr>
            <w:t>[3]</w:t>
          </w:r>
          <w:r w:rsidR="008015BA">
            <w:fldChar w:fldCharType="end"/>
          </w:r>
        </w:sdtContent>
      </w:sdt>
      <w:sdt>
        <w:sdtPr>
          <w:id w:val="1342440597"/>
          <w:citation/>
        </w:sdtPr>
        <w:sdtContent>
          <w:r w:rsidR="008015BA">
            <w:fldChar w:fldCharType="begin"/>
          </w:r>
          <w:r w:rsidR="008015BA">
            <w:instrText xml:space="preserve"> CITATION Nat24 \l 2057 </w:instrText>
          </w:r>
          <w:r w:rsidR="008015BA">
            <w:fldChar w:fldCharType="separate"/>
          </w:r>
          <w:r w:rsidR="008015BA">
            <w:rPr>
              <w:noProof/>
            </w:rPr>
            <w:t xml:space="preserve"> </w:t>
          </w:r>
          <w:r w:rsidR="008015BA" w:rsidRPr="008015BA">
            <w:rPr>
              <w:noProof/>
            </w:rPr>
            <w:t>[4]</w:t>
          </w:r>
          <w:r w:rsidR="008015BA">
            <w:fldChar w:fldCharType="end"/>
          </w:r>
        </w:sdtContent>
      </w:sdt>
      <w:sdt>
        <w:sdtPr>
          <w:id w:val="-268011687"/>
          <w:citation/>
        </w:sdtPr>
        <w:sdtContent>
          <w:r w:rsidR="008015BA">
            <w:fldChar w:fldCharType="begin"/>
          </w:r>
          <w:r w:rsidR="008015BA">
            <w:instrText xml:space="preserve"> CITATION ISA26 \l 2057 </w:instrText>
          </w:r>
          <w:r w:rsidR="008015BA">
            <w:fldChar w:fldCharType="separate"/>
          </w:r>
          <w:r w:rsidR="008015BA">
            <w:rPr>
              <w:noProof/>
            </w:rPr>
            <w:t xml:space="preserve"> </w:t>
          </w:r>
          <w:r w:rsidR="008015BA" w:rsidRPr="008015BA">
            <w:rPr>
              <w:noProof/>
            </w:rPr>
            <w:t>[5]</w:t>
          </w:r>
          <w:r w:rsidR="008015BA">
            <w:fldChar w:fldCharType="end"/>
          </w:r>
        </w:sdtContent>
      </w:sdt>
      <w:sdt>
        <w:sdtPr>
          <w:id w:val="104702077"/>
          <w:citation/>
        </w:sdtPr>
        <w:sdtContent>
          <w:r w:rsidR="008015BA">
            <w:fldChar w:fldCharType="begin"/>
          </w:r>
          <w:r w:rsidR="008015BA">
            <w:instrText xml:space="preserve"> CITATION Peo26 \l 2057 </w:instrText>
          </w:r>
          <w:r w:rsidR="008015BA">
            <w:fldChar w:fldCharType="separate"/>
          </w:r>
          <w:r w:rsidR="008015BA">
            <w:rPr>
              <w:noProof/>
            </w:rPr>
            <w:t xml:space="preserve"> </w:t>
          </w:r>
          <w:r w:rsidR="008015BA" w:rsidRPr="008015BA">
            <w:rPr>
              <w:noProof/>
            </w:rPr>
            <w:t>[6]</w:t>
          </w:r>
          <w:r w:rsidR="008015BA">
            <w:fldChar w:fldCharType="end"/>
          </w:r>
        </w:sdtContent>
      </w:sdt>
      <w:r>
        <w:t>.</w:t>
      </w:r>
    </w:p>
    <w:p w14:paraId="4C02C2AC" w14:textId="77777777" w:rsidR="00DD612B" w:rsidRDefault="00DD612B" w:rsidP="00DD612B">
      <w:r>
        <w:t>NatureGreen (NG), a globally operating organisation with extensive reliance on cloud services and a predominantly wireless network infrastructure, faces increasing pressure to implement Bring Your Own Device (BYOD) capabilities while protecting high-value intellectual property and customer data. Despite recognising the importance of information security, the organisation currently lacks formal governance structures and documented security policies.</w:t>
      </w:r>
    </w:p>
    <w:p w14:paraId="6CE7B2A7" w14:textId="2B1D1E9E" w:rsidR="00856D89" w:rsidRDefault="00DD612B" w:rsidP="00DD612B">
      <w:r>
        <w:t>This report critically evaluates leading security frameworks and applies their principles to design an integrated governance, risk, and compliance model tailored to NG’s operational context. It further examines the necessity of evolving security regulations in response to emerging technological and threat landscapes.</w:t>
      </w:r>
    </w:p>
    <w:p w14:paraId="0FBDA8BE" w14:textId="77777777" w:rsidR="00856D89" w:rsidRDefault="00856D89" w:rsidP="00031CCF"/>
    <w:p w14:paraId="79FF4AD3" w14:textId="77777777" w:rsidR="00856D89" w:rsidRDefault="00856D89" w:rsidP="00031CCF"/>
    <w:p w14:paraId="51E67DA2" w14:textId="77777777" w:rsidR="00856D89" w:rsidRDefault="00856D89" w:rsidP="00031CCF"/>
    <w:p w14:paraId="126E88CB" w14:textId="77777777" w:rsidR="00856D89" w:rsidRDefault="00856D89" w:rsidP="00031CCF"/>
    <w:p w14:paraId="1AC9F87A" w14:textId="77777777" w:rsidR="00DD612B" w:rsidRDefault="00DD612B" w:rsidP="00031CCF"/>
    <w:p w14:paraId="3EAD2480" w14:textId="77777777" w:rsidR="00DD612B" w:rsidRDefault="00DD612B" w:rsidP="00031CCF"/>
    <w:p w14:paraId="402DF5E6" w14:textId="77777777" w:rsidR="00DD612B" w:rsidRDefault="00DD612B" w:rsidP="00031CCF"/>
    <w:p w14:paraId="35829E87" w14:textId="77777777" w:rsidR="00856D89" w:rsidRDefault="0017589F" w:rsidP="0017589F">
      <w:pPr>
        <w:pStyle w:val="Heading1"/>
        <w:numPr>
          <w:ilvl w:val="0"/>
          <w:numId w:val="1"/>
        </w:numPr>
      </w:pPr>
      <w:bookmarkStart w:id="2" w:name="_Toc221733953"/>
      <w:r>
        <w:lastRenderedPageBreak/>
        <w:t>Literature review</w:t>
      </w:r>
      <w:bookmarkEnd w:id="2"/>
      <w:r>
        <w:t xml:space="preserve"> </w:t>
      </w:r>
    </w:p>
    <w:p w14:paraId="7D0ED6C5" w14:textId="370F1259" w:rsidR="00602B01" w:rsidRDefault="00DD612B" w:rsidP="000E7041">
      <w:r w:rsidRPr="00DD612B">
        <w:t>Organisations operating in complex digital environments require structured frameworks to manage governance, risk, compliance, and operational security. Given NatureGreen’s global footprint, heavy cloud reliance, and wireless infrastructure, selecting an appropriate framework is essential. This section critically evaluates ISO/IEC 27001, the NIST Cybersecurity Framework (CSF), COBIT, and ITIL, focusing on governance alignment, risk capability, operational applicability, and suitability for NatureGreen.</w:t>
      </w:r>
    </w:p>
    <w:p w14:paraId="762723AC" w14:textId="77777777" w:rsidR="00DD612B" w:rsidRDefault="00DD612B" w:rsidP="000E7041"/>
    <w:p w14:paraId="3D5246FE" w14:textId="77777777" w:rsidR="00602B01" w:rsidRDefault="00406DC7" w:rsidP="00406DC7">
      <w:pPr>
        <w:pStyle w:val="Heading2"/>
        <w:numPr>
          <w:ilvl w:val="1"/>
          <w:numId w:val="1"/>
        </w:numPr>
      </w:pPr>
      <w:bookmarkStart w:id="3" w:name="_Toc221733954"/>
      <w:r w:rsidRPr="00406DC7">
        <w:t>ISO/IEC 27001 – A Risk-Based Information Security Management System</w:t>
      </w:r>
      <w:bookmarkEnd w:id="3"/>
    </w:p>
    <w:p w14:paraId="6D786105" w14:textId="40E1B275" w:rsidR="00DD612B" w:rsidRDefault="00DD612B" w:rsidP="00DD612B">
      <w:r>
        <w:t xml:space="preserve">ISO/IEC 27001 provides requirements for establishing an Information Security Management System (ISMS) based on a risk-driven methodology </w:t>
      </w:r>
      <w:sdt>
        <w:sdtPr>
          <w:id w:val="1927452882"/>
          <w:citation/>
        </w:sdtPr>
        <w:sdtContent>
          <w:r w:rsidR="008E71C8">
            <w:fldChar w:fldCharType="begin"/>
          </w:r>
          <w:r w:rsidR="008E71C8">
            <w:instrText xml:space="preserve"> CITATION GRC26 \l 2057 </w:instrText>
          </w:r>
          <w:r w:rsidR="008E71C8">
            <w:fldChar w:fldCharType="separate"/>
          </w:r>
          <w:r w:rsidR="008E71C8" w:rsidRPr="008E71C8">
            <w:rPr>
              <w:noProof/>
            </w:rPr>
            <w:t>[7]</w:t>
          </w:r>
          <w:r w:rsidR="008E71C8">
            <w:fldChar w:fldCharType="end"/>
          </w:r>
        </w:sdtContent>
      </w:sdt>
      <w:r>
        <w:t>. It integrates leadership accountability, policy formalisation, risk assessment, and continual improvement through the Plan–Do–Check–Act cycle</w:t>
      </w:r>
      <w:sdt>
        <w:sdtPr>
          <w:id w:val="1131204355"/>
          <w:citation/>
        </w:sdtPr>
        <w:sdtContent>
          <w:r w:rsidR="008E71C8">
            <w:fldChar w:fldCharType="begin"/>
          </w:r>
          <w:r w:rsidR="008E71C8">
            <w:instrText xml:space="preserve"> CITATION Int22 \l 2057 </w:instrText>
          </w:r>
          <w:r w:rsidR="008E71C8">
            <w:fldChar w:fldCharType="separate"/>
          </w:r>
          <w:r w:rsidR="008E71C8">
            <w:rPr>
              <w:noProof/>
            </w:rPr>
            <w:t xml:space="preserve"> </w:t>
          </w:r>
          <w:r w:rsidR="008E71C8" w:rsidRPr="008E71C8">
            <w:rPr>
              <w:noProof/>
            </w:rPr>
            <w:t>[3]</w:t>
          </w:r>
          <w:r w:rsidR="008E71C8">
            <w:fldChar w:fldCharType="end"/>
          </w:r>
        </w:sdtContent>
      </w:sdt>
      <w:r>
        <w:t>.</w:t>
      </w:r>
    </w:p>
    <w:p w14:paraId="27522CBE" w14:textId="77777777" w:rsidR="00DD612B" w:rsidRDefault="00DD612B" w:rsidP="00DD612B">
      <w:r>
        <w:t>A key strength of ISO 27001 is its certifiability, which offers external assurance and supports regulatory defensibility. For multinational organisations, certification enhances stakeholder confidence and standardises governance practices across jurisdictions. The framework also ensures systematic documentation and structured control selection.</w:t>
      </w:r>
    </w:p>
    <w:p w14:paraId="787FEFE9" w14:textId="77777777" w:rsidR="00DD612B" w:rsidRDefault="00DD612B" w:rsidP="00DD612B">
      <w:r>
        <w:t>However, ISO 27001 does not prescribe specific technical controls and can be resource-intensive to implement. Without complementary operational guidance, organisations may achieve compliance without strong real-time detection capability.</w:t>
      </w:r>
    </w:p>
    <w:p w14:paraId="6E8D82F0" w14:textId="7AB54E4D" w:rsidR="004720F6" w:rsidRPr="004720F6" w:rsidRDefault="00DD612B" w:rsidP="00DD612B">
      <w:r>
        <w:t>For NatureGreen, ISO 27001 provides a necessary governance and policy backbone but requires integration with operational frameworks to address dynamic wireless and cloud risks.</w:t>
      </w:r>
    </w:p>
    <w:p w14:paraId="45E51391" w14:textId="77777777" w:rsidR="00142B87" w:rsidRDefault="00142B87" w:rsidP="00921CE2">
      <w:pPr>
        <w:pStyle w:val="ListParagraph"/>
        <w:ind w:left="833"/>
      </w:pPr>
    </w:p>
    <w:p w14:paraId="002C8E8D" w14:textId="77777777" w:rsidR="00142B87" w:rsidRDefault="00AB6A0A" w:rsidP="00AB6A0A">
      <w:pPr>
        <w:pStyle w:val="Heading2"/>
        <w:numPr>
          <w:ilvl w:val="1"/>
          <w:numId w:val="1"/>
        </w:numPr>
      </w:pPr>
      <w:bookmarkStart w:id="4" w:name="_Toc221733955"/>
      <w:r w:rsidRPr="00AB6A0A">
        <w:t>NIST Cybersecurity Framework (CSF)</w:t>
      </w:r>
      <w:bookmarkEnd w:id="4"/>
    </w:p>
    <w:p w14:paraId="49878E3E" w14:textId="49DD5123" w:rsidR="00DD612B" w:rsidRDefault="00DD612B" w:rsidP="00DD612B">
      <w:r>
        <w:t xml:space="preserve">The NIST CSF adopts a flexible risk-based structure organised around five core functions: Identify, Protect, Detect, Respond, and Recover </w:t>
      </w:r>
      <w:sdt>
        <w:sdtPr>
          <w:id w:val="1468245093"/>
          <w:citation/>
        </w:sdtPr>
        <w:sdtContent>
          <w:r w:rsidR="008E71C8">
            <w:fldChar w:fldCharType="begin"/>
          </w:r>
          <w:r w:rsidR="008E71C8">
            <w:instrText xml:space="preserve"> CITATION Nat24 \l 2057 </w:instrText>
          </w:r>
          <w:r w:rsidR="008E71C8">
            <w:fldChar w:fldCharType="separate"/>
          </w:r>
          <w:r w:rsidR="008E71C8" w:rsidRPr="008E71C8">
            <w:rPr>
              <w:noProof/>
            </w:rPr>
            <w:t>[4]</w:t>
          </w:r>
          <w:r w:rsidR="008E71C8">
            <w:fldChar w:fldCharType="end"/>
          </w:r>
        </w:sdtContent>
      </w:sdt>
      <w:r>
        <w:t>. Unlike ISO 27001, it is not certifiable but is highly adaptable.</w:t>
      </w:r>
      <w:r>
        <w:t xml:space="preserve"> </w:t>
      </w:r>
      <w:r>
        <w:t>Its strength lies in operational maturity and lifecycle resilience. The framework emphasises continuous monitoring, incident management, and recovery planning, making it particularly suited to cloud-native and distributed environments</w:t>
      </w:r>
      <w:sdt>
        <w:sdtPr>
          <w:id w:val="-1269851579"/>
          <w:citation/>
        </w:sdtPr>
        <w:sdtContent>
          <w:r w:rsidR="008E71C8">
            <w:fldChar w:fldCharType="begin"/>
          </w:r>
          <w:r w:rsidR="008E71C8">
            <w:instrText xml:space="preserve"> CITATION Nat12 \l 2057 </w:instrText>
          </w:r>
          <w:r w:rsidR="008E71C8">
            <w:fldChar w:fldCharType="separate"/>
          </w:r>
          <w:r w:rsidR="008E71C8">
            <w:rPr>
              <w:noProof/>
            </w:rPr>
            <w:t xml:space="preserve"> </w:t>
          </w:r>
          <w:r w:rsidR="008E71C8" w:rsidRPr="008E71C8">
            <w:rPr>
              <w:noProof/>
            </w:rPr>
            <w:t>[8]</w:t>
          </w:r>
          <w:r w:rsidR="008E71C8">
            <w:fldChar w:fldCharType="end"/>
          </w:r>
        </w:sdtContent>
      </w:sdt>
      <w:r>
        <w:t>.</w:t>
      </w:r>
    </w:p>
    <w:p w14:paraId="58D6535C" w14:textId="107DEA05" w:rsidR="00DD612B" w:rsidRDefault="00DD612B" w:rsidP="00DD612B">
      <w:r>
        <w:lastRenderedPageBreak/>
        <w:t>However, its voluntary nature may reduce external assurance, and it relies heavily on internal governance maturity to be effective. Without strong leadership oversight, implementation may become inconsistent.</w:t>
      </w:r>
    </w:p>
    <w:p w14:paraId="1BFD6BAC" w14:textId="5352DDAE" w:rsidR="004720F6" w:rsidRDefault="00DD612B" w:rsidP="00DD612B">
      <w:r>
        <w:t>For NatureGreen, NIST CSF strengthens incident readiness and detection capability, particularly given its public-facing digital presence and wireless exposure.</w:t>
      </w:r>
    </w:p>
    <w:p w14:paraId="711BBE2C" w14:textId="77777777" w:rsidR="008E71C8" w:rsidRPr="004720F6" w:rsidRDefault="008E71C8" w:rsidP="00DD612B"/>
    <w:p w14:paraId="641859DB" w14:textId="77777777" w:rsidR="00DE4007" w:rsidRDefault="003800CA" w:rsidP="003800CA">
      <w:pPr>
        <w:pStyle w:val="Heading2"/>
        <w:numPr>
          <w:ilvl w:val="1"/>
          <w:numId w:val="1"/>
        </w:numPr>
      </w:pPr>
      <w:bookmarkStart w:id="5" w:name="_Toc221733956"/>
      <w:r w:rsidRPr="003800CA">
        <w:t>COBIT – Governance and Enterprise Alignment</w:t>
      </w:r>
      <w:bookmarkEnd w:id="5"/>
    </w:p>
    <w:p w14:paraId="266ADE36" w14:textId="31DF0EEF" w:rsidR="00DD612B" w:rsidRDefault="00DD612B" w:rsidP="00DD612B">
      <w:r>
        <w:t>COBIT focuses on enterprise IT governance, separating governance from management and emphasising board-level accountability [</w:t>
      </w:r>
      <w:r>
        <w:t>3</w:t>
      </w:r>
      <w:r>
        <w:t>]. It ensures alignment between stakeholder expectations, risk appetite, and IT performance.</w:t>
      </w:r>
      <w:r>
        <w:t xml:space="preserve"> </w:t>
      </w:r>
      <w:r>
        <w:t>Its strength lies in strategic oversight and role clarity. For organisations lacking structured governance, COBIT establishes executive responsibility and performance monitoring mechanisms.</w:t>
      </w:r>
    </w:p>
    <w:p w14:paraId="3F373636" w14:textId="77777777" w:rsidR="00DD612B" w:rsidRDefault="00DD612B" w:rsidP="00DD612B">
      <w:r>
        <w:t>However, COBIT does not provide detailed technical safeguards. It operates as a governance umbrella and requires integration with frameworks such as ISO 27001 or NIST for operational depth.</w:t>
      </w:r>
    </w:p>
    <w:p w14:paraId="3F429A1F" w14:textId="3BDCD701" w:rsidR="00B526F5" w:rsidRDefault="00DD612B" w:rsidP="00DD612B">
      <w:r>
        <w:t>For NatureGreen, COBIT addresses the root issue identified in the scenario: the absence of formal governance and oversight.</w:t>
      </w:r>
    </w:p>
    <w:p w14:paraId="631E8838" w14:textId="77777777" w:rsidR="008E71C8" w:rsidRDefault="008E71C8" w:rsidP="00DD612B"/>
    <w:p w14:paraId="791F7EA9" w14:textId="77777777" w:rsidR="00B526F5" w:rsidRDefault="00B526F5" w:rsidP="00B526F5">
      <w:pPr>
        <w:pStyle w:val="Heading2"/>
        <w:numPr>
          <w:ilvl w:val="1"/>
          <w:numId w:val="1"/>
        </w:numPr>
      </w:pPr>
      <w:bookmarkStart w:id="6" w:name="_Toc221733957"/>
      <w:r w:rsidRPr="00B526F5">
        <w:t>ITIL – Service Management and Operational Integration</w:t>
      </w:r>
      <w:bookmarkEnd w:id="6"/>
    </w:p>
    <w:p w14:paraId="50EA285B" w14:textId="332C5AFC" w:rsidR="00DD612B" w:rsidRDefault="00DD612B" w:rsidP="00DD612B">
      <w:r>
        <w:t>ITIL supports IT service management through structured processes such as incident management, change management, and service level management. While not a security framework, it enhances operational stability and SLA governance.</w:t>
      </w:r>
      <w:r>
        <w:t xml:space="preserve"> </w:t>
      </w:r>
      <w:r>
        <w:t>Its strength lies in controlling change and reducing service disruption</w:t>
      </w:r>
      <w:r>
        <w:t xml:space="preserve"> which is </w:t>
      </w:r>
      <w:r>
        <w:t>critical in cloud-based environments. However, it does not provide dedicated security risk methodologies.</w:t>
      </w:r>
    </w:p>
    <w:p w14:paraId="160B0366" w14:textId="2055CBB7" w:rsidR="007607DF" w:rsidRDefault="00DD612B" w:rsidP="00DD612B">
      <w:r>
        <w:t>For NatureGreen, ITIL strengthens vendor management and operational discipline but must be integrated with security-specific standards.</w:t>
      </w:r>
    </w:p>
    <w:p w14:paraId="443E58CA" w14:textId="77777777" w:rsidR="009653A0" w:rsidRDefault="009653A0" w:rsidP="00DD612B"/>
    <w:p w14:paraId="263E0800" w14:textId="77777777" w:rsidR="009653A0" w:rsidRDefault="009653A0" w:rsidP="00DD612B"/>
    <w:p w14:paraId="3F8E1BC6" w14:textId="77777777" w:rsidR="007607DF" w:rsidRDefault="00300D9A" w:rsidP="00A40871">
      <w:pPr>
        <w:pStyle w:val="Heading2"/>
        <w:numPr>
          <w:ilvl w:val="1"/>
          <w:numId w:val="1"/>
        </w:numPr>
      </w:pPr>
      <w:bookmarkStart w:id="7" w:name="_Toc221733958"/>
      <w:r w:rsidRPr="00300D9A">
        <w:t>Comparative Analysis of ISO/IEC 27001, NIST CSF, COBIT and ITIL</w:t>
      </w:r>
      <w:bookmarkEnd w:id="7"/>
    </w:p>
    <w:p w14:paraId="10C137ED" w14:textId="0EE3657D" w:rsidR="00D240F6" w:rsidRDefault="009653A0" w:rsidP="00C779AB">
      <w:r w:rsidRPr="009653A0">
        <w:t>Although each framework provides valuable guidance, they address different dimensions of organisational security.</w:t>
      </w:r>
    </w:p>
    <w:p w14:paraId="15B34735" w14:textId="77777777" w:rsidR="00950315" w:rsidRDefault="00950315" w:rsidP="00C779AB"/>
    <w:p w14:paraId="19BF798C" w14:textId="77777777" w:rsidR="00950315" w:rsidRDefault="00D240F6" w:rsidP="00D240F6">
      <w:pPr>
        <w:pStyle w:val="Caption"/>
      </w:pPr>
      <w:r w:rsidRPr="00E9519D">
        <w:t>Table 1: Comparative Analysis of Security Frameworks and Suitability for NatureGreen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26"/>
        <w:gridCol w:w="1542"/>
        <w:gridCol w:w="2949"/>
        <w:gridCol w:w="1857"/>
        <w:gridCol w:w="1676"/>
      </w:tblGrid>
      <w:tr w:rsidR="003C39DB" w:rsidRPr="003C39DB" w14:paraId="4617F58F" w14:textId="77777777" w:rsidTr="003C39DB">
        <w:trPr>
          <w:tblHeader/>
          <w:tblCellSpacing w:w="15" w:type="dxa"/>
        </w:trPr>
        <w:tc>
          <w:tcPr>
            <w:tcW w:w="0" w:type="auto"/>
            <w:vAlign w:val="center"/>
            <w:hideMark/>
          </w:tcPr>
          <w:p w14:paraId="61A6B9A9" w14:textId="77777777" w:rsidR="003C39DB" w:rsidRPr="003C39DB" w:rsidRDefault="003C39DB" w:rsidP="003C39DB">
            <w:pPr>
              <w:rPr>
                <w:b/>
                <w:bCs/>
              </w:rPr>
            </w:pPr>
            <w:r w:rsidRPr="003C39DB">
              <w:rPr>
                <w:b/>
                <w:bCs/>
              </w:rPr>
              <w:t>Framework</w:t>
            </w:r>
          </w:p>
        </w:tc>
        <w:tc>
          <w:tcPr>
            <w:tcW w:w="0" w:type="auto"/>
            <w:vAlign w:val="center"/>
            <w:hideMark/>
          </w:tcPr>
          <w:p w14:paraId="542D8560" w14:textId="77777777" w:rsidR="003C39DB" w:rsidRPr="003C39DB" w:rsidRDefault="003C39DB" w:rsidP="003C39DB">
            <w:pPr>
              <w:rPr>
                <w:b/>
                <w:bCs/>
              </w:rPr>
            </w:pPr>
            <w:r w:rsidRPr="003C39DB">
              <w:rPr>
                <w:b/>
                <w:bCs/>
              </w:rPr>
              <w:t>Primary purpose</w:t>
            </w:r>
          </w:p>
        </w:tc>
        <w:tc>
          <w:tcPr>
            <w:tcW w:w="0" w:type="auto"/>
            <w:vAlign w:val="center"/>
            <w:hideMark/>
          </w:tcPr>
          <w:p w14:paraId="71628CD0" w14:textId="77777777" w:rsidR="003C39DB" w:rsidRPr="003C39DB" w:rsidRDefault="003C39DB" w:rsidP="003C39DB">
            <w:pPr>
              <w:rPr>
                <w:b/>
                <w:bCs/>
              </w:rPr>
            </w:pPr>
            <w:r w:rsidRPr="003C39DB">
              <w:rPr>
                <w:b/>
                <w:bCs/>
              </w:rPr>
              <w:t>Strengths</w:t>
            </w:r>
          </w:p>
        </w:tc>
        <w:tc>
          <w:tcPr>
            <w:tcW w:w="0" w:type="auto"/>
            <w:vAlign w:val="center"/>
            <w:hideMark/>
          </w:tcPr>
          <w:p w14:paraId="6CC0F8B4" w14:textId="77777777" w:rsidR="003C39DB" w:rsidRPr="003C39DB" w:rsidRDefault="003C39DB" w:rsidP="003C39DB">
            <w:pPr>
              <w:rPr>
                <w:b/>
                <w:bCs/>
              </w:rPr>
            </w:pPr>
            <w:r w:rsidRPr="003C39DB">
              <w:rPr>
                <w:b/>
                <w:bCs/>
              </w:rPr>
              <w:t>Limitations</w:t>
            </w:r>
          </w:p>
        </w:tc>
        <w:tc>
          <w:tcPr>
            <w:tcW w:w="0" w:type="auto"/>
            <w:vAlign w:val="center"/>
            <w:hideMark/>
          </w:tcPr>
          <w:p w14:paraId="4211F605" w14:textId="77777777" w:rsidR="003C39DB" w:rsidRPr="003C39DB" w:rsidRDefault="003C39DB" w:rsidP="003C39DB">
            <w:pPr>
              <w:rPr>
                <w:b/>
                <w:bCs/>
              </w:rPr>
            </w:pPr>
            <w:r w:rsidRPr="003C39DB">
              <w:rPr>
                <w:b/>
                <w:bCs/>
              </w:rPr>
              <w:t>Best-fit use at NatureGreen</w:t>
            </w:r>
          </w:p>
        </w:tc>
      </w:tr>
      <w:tr w:rsidR="003C39DB" w:rsidRPr="003C39DB" w14:paraId="1165B355" w14:textId="77777777" w:rsidTr="003C39DB">
        <w:trPr>
          <w:tblCellSpacing w:w="15" w:type="dxa"/>
        </w:trPr>
        <w:tc>
          <w:tcPr>
            <w:tcW w:w="0" w:type="auto"/>
            <w:vAlign w:val="center"/>
            <w:hideMark/>
          </w:tcPr>
          <w:p w14:paraId="20343D54" w14:textId="77777777" w:rsidR="003C39DB" w:rsidRPr="003C39DB" w:rsidRDefault="003C39DB" w:rsidP="003C39DB">
            <w:r w:rsidRPr="003C39DB">
              <w:rPr>
                <w:b/>
                <w:bCs/>
              </w:rPr>
              <w:t>ISO/IEC 27001</w:t>
            </w:r>
          </w:p>
        </w:tc>
        <w:tc>
          <w:tcPr>
            <w:tcW w:w="0" w:type="auto"/>
            <w:vAlign w:val="center"/>
            <w:hideMark/>
          </w:tcPr>
          <w:p w14:paraId="0F2172D8" w14:textId="77777777" w:rsidR="003C39DB" w:rsidRPr="003C39DB" w:rsidRDefault="003C39DB" w:rsidP="003C39DB">
            <w:r w:rsidRPr="003C39DB">
              <w:t>Certifiable ISMS requirements</w:t>
            </w:r>
          </w:p>
        </w:tc>
        <w:tc>
          <w:tcPr>
            <w:tcW w:w="0" w:type="auto"/>
            <w:vAlign w:val="center"/>
            <w:hideMark/>
          </w:tcPr>
          <w:p w14:paraId="113F8C35" w14:textId="77777777" w:rsidR="003C39DB" w:rsidRPr="003C39DB" w:rsidRDefault="003C39DB" w:rsidP="003C39DB">
            <w:r w:rsidRPr="003C39DB">
              <w:t>Strong governance + risk-based management, auditability and assurance</w:t>
            </w:r>
          </w:p>
        </w:tc>
        <w:tc>
          <w:tcPr>
            <w:tcW w:w="0" w:type="auto"/>
            <w:vAlign w:val="center"/>
            <w:hideMark/>
          </w:tcPr>
          <w:p w14:paraId="4DF28886" w14:textId="77777777" w:rsidR="003C39DB" w:rsidRPr="003C39DB" w:rsidRDefault="003C39DB" w:rsidP="003C39DB">
            <w:r w:rsidRPr="003C39DB">
              <w:t>Can be documentation-heavy; needs supporting technical guidance</w:t>
            </w:r>
          </w:p>
        </w:tc>
        <w:tc>
          <w:tcPr>
            <w:tcW w:w="0" w:type="auto"/>
            <w:vAlign w:val="center"/>
            <w:hideMark/>
          </w:tcPr>
          <w:p w14:paraId="6C6C4A27" w14:textId="77777777" w:rsidR="003C39DB" w:rsidRPr="003C39DB" w:rsidRDefault="003C39DB" w:rsidP="003C39DB">
            <w:r w:rsidRPr="003C39DB">
              <w:t>Build the ISMS, policies, and compliance-ready controls baseline</w:t>
            </w:r>
          </w:p>
        </w:tc>
      </w:tr>
      <w:tr w:rsidR="003C39DB" w:rsidRPr="003C39DB" w14:paraId="27C77814" w14:textId="77777777" w:rsidTr="003C39DB">
        <w:trPr>
          <w:tblCellSpacing w:w="15" w:type="dxa"/>
        </w:trPr>
        <w:tc>
          <w:tcPr>
            <w:tcW w:w="0" w:type="auto"/>
            <w:vAlign w:val="center"/>
            <w:hideMark/>
          </w:tcPr>
          <w:p w14:paraId="059D6C6B" w14:textId="77777777" w:rsidR="003C39DB" w:rsidRPr="003C39DB" w:rsidRDefault="003C39DB" w:rsidP="003C39DB">
            <w:r w:rsidRPr="003C39DB">
              <w:rPr>
                <w:b/>
                <w:bCs/>
              </w:rPr>
              <w:t>NIST CSF (v1.1)</w:t>
            </w:r>
          </w:p>
        </w:tc>
        <w:tc>
          <w:tcPr>
            <w:tcW w:w="0" w:type="auto"/>
            <w:vAlign w:val="center"/>
            <w:hideMark/>
          </w:tcPr>
          <w:p w14:paraId="0355029E" w14:textId="77777777" w:rsidR="003C39DB" w:rsidRPr="003C39DB" w:rsidRDefault="003C39DB" w:rsidP="003C39DB">
            <w:r w:rsidRPr="003C39DB">
              <w:t>Risk-based cybersecurity improvement model</w:t>
            </w:r>
          </w:p>
        </w:tc>
        <w:tc>
          <w:tcPr>
            <w:tcW w:w="0" w:type="auto"/>
            <w:vAlign w:val="center"/>
            <w:hideMark/>
          </w:tcPr>
          <w:p w14:paraId="6F520E49" w14:textId="77777777" w:rsidR="003C39DB" w:rsidRPr="003C39DB" w:rsidRDefault="003C39DB" w:rsidP="003C39DB">
            <w:r w:rsidRPr="003C39DB">
              <w:t>Highly adaptable; strong operational lifecycle (Detect/Respond/Recover)</w:t>
            </w:r>
          </w:p>
        </w:tc>
        <w:tc>
          <w:tcPr>
            <w:tcW w:w="0" w:type="auto"/>
            <w:vAlign w:val="center"/>
            <w:hideMark/>
          </w:tcPr>
          <w:p w14:paraId="39FAEAC7" w14:textId="77777777" w:rsidR="003C39DB" w:rsidRPr="003C39DB" w:rsidRDefault="003C39DB" w:rsidP="003C39DB">
            <w:r w:rsidRPr="003C39DB">
              <w:t>Not certifiable; high-level unless mapped to controls</w:t>
            </w:r>
          </w:p>
        </w:tc>
        <w:tc>
          <w:tcPr>
            <w:tcW w:w="0" w:type="auto"/>
            <w:vAlign w:val="center"/>
            <w:hideMark/>
          </w:tcPr>
          <w:p w14:paraId="6A0DA031" w14:textId="77777777" w:rsidR="003C39DB" w:rsidRPr="003C39DB" w:rsidRDefault="003C39DB" w:rsidP="003C39DB">
            <w:r w:rsidRPr="003C39DB">
              <w:t>Strengthen operational security for cloud, wireless, BYOD, incident capability</w:t>
            </w:r>
          </w:p>
        </w:tc>
      </w:tr>
      <w:tr w:rsidR="003C39DB" w:rsidRPr="003C39DB" w14:paraId="3F685093" w14:textId="77777777" w:rsidTr="003C39DB">
        <w:trPr>
          <w:tblCellSpacing w:w="15" w:type="dxa"/>
        </w:trPr>
        <w:tc>
          <w:tcPr>
            <w:tcW w:w="0" w:type="auto"/>
            <w:vAlign w:val="center"/>
            <w:hideMark/>
          </w:tcPr>
          <w:p w14:paraId="2A566FE8" w14:textId="77777777" w:rsidR="003C39DB" w:rsidRPr="003C39DB" w:rsidRDefault="003C39DB" w:rsidP="003C39DB">
            <w:r w:rsidRPr="003C39DB">
              <w:rPr>
                <w:b/>
                <w:bCs/>
              </w:rPr>
              <w:t>COBIT 2019</w:t>
            </w:r>
          </w:p>
        </w:tc>
        <w:tc>
          <w:tcPr>
            <w:tcW w:w="0" w:type="auto"/>
            <w:vAlign w:val="center"/>
            <w:hideMark/>
          </w:tcPr>
          <w:p w14:paraId="510FEC8D" w14:textId="77777777" w:rsidR="003C39DB" w:rsidRPr="003C39DB" w:rsidRDefault="003C39DB" w:rsidP="003C39DB">
            <w:r w:rsidRPr="003C39DB">
              <w:t>Enterprise governance of IT</w:t>
            </w:r>
          </w:p>
        </w:tc>
        <w:tc>
          <w:tcPr>
            <w:tcW w:w="0" w:type="auto"/>
            <w:vAlign w:val="center"/>
            <w:hideMark/>
          </w:tcPr>
          <w:p w14:paraId="6AF2ABD2" w14:textId="77777777" w:rsidR="003C39DB" w:rsidRPr="003C39DB" w:rsidRDefault="003C39DB" w:rsidP="003C39DB">
            <w:r w:rsidRPr="003C39DB">
              <w:t>Board-level accountability, alignment to business goals, performance oversight</w:t>
            </w:r>
          </w:p>
        </w:tc>
        <w:tc>
          <w:tcPr>
            <w:tcW w:w="0" w:type="auto"/>
            <w:vAlign w:val="center"/>
            <w:hideMark/>
          </w:tcPr>
          <w:p w14:paraId="7AB685E1" w14:textId="77777777" w:rsidR="003C39DB" w:rsidRPr="003C39DB" w:rsidRDefault="003C39DB" w:rsidP="003C39DB">
            <w:r w:rsidRPr="003C39DB">
              <w:t>Not a technical control catalogue</w:t>
            </w:r>
          </w:p>
        </w:tc>
        <w:tc>
          <w:tcPr>
            <w:tcW w:w="0" w:type="auto"/>
            <w:vAlign w:val="center"/>
            <w:hideMark/>
          </w:tcPr>
          <w:p w14:paraId="473B0CD6" w14:textId="77777777" w:rsidR="003C39DB" w:rsidRPr="003C39DB" w:rsidRDefault="003C39DB" w:rsidP="003C39DB">
            <w:r w:rsidRPr="003C39DB">
              <w:t>Fix NG’s “disarray” by creating governance structures, roles, risk appetite, oversight</w:t>
            </w:r>
          </w:p>
        </w:tc>
      </w:tr>
      <w:tr w:rsidR="003C39DB" w:rsidRPr="003C39DB" w14:paraId="354E2855" w14:textId="77777777" w:rsidTr="003C39DB">
        <w:trPr>
          <w:tblCellSpacing w:w="15" w:type="dxa"/>
        </w:trPr>
        <w:tc>
          <w:tcPr>
            <w:tcW w:w="0" w:type="auto"/>
            <w:vAlign w:val="center"/>
            <w:hideMark/>
          </w:tcPr>
          <w:p w14:paraId="1FE7E149" w14:textId="77777777" w:rsidR="003C39DB" w:rsidRPr="003C39DB" w:rsidRDefault="003C39DB" w:rsidP="003C39DB">
            <w:r w:rsidRPr="003C39DB">
              <w:rPr>
                <w:b/>
                <w:bCs/>
              </w:rPr>
              <w:t>ITIL 4</w:t>
            </w:r>
          </w:p>
        </w:tc>
        <w:tc>
          <w:tcPr>
            <w:tcW w:w="0" w:type="auto"/>
            <w:vAlign w:val="center"/>
            <w:hideMark/>
          </w:tcPr>
          <w:p w14:paraId="1DBA64BE" w14:textId="77777777" w:rsidR="003C39DB" w:rsidRPr="003C39DB" w:rsidRDefault="003C39DB" w:rsidP="003C39DB">
            <w:r w:rsidRPr="003C39DB">
              <w:t>IT service management (ITSM)</w:t>
            </w:r>
          </w:p>
        </w:tc>
        <w:tc>
          <w:tcPr>
            <w:tcW w:w="0" w:type="auto"/>
            <w:vAlign w:val="center"/>
            <w:hideMark/>
          </w:tcPr>
          <w:p w14:paraId="12B7A1D8" w14:textId="77777777" w:rsidR="003C39DB" w:rsidRPr="003C39DB" w:rsidRDefault="003C39DB" w:rsidP="003C39DB">
            <w:r w:rsidRPr="003C39DB">
              <w:t>Strong operational processes, change/incident controls, supports SLAs</w:t>
            </w:r>
          </w:p>
        </w:tc>
        <w:tc>
          <w:tcPr>
            <w:tcW w:w="0" w:type="auto"/>
            <w:vAlign w:val="center"/>
            <w:hideMark/>
          </w:tcPr>
          <w:p w14:paraId="29C8A6A0" w14:textId="77777777" w:rsidR="003C39DB" w:rsidRPr="003C39DB" w:rsidRDefault="003C39DB" w:rsidP="003C39DB">
            <w:r w:rsidRPr="003C39DB">
              <w:t>Not security-first; needs integration</w:t>
            </w:r>
          </w:p>
        </w:tc>
        <w:tc>
          <w:tcPr>
            <w:tcW w:w="0" w:type="auto"/>
            <w:vAlign w:val="center"/>
            <w:hideMark/>
          </w:tcPr>
          <w:p w14:paraId="11AD02B9" w14:textId="77777777" w:rsidR="003C39DB" w:rsidRPr="003C39DB" w:rsidRDefault="003C39DB" w:rsidP="003C39DB">
            <w:r w:rsidRPr="003C39DB">
              <w:t>Embed security into service delivery, vendor/SLA management, change control</w:t>
            </w:r>
          </w:p>
        </w:tc>
      </w:tr>
    </w:tbl>
    <w:p w14:paraId="126E1667" w14:textId="0C41FBAD" w:rsidR="00F068C4" w:rsidRDefault="009653A0" w:rsidP="00F068C4">
      <w:r w:rsidRPr="009653A0">
        <w:lastRenderedPageBreak/>
        <w:t>This comparison demonstrates that no single framework fully addresses NatureGreen’s governance deficiencies, operational risks, and compliance exposure</w:t>
      </w:r>
      <w:sdt>
        <w:sdtPr>
          <w:id w:val="-1227448060"/>
          <w:citation/>
        </w:sdtPr>
        <w:sdtContent>
          <w:r w:rsidR="00105839">
            <w:fldChar w:fldCharType="begin"/>
          </w:r>
          <w:r w:rsidR="00105839">
            <w:instrText xml:space="preserve"> CITATION Nat24 \l 2057 </w:instrText>
          </w:r>
          <w:r w:rsidR="00105839">
            <w:fldChar w:fldCharType="separate"/>
          </w:r>
          <w:r w:rsidR="00105839">
            <w:rPr>
              <w:noProof/>
            </w:rPr>
            <w:t xml:space="preserve"> </w:t>
          </w:r>
          <w:r w:rsidR="00105839" w:rsidRPr="00105839">
            <w:rPr>
              <w:noProof/>
            </w:rPr>
            <w:t>[4]</w:t>
          </w:r>
          <w:r w:rsidR="00105839">
            <w:fldChar w:fldCharType="end"/>
          </w:r>
        </w:sdtContent>
      </w:sdt>
      <w:r w:rsidRPr="009653A0">
        <w:t>. A combined approach</w:t>
      </w:r>
      <w:r>
        <w:t xml:space="preserve"> , </w:t>
      </w:r>
      <w:r w:rsidRPr="009653A0">
        <w:t>using COBIT for governance, ISO 27001 for structured risk management, NIST for operational resilience, and ITIL for service integration</w:t>
      </w:r>
      <w:r>
        <w:t xml:space="preserve">, </w:t>
      </w:r>
      <w:r w:rsidRPr="009653A0">
        <w:t>provides a balanced and defensible solution</w:t>
      </w:r>
      <w:sdt>
        <w:sdtPr>
          <w:id w:val="651180385"/>
          <w:citation/>
        </w:sdtPr>
        <w:sdtContent>
          <w:r w:rsidR="00F42AC8">
            <w:fldChar w:fldCharType="begin"/>
          </w:r>
          <w:r w:rsidR="00F42AC8">
            <w:instrText xml:space="preserve"> CITATION Nat261 \l 2057 </w:instrText>
          </w:r>
          <w:r w:rsidR="00F42AC8">
            <w:fldChar w:fldCharType="separate"/>
          </w:r>
          <w:r w:rsidR="00F42AC8">
            <w:rPr>
              <w:noProof/>
            </w:rPr>
            <w:t xml:space="preserve"> </w:t>
          </w:r>
          <w:r w:rsidR="00F42AC8" w:rsidRPr="00F42AC8">
            <w:rPr>
              <w:noProof/>
            </w:rPr>
            <w:t>[9]</w:t>
          </w:r>
          <w:r w:rsidR="00F42AC8">
            <w:fldChar w:fldCharType="end"/>
          </w:r>
        </w:sdtContent>
      </w:sdt>
      <w:r w:rsidRPr="009653A0">
        <w:t>.</w:t>
      </w:r>
    </w:p>
    <w:p w14:paraId="20A7800A" w14:textId="77777777" w:rsidR="00F068C4" w:rsidRDefault="00E17709" w:rsidP="00E17709">
      <w:pPr>
        <w:pStyle w:val="Heading1"/>
        <w:numPr>
          <w:ilvl w:val="0"/>
          <w:numId w:val="1"/>
        </w:numPr>
      </w:pPr>
      <w:bookmarkStart w:id="8" w:name="_Toc221733959"/>
      <w:r w:rsidRPr="00E17709">
        <w:t>Designing an Integrated Security Governance, Risk and Compliance Approach for NatureGreen</w:t>
      </w:r>
      <w:bookmarkEnd w:id="8"/>
    </w:p>
    <w:p w14:paraId="54E7BE16" w14:textId="77777777" w:rsidR="00ED3189" w:rsidRDefault="00ED3189" w:rsidP="00ED3189">
      <w:r>
        <w:t>This section transitions from the theoretical evaluation of ISO/IEC 27001, NIST CSF, COBIT, and ITIL to their practical application. It proposes an integrated security governance and management model tailored to NatureGreen’s context, addressing governance gaps, high risk exposure from cloud and wireless infrastructure (95% wireless), Bring Your Own Device (BYOD) pressures, and multi-jurisdictional compliance needs.</w:t>
      </w:r>
    </w:p>
    <w:p w14:paraId="597427E5" w14:textId="77777777" w:rsidR="00ED3189" w:rsidRDefault="00ED3189" w:rsidP="00ED3189">
      <w:r>
        <w:t>The model uses COBIT and ISO/IEC 27001 as the core backbone for governance and compliance, supported by NIST CSF for operational security maturity and ITIL for service management and SLA control:</w:t>
      </w:r>
    </w:p>
    <w:p w14:paraId="582B72E0" w14:textId="77777777" w:rsidR="00ED3189" w:rsidRDefault="00ED3189" w:rsidP="00ED3189">
      <w:pPr>
        <w:pStyle w:val="ListParagraph"/>
        <w:numPr>
          <w:ilvl w:val="0"/>
          <w:numId w:val="7"/>
        </w:numPr>
      </w:pPr>
      <w:r>
        <w:t>COBIT establishes board-level accountability and strategic alignment.</w:t>
      </w:r>
    </w:p>
    <w:p w14:paraId="15E2F0CA" w14:textId="77777777" w:rsidR="00ED3189" w:rsidRDefault="00ED3189" w:rsidP="00ED3189">
      <w:pPr>
        <w:pStyle w:val="ListParagraph"/>
        <w:numPr>
          <w:ilvl w:val="0"/>
          <w:numId w:val="7"/>
        </w:numPr>
      </w:pPr>
      <w:r>
        <w:t>ISO/IEC 27001 provides a certifiable ISMS for systematic risk management and auditability.</w:t>
      </w:r>
    </w:p>
    <w:p w14:paraId="3E3C4110" w14:textId="77777777" w:rsidR="00ED3189" w:rsidRDefault="00ED3189" w:rsidP="00ED3189">
      <w:pPr>
        <w:pStyle w:val="ListParagraph"/>
        <w:numPr>
          <w:ilvl w:val="0"/>
          <w:numId w:val="7"/>
        </w:numPr>
      </w:pPr>
      <w:r>
        <w:t>NIST CSF enhances flexible, practical capabilities for threat detection, response, and resilience in dynamic environments.</w:t>
      </w:r>
    </w:p>
    <w:p w14:paraId="2898C7D3" w14:textId="77777777" w:rsidR="00ED3189" w:rsidRDefault="00ED3189" w:rsidP="00ED3189">
      <w:pPr>
        <w:pStyle w:val="ListParagraph"/>
        <w:numPr>
          <w:ilvl w:val="0"/>
          <w:numId w:val="7"/>
        </w:numPr>
      </w:pPr>
      <w:r>
        <w:t>ITIL formalises service processes, change management, and vendor SLA enforcement.</w:t>
      </w:r>
    </w:p>
    <w:p w14:paraId="33E31964" w14:textId="77777777" w:rsidR="00E17709" w:rsidRDefault="00ED3189" w:rsidP="00ED3189">
      <w:r>
        <w:t>This layered approach bridges NG’s current reactive posture with a proactive, scalable framework that supports compliance, risk reduction, and secure growth.</w:t>
      </w:r>
    </w:p>
    <w:p w14:paraId="5FF1BC83" w14:textId="77777777" w:rsidR="009653A0" w:rsidRDefault="009653A0" w:rsidP="00ED3189"/>
    <w:p w14:paraId="5C22F1D5" w14:textId="77777777" w:rsidR="009653A0" w:rsidRDefault="009653A0" w:rsidP="00ED3189"/>
    <w:p w14:paraId="16540D95" w14:textId="77777777" w:rsidR="009653A0" w:rsidRDefault="009653A0" w:rsidP="00ED3189"/>
    <w:p w14:paraId="7308C5C5" w14:textId="77777777" w:rsidR="009653A0" w:rsidRDefault="009653A0" w:rsidP="00ED3189"/>
    <w:p w14:paraId="2A51EA7F" w14:textId="77777777" w:rsidR="0073392E" w:rsidRDefault="0073392E" w:rsidP="00ED3189"/>
    <w:p w14:paraId="239DC375" w14:textId="77777777" w:rsidR="0073392E" w:rsidRDefault="0073392E" w:rsidP="0073392E">
      <w:pPr>
        <w:pStyle w:val="Heading2"/>
        <w:numPr>
          <w:ilvl w:val="1"/>
          <w:numId w:val="1"/>
        </w:numPr>
      </w:pPr>
      <w:bookmarkStart w:id="9" w:name="_Toc221733960"/>
      <w:r w:rsidRPr="0073392E">
        <w:lastRenderedPageBreak/>
        <w:t>Assumptions</w:t>
      </w:r>
      <w:bookmarkEnd w:id="9"/>
    </w:p>
    <w:p w14:paraId="7660379E" w14:textId="77777777" w:rsidR="008A6BEE" w:rsidRPr="008A6BEE" w:rsidRDefault="008A6BEE" w:rsidP="008A6BEE">
      <w:r w:rsidRPr="008A6BEE">
        <w:t>Before designing the proposed integrated approach, the following assumptions are made based on the scenario description:</w:t>
      </w:r>
    </w:p>
    <w:p w14:paraId="6442999D" w14:textId="77777777" w:rsidR="008A6BEE" w:rsidRPr="008A6BEE" w:rsidRDefault="008A6BEE" w:rsidP="008A6BEE">
      <w:pPr>
        <w:numPr>
          <w:ilvl w:val="0"/>
          <w:numId w:val="8"/>
        </w:numPr>
      </w:pPr>
      <w:r w:rsidRPr="008A6BEE">
        <w:t>NatureGreen operates across multiple countries and is therefore subject to international data protection regulations, including GDPR and other regional privacy laws.</w:t>
      </w:r>
    </w:p>
    <w:p w14:paraId="6A0C078E" w14:textId="77777777" w:rsidR="008A6BEE" w:rsidRPr="008A6BEE" w:rsidRDefault="008A6BEE" w:rsidP="008A6BEE">
      <w:pPr>
        <w:numPr>
          <w:ilvl w:val="0"/>
          <w:numId w:val="8"/>
        </w:numPr>
      </w:pPr>
      <w:r w:rsidRPr="008A6BEE">
        <w:t>The organisation relies on third-party cloud service providers, using SaaS and/or PaaS models.</w:t>
      </w:r>
    </w:p>
    <w:p w14:paraId="6A8AC586" w14:textId="77777777" w:rsidR="008A6BEE" w:rsidRPr="008A6BEE" w:rsidRDefault="008A6BEE" w:rsidP="008A6BEE">
      <w:pPr>
        <w:numPr>
          <w:ilvl w:val="0"/>
          <w:numId w:val="8"/>
        </w:numPr>
      </w:pPr>
      <w:r w:rsidRPr="008A6BEE">
        <w:t>Approximately 95% of the network infrastructure is wireless.</w:t>
      </w:r>
    </w:p>
    <w:p w14:paraId="68C897F1" w14:textId="77777777" w:rsidR="008A6BEE" w:rsidRPr="008A6BEE" w:rsidRDefault="008A6BEE" w:rsidP="008A6BEE">
      <w:pPr>
        <w:numPr>
          <w:ilvl w:val="0"/>
          <w:numId w:val="8"/>
        </w:numPr>
      </w:pPr>
      <w:r w:rsidRPr="008A6BEE">
        <w:t>BYOD implementation will allow employees and potentially customers to access corporate systems using personal devices.</w:t>
      </w:r>
    </w:p>
    <w:p w14:paraId="7279F8D3" w14:textId="77777777" w:rsidR="008A6BEE" w:rsidRPr="008A6BEE" w:rsidRDefault="008A6BEE" w:rsidP="008A6BEE">
      <w:pPr>
        <w:numPr>
          <w:ilvl w:val="0"/>
          <w:numId w:val="8"/>
        </w:numPr>
      </w:pPr>
      <w:r w:rsidRPr="008A6BEE">
        <w:t>The organisation currently lacks a formal Information Security Management System (ISMS), structured governance oversight, and documented security policies.</w:t>
      </w:r>
    </w:p>
    <w:p w14:paraId="4C4BB5A8" w14:textId="77777777" w:rsidR="008A6BEE" w:rsidRPr="008A6BEE" w:rsidRDefault="008A6BEE" w:rsidP="008A6BEE">
      <w:pPr>
        <w:numPr>
          <w:ilvl w:val="0"/>
          <w:numId w:val="8"/>
        </w:numPr>
      </w:pPr>
      <w:r w:rsidRPr="008A6BEE">
        <w:t>Intellectual property and customer data represent high-value strategic assets.</w:t>
      </w:r>
    </w:p>
    <w:p w14:paraId="0F84C361" w14:textId="77777777" w:rsidR="008A6BEE" w:rsidRDefault="008A6BEE" w:rsidP="008A6BEE">
      <w:r w:rsidRPr="008A6BEE">
        <w:t>These assumptions form the foundation for the governance-led, integrated design that follows, ensuring the model is realistic, proportionate, and directly relevant to NatureGreen’s operational and risk context.</w:t>
      </w:r>
    </w:p>
    <w:p w14:paraId="73480F71" w14:textId="77777777" w:rsidR="009A0290" w:rsidRPr="008A6BEE" w:rsidRDefault="009A0290" w:rsidP="008A6BEE"/>
    <w:p w14:paraId="2E854C86" w14:textId="77777777" w:rsidR="0073392E" w:rsidRDefault="009A0290" w:rsidP="00737887">
      <w:pPr>
        <w:pStyle w:val="Heading2"/>
        <w:numPr>
          <w:ilvl w:val="1"/>
          <w:numId w:val="1"/>
        </w:numPr>
      </w:pPr>
      <w:bookmarkStart w:id="10" w:name="_Toc221733961"/>
      <w:r w:rsidRPr="009A0290">
        <w:t>Governance Structure and Oversight Model</w:t>
      </w:r>
      <w:bookmarkEnd w:id="10"/>
    </w:p>
    <w:p w14:paraId="4AD58EDD" w14:textId="77777777" w:rsidR="006F5972" w:rsidRDefault="006F5972" w:rsidP="006F5972">
      <w:r>
        <w:t>Given the current absence of established policy and oversight at NatureGreen, governance reform must come before any technical implementation. Without clear leadership direction and accountability structures in place, technical controls would likely be applied inconsistently and fail to deliver sustainable results.</w:t>
      </w:r>
    </w:p>
    <w:p w14:paraId="7DD69A7C" w14:textId="6F6630A1" w:rsidR="006F5972" w:rsidRDefault="006F5972" w:rsidP="006F5972">
      <w:r>
        <w:t xml:space="preserve">COBIT emphasises the clear separation of governance (setting direction, evaluating performance, and overseeing risk) from management (planning, building, running, and monitoring activities), and explicitly assigns accountability to executive leadership and boards for ensuring IT and security align with stakeholder needs </w:t>
      </w:r>
      <w:sdt>
        <w:sdtPr>
          <w:id w:val="-2065476466"/>
          <w:citation/>
        </w:sdtPr>
        <w:sdtContent>
          <w:r w:rsidR="0045256C">
            <w:fldChar w:fldCharType="begin"/>
          </w:r>
          <w:r w:rsidR="0045256C">
            <w:instrText xml:space="preserve"> CITATION ISA26 \l 2057 </w:instrText>
          </w:r>
          <w:r w:rsidR="0045256C">
            <w:fldChar w:fldCharType="separate"/>
          </w:r>
          <w:r w:rsidR="0045256C" w:rsidRPr="0045256C">
            <w:rPr>
              <w:noProof/>
            </w:rPr>
            <w:t>[5]</w:t>
          </w:r>
          <w:r w:rsidR="0045256C">
            <w:fldChar w:fldCharType="end"/>
          </w:r>
        </w:sdtContent>
      </w:sdt>
      <w:r>
        <w:t>. Likewise, ISO/IEC 27001 requires demonstrable top management commitment and active leadership involvement in establishing, implementing, and continually improving the Information Security Management System (ISMS)</w:t>
      </w:r>
      <w:sdt>
        <w:sdtPr>
          <w:id w:val="-1343613211"/>
          <w:citation/>
        </w:sdtPr>
        <w:sdtContent>
          <w:r w:rsidR="0045256C">
            <w:fldChar w:fldCharType="begin"/>
          </w:r>
          <w:r w:rsidR="0045256C">
            <w:instrText xml:space="preserve"> CITATION Int22 \l 2057 </w:instrText>
          </w:r>
          <w:r w:rsidR="0045256C">
            <w:fldChar w:fldCharType="separate"/>
          </w:r>
          <w:r w:rsidR="0045256C">
            <w:rPr>
              <w:noProof/>
            </w:rPr>
            <w:t xml:space="preserve"> </w:t>
          </w:r>
          <w:r w:rsidR="0045256C" w:rsidRPr="0045256C">
            <w:rPr>
              <w:noProof/>
            </w:rPr>
            <w:t>[3]</w:t>
          </w:r>
          <w:r w:rsidR="0045256C">
            <w:fldChar w:fldCharType="end"/>
          </w:r>
        </w:sdtContent>
      </w:sdt>
      <w:r>
        <w:t xml:space="preserve">. Both frameworks stress that security is a strategic responsibility not </w:t>
      </w:r>
      <w:r w:rsidR="006B2B82">
        <w:t>just</w:t>
      </w:r>
      <w:r>
        <w:t xml:space="preserve"> an IT or operational task  and that executive ownership is essential for effective policy setting, resource allocation, and cultural change.</w:t>
      </w:r>
    </w:p>
    <w:p w14:paraId="2CF17DF6" w14:textId="40292845" w:rsidR="00D56CE6" w:rsidRDefault="006F5972" w:rsidP="006F5972">
      <w:r>
        <w:lastRenderedPageBreak/>
        <w:t>For NatureGreen, this means governance reform starts at the top: securing board-level engagement, defining clear accountability lines, and embedding security into strategic decision-making</w:t>
      </w:r>
      <w:sdt>
        <w:sdtPr>
          <w:id w:val="-1163861362"/>
          <w:citation/>
        </w:sdtPr>
        <w:sdtContent>
          <w:r w:rsidR="0045256C">
            <w:fldChar w:fldCharType="begin"/>
          </w:r>
          <w:r w:rsidR="0045256C">
            <w:instrText xml:space="preserve"> CITATION Nat23 \l 2057 </w:instrText>
          </w:r>
          <w:r w:rsidR="0045256C">
            <w:fldChar w:fldCharType="separate"/>
          </w:r>
          <w:r w:rsidR="0045256C">
            <w:rPr>
              <w:noProof/>
            </w:rPr>
            <w:t xml:space="preserve"> </w:t>
          </w:r>
          <w:r w:rsidR="0045256C" w:rsidRPr="0045256C">
            <w:rPr>
              <w:noProof/>
            </w:rPr>
            <w:t>[10]</w:t>
          </w:r>
          <w:r w:rsidR="0045256C">
            <w:fldChar w:fldCharType="end"/>
          </w:r>
        </w:sdtContent>
      </w:sdt>
      <w:r>
        <w:t>. Only once this foundation is in place can the organisation reliably move forward with risk treatment, control selection, policy enforcement, and technical measures across its cloud, wireless, and BYOD environment.</w:t>
      </w:r>
    </w:p>
    <w:p w14:paraId="477A0408" w14:textId="77777777" w:rsidR="00F71F19" w:rsidRPr="00D56CE6" w:rsidRDefault="00F71F19" w:rsidP="00BB61E2">
      <w:pPr>
        <w:pStyle w:val="Heading3"/>
        <w:numPr>
          <w:ilvl w:val="2"/>
          <w:numId w:val="1"/>
        </w:numPr>
      </w:pPr>
      <w:bookmarkStart w:id="11" w:name="_Toc221733962"/>
      <w:r w:rsidRPr="00F71F19">
        <w:t>Proposed Governance Framework</w:t>
      </w:r>
      <w:bookmarkEnd w:id="11"/>
    </w:p>
    <w:p w14:paraId="2EF9938E" w14:textId="77777777" w:rsidR="00F71F19" w:rsidRDefault="00F71F19" w:rsidP="00D56CE6">
      <w:pPr>
        <w:pStyle w:val="ListParagraph"/>
        <w:numPr>
          <w:ilvl w:val="0"/>
          <w:numId w:val="10"/>
        </w:numPr>
      </w:pPr>
      <w:r>
        <w:t>Establish a Board-Level Information Security Committee to provide executive oversight, review major risks, approve risk appetite, and ensure security aligns with business strategy.</w:t>
      </w:r>
    </w:p>
    <w:p w14:paraId="379E7099" w14:textId="77777777" w:rsidR="00F71F19" w:rsidRDefault="00F71F19" w:rsidP="00D56CE6">
      <w:pPr>
        <w:pStyle w:val="ListParagraph"/>
        <w:numPr>
          <w:ilvl w:val="0"/>
          <w:numId w:val="10"/>
        </w:numPr>
      </w:pPr>
      <w:r>
        <w:t>Appoint a Chief Information Security Officer (CISO) who reports directly to executive leadership (CEO or equivalent), giving security a clear voice at the highest level and enabling cross-functional influence.</w:t>
      </w:r>
    </w:p>
    <w:p w14:paraId="54527865" w14:textId="367D5BF6" w:rsidR="00F71F19" w:rsidRDefault="00F71F19" w:rsidP="00D56CE6">
      <w:pPr>
        <w:pStyle w:val="ListParagraph"/>
        <w:numPr>
          <w:ilvl w:val="0"/>
          <w:numId w:val="10"/>
        </w:numPr>
      </w:pPr>
      <w:r>
        <w:t>Define and document a formal Risk Appetite Statement that outlines the types and levels of risk the organisation is willing to accept in pursuit of its objectives providing clear guidance for decision-making across cloud, wireless, BYOD, and third-party vendor activities</w:t>
      </w:r>
      <w:sdt>
        <w:sdtPr>
          <w:id w:val="-2097540500"/>
          <w:citation/>
        </w:sdtPr>
        <w:sdtContent>
          <w:r w:rsidR="00984DB2">
            <w:fldChar w:fldCharType="begin"/>
          </w:r>
          <w:r w:rsidR="00984DB2">
            <w:instrText xml:space="preserve"> CITATION Int18 \l 2057 </w:instrText>
          </w:r>
          <w:r w:rsidR="00984DB2">
            <w:fldChar w:fldCharType="separate"/>
          </w:r>
          <w:r w:rsidR="00984DB2">
            <w:rPr>
              <w:noProof/>
            </w:rPr>
            <w:t xml:space="preserve"> </w:t>
          </w:r>
          <w:r w:rsidR="00984DB2" w:rsidRPr="00984DB2">
            <w:rPr>
              <w:noProof/>
            </w:rPr>
            <w:t>[11]</w:t>
          </w:r>
          <w:r w:rsidR="00984DB2">
            <w:fldChar w:fldCharType="end"/>
          </w:r>
        </w:sdtContent>
      </w:sdt>
      <w:r>
        <w:t>.</w:t>
      </w:r>
    </w:p>
    <w:p w14:paraId="7AE19A39" w14:textId="764C2C96" w:rsidR="00F71F19" w:rsidRDefault="00F71F19" w:rsidP="00D56CE6">
      <w:pPr>
        <w:pStyle w:val="ListParagraph"/>
        <w:numPr>
          <w:ilvl w:val="0"/>
          <w:numId w:val="10"/>
        </w:numPr>
      </w:pPr>
      <w:r>
        <w:t>Integrate security into a broader Governance, Risk and Compliance (GRC) framework, ensuring security is managed holistically alongside financial, operational, and regulatory risks rather than in isolation</w:t>
      </w:r>
      <w:sdt>
        <w:sdtPr>
          <w:id w:val="-15938466"/>
          <w:citation/>
        </w:sdtPr>
        <w:sdtContent>
          <w:r w:rsidR="0045256C">
            <w:fldChar w:fldCharType="begin"/>
          </w:r>
          <w:r w:rsidR="0045256C">
            <w:instrText xml:space="preserve"> CITATION NIS26 \l 2057 </w:instrText>
          </w:r>
          <w:r w:rsidR="0045256C">
            <w:fldChar w:fldCharType="separate"/>
          </w:r>
          <w:r w:rsidR="0045256C">
            <w:rPr>
              <w:noProof/>
            </w:rPr>
            <w:t xml:space="preserve"> </w:t>
          </w:r>
          <w:r w:rsidR="0045256C" w:rsidRPr="0045256C">
            <w:rPr>
              <w:noProof/>
            </w:rPr>
            <w:t>[11]</w:t>
          </w:r>
          <w:r w:rsidR="0045256C">
            <w:fldChar w:fldCharType="end"/>
          </w:r>
        </w:sdtContent>
      </w:sdt>
      <w:r>
        <w:t>.</w:t>
      </w:r>
    </w:p>
    <w:p w14:paraId="3BE66D40" w14:textId="77777777" w:rsidR="00F71F19" w:rsidRDefault="00F71F19" w:rsidP="00F71F19">
      <w:r>
        <w:t>This structure transforms information security from a reactive, IT-led concern into a proactive, strategic business function. It creates the leadership commitment, accountability, and decision-making clarity required for successful implementation of any subsequent technical measures, compliance obligations, and risk treatments</w:t>
      </w:r>
      <w:r w:rsidR="00280F26">
        <w:t xml:space="preserve">, </w:t>
      </w:r>
      <w:r>
        <w:t>laying a solid foundation for NatureGreen’s long-term security maturity and resilience.</w:t>
      </w:r>
    </w:p>
    <w:p w14:paraId="11FA0380" w14:textId="77777777" w:rsidR="006B2B82" w:rsidRDefault="00280F26" w:rsidP="006B2B82">
      <w:pPr>
        <w:keepNext/>
      </w:pPr>
      <w:r>
        <w:rPr>
          <w:noProof/>
        </w:rPr>
        <w:lastRenderedPageBreak/>
        <w:drawing>
          <wp:inline distT="0" distB="0" distL="0" distR="0" wp14:anchorId="3E8FC9B2" wp14:editId="0200B7D9">
            <wp:extent cx="5557838" cy="2900045"/>
            <wp:effectExtent l="0" t="38100" r="0" b="52705"/>
            <wp:docPr id="30535221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F64F169" w14:textId="77777777" w:rsidR="00280F26" w:rsidRDefault="006B2B82" w:rsidP="006B2B82">
      <w:pPr>
        <w:pStyle w:val="Caption"/>
      </w:pPr>
      <w:r>
        <w:t xml:space="preserve">Figure </w:t>
      </w:r>
      <w:r>
        <w:fldChar w:fldCharType="begin"/>
      </w:r>
      <w:r>
        <w:instrText xml:space="preserve"> SEQ Figure \* ARABIC </w:instrText>
      </w:r>
      <w:r>
        <w:fldChar w:fldCharType="separate"/>
      </w:r>
      <w:r w:rsidR="00342AEA">
        <w:rPr>
          <w:noProof/>
        </w:rPr>
        <w:t>1</w:t>
      </w:r>
      <w:r>
        <w:fldChar w:fldCharType="end"/>
      </w:r>
      <w:r w:rsidRPr="00057C55">
        <w:t>Governance and Oversight Model for Information Security at NatureGreen</w:t>
      </w:r>
    </w:p>
    <w:p w14:paraId="1E8E0D8E" w14:textId="77777777" w:rsidR="0009513C" w:rsidRDefault="0009513C" w:rsidP="0009513C"/>
    <w:p w14:paraId="4AAAD435" w14:textId="77777777" w:rsidR="0009513C" w:rsidRDefault="00651F57" w:rsidP="00651F57">
      <w:pPr>
        <w:pStyle w:val="Heading3"/>
        <w:numPr>
          <w:ilvl w:val="2"/>
          <w:numId w:val="1"/>
        </w:numPr>
      </w:pPr>
      <w:bookmarkStart w:id="12" w:name="_Toc221733963"/>
      <w:r w:rsidRPr="00651F57">
        <w:t>Justification</w:t>
      </w:r>
      <w:bookmarkEnd w:id="12"/>
    </w:p>
    <w:p w14:paraId="169BC402" w14:textId="77777777" w:rsidR="00651F57" w:rsidRDefault="00651F57" w:rsidP="00651F57">
      <w:r>
        <w:t>Given the current absence of established policy and oversight at NatureGreen, governance reform must come before any technical implementation. Without clear leadership direction and accountability structures in place, technical controls would likely be applied inconsistently and fail to deliver sustainable results.</w:t>
      </w:r>
    </w:p>
    <w:p w14:paraId="70BB3087" w14:textId="7AFE31F9" w:rsidR="00651F57" w:rsidRDefault="00651F57" w:rsidP="00651F57">
      <w:r>
        <w:t xml:space="preserve">COBIT emphasises the clear separation of governance (setting direction, evaluating performance, and overseeing risk) from management (planning, building, running, and monitoring activities), and explicitly assigns accountability to executive leadership and boards for ensuring IT and security align with stakeholder needs </w:t>
      </w:r>
      <w:sdt>
        <w:sdtPr>
          <w:id w:val="1946412333"/>
          <w:citation/>
        </w:sdtPr>
        <w:sdtContent>
          <w:r w:rsidR="00984DB2">
            <w:fldChar w:fldCharType="begin"/>
          </w:r>
          <w:r w:rsidR="00984DB2">
            <w:instrText xml:space="preserve"> CITATION ISA26 \l 2057 </w:instrText>
          </w:r>
          <w:r w:rsidR="00984DB2">
            <w:fldChar w:fldCharType="separate"/>
          </w:r>
          <w:r w:rsidR="00984DB2" w:rsidRPr="00984DB2">
            <w:rPr>
              <w:noProof/>
            </w:rPr>
            <w:t>[5]</w:t>
          </w:r>
          <w:r w:rsidR="00984DB2">
            <w:fldChar w:fldCharType="end"/>
          </w:r>
        </w:sdtContent>
      </w:sdt>
      <w:r>
        <w:t xml:space="preserve">. Likewise, ISO/IEC 27001 requires demonstrable top management commitment and active leadership involvement in establishing, implementing, and continually improving the Information Security Management System (ISMS) </w:t>
      </w:r>
      <w:sdt>
        <w:sdtPr>
          <w:id w:val="-1070963565"/>
          <w:citation/>
        </w:sdtPr>
        <w:sdtContent>
          <w:r w:rsidR="00984DB2">
            <w:fldChar w:fldCharType="begin"/>
          </w:r>
          <w:r w:rsidR="00984DB2">
            <w:instrText xml:space="preserve"> CITATION Int22 \l 2057 </w:instrText>
          </w:r>
          <w:r w:rsidR="00984DB2">
            <w:fldChar w:fldCharType="separate"/>
          </w:r>
          <w:r w:rsidR="00984DB2" w:rsidRPr="00984DB2">
            <w:rPr>
              <w:noProof/>
            </w:rPr>
            <w:t>[3]</w:t>
          </w:r>
          <w:r w:rsidR="00984DB2">
            <w:fldChar w:fldCharType="end"/>
          </w:r>
        </w:sdtContent>
      </w:sdt>
      <w:r>
        <w:t>. Both frameworks stress that security is a strategic responsibility not merely an IT or operational task and that executive ownership is essential for effective policy setting, resource allocation, and cultural change.</w:t>
      </w:r>
    </w:p>
    <w:p w14:paraId="5841A6E6" w14:textId="77777777" w:rsidR="00124503" w:rsidRDefault="00651F57" w:rsidP="00C64636">
      <w:r>
        <w:t>For NatureGreen, this means governance reform starts at the top: securing board-level engagement, defining clear accountability lines, and embedding security into strategic decision-making. Only once this foundation is in place can the organisation reliably move forward with risk treatment, control selection, policy enforcement, and technical measures across its cloud, wireless, and BYOD environment.</w:t>
      </w:r>
    </w:p>
    <w:p w14:paraId="69ACA922" w14:textId="77777777" w:rsidR="00C64636" w:rsidRDefault="00C64636" w:rsidP="00C64636"/>
    <w:p w14:paraId="1FE1668E" w14:textId="77777777" w:rsidR="00C64636" w:rsidRDefault="00C64636" w:rsidP="00C64636">
      <w:pPr>
        <w:pStyle w:val="Heading2"/>
        <w:numPr>
          <w:ilvl w:val="1"/>
          <w:numId w:val="1"/>
        </w:numPr>
      </w:pPr>
      <w:bookmarkStart w:id="13" w:name="_Toc221733964"/>
      <w:r w:rsidRPr="00C64636">
        <w:t>Information Security Policy Framework</w:t>
      </w:r>
      <w:bookmarkEnd w:id="13"/>
    </w:p>
    <w:p w14:paraId="252809F6" w14:textId="531A788E" w:rsidR="000252FD" w:rsidRDefault="00636681" w:rsidP="000252FD">
      <w:r w:rsidRPr="00636681">
        <w:t xml:space="preserve">Given the current absence of established policy and oversight, governance reform must precede technical implementation. COBIT emphasises the separation of governance and management functions and assigns accountability to executive leadership and boards </w:t>
      </w:r>
      <w:sdt>
        <w:sdtPr>
          <w:id w:val="-825584324"/>
          <w:citation/>
        </w:sdtPr>
        <w:sdtContent>
          <w:r w:rsidR="00984DB2">
            <w:fldChar w:fldCharType="begin"/>
          </w:r>
          <w:r w:rsidR="00984DB2">
            <w:instrText xml:space="preserve"> CITATION ISA26 \l 2057 </w:instrText>
          </w:r>
          <w:r w:rsidR="00984DB2">
            <w:fldChar w:fldCharType="separate"/>
          </w:r>
          <w:r w:rsidR="00984DB2" w:rsidRPr="00984DB2">
            <w:rPr>
              <w:noProof/>
            </w:rPr>
            <w:t>[5]</w:t>
          </w:r>
          <w:r w:rsidR="00984DB2">
            <w:fldChar w:fldCharType="end"/>
          </w:r>
        </w:sdtContent>
      </w:sdt>
      <w:r w:rsidRPr="00636681">
        <w:t xml:space="preserve">. Similarly, ISO/IEC 27001 requires top management commitment and leadership involvement in establishing an Information Security Management System (ISMS) </w:t>
      </w:r>
      <w:sdt>
        <w:sdtPr>
          <w:id w:val="1028923121"/>
          <w:citation/>
        </w:sdtPr>
        <w:sdtContent>
          <w:r w:rsidR="00984DB2">
            <w:fldChar w:fldCharType="begin"/>
          </w:r>
          <w:r w:rsidR="00984DB2">
            <w:instrText xml:space="preserve"> CITATION Int22 \l 2057 </w:instrText>
          </w:r>
          <w:r w:rsidR="00984DB2">
            <w:fldChar w:fldCharType="separate"/>
          </w:r>
          <w:r w:rsidR="00984DB2" w:rsidRPr="00984DB2">
            <w:rPr>
              <w:noProof/>
            </w:rPr>
            <w:t>[3]</w:t>
          </w:r>
          <w:r w:rsidR="00984DB2">
            <w:fldChar w:fldCharType="end"/>
          </w:r>
        </w:sdtContent>
      </w:sdt>
      <w:r w:rsidRPr="00636681">
        <w:t>.</w:t>
      </w:r>
    </w:p>
    <w:p w14:paraId="0C12FAF0" w14:textId="77777777" w:rsidR="00FD71C0" w:rsidRDefault="00FD71C0" w:rsidP="00FD71C0">
      <w:pPr>
        <w:pStyle w:val="Heading3"/>
        <w:numPr>
          <w:ilvl w:val="2"/>
          <w:numId w:val="1"/>
        </w:numPr>
      </w:pPr>
      <w:bookmarkStart w:id="14" w:name="_Toc221733965"/>
      <w:r w:rsidRPr="00FD71C0">
        <w:t>Proposed Policy Structure</w:t>
      </w:r>
      <w:bookmarkEnd w:id="14"/>
    </w:p>
    <w:p w14:paraId="4F317120" w14:textId="77777777" w:rsidR="00124089" w:rsidRDefault="00124089" w:rsidP="00124089">
      <w:r w:rsidRPr="00124089">
        <w:t>The following layered policy model is recommended for NatureGreen to establish a clear, enforceable, and scalable security policy framework:</w:t>
      </w:r>
    </w:p>
    <w:p w14:paraId="36CDAB59" w14:textId="77777777" w:rsidR="001D6321" w:rsidRDefault="001D6321" w:rsidP="001D6321">
      <w:pPr>
        <w:pStyle w:val="ListParagraph"/>
        <w:ind w:left="1080"/>
      </w:pPr>
      <w:r>
        <w:t>1.</w:t>
      </w:r>
      <w:r w:rsidRPr="0049260E">
        <w:rPr>
          <w:b/>
          <w:bCs/>
        </w:rPr>
        <w:t>Enterprise Information Security Policy (EISP)</w:t>
      </w:r>
    </w:p>
    <w:p w14:paraId="0B333D31" w14:textId="7E32F589" w:rsidR="001D6321" w:rsidRDefault="001D6321" w:rsidP="001D6321">
      <w:pPr>
        <w:pStyle w:val="ListParagraph"/>
        <w:ind w:left="1080"/>
      </w:pPr>
      <w:r>
        <w:t>Defines overall security objectives, scope, governance alignment, and accountability.</w:t>
      </w:r>
      <w:sdt>
        <w:sdtPr>
          <w:id w:val="1993059821"/>
          <w:citation/>
        </w:sdtPr>
        <w:sdtContent>
          <w:r w:rsidR="009B23E1">
            <w:fldChar w:fldCharType="begin"/>
          </w:r>
          <w:r w:rsidR="009B23E1">
            <w:instrText xml:space="preserve"> CITATION Int22 \l 2057 </w:instrText>
          </w:r>
          <w:r w:rsidR="009B23E1">
            <w:fldChar w:fldCharType="separate"/>
          </w:r>
          <w:r w:rsidR="009B23E1">
            <w:rPr>
              <w:noProof/>
            </w:rPr>
            <w:t xml:space="preserve"> </w:t>
          </w:r>
          <w:r w:rsidR="009B23E1" w:rsidRPr="009B23E1">
            <w:rPr>
              <w:noProof/>
            </w:rPr>
            <w:t>[3]</w:t>
          </w:r>
          <w:r w:rsidR="009B23E1">
            <w:fldChar w:fldCharType="end"/>
          </w:r>
        </w:sdtContent>
      </w:sdt>
    </w:p>
    <w:p w14:paraId="47BF3BB2" w14:textId="77777777" w:rsidR="001D6321" w:rsidRDefault="001D6321" w:rsidP="001D6321">
      <w:pPr>
        <w:pStyle w:val="ListParagraph"/>
        <w:ind w:left="1080"/>
      </w:pPr>
      <w:r>
        <w:t>2.</w:t>
      </w:r>
      <w:r w:rsidRPr="0049260E">
        <w:rPr>
          <w:b/>
          <w:bCs/>
        </w:rPr>
        <w:t>Acceptable Use Policy</w:t>
      </w:r>
    </w:p>
    <w:p w14:paraId="0E61ECAA" w14:textId="32040B1A" w:rsidR="001D6321" w:rsidRDefault="001D6321" w:rsidP="001D6321">
      <w:pPr>
        <w:pStyle w:val="ListParagraph"/>
        <w:ind w:left="1080"/>
      </w:pPr>
      <w:r>
        <w:t>Governs employee and customer behaviour, including BYOD usage.</w:t>
      </w:r>
      <w:sdt>
        <w:sdtPr>
          <w:id w:val="-1866900493"/>
          <w:citation/>
        </w:sdtPr>
        <w:sdtContent>
          <w:r w:rsidR="009B23E1">
            <w:fldChar w:fldCharType="begin"/>
          </w:r>
          <w:r w:rsidR="009B23E1">
            <w:instrText xml:space="preserve"> CITATION Nat20 \l 2057 </w:instrText>
          </w:r>
          <w:r w:rsidR="009B23E1">
            <w:fldChar w:fldCharType="separate"/>
          </w:r>
          <w:r w:rsidR="009B23E1">
            <w:rPr>
              <w:noProof/>
            </w:rPr>
            <w:t xml:space="preserve"> </w:t>
          </w:r>
          <w:r w:rsidR="009B23E1" w:rsidRPr="009B23E1">
            <w:rPr>
              <w:noProof/>
            </w:rPr>
            <w:t>[13]</w:t>
          </w:r>
          <w:r w:rsidR="009B23E1">
            <w:fldChar w:fldCharType="end"/>
          </w:r>
        </w:sdtContent>
      </w:sdt>
    </w:p>
    <w:p w14:paraId="5DC0F6CB" w14:textId="77777777" w:rsidR="001D6321" w:rsidRPr="0049260E" w:rsidRDefault="001D6321" w:rsidP="001D6321">
      <w:pPr>
        <w:pStyle w:val="ListParagraph"/>
        <w:ind w:left="1080"/>
        <w:rPr>
          <w:b/>
          <w:bCs/>
        </w:rPr>
      </w:pPr>
      <w:r>
        <w:t>3.</w:t>
      </w:r>
      <w:r w:rsidRPr="0049260E">
        <w:rPr>
          <w:b/>
          <w:bCs/>
        </w:rPr>
        <w:t>BYOD Policy</w:t>
      </w:r>
    </w:p>
    <w:p w14:paraId="4EC8BD0F" w14:textId="7FA2C8D9" w:rsidR="001D6321" w:rsidRDefault="001D6321" w:rsidP="001D6321">
      <w:pPr>
        <w:pStyle w:val="ListParagraph"/>
        <w:ind w:left="1080"/>
      </w:pPr>
      <w:r>
        <w:t>Covers device registration, security requirements, monitoring, and enforcement.</w:t>
      </w:r>
      <w:sdt>
        <w:sdtPr>
          <w:id w:val="-1900664251"/>
          <w:citation/>
        </w:sdtPr>
        <w:sdtContent>
          <w:r w:rsidR="00A96E57">
            <w:fldChar w:fldCharType="begin"/>
          </w:r>
          <w:r w:rsidR="00A96E57">
            <w:instrText xml:space="preserve"> CITATION Nat262 \l 2057 </w:instrText>
          </w:r>
          <w:r w:rsidR="00A96E57">
            <w:fldChar w:fldCharType="separate"/>
          </w:r>
          <w:r w:rsidR="00A96E57">
            <w:rPr>
              <w:noProof/>
            </w:rPr>
            <w:t xml:space="preserve"> </w:t>
          </w:r>
          <w:r w:rsidR="00A96E57" w:rsidRPr="00A96E57">
            <w:rPr>
              <w:noProof/>
            </w:rPr>
            <w:t>[14]</w:t>
          </w:r>
          <w:r w:rsidR="00A96E57">
            <w:fldChar w:fldCharType="end"/>
          </w:r>
        </w:sdtContent>
      </w:sdt>
    </w:p>
    <w:p w14:paraId="0609D732" w14:textId="77777777" w:rsidR="001D6321" w:rsidRPr="0049260E" w:rsidRDefault="001D6321" w:rsidP="001D6321">
      <w:pPr>
        <w:pStyle w:val="ListParagraph"/>
        <w:ind w:left="1080"/>
        <w:rPr>
          <w:b/>
          <w:bCs/>
        </w:rPr>
      </w:pPr>
      <w:r>
        <w:t>4.</w:t>
      </w:r>
      <w:r w:rsidRPr="0049260E">
        <w:rPr>
          <w:b/>
          <w:bCs/>
        </w:rPr>
        <w:t>Cloud Security Policy</w:t>
      </w:r>
    </w:p>
    <w:p w14:paraId="42915E79" w14:textId="0B74FEFE" w:rsidR="001D6321" w:rsidRDefault="001D6321" w:rsidP="001D6321">
      <w:pPr>
        <w:pStyle w:val="ListParagraph"/>
        <w:ind w:left="1080"/>
      </w:pPr>
      <w:r>
        <w:t>Defines shared responsibility model and vendor obligations.</w:t>
      </w:r>
      <w:sdt>
        <w:sdtPr>
          <w:id w:val="1946876119"/>
          <w:citation/>
        </w:sdtPr>
        <w:sdtContent>
          <w:r w:rsidR="00A96E57">
            <w:fldChar w:fldCharType="begin"/>
          </w:r>
          <w:r w:rsidR="00A96E57">
            <w:instrText xml:space="preserve"> CITATION Nat11 \l 2057 </w:instrText>
          </w:r>
          <w:r w:rsidR="00A96E57">
            <w:fldChar w:fldCharType="separate"/>
          </w:r>
          <w:r w:rsidR="00A96E57">
            <w:rPr>
              <w:noProof/>
            </w:rPr>
            <w:t xml:space="preserve"> </w:t>
          </w:r>
          <w:r w:rsidR="00A96E57" w:rsidRPr="00A96E57">
            <w:rPr>
              <w:noProof/>
            </w:rPr>
            <w:t>[15]</w:t>
          </w:r>
          <w:r w:rsidR="00A96E57">
            <w:fldChar w:fldCharType="end"/>
          </w:r>
        </w:sdtContent>
      </w:sdt>
    </w:p>
    <w:p w14:paraId="5DE22278" w14:textId="77777777" w:rsidR="001D6321" w:rsidRPr="0049260E" w:rsidRDefault="001D6321" w:rsidP="001D6321">
      <w:pPr>
        <w:pStyle w:val="ListParagraph"/>
        <w:ind w:left="1080"/>
        <w:rPr>
          <w:b/>
          <w:bCs/>
        </w:rPr>
      </w:pPr>
      <w:r>
        <w:t>5.</w:t>
      </w:r>
      <w:r w:rsidRPr="0049260E">
        <w:rPr>
          <w:b/>
          <w:bCs/>
        </w:rPr>
        <w:t>Data Classification Policy</w:t>
      </w:r>
    </w:p>
    <w:p w14:paraId="47513F9E" w14:textId="37112996" w:rsidR="001D6321" w:rsidRDefault="001D6321" w:rsidP="001D6321">
      <w:pPr>
        <w:pStyle w:val="ListParagraph"/>
        <w:ind w:left="1080"/>
      </w:pPr>
      <w:r>
        <w:t>Categorises assets rules.</w:t>
      </w:r>
      <w:sdt>
        <w:sdtPr>
          <w:id w:val="488523465"/>
          <w:citation/>
        </w:sdtPr>
        <w:sdtContent>
          <w:r w:rsidR="00A96E57">
            <w:fldChar w:fldCharType="begin"/>
          </w:r>
          <w:r w:rsidR="00A96E57">
            <w:instrText xml:space="preserve"> CITATION Nat08 \l 2057 </w:instrText>
          </w:r>
          <w:r w:rsidR="00A96E57">
            <w:fldChar w:fldCharType="separate"/>
          </w:r>
          <w:r w:rsidR="00A96E57">
            <w:rPr>
              <w:noProof/>
            </w:rPr>
            <w:t xml:space="preserve"> </w:t>
          </w:r>
          <w:r w:rsidR="00A96E57" w:rsidRPr="00A96E57">
            <w:rPr>
              <w:noProof/>
            </w:rPr>
            <w:t>[16]</w:t>
          </w:r>
          <w:r w:rsidR="00A96E57">
            <w:fldChar w:fldCharType="end"/>
          </w:r>
        </w:sdtContent>
      </w:sdt>
    </w:p>
    <w:p w14:paraId="13026B11" w14:textId="77777777" w:rsidR="001D6321" w:rsidRPr="0049260E" w:rsidRDefault="001D6321" w:rsidP="001D6321">
      <w:pPr>
        <w:pStyle w:val="ListParagraph"/>
        <w:ind w:left="1080"/>
        <w:rPr>
          <w:b/>
          <w:bCs/>
        </w:rPr>
      </w:pPr>
      <w:r>
        <w:t>6.</w:t>
      </w:r>
      <w:r w:rsidRPr="0049260E">
        <w:rPr>
          <w:b/>
          <w:bCs/>
        </w:rPr>
        <w:t>Incident Response Policy</w:t>
      </w:r>
    </w:p>
    <w:p w14:paraId="5ED21668" w14:textId="5627D8B9" w:rsidR="001D6321" w:rsidRDefault="001D6321" w:rsidP="001D6321">
      <w:pPr>
        <w:pStyle w:val="ListParagraph"/>
        <w:ind w:left="1080"/>
      </w:pPr>
      <w:r>
        <w:t>Outlines detection, reporting, escalation, and recovery procedures.</w:t>
      </w:r>
      <w:r w:rsidR="00A96E57">
        <w:t xml:space="preserve"> </w:t>
      </w:r>
      <w:sdt>
        <w:sdtPr>
          <w:id w:val="2029977189"/>
          <w:citation/>
        </w:sdtPr>
        <w:sdtContent>
          <w:r w:rsidR="00A96E57">
            <w:fldChar w:fldCharType="begin"/>
          </w:r>
          <w:r w:rsidR="00A96E57">
            <w:instrText xml:space="preserve"> CITATION Nat12 \l 2057 </w:instrText>
          </w:r>
          <w:r w:rsidR="00A96E57">
            <w:fldChar w:fldCharType="separate"/>
          </w:r>
          <w:r w:rsidR="00A96E57">
            <w:rPr>
              <w:noProof/>
            </w:rPr>
            <w:t xml:space="preserve"> </w:t>
          </w:r>
          <w:r w:rsidR="00A96E57" w:rsidRPr="00A96E57">
            <w:rPr>
              <w:noProof/>
            </w:rPr>
            <w:t>[8]</w:t>
          </w:r>
          <w:r w:rsidR="00A96E57">
            <w:fldChar w:fldCharType="end"/>
          </w:r>
        </w:sdtContent>
      </w:sdt>
    </w:p>
    <w:p w14:paraId="3CB28C91" w14:textId="77777777" w:rsidR="00A466CF" w:rsidRDefault="00774FF7" w:rsidP="00A466CF">
      <w:pPr>
        <w:keepNext/>
        <w:jc w:val="center"/>
      </w:pPr>
      <w:r>
        <w:rPr>
          <w:noProof/>
        </w:rPr>
        <w:lastRenderedPageBreak/>
        <w:drawing>
          <wp:inline distT="0" distB="0" distL="0" distR="0" wp14:anchorId="12AD43D7" wp14:editId="4B49AE08">
            <wp:extent cx="3581400" cy="2904807"/>
            <wp:effectExtent l="38100" t="57150" r="38100" b="48260"/>
            <wp:docPr id="115250522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8C76906" w14:textId="77777777" w:rsidR="001D6321" w:rsidRDefault="00A466CF" w:rsidP="00A466CF">
      <w:pPr>
        <w:pStyle w:val="Caption"/>
        <w:jc w:val="center"/>
      </w:pPr>
      <w:r>
        <w:t xml:space="preserve">Figure </w:t>
      </w:r>
      <w:r>
        <w:fldChar w:fldCharType="begin"/>
      </w:r>
      <w:r>
        <w:instrText xml:space="preserve"> SEQ Figure \* ARABIC </w:instrText>
      </w:r>
      <w:r>
        <w:fldChar w:fldCharType="separate"/>
      </w:r>
      <w:r w:rsidR="00342AEA">
        <w:rPr>
          <w:noProof/>
        </w:rPr>
        <w:t>2</w:t>
      </w:r>
      <w:r>
        <w:fldChar w:fldCharType="end"/>
      </w:r>
      <w:r>
        <w:t xml:space="preserve"> </w:t>
      </w:r>
      <w:r w:rsidRPr="004C0909">
        <w:t>Information Security Policy Hierarchy for NatureGreen</w:t>
      </w:r>
    </w:p>
    <w:p w14:paraId="0514D690" w14:textId="58640537" w:rsidR="00A466CF" w:rsidRDefault="0087585E" w:rsidP="00A466CF">
      <w:r w:rsidRPr="0087585E">
        <w:t>As illustrated in Figure 2, the Enterprise Information Security Policy provides strategic direction and executive oversight, while standards, procedures, and guidelines translate governance objectives into enforceable operational controls. This hierarchical structure aligns with ISO/IEC 27001’s requirement for documented and structured policy frameworks</w:t>
      </w:r>
      <w:sdt>
        <w:sdtPr>
          <w:id w:val="964230656"/>
          <w:citation/>
        </w:sdtPr>
        <w:sdtContent>
          <w:r w:rsidR="00AD0C7E">
            <w:fldChar w:fldCharType="begin"/>
          </w:r>
          <w:r w:rsidR="00AD0C7E">
            <w:instrText xml:space="preserve"> CITATION Int22 \l 2057 </w:instrText>
          </w:r>
          <w:r w:rsidR="00AD0C7E">
            <w:fldChar w:fldCharType="separate"/>
          </w:r>
          <w:r w:rsidR="00AD0C7E">
            <w:rPr>
              <w:noProof/>
            </w:rPr>
            <w:t xml:space="preserve"> </w:t>
          </w:r>
          <w:r w:rsidR="00AD0C7E" w:rsidRPr="00AD0C7E">
            <w:rPr>
              <w:noProof/>
            </w:rPr>
            <w:t>[3]</w:t>
          </w:r>
          <w:r w:rsidR="00AD0C7E">
            <w:fldChar w:fldCharType="end"/>
          </w:r>
        </w:sdtContent>
      </w:sdt>
      <w:r w:rsidRPr="0087585E">
        <w:t>.</w:t>
      </w:r>
    </w:p>
    <w:p w14:paraId="0B77FB74" w14:textId="77777777" w:rsidR="0087585E" w:rsidRDefault="00AE2C89" w:rsidP="00AE2C89">
      <w:pPr>
        <w:pStyle w:val="Heading3"/>
        <w:numPr>
          <w:ilvl w:val="2"/>
          <w:numId w:val="1"/>
        </w:numPr>
      </w:pPr>
      <w:bookmarkStart w:id="15" w:name="_Toc221733966"/>
      <w:r w:rsidRPr="00AE2C89">
        <w:t>Justification</w:t>
      </w:r>
      <w:bookmarkEnd w:id="15"/>
    </w:p>
    <w:p w14:paraId="14F639E8" w14:textId="4411321A" w:rsidR="00C1613E" w:rsidRDefault="00C1613E" w:rsidP="00C1613E">
      <w:r>
        <w:t xml:space="preserve">A structured policy hierarchy ensures clarity of authority and reduces ambiguity in employee responsibilities. ISO/IEC 27001 requires that information security policies be formally approved by top management and communicated throughout the organisation </w:t>
      </w:r>
      <w:sdt>
        <w:sdtPr>
          <w:id w:val="-1989848722"/>
          <w:citation/>
        </w:sdtPr>
        <w:sdtContent>
          <w:r w:rsidR="00AD0C7E">
            <w:fldChar w:fldCharType="begin"/>
          </w:r>
          <w:r w:rsidR="00AD0C7E">
            <w:instrText xml:space="preserve"> CITATION Int22 \l 2057 </w:instrText>
          </w:r>
          <w:r w:rsidR="00AD0C7E">
            <w:fldChar w:fldCharType="separate"/>
          </w:r>
          <w:r w:rsidR="00AD0C7E" w:rsidRPr="00AD0C7E">
            <w:rPr>
              <w:noProof/>
            </w:rPr>
            <w:t>[3]</w:t>
          </w:r>
          <w:r w:rsidR="00AD0C7E">
            <w:fldChar w:fldCharType="end"/>
          </w:r>
        </w:sdtContent>
      </w:sdt>
      <w:r>
        <w:t>. Documented policies also demonstrate due diligence and due care in regulatory contexts, especially when handling personal data and intellectual property</w:t>
      </w:r>
      <w:sdt>
        <w:sdtPr>
          <w:id w:val="1036161595"/>
          <w:citation/>
        </w:sdtPr>
        <w:sdtContent>
          <w:r w:rsidR="00AD0C7E">
            <w:fldChar w:fldCharType="begin"/>
          </w:r>
          <w:r w:rsidR="00AD0C7E">
            <w:instrText xml:space="preserve"> CITATION Inf26 \l 2057 </w:instrText>
          </w:r>
          <w:r w:rsidR="00AD0C7E">
            <w:fldChar w:fldCharType="separate"/>
          </w:r>
          <w:r w:rsidR="00AD0C7E">
            <w:rPr>
              <w:noProof/>
            </w:rPr>
            <w:t xml:space="preserve"> </w:t>
          </w:r>
          <w:r w:rsidR="00AD0C7E" w:rsidRPr="00AD0C7E">
            <w:rPr>
              <w:noProof/>
            </w:rPr>
            <w:t>[17]</w:t>
          </w:r>
          <w:r w:rsidR="00AD0C7E">
            <w:fldChar w:fldCharType="end"/>
          </w:r>
        </w:sdtContent>
      </w:sdt>
      <w:r>
        <w:t>.</w:t>
      </w:r>
    </w:p>
    <w:p w14:paraId="45182590" w14:textId="2B81EE6F" w:rsidR="00C1613E" w:rsidRDefault="00C1613E" w:rsidP="00C1613E">
      <w:r>
        <w:t>For NatureGreen, operating globally and subject to multiple data protection regimes (including GDPR)</w:t>
      </w:r>
      <w:sdt>
        <w:sdtPr>
          <w:id w:val="710382887"/>
          <w:citation/>
        </w:sdtPr>
        <w:sdtContent>
          <w:r w:rsidR="00AD0C7E">
            <w:fldChar w:fldCharType="begin"/>
          </w:r>
          <w:r w:rsidR="00AD0C7E">
            <w:instrText xml:space="preserve"> CITATION Eur26 \l 2057 </w:instrText>
          </w:r>
          <w:r w:rsidR="00AD0C7E">
            <w:fldChar w:fldCharType="separate"/>
          </w:r>
          <w:r w:rsidR="00AD0C7E">
            <w:rPr>
              <w:noProof/>
            </w:rPr>
            <w:t xml:space="preserve"> </w:t>
          </w:r>
          <w:r w:rsidR="00AD0C7E" w:rsidRPr="00AD0C7E">
            <w:rPr>
              <w:noProof/>
            </w:rPr>
            <w:t>[18]</w:t>
          </w:r>
          <w:r w:rsidR="00AD0C7E">
            <w:fldChar w:fldCharType="end"/>
          </w:r>
        </w:sdtContent>
      </w:sdt>
      <w:r>
        <w:t>, formal policies provide essential legal defensibility during regulatory scrutiny or breach investigations. Without clear behavioural expectations, rolling out BYOD would substantially increase insider threat exposure and compliance risk</w:t>
      </w:r>
      <w:sdt>
        <w:sdtPr>
          <w:id w:val="-551851827"/>
          <w:citation/>
        </w:sdtPr>
        <w:sdtContent>
          <w:r w:rsidR="00F875CF">
            <w:fldChar w:fldCharType="begin"/>
          </w:r>
          <w:r w:rsidR="00F875CF">
            <w:instrText xml:space="preserve"> CITATION Cyb24 \l 2057 </w:instrText>
          </w:r>
          <w:r w:rsidR="00F875CF">
            <w:fldChar w:fldCharType="separate"/>
          </w:r>
          <w:r w:rsidR="00F875CF">
            <w:rPr>
              <w:noProof/>
            </w:rPr>
            <w:t xml:space="preserve"> </w:t>
          </w:r>
          <w:r w:rsidR="00F875CF" w:rsidRPr="00F875CF">
            <w:rPr>
              <w:noProof/>
            </w:rPr>
            <w:t>[19]</w:t>
          </w:r>
          <w:r w:rsidR="00F875CF">
            <w:fldChar w:fldCharType="end"/>
          </w:r>
        </w:sdtContent>
      </w:sdt>
      <w:r>
        <w:t>.</w:t>
      </w:r>
    </w:p>
    <w:p w14:paraId="4A65EC90" w14:textId="77777777" w:rsidR="00AE2C89" w:rsidRDefault="00C1613E" w:rsidP="00C1613E">
      <w:r>
        <w:t>This policy framework therefore establishes behavioural governance first, creating the necessary foundation before technical enforcement mechanisms are introduced.</w:t>
      </w:r>
    </w:p>
    <w:p w14:paraId="433135B1" w14:textId="77777777" w:rsidR="0033719E" w:rsidRDefault="0033719E" w:rsidP="00C1613E"/>
    <w:p w14:paraId="51E597EC" w14:textId="77777777" w:rsidR="009C0769" w:rsidRDefault="009C0769" w:rsidP="00C1613E"/>
    <w:p w14:paraId="700223A8" w14:textId="77777777" w:rsidR="009C0769" w:rsidRDefault="00611A48" w:rsidP="006C3C9A">
      <w:pPr>
        <w:pStyle w:val="Heading2"/>
        <w:numPr>
          <w:ilvl w:val="1"/>
          <w:numId w:val="1"/>
        </w:numPr>
      </w:pPr>
      <w:bookmarkStart w:id="16" w:name="_Toc221733967"/>
      <w:r w:rsidRPr="00611A48">
        <w:lastRenderedPageBreak/>
        <w:t>Risk Management and Treatment Strategy</w:t>
      </w:r>
      <w:bookmarkEnd w:id="16"/>
    </w:p>
    <w:p w14:paraId="1D1EC597" w14:textId="293FE75A" w:rsidR="0033719E" w:rsidRDefault="0033719E" w:rsidP="0033719E">
      <w:r>
        <w:t>A risk-based approach is central to ISO/IEC 27001 and underpins the selection and implementation of appropriate security controls</w:t>
      </w:r>
      <w:sdt>
        <w:sdtPr>
          <w:id w:val="1762879300"/>
          <w:citation/>
        </w:sdtPr>
        <w:sdtContent>
          <w:r w:rsidR="00F875CF">
            <w:fldChar w:fldCharType="begin"/>
          </w:r>
          <w:r w:rsidR="00F875CF">
            <w:instrText xml:space="preserve"> CITATION Int22 \l 2057 </w:instrText>
          </w:r>
          <w:r w:rsidR="00F875CF">
            <w:fldChar w:fldCharType="separate"/>
          </w:r>
          <w:r w:rsidR="00F875CF">
            <w:rPr>
              <w:noProof/>
            </w:rPr>
            <w:t xml:space="preserve"> </w:t>
          </w:r>
          <w:r w:rsidR="00F875CF" w:rsidRPr="00F875CF">
            <w:rPr>
              <w:noProof/>
            </w:rPr>
            <w:t>[3]</w:t>
          </w:r>
          <w:r w:rsidR="00F875CF">
            <w:fldChar w:fldCharType="end"/>
          </w:r>
        </w:sdtContent>
      </w:sdt>
      <w:r>
        <w:t xml:space="preserve"> . Similarly, the NIST Cybersecurity Framework begins with the Identify function, which requires organisations to understand assets, business context, governance structures, and risk exposure before implementing protective measures</w:t>
      </w:r>
      <w:sdt>
        <w:sdtPr>
          <w:id w:val="1095750920"/>
          <w:citation/>
        </w:sdtPr>
        <w:sdtContent>
          <w:r w:rsidR="00F875CF">
            <w:fldChar w:fldCharType="begin"/>
          </w:r>
          <w:r w:rsidR="00F875CF">
            <w:instrText xml:space="preserve"> CITATION Nat24 \l 2057 </w:instrText>
          </w:r>
          <w:r w:rsidR="00F875CF">
            <w:fldChar w:fldCharType="separate"/>
          </w:r>
          <w:r w:rsidR="00F875CF">
            <w:rPr>
              <w:noProof/>
            </w:rPr>
            <w:t xml:space="preserve"> </w:t>
          </w:r>
          <w:r w:rsidR="00F875CF" w:rsidRPr="00F875CF">
            <w:rPr>
              <w:noProof/>
            </w:rPr>
            <w:t>[4]</w:t>
          </w:r>
          <w:r w:rsidR="00F875CF">
            <w:fldChar w:fldCharType="end"/>
          </w:r>
        </w:sdtContent>
      </w:sdt>
      <w:r>
        <w:t xml:space="preserve"> .</w:t>
      </w:r>
    </w:p>
    <w:p w14:paraId="408EF883" w14:textId="77777777" w:rsidR="00611A48" w:rsidRDefault="0033719E" w:rsidP="0033719E">
      <w:r>
        <w:t xml:space="preserve">Given NatureGreen’s heavy dependence on cloud services, </w:t>
      </w:r>
      <w:r w:rsidR="005E4C14">
        <w:t>primarily</w:t>
      </w:r>
      <w:r>
        <w:t xml:space="preserve"> wireless infrastructure, and high-value intellectual property, a formalised risk management process is essential. It enables the organisation to prioritise resources effectively, focus on the most critical threats, and reduce residual risk to an acceptable level.</w:t>
      </w:r>
    </w:p>
    <w:p w14:paraId="47E09E71" w14:textId="77777777" w:rsidR="004A07C9" w:rsidRDefault="004A07C9" w:rsidP="004A07C9">
      <w:pPr>
        <w:pStyle w:val="Heading3"/>
        <w:numPr>
          <w:ilvl w:val="2"/>
          <w:numId w:val="1"/>
        </w:numPr>
      </w:pPr>
      <w:bookmarkStart w:id="17" w:name="_Toc221733968"/>
      <w:r w:rsidRPr="004A07C9">
        <w:t>Proposed Risk Management Process</w:t>
      </w:r>
      <w:bookmarkEnd w:id="17"/>
    </w:p>
    <w:p w14:paraId="0F2B41A0" w14:textId="77777777" w:rsidR="00B31F46" w:rsidRPr="00B31F46" w:rsidRDefault="00B31F46" w:rsidP="00B31F46">
      <w:r w:rsidRPr="00B31F46">
        <w:t>The proposed risk management process follows a clear, structured sequence</w:t>
      </w:r>
      <w:r w:rsidR="00CC5487">
        <w:t>:</w:t>
      </w:r>
    </w:p>
    <w:p w14:paraId="0981522C" w14:textId="77777777" w:rsidR="00B31F46" w:rsidRPr="00B31F46" w:rsidRDefault="00B31F46" w:rsidP="00B31F46">
      <w:pPr>
        <w:numPr>
          <w:ilvl w:val="0"/>
          <w:numId w:val="22"/>
        </w:numPr>
      </w:pPr>
      <w:r w:rsidRPr="00B31F46">
        <w:rPr>
          <w:b/>
          <w:bCs/>
        </w:rPr>
        <w:t>Asset Identification</w:t>
      </w:r>
      <w:r w:rsidRPr="00B31F46">
        <w:t xml:space="preserve"> Identify and catalogue key information assets.</w:t>
      </w:r>
    </w:p>
    <w:p w14:paraId="413A1A8E" w14:textId="77777777" w:rsidR="00B31F46" w:rsidRPr="00B31F46" w:rsidRDefault="00B31F46" w:rsidP="00B31F46">
      <w:pPr>
        <w:numPr>
          <w:ilvl w:val="0"/>
          <w:numId w:val="22"/>
        </w:numPr>
      </w:pPr>
      <w:r w:rsidRPr="00B31F46">
        <w:rPr>
          <w:b/>
          <w:bCs/>
        </w:rPr>
        <w:t>Threat and Vulnerability Assessment</w:t>
      </w:r>
      <w:r w:rsidRPr="00B31F46">
        <w:t xml:space="preserve"> Identify relevant threats </w:t>
      </w:r>
    </w:p>
    <w:p w14:paraId="6D1998BE" w14:textId="4377BDDB" w:rsidR="00B31F46" w:rsidRPr="00B31F46" w:rsidRDefault="00B31F46" w:rsidP="00B31F46">
      <w:pPr>
        <w:numPr>
          <w:ilvl w:val="0"/>
          <w:numId w:val="22"/>
        </w:numPr>
      </w:pPr>
      <w:r w:rsidRPr="00B31F46">
        <w:rPr>
          <w:b/>
          <w:bCs/>
        </w:rPr>
        <w:t>Risk Evaluation (Likelihood × Impact)</w:t>
      </w:r>
      <w:r w:rsidRPr="00B31F46">
        <w:t xml:space="preserve"> Assess each risk by combining likelihood and potential impact to produce a prioritised risk register.</w:t>
      </w:r>
      <w:sdt>
        <w:sdtPr>
          <w:id w:val="-816336534"/>
          <w:citation/>
        </w:sdtPr>
        <w:sdtContent>
          <w:r w:rsidR="00D948FA">
            <w:fldChar w:fldCharType="begin"/>
          </w:r>
          <w:r w:rsidR="00D948FA">
            <w:instrText xml:space="preserve"> CITATION Int22 \l 2057 </w:instrText>
          </w:r>
          <w:r w:rsidR="00D948FA">
            <w:fldChar w:fldCharType="separate"/>
          </w:r>
          <w:r w:rsidR="00D948FA">
            <w:rPr>
              <w:noProof/>
            </w:rPr>
            <w:t xml:space="preserve"> </w:t>
          </w:r>
          <w:r w:rsidR="00D948FA" w:rsidRPr="00D948FA">
            <w:rPr>
              <w:noProof/>
            </w:rPr>
            <w:t>[3]</w:t>
          </w:r>
          <w:r w:rsidR="00D948FA">
            <w:fldChar w:fldCharType="end"/>
          </w:r>
        </w:sdtContent>
      </w:sdt>
    </w:p>
    <w:p w14:paraId="0A05A517" w14:textId="77777777" w:rsidR="00B31F46" w:rsidRPr="00B31F46" w:rsidRDefault="00B31F46" w:rsidP="00B31F46">
      <w:pPr>
        <w:numPr>
          <w:ilvl w:val="0"/>
          <w:numId w:val="22"/>
        </w:numPr>
      </w:pPr>
      <w:r w:rsidRPr="00B31F46">
        <w:rPr>
          <w:b/>
          <w:bCs/>
        </w:rPr>
        <w:t>Risk Treatment Selection</w:t>
      </w:r>
      <w:r w:rsidRPr="00B31F46">
        <w:t xml:space="preserve"> Choose the most appropriate response for each priority risk:</w:t>
      </w:r>
    </w:p>
    <w:p w14:paraId="159B24C5" w14:textId="7EC46D24" w:rsidR="00B31F46" w:rsidRPr="00B31F46" w:rsidRDefault="00B31F46" w:rsidP="00CC5487">
      <w:pPr>
        <w:pStyle w:val="ListParagraph"/>
        <w:numPr>
          <w:ilvl w:val="0"/>
          <w:numId w:val="23"/>
        </w:numPr>
      </w:pPr>
      <w:r w:rsidRPr="00CC5487">
        <w:rPr>
          <w:b/>
          <w:bCs/>
        </w:rPr>
        <w:t>Defence</w:t>
      </w:r>
      <w:r w:rsidRPr="00B31F46">
        <w:t xml:space="preserve"> — reduce risk through controls </w:t>
      </w:r>
    </w:p>
    <w:p w14:paraId="7BDE62FE" w14:textId="509C0D44" w:rsidR="00B31F46" w:rsidRPr="00B31F46" w:rsidRDefault="00B31F46" w:rsidP="00CC5487">
      <w:pPr>
        <w:pStyle w:val="ListParagraph"/>
        <w:numPr>
          <w:ilvl w:val="0"/>
          <w:numId w:val="23"/>
        </w:numPr>
      </w:pPr>
      <w:r w:rsidRPr="00CC5487">
        <w:rPr>
          <w:b/>
          <w:bCs/>
        </w:rPr>
        <w:t>Mitigation</w:t>
      </w:r>
      <w:r w:rsidRPr="00B31F46">
        <w:t xml:space="preserve"> — limit </w:t>
      </w:r>
    </w:p>
    <w:p w14:paraId="1D88AAC7" w14:textId="1ABDE48B" w:rsidR="00B31F46" w:rsidRPr="00B31F46" w:rsidRDefault="00B31F46" w:rsidP="00CC5487">
      <w:pPr>
        <w:pStyle w:val="ListParagraph"/>
        <w:numPr>
          <w:ilvl w:val="0"/>
          <w:numId w:val="23"/>
        </w:numPr>
      </w:pPr>
      <w:r w:rsidRPr="00CC5487">
        <w:rPr>
          <w:b/>
          <w:bCs/>
        </w:rPr>
        <w:t>Transference</w:t>
      </w:r>
      <w:r w:rsidRPr="00B31F46">
        <w:t xml:space="preserve"> — shift </w:t>
      </w:r>
    </w:p>
    <w:p w14:paraId="1F0C5B8D" w14:textId="77777777" w:rsidR="00B31F46" w:rsidRPr="00B31F46" w:rsidRDefault="00B31F46" w:rsidP="00CC5487">
      <w:pPr>
        <w:pStyle w:val="ListParagraph"/>
        <w:numPr>
          <w:ilvl w:val="0"/>
          <w:numId w:val="23"/>
        </w:numPr>
      </w:pPr>
      <w:r w:rsidRPr="00CC5487">
        <w:rPr>
          <w:b/>
          <w:bCs/>
        </w:rPr>
        <w:t>Acceptance</w:t>
      </w:r>
      <w:r w:rsidRPr="00B31F46">
        <w:t xml:space="preserve"> — tolerate low risks within appetite</w:t>
      </w:r>
    </w:p>
    <w:p w14:paraId="650D8AAF" w14:textId="2709D4A4" w:rsidR="00B31F46" w:rsidRDefault="00B31F46" w:rsidP="002B09F9">
      <w:pPr>
        <w:pStyle w:val="ListParagraph"/>
        <w:numPr>
          <w:ilvl w:val="0"/>
          <w:numId w:val="23"/>
        </w:numPr>
      </w:pPr>
      <w:r w:rsidRPr="00F875CF">
        <w:rPr>
          <w:b/>
          <w:bCs/>
        </w:rPr>
        <w:t>Termination</w:t>
      </w:r>
      <w:r w:rsidRPr="00B31F46">
        <w:t xml:space="preserve"> — avoid the risk entirely This process aligns directly with ISO/IEC 27001’s risk treatment requirements .</w:t>
      </w:r>
      <w:sdt>
        <w:sdtPr>
          <w:id w:val="30165870"/>
          <w:citation/>
        </w:sdtPr>
        <w:sdtContent>
          <w:r w:rsidR="00D948FA">
            <w:fldChar w:fldCharType="begin"/>
          </w:r>
          <w:r w:rsidR="00D948FA">
            <w:instrText xml:space="preserve"> CITATION Int22 \l 2057 </w:instrText>
          </w:r>
          <w:r w:rsidR="00D948FA">
            <w:fldChar w:fldCharType="separate"/>
          </w:r>
          <w:r w:rsidR="00D948FA">
            <w:rPr>
              <w:noProof/>
            </w:rPr>
            <w:t xml:space="preserve"> </w:t>
          </w:r>
          <w:r w:rsidR="00D948FA" w:rsidRPr="00D948FA">
            <w:rPr>
              <w:noProof/>
            </w:rPr>
            <w:t>[3]</w:t>
          </w:r>
          <w:r w:rsidR="00D948FA">
            <w:fldChar w:fldCharType="end"/>
          </w:r>
        </w:sdtContent>
      </w:sdt>
    </w:p>
    <w:p w14:paraId="538E3FFA" w14:textId="77777777" w:rsidR="00EE62C2" w:rsidRDefault="00EE62C2" w:rsidP="00B31F46"/>
    <w:p w14:paraId="133942F3" w14:textId="77777777" w:rsidR="00EE62C2" w:rsidRDefault="00EE62C2" w:rsidP="00B31F46"/>
    <w:p w14:paraId="16CA11B0" w14:textId="77777777" w:rsidR="00EE62C2" w:rsidRDefault="00EE62C2" w:rsidP="00B31F46"/>
    <w:p w14:paraId="61154342" w14:textId="77777777" w:rsidR="00EE62C2" w:rsidRDefault="00EE62C2" w:rsidP="00B31F46"/>
    <w:p w14:paraId="07C22F45" w14:textId="77777777" w:rsidR="00BD7CC3" w:rsidRDefault="00BD7CC3" w:rsidP="00BD7CC3">
      <w:pPr>
        <w:pStyle w:val="Caption"/>
        <w:keepNext/>
      </w:pPr>
      <w:r>
        <w:lastRenderedPageBreak/>
        <w:t xml:space="preserve">Table 2  </w:t>
      </w:r>
      <w:r w:rsidRPr="00FA404A">
        <w:t>Illustrative Risk Assessment and Treatment Strategy for Key NatureGreen Assets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96"/>
        <w:gridCol w:w="1608"/>
        <w:gridCol w:w="2619"/>
        <w:gridCol w:w="853"/>
        <w:gridCol w:w="2774"/>
      </w:tblGrid>
      <w:tr w:rsidR="00EE62C2" w:rsidRPr="00EE62C2" w14:paraId="32E2D72E" w14:textId="77777777" w:rsidTr="00EE62C2">
        <w:trPr>
          <w:tblHeader/>
          <w:tblCellSpacing w:w="15" w:type="dxa"/>
        </w:trPr>
        <w:tc>
          <w:tcPr>
            <w:tcW w:w="0" w:type="auto"/>
            <w:vAlign w:val="center"/>
            <w:hideMark/>
          </w:tcPr>
          <w:p w14:paraId="3F9C19F2" w14:textId="77777777" w:rsidR="00EE62C2" w:rsidRPr="00EE62C2" w:rsidRDefault="00EE62C2" w:rsidP="00EE62C2">
            <w:pPr>
              <w:rPr>
                <w:b/>
                <w:bCs/>
              </w:rPr>
            </w:pPr>
            <w:r w:rsidRPr="00EE62C2">
              <w:rPr>
                <w:b/>
                <w:bCs/>
              </w:rPr>
              <w:t>Asset</w:t>
            </w:r>
          </w:p>
        </w:tc>
        <w:tc>
          <w:tcPr>
            <w:tcW w:w="0" w:type="auto"/>
            <w:vAlign w:val="center"/>
            <w:hideMark/>
          </w:tcPr>
          <w:p w14:paraId="629C3560" w14:textId="77777777" w:rsidR="00EE62C2" w:rsidRPr="00EE62C2" w:rsidRDefault="00EE62C2" w:rsidP="00EE62C2">
            <w:pPr>
              <w:rPr>
                <w:b/>
                <w:bCs/>
              </w:rPr>
            </w:pPr>
            <w:r w:rsidRPr="00EE62C2">
              <w:rPr>
                <w:b/>
                <w:bCs/>
              </w:rPr>
              <w:t>Threat</w:t>
            </w:r>
          </w:p>
        </w:tc>
        <w:tc>
          <w:tcPr>
            <w:tcW w:w="0" w:type="auto"/>
            <w:vAlign w:val="center"/>
            <w:hideMark/>
          </w:tcPr>
          <w:p w14:paraId="1DB88343" w14:textId="77777777" w:rsidR="00EE62C2" w:rsidRPr="00EE62C2" w:rsidRDefault="00EE62C2" w:rsidP="00EE62C2">
            <w:pPr>
              <w:rPr>
                <w:b/>
                <w:bCs/>
              </w:rPr>
            </w:pPr>
            <w:r w:rsidRPr="00EE62C2">
              <w:rPr>
                <w:b/>
                <w:bCs/>
              </w:rPr>
              <w:t>Vulnerability</w:t>
            </w:r>
          </w:p>
        </w:tc>
        <w:tc>
          <w:tcPr>
            <w:tcW w:w="0" w:type="auto"/>
            <w:vAlign w:val="center"/>
            <w:hideMark/>
          </w:tcPr>
          <w:p w14:paraId="4A905D95" w14:textId="77777777" w:rsidR="00EE62C2" w:rsidRPr="00EE62C2" w:rsidRDefault="00EE62C2" w:rsidP="00EE62C2">
            <w:pPr>
              <w:rPr>
                <w:b/>
                <w:bCs/>
              </w:rPr>
            </w:pPr>
            <w:r w:rsidRPr="00EE62C2">
              <w:rPr>
                <w:b/>
                <w:bCs/>
              </w:rPr>
              <w:t>Impact</w:t>
            </w:r>
          </w:p>
        </w:tc>
        <w:tc>
          <w:tcPr>
            <w:tcW w:w="0" w:type="auto"/>
            <w:vAlign w:val="center"/>
            <w:hideMark/>
          </w:tcPr>
          <w:p w14:paraId="1F62F878" w14:textId="77777777" w:rsidR="00EE62C2" w:rsidRPr="00EE62C2" w:rsidRDefault="00EE62C2" w:rsidP="00EE62C2">
            <w:pPr>
              <w:rPr>
                <w:b/>
                <w:bCs/>
              </w:rPr>
            </w:pPr>
            <w:r w:rsidRPr="00EE62C2">
              <w:rPr>
                <w:b/>
                <w:bCs/>
              </w:rPr>
              <w:t>Treatment</w:t>
            </w:r>
          </w:p>
        </w:tc>
      </w:tr>
      <w:tr w:rsidR="00EE62C2" w:rsidRPr="00EE62C2" w14:paraId="087E7A37" w14:textId="77777777" w:rsidTr="00EE62C2">
        <w:trPr>
          <w:tblCellSpacing w:w="15" w:type="dxa"/>
        </w:trPr>
        <w:tc>
          <w:tcPr>
            <w:tcW w:w="0" w:type="auto"/>
            <w:vAlign w:val="center"/>
            <w:hideMark/>
          </w:tcPr>
          <w:p w14:paraId="4365D368" w14:textId="77777777" w:rsidR="00EE62C2" w:rsidRPr="00EE62C2" w:rsidRDefault="00EE62C2" w:rsidP="00EE62C2">
            <w:r w:rsidRPr="00EE62C2">
              <w:t>Wireless Network</w:t>
            </w:r>
          </w:p>
        </w:tc>
        <w:tc>
          <w:tcPr>
            <w:tcW w:w="0" w:type="auto"/>
            <w:vAlign w:val="center"/>
            <w:hideMark/>
          </w:tcPr>
          <w:p w14:paraId="346C1280" w14:textId="77777777" w:rsidR="00EE62C2" w:rsidRPr="00EE62C2" w:rsidRDefault="00EE62C2" w:rsidP="00EE62C2">
            <w:r w:rsidRPr="00EE62C2">
              <w:t>Rogue Access Point</w:t>
            </w:r>
          </w:p>
        </w:tc>
        <w:tc>
          <w:tcPr>
            <w:tcW w:w="0" w:type="auto"/>
            <w:vAlign w:val="center"/>
            <w:hideMark/>
          </w:tcPr>
          <w:p w14:paraId="310E8A8C" w14:textId="77777777" w:rsidR="00EE62C2" w:rsidRPr="00EE62C2" w:rsidRDefault="00EE62C2" w:rsidP="00EE62C2">
            <w:r w:rsidRPr="00EE62C2">
              <w:t>Weak authentication</w:t>
            </w:r>
          </w:p>
        </w:tc>
        <w:tc>
          <w:tcPr>
            <w:tcW w:w="0" w:type="auto"/>
            <w:vAlign w:val="center"/>
            <w:hideMark/>
          </w:tcPr>
          <w:p w14:paraId="15E5F2BB" w14:textId="77777777" w:rsidR="00EE62C2" w:rsidRPr="00EE62C2" w:rsidRDefault="00EE62C2" w:rsidP="00EE62C2">
            <w:r w:rsidRPr="00EE62C2">
              <w:t>High</w:t>
            </w:r>
          </w:p>
        </w:tc>
        <w:tc>
          <w:tcPr>
            <w:tcW w:w="0" w:type="auto"/>
            <w:vAlign w:val="center"/>
            <w:hideMark/>
          </w:tcPr>
          <w:p w14:paraId="319DA98E" w14:textId="77777777" w:rsidR="00EE62C2" w:rsidRPr="00EE62C2" w:rsidRDefault="00EE62C2" w:rsidP="00EE62C2">
            <w:r w:rsidRPr="00EE62C2">
              <w:t>WPA3 + Network Access Control</w:t>
            </w:r>
          </w:p>
        </w:tc>
      </w:tr>
      <w:tr w:rsidR="00EE62C2" w:rsidRPr="00EE62C2" w14:paraId="286A0032" w14:textId="77777777" w:rsidTr="00EE62C2">
        <w:trPr>
          <w:tblCellSpacing w:w="15" w:type="dxa"/>
        </w:trPr>
        <w:tc>
          <w:tcPr>
            <w:tcW w:w="0" w:type="auto"/>
            <w:vAlign w:val="center"/>
            <w:hideMark/>
          </w:tcPr>
          <w:p w14:paraId="77234A59" w14:textId="77777777" w:rsidR="00EE62C2" w:rsidRPr="00EE62C2" w:rsidRDefault="00EE62C2" w:rsidP="00EE62C2">
            <w:r w:rsidRPr="00EE62C2">
              <w:t>Cloud Storage</w:t>
            </w:r>
          </w:p>
        </w:tc>
        <w:tc>
          <w:tcPr>
            <w:tcW w:w="0" w:type="auto"/>
            <w:vAlign w:val="center"/>
            <w:hideMark/>
          </w:tcPr>
          <w:p w14:paraId="1FE82548" w14:textId="77777777" w:rsidR="00EE62C2" w:rsidRPr="00EE62C2" w:rsidRDefault="00EE62C2" w:rsidP="00EE62C2">
            <w:r w:rsidRPr="00EE62C2">
              <w:t>Data breach</w:t>
            </w:r>
          </w:p>
        </w:tc>
        <w:tc>
          <w:tcPr>
            <w:tcW w:w="0" w:type="auto"/>
            <w:vAlign w:val="center"/>
            <w:hideMark/>
          </w:tcPr>
          <w:p w14:paraId="27EAF2D4" w14:textId="77777777" w:rsidR="00EE62C2" w:rsidRPr="00EE62C2" w:rsidRDefault="00EE62C2" w:rsidP="00EE62C2">
            <w:r w:rsidRPr="00EE62C2">
              <w:t>Misconfiguration</w:t>
            </w:r>
          </w:p>
        </w:tc>
        <w:tc>
          <w:tcPr>
            <w:tcW w:w="0" w:type="auto"/>
            <w:vAlign w:val="center"/>
            <w:hideMark/>
          </w:tcPr>
          <w:p w14:paraId="7B728747" w14:textId="77777777" w:rsidR="00EE62C2" w:rsidRPr="00EE62C2" w:rsidRDefault="00EE62C2" w:rsidP="00EE62C2">
            <w:r w:rsidRPr="00EE62C2">
              <w:t>Critical</w:t>
            </w:r>
          </w:p>
        </w:tc>
        <w:tc>
          <w:tcPr>
            <w:tcW w:w="0" w:type="auto"/>
            <w:vAlign w:val="center"/>
            <w:hideMark/>
          </w:tcPr>
          <w:p w14:paraId="73BCADF2" w14:textId="77777777" w:rsidR="00EE62C2" w:rsidRPr="00EE62C2" w:rsidRDefault="00EE62C2" w:rsidP="00EE62C2">
            <w:r w:rsidRPr="00EE62C2">
              <w:t>Encryption + CASB</w:t>
            </w:r>
          </w:p>
        </w:tc>
      </w:tr>
      <w:tr w:rsidR="00EE62C2" w:rsidRPr="00EE62C2" w14:paraId="7FD13159" w14:textId="77777777" w:rsidTr="00EE62C2">
        <w:trPr>
          <w:tblCellSpacing w:w="15" w:type="dxa"/>
        </w:trPr>
        <w:tc>
          <w:tcPr>
            <w:tcW w:w="0" w:type="auto"/>
            <w:vAlign w:val="center"/>
            <w:hideMark/>
          </w:tcPr>
          <w:p w14:paraId="05964B92" w14:textId="77777777" w:rsidR="00EE62C2" w:rsidRPr="00EE62C2" w:rsidRDefault="00EE62C2" w:rsidP="00EE62C2">
            <w:r w:rsidRPr="00EE62C2">
              <w:t>BYOD Devices</w:t>
            </w:r>
          </w:p>
        </w:tc>
        <w:tc>
          <w:tcPr>
            <w:tcW w:w="0" w:type="auto"/>
            <w:vAlign w:val="center"/>
            <w:hideMark/>
          </w:tcPr>
          <w:p w14:paraId="71DDC580" w14:textId="77777777" w:rsidR="00EE62C2" w:rsidRPr="00EE62C2" w:rsidRDefault="00EE62C2" w:rsidP="00EE62C2">
            <w:r w:rsidRPr="00EE62C2">
              <w:t>Malware infection</w:t>
            </w:r>
          </w:p>
        </w:tc>
        <w:tc>
          <w:tcPr>
            <w:tcW w:w="0" w:type="auto"/>
            <w:vAlign w:val="center"/>
            <w:hideMark/>
          </w:tcPr>
          <w:p w14:paraId="63EEB8CF" w14:textId="77777777" w:rsidR="00EE62C2" w:rsidRPr="00EE62C2" w:rsidRDefault="00EE62C2" w:rsidP="00EE62C2">
            <w:r w:rsidRPr="00EE62C2">
              <w:t>Unmanaged operating systems</w:t>
            </w:r>
          </w:p>
        </w:tc>
        <w:tc>
          <w:tcPr>
            <w:tcW w:w="0" w:type="auto"/>
            <w:vAlign w:val="center"/>
            <w:hideMark/>
          </w:tcPr>
          <w:p w14:paraId="5834BA09" w14:textId="77777777" w:rsidR="00EE62C2" w:rsidRPr="00EE62C2" w:rsidRDefault="00EE62C2" w:rsidP="00EE62C2">
            <w:r w:rsidRPr="00EE62C2">
              <w:t>High</w:t>
            </w:r>
          </w:p>
        </w:tc>
        <w:tc>
          <w:tcPr>
            <w:tcW w:w="0" w:type="auto"/>
            <w:vAlign w:val="center"/>
            <w:hideMark/>
          </w:tcPr>
          <w:p w14:paraId="79D1C721" w14:textId="77777777" w:rsidR="00EE62C2" w:rsidRPr="00EE62C2" w:rsidRDefault="00EE62C2" w:rsidP="00EE62C2">
            <w:r w:rsidRPr="00EE62C2">
              <w:t>MDM + Multi-Factor Authentication</w:t>
            </w:r>
          </w:p>
        </w:tc>
      </w:tr>
    </w:tbl>
    <w:p w14:paraId="175F26FC" w14:textId="77777777" w:rsidR="00CC5487" w:rsidRDefault="00CC5487" w:rsidP="00B31F46"/>
    <w:p w14:paraId="38674A91" w14:textId="6D7B34E8" w:rsidR="008E73A2" w:rsidRPr="00B31F46" w:rsidRDefault="008E73A2" w:rsidP="00B31F46">
      <w:r w:rsidRPr="008E73A2">
        <w:t xml:space="preserve">As illustrated in Table 2, high-value assets such as cloud storage and wireless infrastructure require prioritised treatment strategies aligned with ISO’s risk-based control selection methodology </w:t>
      </w:r>
      <w:sdt>
        <w:sdtPr>
          <w:id w:val="-2078196674"/>
          <w:citation/>
        </w:sdtPr>
        <w:sdtContent>
          <w:r w:rsidR="00D948FA">
            <w:fldChar w:fldCharType="begin"/>
          </w:r>
          <w:r w:rsidR="00D948FA">
            <w:instrText xml:space="preserve"> CITATION Int22 \l 2057 </w:instrText>
          </w:r>
          <w:r w:rsidR="00D948FA">
            <w:fldChar w:fldCharType="separate"/>
          </w:r>
          <w:r w:rsidR="00D948FA" w:rsidRPr="00D948FA">
            <w:rPr>
              <w:noProof/>
            </w:rPr>
            <w:t>[3]</w:t>
          </w:r>
          <w:r w:rsidR="00D948FA">
            <w:fldChar w:fldCharType="end"/>
          </w:r>
        </w:sdtContent>
      </w:sdt>
      <w:r w:rsidRPr="008E73A2">
        <w:t>.</w:t>
      </w:r>
    </w:p>
    <w:p w14:paraId="6DA47F47" w14:textId="77777777" w:rsidR="004A07C9" w:rsidRDefault="00041163" w:rsidP="00041163">
      <w:pPr>
        <w:pStyle w:val="Heading3"/>
        <w:numPr>
          <w:ilvl w:val="2"/>
          <w:numId w:val="1"/>
        </w:numPr>
      </w:pPr>
      <w:bookmarkStart w:id="18" w:name="_Toc221733969"/>
      <w:r>
        <w:t>Justification</w:t>
      </w:r>
      <w:bookmarkEnd w:id="18"/>
    </w:p>
    <w:p w14:paraId="5AB3C87E" w14:textId="4B1B6232" w:rsidR="00D57CF9" w:rsidRDefault="00D57CF9" w:rsidP="00D57CF9">
      <w:r>
        <w:t>Aligning risk management with ISO/IEC 27001’s structured risk-based methodology ensures controls are applied proportionately and only where needed . Similarly, the NIST Cybersecurity Framework’s lifecycle functions build operational resilience by going beyond one-off control deployment to create an ongoing cycle of awareness and response</w:t>
      </w:r>
      <w:sdt>
        <w:sdtPr>
          <w:id w:val="586895417"/>
          <w:citation/>
        </w:sdtPr>
        <w:sdtContent>
          <w:r w:rsidR="00D948FA">
            <w:fldChar w:fldCharType="begin"/>
          </w:r>
          <w:r w:rsidR="00D948FA">
            <w:instrText xml:space="preserve"> CITATION Nat24 \l 2057 </w:instrText>
          </w:r>
          <w:r w:rsidR="00D948FA">
            <w:fldChar w:fldCharType="separate"/>
          </w:r>
          <w:r w:rsidR="00D948FA">
            <w:rPr>
              <w:noProof/>
            </w:rPr>
            <w:t xml:space="preserve"> </w:t>
          </w:r>
          <w:r w:rsidR="00D948FA" w:rsidRPr="00D948FA">
            <w:rPr>
              <w:noProof/>
            </w:rPr>
            <w:t>[4]</w:t>
          </w:r>
          <w:r w:rsidR="00D948FA">
            <w:fldChar w:fldCharType="end"/>
          </w:r>
        </w:sdtContent>
      </w:sdt>
      <w:r>
        <w:t xml:space="preserve"> .</w:t>
      </w:r>
    </w:p>
    <w:p w14:paraId="3E1F73CC" w14:textId="77777777" w:rsidR="00D57CF9" w:rsidRDefault="00D57CF9" w:rsidP="00D57CF9">
      <w:r>
        <w:t>For NatureGreen, where intellectual property is valued in billions, effective risk prioritisation is crucial. It avoids under-protecting critical assets while preventing unnecessary spending on lower-priority systems. By linking governance-defined risk appetite (see Section 3.2) with a clear, structured risk assessment process, security investments become strategic and purposeful rather than reactive or ad hoc.</w:t>
      </w:r>
    </w:p>
    <w:p w14:paraId="57AA33C6" w14:textId="77777777" w:rsidR="00041163" w:rsidRDefault="00D57CF9" w:rsidP="00D57CF9">
      <w:r>
        <w:t>This approach helps NatureGreen allocate resources sensibly across its cloud, wireless, and BYOD environment, focusing effort on the highest-impact risks while maintaining overall business agility and compliance.</w:t>
      </w:r>
    </w:p>
    <w:p w14:paraId="37910487" w14:textId="77777777" w:rsidR="005F090B" w:rsidRDefault="005F090B" w:rsidP="00D57CF9"/>
    <w:p w14:paraId="13241563" w14:textId="77777777" w:rsidR="009653A0" w:rsidRDefault="009653A0" w:rsidP="00D57CF9"/>
    <w:p w14:paraId="4283773F" w14:textId="77777777" w:rsidR="00D948FA" w:rsidRDefault="00D948FA" w:rsidP="00D57CF9"/>
    <w:p w14:paraId="51678177" w14:textId="77777777" w:rsidR="005F090B" w:rsidRDefault="005F090B" w:rsidP="005F090B">
      <w:pPr>
        <w:pStyle w:val="Heading2"/>
        <w:numPr>
          <w:ilvl w:val="1"/>
          <w:numId w:val="1"/>
        </w:numPr>
      </w:pPr>
      <w:bookmarkStart w:id="19" w:name="_Toc221733970"/>
      <w:r w:rsidRPr="005F090B">
        <w:lastRenderedPageBreak/>
        <w:t>Technical Protection Mechanisms</w:t>
      </w:r>
      <w:bookmarkEnd w:id="19"/>
    </w:p>
    <w:p w14:paraId="47D3AE1F" w14:textId="02234017" w:rsidR="009653A0" w:rsidRDefault="009653A0" w:rsidP="009653A0">
      <w:r w:rsidRPr="009653A0">
        <w:t>Following governance reform and structured risk assessment, NatureGreen must implement layered technical controls aligned with defence-in-depth principles</w:t>
      </w:r>
      <w:sdt>
        <w:sdtPr>
          <w:id w:val="-1235080431"/>
          <w:citation/>
        </w:sdtPr>
        <w:sdtContent>
          <w:r w:rsidR="00D948FA">
            <w:fldChar w:fldCharType="begin"/>
          </w:r>
          <w:r w:rsidR="00D948FA">
            <w:instrText xml:space="preserve"> CITATION Nat20 \l 2057 </w:instrText>
          </w:r>
          <w:r w:rsidR="00D948FA">
            <w:fldChar w:fldCharType="separate"/>
          </w:r>
          <w:r w:rsidR="00D948FA">
            <w:rPr>
              <w:noProof/>
            </w:rPr>
            <w:t xml:space="preserve"> </w:t>
          </w:r>
          <w:r w:rsidR="00D948FA" w:rsidRPr="00D948FA">
            <w:rPr>
              <w:noProof/>
            </w:rPr>
            <w:t>[13]</w:t>
          </w:r>
          <w:r w:rsidR="00D948FA">
            <w:fldChar w:fldCharType="end"/>
          </w:r>
        </w:sdtContent>
      </w:sdt>
      <w:r w:rsidRPr="009653A0">
        <w:t>. Given the organisation’s wireless-heavy infrastructure, cloud dependency, and BYOD integration, security mechanisms must reduce attack surface, restrict lateral movement, and enable continuous monitoring.</w:t>
      </w:r>
    </w:p>
    <w:p w14:paraId="5FC008EE" w14:textId="77777777" w:rsidR="009653A0" w:rsidRPr="009653A0" w:rsidRDefault="009653A0" w:rsidP="009653A0"/>
    <w:p w14:paraId="73E673F0" w14:textId="32981053" w:rsidR="00F901DE" w:rsidRDefault="00F901DE" w:rsidP="00F901DE">
      <w:pPr>
        <w:pStyle w:val="Heading3"/>
        <w:numPr>
          <w:ilvl w:val="2"/>
          <w:numId w:val="1"/>
        </w:numPr>
      </w:pPr>
      <w:bookmarkStart w:id="20" w:name="_Toc221733971"/>
      <w:r w:rsidRPr="00F901DE">
        <w:t>Wireless Security Controls</w:t>
      </w:r>
      <w:bookmarkEnd w:id="20"/>
    </w:p>
    <w:p w14:paraId="38A8887C" w14:textId="69E1BF47" w:rsidR="009653A0" w:rsidRDefault="009653A0" w:rsidP="009653A0">
      <w:r>
        <w:t>NatureGreen’s reliance on wireless connectivity increases exposure to interception attacks, rogue access points, and unauthorised access. To mitigate these risks, strong encryption (WPA3), network segmentation, and Network Access Control (NAC) should be implemented to ensure only compliant devices access internal systems. Wireless intrusion detection mechanisms should monitor for anomalous behaviour and rogue devices</w:t>
      </w:r>
      <w:sdt>
        <w:sdtPr>
          <w:id w:val="-1183201674"/>
          <w:citation/>
        </w:sdtPr>
        <w:sdtContent>
          <w:r w:rsidR="00D948FA">
            <w:fldChar w:fldCharType="begin"/>
          </w:r>
          <w:r w:rsidR="00D948FA">
            <w:instrText xml:space="preserve"> CITATION Nat20 \l 2057 </w:instrText>
          </w:r>
          <w:r w:rsidR="00D948FA">
            <w:fldChar w:fldCharType="separate"/>
          </w:r>
          <w:r w:rsidR="00D948FA">
            <w:rPr>
              <w:noProof/>
            </w:rPr>
            <w:t xml:space="preserve"> </w:t>
          </w:r>
          <w:r w:rsidR="00D948FA" w:rsidRPr="00D948FA">
            <w:rPr>
              <w:noProof/>
            </w:rPr>
            <w:t>[13]</w:t>
          </w:r>
          <w:r w:rsidR="00D948FA">
            <w:fldChar w:fldCharType="end"/>
          </w:r>
        </w:sdtContent>
      </w:sdt>
      <w:r>
        <w:t>.</w:t>
      </w:r>
    </w:p>
    <w:p w14:paraId="715245E3" w14:textId="0201849F" w:rsidR="009653A0" w:rsidRPr="009653A0" w:rsidRDefault="009653A0" w:rsidP="009653A0">
      <w:r>
        <w:t>Segmentation is particularly critical in a BYOD-enabled environment, as it limits lateral movement and reduces the impact of compromised endpoints. These controls collectively strengthen perimeter and internal boundary enforcement.</w:t>
      </w:r>
    </w:p>
    <w:p w14:paraId="4C2D2071" w14:textId="77777777" w:rsidR="00A015D5" w:rsidRDefault="00A015D5" w:rsidP="00A015D5">
      <w:pPr>
        <w:pStyle w:val="Heading4"/>
        <w:numPr>
          <w:ilvl w:val="3"/>
          <w:numId w:val="1"/>
        </w:numPr>
      </w:pPr>
      <w:r>
        <w:t xml:space="preserve">Justification </w:t>
      </w:r>
    </w:p>
    <w:p w14:paraId="7A427BC5" w14:textId="3EF885A6" w:rsidR="00A015D5" w:rsidRDefault="00FC3670" w:rsidP="00A015D5">
      <w:r w:rsidRPr="00FC3670">
        <w:t xml:space="preserve">Wireless-heavy environments like NatureGreen’s (95% wireless) are especially vulnerable to rogue access points and lateral movement attacks. NIST stresses access control and network monitoring as key protective measures </w:t>
      </w:r>
      <w:sdt>
        <w:sdtPr>
          <w:id w:val="1190109747"/>
          <w:citation/>
        </w:sdtPr>
        <w:sdtContent>
          <w:r w:rsidR="00D948FA">
            <w:fldChar w:fldCharType="begin"/>
          </w:r>
          <w:r w:rsidR="00D948FA">
            <w:instrText xml:space="preserve"> CITATION Nat20 \l 2057 </w:instrText>
          </w:r>
          <w:r w:rsidR="00D948FA">
            <w:fldChar w:fldCharType="separate"/>
          </w:r>
          <w:r w:rsidR="00D948FA" w:rsidRPr="00D948FA">
            <w:rPr>
              <w:noProof/>
            </w:rPr>
            <w:t>[13]</w:t>
          </w:r>
          <w:r w:rsidR="00D948FA">
            <w:fldChar w:fldCharType="end"/>
          </w:r>
        </w:sdtContent>
      </w:sdt>
      <w:r w:rsidRPr="00FC3670">
        <w:t>. Segmentation helps limit the blast radius if a device or network segment is compromised.</w:t>
      </w:r>
    </w:p>
    <w:p w14:paraId="639323E8" w14:textId="77777777" w:rsidR="00156B5F" w:rsidRDefault="0095772C" w:rsidP="00156B5F">
      <w:pPr>
        <w:pStyle w:val="Heading3"/>
        <w:numPr>
          <w:ilvl w:val="2"/>
          <w:numId w:val="1"/>
        </w:numPr>
      </w:pPr>
      <w:bookmarkStart w:id="21" w:name="_Toc221733972"/>
      <w:r w:rsidRPr="0095772C">
        <w:t>BYOD Security Controls</w:t>
      </w:r>
      <w:bookmarkEnd w:id="21"/>
    </w:p>
    <w:p w14:paraId="1C6E202A" w14:textId="5D083796" w:rsidR="009653A0" w:rsidRDefault="009653A0" w:rsidP="009653A0">
      <w:r>
        <w:t>The introduction of personal devices expands the organisational attack surface. Mobile Device Management (MDM) should enforce security baselines, remote wipe capability, and device compliance verification</w:t>
      </w:r>
      <w:sdt>
        <w:sdtPr>
          <w:id w:val="-138886177"/>
          <w:citation/>
        </w:sdtPr>
        <w:sdtContent>
          <w:r w:rsidR="004902F4">
            <w:fldChar w:fldCharType="begin"/>
          </w:r>
          <w:r w:rsidR="004902F4">
            <w:instrText xml:space="preserve"> CITATION Nat262 \l 2057 </w:instrText>
          </w:r>
          <w:r w:rsidR="004902F4">
            <w:fldChar w:fldCharType="separate"/>
          </w:r>
          <w:r w:rsidR="004902F4">
            <w:rPr>
              <w:noProof/>
            </w:rPr>
            <w:t xml:space="preserve"> </w:t>
          </w:r>
          <w:r w:rsidR="004902F4" w:rsidRPr="004902F4">
            <w:rPr>
              <w:noProof/>
            </w:rPr>
            <w:t>[14]</w:t>
          </w:r>
          <w:r w:rsidR="004902F4">
            <w:fldChar w:fldCharType="end"/>
          </w:r>
        </w:sdtContent>
      </w:sdt>
      <w:r>
        <w:t>. Multi-Factor Authentication (MFA) and endpoint encryption must be implemented to protect sensitive data and reduce credential compromise risk</w:t>
      </w:r>
      <w:sdt>
        <w:sdtPr>
          <w:id w:val="1245374039"/>
          <w:citation/>
        </w:sdtPr>
        <w:sdtContent>
          <w:r w:rsidR="004902F4">
            <w:fldChar w:fldCharType="begin"/>
          </w:r>
          <w:r w:rsidR="004902F4">
            <w:instrText xml:space="preserve"> CITATION Nat20 \l 2057 </w:instrText>
          </w:r>
          <w:r w:rsidR="004902F4">
            <w:fldChar w:fldCharType="separate"/>
          </w:r>
          <w:r w:rsidR="004902F4">
            <w:rPr>
              <w:noProof/>
            </w:rPr>
            <w:t xml:space="preserve"> </w:t>
          </w:r>
          <w:r w:rsidR="004902F4" w:rsidRPr="004902F4">
            <w:rPr>
              <w:noProof/>
            </w:rPr>
            <w:t>[13]</w:t>
          </w:r>
          <w:r w:rsidR="004902F4">
            <w:fldChar w:fldCharType="end"/>
          </w:r>
        </w:sdtContent>
      </w:sdt>
      <w:r>
        <w:t>.</w:t>
      </w:r>
    </w:p>
    <w:p w14:paraId="11995E5F" w14:textId="4666BB1A" w:rsidR="009653A0" w:rsidRDefault="009653A0" w:rsidP="009653A0">
      <w:r>
        <w:t>Identity-based access controls ensure that access decisions are based on verified user and device posture rather than network location. This approach reduces insider threat exposure while maintaining operational flexibility.</w:t>
      </w:r>
    </w:p>
    <w:p w14:paraId="6BDA4697" w14:textId="77777777" w:rsidR="009653A0" w:rsidRPr="009653A0" w:rsidRDefault="009653A0" w:rsidP="009653A0"/>
    <w:p w14:paraId="651D3FC5" w14:textId="77777777" w:rsidR="000D5E27" w:rsidRDefault="000D5E27" w:rsidP="000D5E27">
      <w:pPr>
        <w:pStyle w:val="Heading3"/>
        <w:numPr>
          <w:ilvl w:val="2"/>
          <w:numId w:val="1"/>
        </w:numPr>
      </w:pPr>
      <w:bookmarkStart w:id="22" w:name="_Toc221733973"/>
      <w:r w:rsidRPr="000D5E27">
        <w:lastRenderedPageBreak/>
        <w:t>Cloud Security Controls</w:t>
      </w:r>
      <w:bookmarkEnd w:id="22"/>
    </w:p>
    <w:p w14:paraId="5807FE00" w14:textId="71753D50" w:rsidR="009653A0" w:rsidRDefault="009653A0" w:rsidP="009653A0">
      <w:r>
        <w:t>Given NatureGreen’s reliance on cloud services, misconfiguration and third-party exposure represent significant risks. Encryption at rest and in transit, Cloud Access Security Broker (CASB) monitoring, and secure configuration auditing are essential. Centralised logging and integration with a Security Information and Event Management (SIEM) system enable continuous monitoring and anomaly detection.</w:t>
      </w:r>
      <w:sdt>
        <w:sdtPr>
          <w:id w:val="637459140"/>
          <w:citation/>
        </w:sdtPr>
        <w:sdtContent>
          <w:r w:rsidR="004902F4">
            <w:fldChar w:fldCharType="begin"/>
          </w:r>
          <w:r w:rsidR="004902F4">
            <w:instrText xml:space="preserve"> CITATION Nat20 \l 2057 </w:instrText>
          </w:r>
          <w:r w:rsidR="004902F4">
            <w:fldChar w:fldCharType="separate"/>
          </w:r>
          <w:r w:rsidR="004902F4">
            <w:rPr>
              <w:noProof/>
            </w:rPr>
            <w:t xml:space="preserve"> </w:t>
          </w:r>
          <w:r w:rsidR="004902F4" w:rsidRPr="004902F4">
            <w:rPr>
              <w:noProof/>
            </w:rPr>
            <w:t>[13]</w:t>
          </w:r>
          <w:r w:rsidR="004902F4">
            <w:fldChar w:fldCharType="end"/>
          </w:r>
        </w:sdtContent>
      </w:sdt>
    </w:p>
    <w:p w14:paraId="4DEA304C" w14:textId="6243F9F3" w:rsidR="009653A0" w:rsidRPr="009653A0" w:rsidRDefault="009653A0" w:rsidP="009653A0">
      <w:r>
        <w:t>These controls enhance visibility, strengthen regulatory defensibility, and ensure rapid identification of suspicious activity in distributed environments.</w:t>
      </w:r>
    </w:p>
    <w:p w14:paraId="7AE1556C" w14:textId="77777777" w:rsidR="002F046A" w:rsidRDefault="002F046A" w:rsidP="002F046A">
      <w:pPr>
        <w:pStyle w:val="Heading3"/>
        <w:numPr>
          <w:ilvl w:val="2"/>
          <w:numId w:val="1"/>
        </w:numPr>
      </w:pPr>
      <w:bookmarkStart w:id="23" w:name="_Toc221733974"/>
      <w:r w:rsidRPr="002F046A">
        <w:t>Firewall and Perimeter Protection</w:t>
      </w:r>
      <w:bookmarkEnd w:id="23"/>
    </w:p>
    <w:p w14:paraId="11A662BC" w14:textId="21ADCD24" w:rsidR="009653A0" w:rsidRDefault="009653A0" w:rsidP="009653A0">
      <w:r>
        <w:t>Public-facing systems require protection through Next-Generation Firewalls (NGFW), Web Application Firewalls (WAF), and demilitarised zone (DMZ) architecture.</w:t>
      </w:r>
      <w:sdt>
        <w:sdtPr>
          <w:id w:val="1038710726"/>
          <w:citation/>
        </w:sdtPr>
        <w:sdtContent>
          <w:r w:rsidR="004902F4">
            <w:fldChar w:fldCharType="begin"/>
          </w:r>
          <w:r w:rsidR="004902F4">
            <w:instrText xml:space="preserve"> CITATION Nat20 \l 2057 </w:instrText>
          </w:r>
          <w:r w:rsidR="004902F4">
            <w:fldChar w:fldCharType="separate"/>
          </w:r>
          <w:r w:rsidR="004902F4">
            <w:rPr>
              <w:noProof/>
            </w:rPr>
            <w:t xml:space="preserve"> </w:t>
          </w:r>
          <w:r w:rsidR="004902F4" w:rsidRPr="004902F4">
            <w:rPr>
              <w:noProof/>
            </w:rPr>
            <w:t>[13]</w:t>
          </w:r>
          <w:r w:rsidR="004902F4">
            <w:fldChar w:fldCharType="end"/>
          </w:r>
        </w:sdtContent>
      </w:sdt>
      <w:r>
        <w:t xml:space="preserve"> Intrusion detection and prevention mechanisms provide real-time monitoring and automated response capability.</w:t>
      </w:r>
    </w:p>
    <w:p w14:paraId="2F076F7E" w14:textId="11A4A2FD" w:rsidR="009653A0" w:rsidRPr="009653A0" w:rsidRDefault="009653A0" w:rsidP="009653A0">
      <w:r>
        <w:t>By isolating public services from internal networks, the organisation reduces the likelihood that external compromise leads to enterprise-wide exposure.</w:t>
      </w:r>
      <w:sdt>
        <w:sdtPr>
          <w:id w:val="1847213098"/>
          <w:citation/>
        </w:sdtPr>
        <w:sdtContent>
          <w:r w:rsidR="004902F4">
            <w:fldChar w:fldCharType="begin"/>
          </w:r>
          <w:r w:rsidR="004902F4">
            <w:instrText xml:space="preserve"> CITATION Nat20 \l 2057 </w:instrText>
          </w:r>
          <w:r w:rsidR="004902F4">
            <w:fldChar w:fldCharType="separate"/>
          </w:r>
          <w:r w:rsidR="004902F4">
            <w:rPr>
              <w:noProof/>
            </w:rPr>
            <w:t xml:space="preserve"> </w:t>
          </w:r>
          <w:r w:rsidR="004902F4" w:rsidRPr="004902F4">
            <w:rPr>
              <w:noProof/>
            </w:rPr>
            <w:t>[13]</w:t>
          </w:r>
          <w:r w:rsidR="004902F4">
            <w:fldChar w:fldCharType="end"/>
          </w:r>
        </w:sdtContent>
      </w:sdt>
    </w:p>
    <w:p w14:paraId="7AC3FCFE" w14:textId="77777777" w:rsidR="00342AEA" w:rsidRPr="002618AC" w:rsidRDefault="002618AC" w:rsidP="00342AEA">
      <w:pPr>
        <w:keepNext/>
        <w:jc w:val="center"/>
        <w:rPr>
          <w:color w:val="D86DCB" w:themeColor="accent5" w:themeTint="99"/>
        </w:rPr>
      </w:pPr>
      <w:r>
        <w:rPr>
          <w:noProof/>
        </w:rPr>
        <mc:AlternateContent>
          <mc:Choice Requires="wps">
            <w:drawing>
              <wp:anchor distT="0" distB="0" distL="114300" distR="114300" simplePos="0" relativeHeight="251660288" behindDoc="0" locked="0" layoutInCell="1" allowOverlap="1" wp14:anchorId="6A1656B4" wp14:editId="337A572C">
                <wp:simplePos x="0" y="0"/>
                <wp:positionH relativeFrom="column">
                  <wp:posOffset>-561975</wp:posOffset>
                </wp:positionH>
                <wp:positionV relativeFrom="paragraph">
                  <wp:posOffset>2876550</wp:posOffset>
                </wp:positionV>
                <wp:extent cx="6733858" cy="409575"/>
                <wp:effectExtent l="0" t="0" r="10160" b="28575"/>
                <wp:wrapNone/>
                <wp:docPr id="635335650" name="Rectangle: Rounded Corners 5"/>
                <wp:cNvGraphicFramePr/>
                <a:graphic xmlns:a="http://schemas.openxmlformats.org/drawingml/2006/main">
                  <a:graphicData uri="http://schemas.microsoft.com/office/word/2010/wordprocessingShape">
                    <wps:wsp>
                      <wps:cNvSpPr/>
                      <wps:spPr>
                        <a:xfrm>
                          <a:off x="0" y="0"/>
                          <a:ext cx="6733858" cy="40957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FF3E2DE" w14:textId="77777777" w:rsidR="00D77873" w:rsidRDefault="00D77873" w:rsidP="00D77873">
                            <w:pPr>
                              <w:jc w:val="center"/>
                            </w:pPr>
                            <w:r>
                              <w:t>SIEM &amp; Continuous 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A1656B4" id="Rectangle: Rounded Corners 5" o:spid="_x0000_s1027" style="position:absolute;left:0;text-align:left;margin-left:-44.25pt;margin-top:226.5pt;width:530.25pt;height:32.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" fillcolor="#d35dc6 [2168]" strokecolor="#a02b93 [3208]" strokeweight="1pt">
                <v:fill color2="#ca3bba [2616]" rotate="t" colors="0 #d09fc8;.5 #c692be;1 #c17eb6" focus="100%" type="gradient">
                  <o:fill v:ext="view" type="gradientUnscaled"/>
                </v:fill>
                <v:stroke joinstyle="miter"/>
                <v:textbox>
                  <w:txbxContent>
                    <w:p w14:paraId="7FF3E2DE" w14:textId="77777777" w:rsidR="00D77873" w:rsidRDefault="00D77873" w:rsidP="00D77873">
                      <w:pPr>
                        <w:jc w:val="center"/>
                      </w:pPr>
                      <w:r>
                        <w:t>SIEM &amp; Continuous Monitoring</w:t>
                      </w:r>
                    </w:p>
                  </w:txbxContent>
                </v:textbox>
              </v:roundrect>
            </w:pict>
          </mc:Fallback>
        </mc:AlternateContent>
      </w:r>
      <w:r w:rsidR="00342AEA">
        <w:rPr>
          <w:noProof/>
        </w:rPr>
        <mc:AlternateContent>
          <mc:Choice Requires="wps">
            <w:drawing>
              <wp:anchor distT="0" distB="0" distL="114300" distR="114300" simplePos="0" relativeHeight="251666432" behindDoc="0" locked="0" layoutInCell="1" allowOverlap="1" wp14:anchorId="406AB558" wp14:editId="7C3DF00E">
                <wp:simplePos x="0" y="0"/>
                <wp:positionH relativeFrom="column">
                  <wp:posOffset>2676525</wp:posOffset>
                </wp:positionH>
                <wp:positionV relativeFrom="paragraph">
                  <wp:posOffset>628650</wp:posOffset>
                </wp:positionV>
                <wp:extent cx="0" cy="238125"/>
                <wp:effectExtent l="76200" t="0" r="57150" b="47625"/>
                <wp:wrapNone/>
                <wp:docPr id="1411955390" name="Straight Arrow Connector 12"/>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1B15698" id="_x0000_t32" coordsize="21600,21600" o:spt="32" o:oned="t" path="m,l21600,21600e" filled="f">
                <v:path arrowok="t" fillok="f" o:connecttype="none"/>
                <o:lock v:ext="edit" shapetype="t"/>
              </v:shapetype>
              <v:shape id="Straight Arrow Connector 12" o:spid="_x0000_s1026" type="#_x0000_t32" style="position:absolute;margin-left:210.75pt;margin-top:49.5pt;width:0;height:18.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" strokecolor="#156082 [3204]" strokeweight="1.5pt">
                <v:stroke endarrow="block" joinstyle="miter"/>
              </v:shape>
            </w:pict>
          </mc:Fallback>
        </mc:AlternateContent>
      </w:r>
      <w:r w:rsidR="00342AEA">
        <w:rPr>
          <w:noProof/>
        </w:rPr>
        <mc:AlternateContent>
          <mc:Choice Requires="wps">
            <w:drawing>
              <wp:anchor distT="0" distB="0" distL="114300" distR="114300" simplePos="0" relativeHeight="251665408" behindDoc="0" locked="0" layoutInCell="1" allowOverlap="1" wp14:anchorId="11474F2E" wp14:editId="7937AF50">
                <wp:simplePos x="0" y="0"/>
                <wp:positionH relativeFrom="column">
                  <wp:posOffset>2762250</wp:posOffset>
                </wp:positionH>
                <wp:positionV relativeFrom="paragraph">
                  <wp:posOffset>2281238</wp:posOffset>
                </wp:positionV>
                <wp:extent cx="4763" cy="185737"/>
                <wp:effectExtent l="76200" t="0" r="71755" b="62230"/>
                <wp:wrapNone/>
                <wp:docPr id="1729348951" name="Straight Arrow Connector 10"/>
                <wp:cNvGraphicFramePr/>
                <a:graphic xmlns:a="http://schemas.openxmlformats.org/drawingml/2006/main">
                  <a:graphicData uri="http://schemas.microsoft.com/office/word/2010/wordprocessingShape">
                    <wps:wsp>
                      <wps:cNvCnPr/>
                      <wps:spPr>
                        <a:xfrm>
                          <a:off x="0" y="0"/>
                          <a:ext cx="4763" cy="18573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CF41FC3" id="Straight Arrow Connector 10" o:spid="_x0000_s1026" type="#_x0000_t32" style="position:absolute;margin-left:217.5pt;margin-top:179.65pt;width:.4pt;height:14.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" strokecolor="#156082 [3204]" strokeweight="1.5pt">
                <v:stroke endarrow="block" joinstyle="miter"/>
              </v:shape>
            </w:pict>
          </mc:Fallback>
        </mc:AlternateContent>
      </w:r>
      <w:r w:rsidR="00342AEA">
        <w:rPr>
          <w:noProof/>
        </w:rPr>
        <mc:AlternateContent>
          <mc:Choice Requires="wps">
            <w:drawing>
              <wp:anchor distT="0" distB="0" distL="114300" distR="114300" simplePos="0" relativeHeight="251664384" behindDoc="0" locked="0" layoutInCell="1" allowOverlap="1" wp14:anchorId="07A93E66" wp14:editId="7DD2391F">
                <wp:simplePos x="0" y="0"/>
                <wp:positionH relativeFrom="column">
                  <wp:posOffset>2752725</wp:posOffset>
                </wp:positionH>
                <wp:positionV relativeFrom="paragraph">
                  <wp:posOffset>1881188</wp:posOffset>
                </wp:positionV>
                <wp:extent cx="0" cy="190500"/>
                <wp:effectExtent l="76200" t="0" r="57150" b="57150"/>
                <wp:wrapNone/>
                <wp:docPr id="892178402" name="Straight Arrow Connector 9"/>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83755B8" id="Straight Arrow Connector 9" o:spid="_x0000_s1026" type="#_x0000_t32" style="position:absolute;margin-left:216.75pt;margin-top:148.15pt;width:0;height: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" strokecolor="#156082 [3204]" strokeweight="1.5pt">
                <v:stroke endarrow="block" joinstyle="miter"/>
              </v:shape>
            </w:pict>
          </mc:Fallback>
        </mc:AlternateContent>
      </w:r>
      <w:r w:rsidR="00342AEA">
        <w:rPr>
          <w:noProof/>
        </w:rPr>
        <mc:AlternateContent>
          <mc:Choice Requires="wps">
            <w:drawing>
              <wp:anchor distT="0" distB="0" distL="114300" distR="114300" simplePos="0" relativeHeight="251663360" behindDoc="0" locked="0" layoutInCell="1" allowOverlap="1" wp14:anchorId="22848CE0" wp14:editId="0617A73F">
                <wp:simplePos x="0" y="0"/>
                <wp:positionH relativeFrom="column">
                  <wp:posOffset>2714625</wp:posOffset>
                </wp:positionH>
                <wp:positionV relativeFrom="paragraph">
                  <wp:posOffset>1466850</wp:posOffset>
                </wp:positionV>
                <wp:extent cx="9525" cy="195263"/>
                <wp:effectExtent l="38100" t="0" r="66675" b="52705"/>
                <wp:wrapNone/>
                <wp:docPr id="1418237941" name="Straight Arrow Connector 8"/>
                <wp:cNvGraphicFramePr/>
                <a:graphic xmlns:a="http://schemas.openxmlformats.org/drawingml/2006/main">
                  <a:graphicData uri="http://schemas.microsoft.com/office/word/2010/wordprocessingShape">
                    <wps:wsp>
                      <wps:cNvCnPr/>
                      <wps:spPr>
                        <a:xfrm>
                          <a:off x="0" y="0"/>
                          <a:ext cx="9525" cy="19526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62AC86" id="Straight Arrow Connector 8" o:spid="_x0000_s1026" type="#_x0000_t32" style="position:absolute;margin-left:213.75pt;margin-top:115.5pt;width:.75pt;height:15.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" strokecolor="#156082 [3204]" strokeweight="1.5pt">
                <v:stroke endarrow="block" joinstyle="miter"/>
              </v:shape>
            </w:pict>
          </mc:Fallback>
        </mc:AlternateContent>
      </w:r>
      <w:r w:rsidR="00342AEA">
        <w:rPr>
          <w:noProof/>
        </w:rPr>
        <mc:AlternateContent>
          <mc:Choice Requires="wps">
            <w:drawing>
              <wp:anchor distT="0" distB="0" distL="114300" distR="114300" simplePos="0" relativeHeight="251662336" behindDoc="0" locked="0" layoutInCell="1" allowOverlap="1" wp14:anchorId="7669DBF3" wp14:editId="297B7876">
                <wp:simplePos x="0" y="0"/>
                <wp:positionH relativeFrom="column">
                  <wp:posOffset>2714625</wp:posOffset>
                </wp:positionH>
                <wp:positionV relativeFrom="paragraph">
                  <wp:posOffset>1023938</wp:posOffset>
                </wp:positionV>
                <wp:extent cx="0" cy="247650"/>
                <wp:effectExtent l="76200" t="0" r="57150" b="57150"/>
                <wp:wrapNone/>
                <wp:docPr id="1451830465" name="Straight Arrow Connector 7"/>
                <wp:cNvGraphicFramePr/>
                <a:graphic xmlns:a="http://schemas.openxmlformats.org/drawingml/2006/main">
                  <a:graphicData uri="http://schemas.microsoft.com/office/word/2010/wordprocessingShape">
                    <wps:wsp>
                      <wps:cNvCnPr/>
                      <wps:spPr>
                        <a:xfrm>
                          <a:off x="0" y="0"/>
                          <a:ext cx="0" cy="2476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3F85F1D" id="Straight Arrow Connector 7" o:spid="_x0000_s1026" type="#_x0000_t32" style="position:absolute;margin-left:213.75pt;margin-top:80.65pt;width:0;height:1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" strokecolor="#156082 [3204]" strokeweight="1.5pt">
                <v:stroke endarrow="block" joinstyle="miter"/>
              </v:shape>
            </w:pict>
          </mc:Fallback>
        </mc:AlternateContent>
      </w:r>
      <w:r w:rsidR="00335E33">
        <w:rPr>
          <w:noProof/>
        </w:rPr>
        <w:drawing>
          <wp:inline distT="0" distB="0" distL="0" distR="0" wp14:anchorId="20466305" wp14:editId="6B839F12">
            <wp:extent cx="5486400" cy="3200400"/>
            <wp:effectExtent l="0" t="0" r="19050" b="0"/>
            <wp:docPr id="15786246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4BCD8566" w14:textId="77777777" w:rsidR="00826753" w:rsidRPr="007A7328" w:rsidRDefault="00342AEA" w:rsidP="00342AEA">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rsidRPr="00C27D3D">
        <w:t>: Layered Defence-in-Depth Security Architecture for NatureGreen</w:t>
      </w:r>
    </w:p>
    <w:p w14:paraId="26836DE7" w14:textId="45F4243B" w:rsidR="007A7328" w:rsidRPr="007A7328" w:rsidRDefault="00B40FA5" w:rsidP="007A7328">
      <w:r w:rsidRPr="00B40FA5">
        <w:t xml:space="preserve">As illustrated in Figure 3, the proposed architecture adopts a defence-in-depth model that integrates perimeter controls, network segmentation, cloud safeguards, and centralised monitoring. By layering authentication, encryption, and real-time threat detection, the </w:t>
      </w:r>
      <w:r w:rsidRPr="00B40FA5">
        <w:lastRenderedPageBreak/>
        <w:t>design reduces single points of failure and limits lateral movement in the event of compromise. For NatureGreen, this structure is particularly important given its wireless exposure, planned BYOD implementation, and cloud reliance, ensuring that threats are contained and high-value assets remain protected.</w:t>
      </w:r>
    </w:p>
    <w:p w14:paraId="032F56DB" w14:textId="77777777" w:rsidR="0095772C" w:rsidRDefault="00B93C4B" w:rsidP="00B93C4B">
      <w:pPr>
        <w:pStyle w:val="Heading3"/>
        <w:numPr>
          <w:ilvl w:val="2"/>
          <w:numId w:val="1"/>
        </w:numPr>
      </w:pPr>
      <w:bookmarkStart w:id="24" w:name="_Toc221733975"/>
      <w:r w:rsidRPr="00B93C4B">
        <w:t>Justification</w:t>
      </w:r>
      <w:r w:rsidR="001128A5">
        <w:t xml:space="preserve"> </w:t>
      </w:r>
      <w:r w:rsidR="001128A5" w:rsidRPr="001128A5">
        <w:rPr>
          <w:rFonts w:eastAsiaTheme="minorHAnsi" w:cstheme="minorBidi"/>
          <w:color w:val="auto"/>
          <w:sz w:val="24"/>
          <w:szCs w:val="24"/>
        </w:rPr>
        <w:t xml:space="preserve"> </w:t>
      </w:r>
      <w:r w:rsidR="001128A5" w:rsidRPr="001128A5">
        <w:t>of Technical Controls</w:t>
      </w:r>
      <w:bookmarkEnd w:id="24"/>
    </w:p>
    <w:p w14:paraId="78507441" w14:textId="520E9920" w:rsidR="001128A5" w:rsidRPr="001128A5" w:rsidRDefault="009653A0" w:rsidP="001128A5">
      <w:r w:rsidRPr="009653A0">
        <w:t>Collectively, these mechanisms form a cohesive defence-in-depth architecture. Rather than relying on individual controls, the integration of segmentation, encryption, identity management, and monitoring ensures layered protection across NatureGreen’s wireless, cloud, and public-facing environments. This structured approach reduces single points of failure and supports long-term operational resilience.</w:t>
      </w:r>
    </w:p>
    <w:p w14:paraId="4188C8A4" w14:textId="77777777" w:rsidR="00B93C4B" w:rsidRDefault="003F44E6" w:rsidP="003F44E6">
      <w:pPr>
        <w:pStyle w:val="Heading2"/>
        <w:numPr>
          <w:ilvl w:val="1"/>
          <w:numId w:val="1"/>
        </w:numPr>
      </w:pPr>
      <w:bookmarkStart w:id="25" w:name="_Toc221733976"/>
      <w:r w:rsidRPr="003F44E6">
        <w:t>Contingency Planning and Incident Management</w:t>
      </w:r>
      <w:bookmarkEnd w:id="25"/>
    </w:p>
    <w:p w14:paraId="4CC5B456" w14:textId="128302E0" w:rsidR="00B40FA5" w:rsidRPr="00B40FA5" w:rsidRDefault="00B40FA5" w:rsidP="00B40FA5">
      <w:r w:rsidRPr="00B40FA5">
        <w:t>Despite the implementation of governance structures and layered technical controls, cyber risk cannot be eliminated entirely. NatureGreen must therefore establish structured contingency and incident management processes to minimise disruption, protect intellectual property, and maintain stakeholder confidence.</w:t>
      </w:r>
    </w:p>
    <w:p w14:paraId="1C61864D" w14:textId="336AE9BD" w:rsidR="00045C8C" w:rsidRDefault="00045C8C" w:rsidP="00045C8C">
      <w:pPr>
        <w:pStyle w:val="Heading3"/>
        <w:numPr>
          <w:ilvl w:val="2"/>
          <w:numId w:val="1"/>
        </w:numPr>
      </w:pPr>
      <w:bookmarkStart w:id="26" w:name="_Toc221733977"/>
      <w:r w:rsidRPr="00045C8C">
        <w:t>Incident Response Framework</w:t>
      </w:r>
      <w:bookmarkEnd w:id="26"/>
    </w:p>
    <w:p w14:paraId="1BD9AE4B" w14:textId="77777777" w:rsidR="00B40FA5" w:rsidRDefault="00B40FA5" w:rsidP="00B40FA5">
      <w:r>
        <w:t>NatureGreen should formalise an Incident Response Plan (IRP) defining clear roles, escalation procedures, and communication pathways. A structured lifecycle should include preparation, identification, containment, eradication, recovery, and post-incident review.</w:t>
      </w:r>
    </w:p>
    <w:p w14:paraId="1A36AE2D" w14:textId="67D1623F" w:rsidR="00B40FA5" w:rsidRPr="00B40FA5" w:rsidRDefault="00B40FA5" w:rsidP="00B40FA5">
      <w:r>
        <w:t>A documented and repeatable response process removes uncertainty during high-pressure situations, accelerates decision-making, and limits operational and reputational damage. For a globally operating organisation managing high-value intellectual property, structured incident handling is essential to prevent minor security events from escalating into major crises.</w:t>
      </w:r>
    </w:p>
    <w:p w14:paraId="7D9908CB" w14:textId="77777777" w:rsidR="00090740" w:rsidRDefault="00090740" w:rsidP="00090740">
      <w:pPr>
        <w:pStyle w:val="Heading3"/>
        <w:numPr>
          <w:ilvl w:val="2"/>
          <w:numId w:val="1"/>
        </w:numPr>
      </w:pPr>
      <w:bookmarkStart w:id="27" w:name="_Toc221733978"/>
      <w:r w:rsidRPr="00090740">
        <w:t>Business Continuity and Disaster Recovery</w:t>
      </w:r>
      <w:bookmarkEnd w:id="27"/>
    </w:p>
    <w:p w14:paraId="398CD32E" w14:textId="700A1692" w:rsidR="00B40FA5" w:rsidRDefault="00B40FA5" w:rsidP="00B40FA5">
      <w:r>
        <w:t>Beyond incident containment, NatureGreen must ensure operational continuity during significant disruptions such as ransomware attacks or cloud outages. This requires Business Impact Analysis (BIA), a Disaster Recovery Plan (DRP) with defined recovery objectives, tested backups including offline or immutable copies, and cloud redundancy mechanisms</w:t>
      </w:r>
      <w:sdt>
        <w:sdtPr>
          <w:id w:val="573710302"/>
          <w:citation/>
        </w:sdtPr>
        <w:sdtContent>
          <w:r w:rsidR="004902F4">
            <w:fldChar w:fldCharType="begin"/>
          </w:r>
          <w:r w:rsidR="004902F4">
            <w:instrText xml:space="preserve"> CITATION Nat10 \l 2057 </w:instrText>
          </w:r>
          <w:r w:rsidR="004902F4">
            <w:fldChar w:fldCharType="separate"/>
          </w:r>
          <w:r w:rsidR="004902F4">
            <w:rPr>
              <w:noProof/>
            </w:rPr>
            <w:t xml:space="preserve"> </w:t>
          </w:r>
          <w:r w:rsidR="004902F4" w:rsidRPr="004902F4">
            <w:rPr>
              <w:noProof/>
            </w:rPr>
            <w:t>[20]</w:t>
          </w:r>
          <w:r w:rsidR="004902F4">
            <w:fldChar w:fldCharType="end"/>
          </w:r>
        </w:sdtContent>
      </w:sdt>
      <w:r>
        <w:t>.</w:t>
      </w:r>
    </w:p>
    <w:p w14:paraId="6A8E7056" w14:textId="77777777" w:rsidR="00B40FA5" w:rsidRDefault="00B40FA5" w:rsidP="00B40FA5"/>
    <w:p w14:paraId="24B45AA9" w14:textId="75789145" w:rsidR="00B40FA5" w:rsidRPr="00B40FA5" w:rsidRDefault="00B40FA5" w:rsidP="00B40FA5">
      <w:r>
        <w:lastRenderedPageBreak/>
        <w:t>Given the organisation’s dependence on digital services, prolonged downtime would directly impact revenue and brand reputation. Regular testing ensures that recovery procedures remain practical and effective rather than theoretical.</w:t>
      </w:r>
    </w:p>
    <w:p w14:paraId="72604C44" w14:textId="2D69F1D6" w:rsidR="00DA2757" w:rsidRDefault="00DA2757" w:rsidP="00DA2757">
      <w:pPr>
        <w:pStyle w:val="Heading3"/>
        <w:numPr>
          <w:ilvl w:val="2"/>
          <w:numId w:val="1"/>
        </w:numPr>
      </w:pPr>
      <w:bookmarkStart w:id="28" w:name="_Toc221733979"/>
      <w:r w:rsidRPr="00DA2757">
        <w:t>Communication and Regulatory Reporting</w:t>
      </w:r>
      <w:bookmarkEnd w:id="28"/>
    </w:p>
    <w:p w14:paraId="540CF6D1" w14:textId="341F900D" w:rsidR="00B40FA5" w:rsidRPr="00B40FA5" w:rsidRDefault="00B40FA5" w:rsidP="00B40FA5">
      <w:r w:rsidRPr="00B40FA5">
        <w:t>Incident management must also include structured internal and external communication. Clear reporting lines to executives, legal teams, and affected stakeholders ensure transparency and regulatory compliance. Early and coordinated communication reduces reputational damage and reinforces organisational accountability during security incidents.</w:t>
      </w:r>
    </w:p>
    <w:p w14:paraId="714D9FF4" w14:textId="157413F2" w:rsidR="007C1CB1" w:rsidRDefault="001C6010" w:rsidP="006A2131">
      <w:pPr>
        <w:pStyle w:val="Heading1"/>
        <w:numPr>
          <w:ilvl w:val="0"/>
          <w:numId w:val="1"/>
        </w:numPr>
      </w:pPr>
      <w:bookmarkStart w:id="29" w:name="_Toc221733980"/>
      <w:r w:rsidRPr="001C6010">
        <w:t xml:space="preserve">The Necessity of Evolving Security Regulations and </w:t>
      </w:r>
      <w:r w:rsidR="006A2131">
        <w:t>standards</w:t>
      </w:r>
      <w:bookmarkEnd w:id="29"/>
    </w:p>
    <w:p w14:paraId="3E77ED62" w14:textId="5F7921C7" w:rsidR="006A2131" w:rsidRDefault="006A2131" w:rsidP="006A2131">
      <w:r>
        <w:t>The rapid advancement of cloud computing, artificial intelligence, and globally interconnected infrastructures has significantly altered the cyber risk landscape. Static regulatory frameworks often struggle to address emerging threats such as ransomware, supply-chain compromise, and cross-border data governance complexities. As a result, continuous revision of information security standards is essential to maintain organisational resilience.</w:t>
      </w:r>
    </w:p>
    <w:p w14:paraId="19DAA61D" w14:textId="7866223F" w:rsidR="006A2131" w:rsidRDefault="006A2131" w:rsidP="006A2131">
      <w:r>
        <w:t>Both ISO/IEC 27001 and the NIST Cybersecurity Framework have evolved to address modern challenges including cloud risk, supplier relationships, and governance integration</w:t>
      </w:r>
      <w:r>
        <w:t xml:space="preserve">. </w:t>
      </w:r>
      <w:r>
        <w:t>These revisions reflect recognition that cyber risk is dynamic rather than static. For organisations such as NatureGreen, operating within a wireless-dominant and cloud-dependent environment, reliance on outdated compliance frameworks would create significant security gaps.</w:t>
      </w:r>
    </w:p>
    <w:p w14:paraId="0F34C93E" w14:textId="77777777" w:rsidR="006A2131" w:rsidRDefault="006A2131" w:rsidP="006A2131">
      <w:r>
        <w:t>Globalisation further complicates regulatory alignment. Multinational organisations must comply with diverse and sometimes conflicting data protection regimes. Evolving standards support harmonisation, improve accountability, and reduce fragmentation across jurisdictions. Without ongoing adaptation, organisations risk legal uncertainty and inconsistent governance practices.</w:t>
      </w:r>
    </w:p>
    <w:p w14:paraId="169D5CC7" w14:textId="77777777" w:rsidR="006A2131" w:rsidRDefault="006A2131" w:rsidP="006A2131">
      <w:r>
        <w:t>However, regulatory evolution alone is insufficient. Compliance does not automatically equate to security. Organisations that treat standards as checklist exercises may develop a false sense of protection. Effective resilience requires integration of updated regulations with proactive governance, risk-based decision-making, and adaptable technical controls.</w:t>
      </w:r>
    </w:p>
    <w:p w14:paraId="2DFCF5F7" w14:textId="77777777" w:rsidR="006A2131" w:rsidRDefault="006A2131" w:rsidP="006A2131"/>
    <w:p w14:paraId="7697210F" w14:textId="5C74DCFF" w:rsidR="006A2131" w:rsidRPr="006A2131" w:rsidRDefault="006A2131" w:rsidP="006A2131">
      <w:r>
        <w:t>For NatureGreen, regulatory change should be viewed not merely as a compliance burden but as a strategic enabler. Embedding evolving standards within governance structures, policy frameworks, and operational controls ensures that security remains adaptive, defensible, and aligned with business objectives.</w:t>
      </w:r>
    </w:p>
    <w:p w14:paraId="49FE59B0" w14:textId="77777777" w:rsidR="007E5ECB" w:rsidRDefault="007E5ECB" w:rsidP="007E5ECB">
      <w:pPr>
        <w:pStyle w:val="Heading1"/>
        <w:numPr>
          <w:ilvl w:val="0"/>
          <w:numId w:val="1"/>
        </w:numPr>
      </w:pPr>
      <w:bookmarkStart w:id="30" w:name="_Toc221733981"/>
      <w:r>
        <w:t>Conclusion</w:t>
      </w:r>
      <w:bookmarkEnd w:id="30"/>
      <w:r>
        <w:t xml:space="preserve"> </w:t>
      </w:r>
    </w:p>
    <w:p w14:paraId="2E28ABE9" w14:textId="77777777" w:rsidR="006A2131" w:rsidRDefault="006A2131" w:rsidP="006A2131">
      <w:r>
        <w:t>This report evaluated leading information security frameworks and applied their principles to develop an integrated governance and risk-based model for NatureGreen. The analysis demonstrated that no single framework sufficiently addresses governance deficiencies, operational risks, and regulatory complexity in isolation. Instead, combining governance oversight, structured risk management, layered technical controls, and contingency planning provides a balanced and resilient approach.</w:t>
      </w:r>
    </w:p>
    <w:p w14:paraId="0ABCFCE0" w14:textId="6B548280" w:rsidR="00045C8C" w:rsidRDefault="006A2131" w:rsidP="006A2131">
      <w:r>
        <w:t>The findings emphasise that compliance alone does not guarantee security. Sustainable resilience requires continuous adaptation of governance processes, technical safeguards, and regulatory alignment. For NatureGreen, implementing the proposed integrated architecture strengthens protection of high-value assets, enhances stakeholder confidence, and supports long-term operational stability in a dynamic digital environment.</w:t>
      </w:r>
    </w:p>
    <w:p w14:paraId="3F92B6C3" w14:textId="77777777" w:rsidR="0044307E" w:rsidRDefault="0044307E" w:rsidP="006A2131"/>
    <w:p w14:paraId="2CB339B8" w14:textId="77777777" w:rsidR="0044307E" w:rsidRDefault="0044307E" w:rsidP="006A2131"/>
    <w:p w14:paraId="67BC9E7D" w14:textId="77777777" w:rsidR="0044307E" w:rsidRDefault="0044307E" w:rsidP="006A2131"/>
    <w:p w14:paraId="3E1D78E2" w14:textId="77777777" w:rsidR="0044307E" w:rsidRDefault="0044307E" w:rsidP="006A2131"/>
    <w:p w14:paraId="7A3F5483" w14:textId="77777777" w:rsidR="0044307E" w:rsidRDefault="0044307E" w:rsidP="006A2131"/>
    <w:p w14:paraId="345E48E0" w14:textId="77777777" w:rsidR="0044307E" w:rsidRDefault="0044307E" w:rsidP="006A2131"/>
    <w:p w14:paraId="507E1117" w14:textId="77777777" w:rsidR="0044307E" w:rsidRDefault="0044307E" w:rsidP="006A2131"/>
    <w:p w14:paraId="51EF8C64" w14:textId="77777777" w:rsidR="0044307E" w:rsidRDefault="0044307E" w:rsidP="006A2131"/>
    <w:p w14:paraId="3D55DFE6" w14:textId="77777777" w:rsidR="0044307E" w:rsidRDefault="0044307E" w:rsidP="006A2131"/>
    <w:p w14:paraId="7205257B" w14:textId="77777777" w:rsidR="0044307E" w:rsidRDefault="0044307E" w:rsidP="006A2131"/>
    <w:p w14:paraId="09498741" w14:textId="77777777" w:rsidR="0044307E" w:rsidRDefault="0044307E" w:rsidP="006A2131"/>
    <w:p w14:paraId="15C1D4BE" w14:textId="77777777" w:rsidR="0044307E" w:rsidRDefault="0044307E" w:rsidP="006A2131"/>
    <w:sdt>
      <w:sdtPr>
        <w:id w:val="2104305581"/>
        <w:docPartObj>
          <w:docPartGallery w:val="Bibliographies"/>
          <w:docPartUnique/>
        </w:docPartObj>
      </w:sdtPr>
      <w:sdtEndPr>
        <w:rPr>
          <w:rFonts w:asciiTheme="minorHAnsi" w:eastAsiaTheme="minorHAnsi" w:hAnsiTheme="minorHAnsi" w:cstheme="minorBidi"/>
          <w:color w:val="auto"/>
          <w:sz w:val="24"/>
          <w:szCs w:val="24"/>
        </w:rPr>
      </w:sdtEndPr>
      <w:sdtContent>
        <w:p w14:paraId="4FAF9D2B" w14:textId="09312DD0" w:rsidR="0044307E" w:rsidRDefault="0044307E">
          <w:pPr>
            <w:pStyle w:val="Heading1"/>
          </w:pPr>
          <w:r>
            <w:t>Bibliography</w:t>
          </w:r>
        </w:p>
        <w:sdt>
          <w:sdtPr>
            <w:id w:val="111145805"/>
            <w:bibliography/>
          </w:sdtPr>
          <w:sdtContent>
            <w:p w14:paraId="3B9EDB9F" w14:textId="77777777" w:rsidR="0044307E" w:rsidRDefault="004430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44307E" w14:paraId="6F366533" w14:textId="77777777">
                <w:trPr>
                  <w:divId w:val="1545025291"/>
                  <w:tblCellSpacing w:w="15" w:type="dxa"/>
                </w:trPr>
                <w:tc>
                  <w:tcPr>
                    <w:tcW w:w="50" w:type="pct"/>
                    <w:hideMark/>
                  </w:tcPr>
                  <w:p w14:paraId="267C5A56" w14:textId="024F69EA" w:rsidR="0044307E" w:rsidRDefault="0044307E">
                    <w:pPr>
                      <w:pStyle w:val="Bibliography"/>
                      <w:rPr>
                        <w:noProof/>
                        <w:kern w:val="0"/>
                        <w14:ligatures w14:val="none"/>
                      </w:rPr>
                    </w:pPr>
                    <w:r>
                      <w:rPr>
                        <w:noProof/>
                      </w:rPr>
                      <w:t xml:space="preserve">[1] </w:t>
                    </w:r>
                  </w:p>
                </w:tc>
                <w:tc>
                  <w:tcPr>
                    <w:tcW w:w="0" w:type="auto"/>
                    <w:hideMark/>
                  </w:tcPr>
                  <w:p w14:paraId="0BA25F80" w14:textId="77777777" w:rsidR="0044307E" w:rsidRDefault="0044307E">
                    <w:pPr>
                      <w:pStyle w:val="Bibliography"/>
                      <w:rPr>
                        <w:noProof/>
                      </w:rPr>
                    </w:pPr>
                    <w:r>
                      <w:rPr>
                        <w:noProof/>
                      </w:rPr>
                      <w:t>W. E. Forum, “Global Risks Report 2024,” 2024. [Online]. Available: https://www.weforum.org/publications/global-risks-report-2024/.</w:t>
                    </w:r>
                  </w:p>
                </w:tc>
              </w:tr>
              <w:tr w:rsidR="0044307E" w14:paraId="7D1654F5" w14:textId="77777777">
                <w:trPr>
                  <w:divId w:val="1545025291"/>
                  <w:tblCellSpacing w:w="15" w:type="dxa"/>
                </w:trPr>
                <w:tc>
                  <w:tcPr>
                    <w:tcW w:w="50" w:type="pct"/>
                    <w:hideMark/>
                  </w:tcPr>
                  <w:p w14:paraId="14D53C1B" w14:textId="77777777" w:rsidR="0044307E" w:rsidRDefault="0044307E">
                    <w:pPr>
                      <w:pStyle w:val="Bibliography"/>
                      <w:rPr>
                        <w:noProof/>
                      </w:rPr>
                    </w:pPr>
                    <w:r>
                      <w:rPr>
                        <w:noProof/>
                      </w:rPr>
                      <w:t xml:space="preserve">[2] </w:t>
                    </w:r>
                  </w:p>
                </w:tc>
                <w:tc>
                  <w:tcPr>
                    <w:tcW w:w="0" w:type="auto"/>
                    <w:hideMark/>
                  </w:tcPr>
                  <w:p w14:paraId="536FA4E9" w14:textId="77777777" w:rsidR="0044307E" w:rsidRDefault="0044307E">
                    <w:pPr>
                      <w:pStyle w:val="Bibliography"/>
                      <w:rPr>
                        <w:noProof/>
                      </w:rPr>
                    </w:pPr>
                    <w:r>
                      <w:rPr>
                        <w:noProof/>
                      </w:rPr>
                      <w:t>N. I. o. S. a. T. (NIST), “NIST Computer Security Resource Center Glossary,” nist, [Online]. Available: https://csrc.nist.gov/glossary/term/confidentiality_integrity_availability. [Accessed 12 1 2026].</w:t>
                    </w:r>
                  </w:p>
                </w:tc>
              </w:tr>
              <w:tr w:rsidR="0044307E" w14:paraId="5FF1FC5C" w14:textId="77777777">
                <w:trPr>
                  <w:divId w:val="1545025291"/>
                  <w:tblCellSpacing w:w="15" w:type="dxa"/>
                </w:trPr>
                <w:tc>
                  <w:tcPr>
                    <w:tcW w:w="50" w:type="pct"/>
                    <w:hideMark/>
                  </w:tcPr>
                  <w:p w14:paraId="5CC644CC" w14:textId="77777777" w:rsidR="0044307E" w:rsidRDefault="0044307E">
                    <w:pPr>
                      <w:pStyle w:val="Bibliography"/>
                      <w:rPr>
                        <w:noProof/>
                      </w:rPr>
                    </w:pPr>
                    <w:r>
                      <w:rPr>
                        <w:noProof/>
                      </w:rPr>
                      <w:t xml:space="preserve">[3] </w:t>
                    </w:r>
                  </w:p>
                </w:tc>
                <w:tc>
                  <w:tcPr>
                    <w:tcW w:w="0" w:type="auto"/>
                    <w:hideMark/>
                  </w:tcPr>
                  <w:p w14:paraId="3D4A2173" w14:textId="77777777" w:rsidR="0044307E" w:rsidRDefault="0044307E">
                    <w:pPr>
                      <w:pStyle w:val="Bibliography"/>
                      <w:rPr>
                        <w:noProof/>
                      </w:rPr>
                    </w:pPr>
                    <w:r>
                      <w:rPr>
                        <w:noProof/>
                      </w:rPr>
                      <w:t>I. O. f. S. (. /. I. E. C. (IEC), “ISO/IEC 27001:2022 — Information security, cybersecurity and privacy protection — Information security management systems — Requirements,” ISO, 2022. [Online]. Available: https://www.iso.org/standard/27001. [Accessed 12 1 2026].</w:t>
                    </w:r>
                  </w:p>
                </w:tc>
              </w:tr>
              <w:tr w:rsidR="0044307E" w14:paraId="4123FC77" w14:textId="77777777">
                <w:trPr>
                  <w:divId w:val="1545025291"/>
                  <w:tblCellSpacing w:w="15" w:type="dxa"/>
                </w:trPr>
                <w:tc>
                  <w:tcPr>
                    <w:tcW w:w="50" w:type="pct"/>
                    <w:hideMark/>
                  </w:tcPr>
                  <w:p w14:paraId="616B4F7A" w14:textId="77777777" w:rsidR="0044307E" w:rsidRDefault="0044307E">
                    <w:pPr>
                      <w:pStyle w:val="Bibliography"/>
                      <w:rPr>
                        <w:noProof/>
                      </w:rPr>
                    </w:pPr>
                    <w:r>
                      <w:rPr>
                        <w:noProof/>
                      </w:rPr>
                      <w:t xml:space="preserve">[4] </w:t>
                    </w:r>
                  </w:p>
                </w:tc>
                <w:tc>
                  <w:tcPr>
                    <w:tcW w:w="0" w:type="auto"/>
                    <w:hideMark/>
                  </w:tcPr>
                  <w:p w14:paraId="6CD4F766" w14:textId="77777777" w:rsidR="0044307E" w:rsidRDefault="0044307E">
                    <w:pPr>
                      <w:pStyle w:val="Bibliography"/>
                      <w:rPr>
                        <w:noProof/>
                      </w:rPr>
                    </w:pPr>
                    <w:r>
                      <w:rPr>
                        <w:noProof/>
                      </w:rPr>
                      <w:t>N. I. o. S. a. T. (NIST), “The NIST Cybersecurity Framework (CSF) 2.0,” 2024.</w:t>
                    </w:r>
                  </w:p>
                </w:tc>
              </w:tr>
              <w:tr w:rsidR="0044307E" w14:paraId="70E0B5B1" w14:textId="77777777">
                <w:trPr>
                  <w:divId w:val="1545025291"/>
                  <w:tblCellSpacing w:w="15" w:type="dxa"/>
                </w:trPr>
                <w:tc>
                  <w:tcPr>
                    <w:tcW w:w="50" w:type="pct"/>
                    <w:hideMark/>
                  </w:tcPr>
                  <w:p w14:paraId="1C99372D" w14:textId="77777777" w:rsidR="0044307E" w:rsidRDefault="0044307E">
                    <w:pPr>
                      <w:pStyle w:val="Bibliography"/>
                      <w:rPr>
                        <w:noProof/>
                      </w:rPr>
                    </w:pPr>
                    <w:r>
                      <w:rPr>
                        <w:noProof/>
                      </w:rPr>
                      <w:t xml:space="preserve">[5] </w:t>
                    </w:r>
                  </w:p>
                </w:tc>
                <w:tc>
                  <w:tcPr>
                    <w:tcW w:w="0" w:type="auto"/>
                    <w:hideMark/>
                  </w:tcPr>
                  <w:p w14:paraId="3CE679F0" w14:textId="77777777" w:rsidR="0044307E" w:rsidRDefault="0044307E">
                    <w:pPr>
                      <w:pStyle w:val="Bibliography"/>
                      <w:rPr>
                        <w:noProof/>
                      </w:rPr>
                    </w:pPr>
                    <w:r>
                      <w:rPr>
                        <w:noProof/>
                      </w:rPr>
                      <w:t>ISACA, “ISACA,” COBIT, [Online]. Available: https://www.isaca.org/resources/cobit. [Accessed 15 1 2026].</w:t>
                    </w:r>
                  </w:p>
                </w:tc>
              </w:tr>
              <w:tr w:rsidR="0044307E" w14:paraId="620F459B" w14:textId="77777777">
                <w:trPr>
                  <w:divId w:val="1545025291"/>
                  <w:tblCellSpacing w:w="15" w:type="dxa"/>
                </w:trPr>
                <w:tc>
                  <w:tcPr>
                    <w:tcW w:w="50" w:type="pct"/>
                    <w:hideMark/>
                  </w:tcPr>
                  <w:p w14:paraId="77A72868" w14:textId="77777777" w:rsidR="0044307E" w:rsidRDefault="0044307E">
                    <w:pPr>
                      <w:pStyle w:val="Bibliography"/>
                      <w:rPr>
                        <w:noProof/>
                      </w:rPr>
                    </w:pPr>
                    <w:r>
                      <w:rPr>
                        <w:noProof/>
                      </w:rPr>
                      <w:t xml:space="preserve">[6] </w:t>
                    </w:r>
                  </w:p>
                </w:tc>
                <w:tc>
                  <w:tcPr>
                    <w:tcW w:w="0" w:type="auto"/>
                    <w:hideMark/>
                  </w:tcPr>
                  <w:p w14:paraId="62C60734" w14:textId="77777777" w:rsidR="0044307E" w:rsidRDefault="0044307E">
                    <w:pPr>
                      <w:pStyle w:val="Bibliography"/>
                      <w:rPr>
                        <w:noProof/>
                      </w:rPr>
                    </w:pPr>
                    <w:r>
                      <w:rPr>
                        <w:noProof/>
                      </w:rPr>
                      <w:t>PeopleCert, “ITIL Framework,” PeopleCert, [Online]. Available: https://www.peoplecert.org/Frameworks-Professionals/ITIL-framework. [Accessed 15 1 2026].</w:t>
                    </w:r>
                  </w:p>
                </w:tc>
              </w:tr>
              <w:tr w:rsidR="0044307E" w14:paraId="7BEFBD88" w14:textId="77777777">
                <w:trPr>
                  <w:divId w:val="1545025291"/>
                  <w:tblCellSpacing w:w="15" w:type="dxa"/>
                </w:trPr>
                <w:tc>
                  <w:tcPr>
                    <w:tcW w:w="50" w:type="pct"/>
                    <w:hideMark/>
                  </w:tcPr>
                  <w:p w14:paraId="7EEE44D7" w14:textId="77777777" w:rsidR="0044307E" w:rsidRDefault="0044307E">
                    <w:pPr>
                      <w:pStyle w:val="Bibliography"/>
                      <w:rPr>
                        <w:noProof/>
                      </w:rPr>
                    </w:pPr>
                    <w:r>
                      <w:rPr>
                        <w:noProof/>
                      </w:rPr>
                      <w:t xml:space="preserve">[7] </w:t>
                    </w:r>
                  </w:p>
                </w:tc>
                <w:tc>
                  <w:tcPr>
                    <w:tcW w:w="0" w:type="auto"/>
                    <w:hideMark/>
                  </w:tcPr>
                  <w:p w14:paraId="15D3DDC6" w14:textId="77777777" w:rsidR="0044307E" w:rsidRDefault="0044307E">
                    <w:pPr>
                      <w:pStyle w:val="Bibliography"/>
                      <w:rPr>
                        <w:noProof/>
                      </w:rPr>
                    </w:pPr>
                    <w:r>
                      <w:rPr>
                        <w:noProof/>
                      </w:rPr>
                      <w:t>G. Solutions, “ISO 27001 Overview: What It Is + How It Works,” GRC Solutions, [Online]. Available: https://grcsolutions.io/iso27001/. [Accessed 12 1 2026].</w:t>
                    </w:r>
                  </w:p>
                </w:tc>
              </w:tr>
              <w:tr w:rsidR="0044307E" w14:paraId="4D351ED0" w14:textId="77777777">
                <w:trPr>
                  <w:divId w:val="1545025291"/>
                  <w:tblCellSpacing w:w="15" w:type="dxa"/>
                </w:trPr>
                <w:tc>
                  <w:tcPr>
                    <w:tcW w:w="50" w:type="pct"/>
                    <w:hideMark/>
                  </w:tcPr>
                  <w:p w14:paraId="37470AFC" w14:textId="77777777" w:rsidR="0044307E" w:rsidRDefault="0044307E">
                    <w:pPr>
                      <w:pStyle w:val="Bibliography"/>
                      <w:rPr>
                        <w:noProof/>
                      </w:rPr>
                    </w:pPr>
                    <w:r>
                      <w:rPr>
                        <w:noProof/>
                      </w:rPr>
                      <w:t xml:space="preserve">[8] </w:t>
                    </w:r>
                  </w:p>
                </w:tc>
                <w:tc>
                  <w:tcPr>
                    <w:tcW w:w="0" w:type="auto"/>
                    <w:hideMark/>
                  </w:tcPr>
                  <w:p w14:paraId="3B7D33B3" w14:textId="77777777" w:rsidR="0044307E" w:rsidRDefault="0044307E">
                    <w:pPr>
                      <w:pStyle w:val="Bibliography"/>
                      <w:rPr>
                        <w:noProof/>
                      </w:rPr>
                    </w:pPr>
                    <w:r>
                      <w:rPr>
                        <w:noProof/>
                      </w:rPr>
                      <w:t>N. I. o. S. a. Technology, “NIST Special Publication 800-61 Revision 2: Computer Security Incident Handling Guide,” Gaithersburg, MD, 2012.</w:t>
                    </w:r>
                  </w:p>
                </w:tc>
              </w:tr>
              <w:tr w:rsidR="0044307E" w14:paraId="71F2A5F5" w14:textId="77777777">
                <w:trPr>
                  <w:divId w:val="1545025291"/>
                  <w:tblCellSpacing w:w="15" w:type="dxa"/>
                </w:trPr>
                <w:tc>
                  <w:tcPr>
                    <w:tcW w:w="50" w:type="pct"/>
                    <w:hideMark/>
                  </w:tcPr>
                  <w:p w14:paraId="09EBE1AA" w14:textId="77777777" w:rsidR="0044307E" w:rsidRDefault="0044307E">
                    <w:pPr>
                      <w:pStyle w:val="Bibliography"/>
                      <w:rPr>
                        <w:noProof/>
                      </w:rPr>
                    </w:pPr>
                    <w:r>
                      <w:rPr>
                        <w:noProof/>
                      </w:rPr>
                      <w:t xml:space="preserve">[9] </w:t>
                    </w:r>
                  </w:p>
                </w:tc>
                <w:tc>
                  <w:tcPr>
                    <w:tcW w:w="0" w:type="auto"/>
                    <w:hideMark/>
                  </w:tcPr>
                  <w:p w14:paraId="393CF0E7" w14:textId="77777777" w:rsidR="0044307E" w:rsidRDefault="0044307E">
                    <w:pPr>
                      <w:pStyle w:val="Bibliography"/>
                      <w:rPr>
                        <w:noProof/>
                      </w:rPr>
                    </w:pPr>
                    <w:r>
                      <w:rPr>
                        <w:noProof/>
                      </w:rPr>
                      <w:t>N. C. S. Centre, “Cyber Assessment Framework,” National Cyber Security Centre, [Online]. Available: https://www.ncsc.gov.uk/collection/cyber-assessment-framework. [Accessed 18 1 2026].</w:t>
                    </w:r>
                  </w:p>
                </w:tc>
              </w:tr>
              <w:tr w:rsidR="0044307E" w14:paraId="30BE4D44" w14:textId="77777777">
                <w:trPr>
                  <w:divId w:val="1545025291"/>
                  <w:tblCellSpacing w:w="15" w:type="dxa"/>
                </w:trPr>
                <w:tc>
                  <w:tcPr>
                    <w:tcW w:w="50" w:type="pct"/>
                    <w:hideMark/>
                  </w:tcPr>
                  <w:p w14:paraId="04D59242" w14:textId="77777777" w:rsidR="0044307E" w:rsidRDefault="0044307E">
                    <w:pPr>
                      <w:pStyle w:val="Bibliography"/>
                      <w:rPr>
                        <w:noProof/>
                      </w:rPr>
                    </w:pPr>
                    <w:r>
                      <w:rPr>
                        <w:noProof/>
                      </w:rPr>
                      <w:t xml:space="preserve">[10] </w:t>
                    </w:r>
                  </w:p>
                </w:tc>
                <w:tc>
                  <w:tcPr>
                    <w:tcW w:w="0" w:type="auto"/>
                    <w:hideMark/>
                  </w:tcPr>
                  <w:p w14:paraId="105890F9" w14:textId="77777777" w:rsidR="0044307E" w:rsidRDefault="0044307E">
                    <w:pPr>
                      <w:pStyle w:val="Bibliography"/>
                      <w:rPr>
                        <w:noProof/>
                      </w:rPr>
                    </w:pPr>
                    <w:r>
                      <w:rPr>
                        <w:noProof/>
                      </w:rPr>
                      <w:t>N. C. S. C. (. UK, “Board Toolkit Executive Summary,” London, UK, 2023.</w:t>
                    </w:r>
                  </w:p>
                </w:tc>
              </w:tr>
              <w:tr w:rsidR="0044307E" w14:paraId="37ECB539" w14:textId="77777777">
                <w:trPr>
                  <w:divId w:val="1545025291"/>
                  <w:tblCellSpacing w:w="15" w:type="dxa"/>
                </w:trPr>
                <w:tc>
                  <w:tcPr>
                    <w:tcW w:w="50" w:type="pct"/>
                    <w:hideMark/>
                  </w:tcPr>
                  <w:p w14:paraId="0FA6F502" w14:textId="77777777" w:rsidR="0044307E" w:rsidRDefault="0044307E">
                    <w:pPr>
                      <w:pStyle w:val="Bibliography"/>
                      <w:rPr>
                        <w:noProof/>
                      </w:rPr>
                    </w:pPr>
                    <w:r>
                      <w:rPr>
                        <w:noProof/>
                      </w:rPr>
                      <w:t xml:space="preserve">[11] </w:t>
                    </w:r>
                  </w:p>
                </w:tc>
                <w:tc>
                  <w:tcPr>
                    <w:tcW w:w="0" w:type="auto"/>
                    <w:hideMark/>
                  </w:tcPr>
                  <w:p w14:paraId="13121643" w14:textId="77777777" w:rsidR="0044307E" w:rsidRDefault="0044307E">
                    <w:pPr>
                      <w:pStyle w:val="Bibliography"/>
                      <w:rPr>
                        <w:noProof/>
                      </w:rPr>
                    </w:pPr>
                    <w:r>
                      <w:rPr>
                        <w:noProof/>
                      </w:rPr>
                      <w:t>I. O. f. S. (. /. I. E. C. (IEC), “SO/IEC 27005:2018 — Information security risk management,” Geneva, Switzerland, 2018.</w:t>
                    </w:r>
                  </w:p>
                </w:tc>
              </w:tr>
              <w:tr w:rsidR="0044307E" w14:paraId="578F9CD6" w14:textId="77777777">
                <w:trPr>
                  <w:divId w:val="1545025291"/>
                  <w:tblCellSpacing w:w="15" w:type="dxa"/>
                </w:trPr>
                <w:tc>
                  <w:tcPr>
                    <w:tcW w:w="50" w:type="pct"/>
                    <w:hideMark/>
                  </w:tcPr>
                  <w:p w14:paraId="0EF11DFB" w14:textId="77777777" w:rsidR="0044307E" w:rsidRDefault="0044307E">
                    <w:pPr>
                      <w:pStyle w:val="Bibliography"/>
                      <w:rPr>
                        <w:noProof/>
                      </w:rPr>
                    </w:pPr>
                    <w:r>
                      <w:rPr>
                        <w:noProof/>
                      </w:rPr>
                      <w:lastRenderedPageBreak/>
                      <w:t xml:space="preserve">[12] </w:t>
                    </w:r>
                  </w:p>
                </w:tc>
                <w:tc>
                  <w:tcPr>
                    <w:tcW w:w="0" w:type="auto"/>
                    <w:hideMark/>
                  </w:tcPr>
                  <w:p w14:paraId="5317EA98" w14:textId="77777777" w:rsidR="0044307E" w:rsidRDefault="0044307E">
                    <w:pPr>
                      <w:pStyle w:val="Bibliography"/>
                      <w:rPr>
                        <w:noProof/>
                      </w:rPr>
                    </w:pPr>
                    <w:r>
                      <w:rPr>
                        <w:noProof/>
                      </w:rPr>
                      <w:t>N. I. o. S. a. T. (NIST), “About the Risk Management Framework (RMF),” NIST Computer Security Resource Center, [Online]. Available: https://csrc.nist.gov/projects/risk-management/about-rmf. [Accessed 20 1 2026].</w:t>
                    </w:r>
                  </w:p>
                </w:tc>
              </w:tr>
              <w:tr w:rsidR="0044307E" w14:paraId="4AFE2210" w14:textId="77777777">
                <w:trPr>
                  <w:divId w:val="1545025291"/>
                  <w:tblCellSpacing w:w="15" w:type="dxa"/>
                </w:trPr>
                <w:tc>
                  <w:tcPr>
                    <w:tcW w:w="50" w:type="pct"/>
                    <w:hideMark/>
                  </w:tcPr>
                  <w:p w14:paraId="3B80B2DB" w14:textId="77777777" w:rsidR="0044307E" w:rsidRDefault="0044307E">
                    <w:pPr>
                      <w:pStyle w:val="Bibliography"/>
                      <w:rPr>
                        <w:noProof/>
                      </w:rPr>
                    </w:pPr>
                    <w:r>
                      <w:rPr>
                        <w:noProof/>
                      </w:rPr>
                      <w:t xml:space="preserve">[13] </w:t>
                    </w:r>
                  </w:p>
                </w:tc>
                <w:tc>
                  <w:tcPr>
                    <w:tcW w:w="0" w:type="auto"/>
                    <w:hideMark/>
                  </w:tcPr>
                  <w:p w14:paraId="535A51BA" w14:textId="77777777" w:rsidR="0044307E" w:rsidRDefault="0044307E">
                    <w:pPr>
                      <w:pStyle w:val="Bibliography"/>
                      <w:rPr>
                        <w:noProof/>
                      </w:rPr>
                    </w:pPr>
                    <w:r>
                      <w:rPr>
                        <w:noProof/>
                      </w:rPr>
                      <w:t>N. I. o. S. a. T. (NIST), “NIST Special Publication 800-53 Revision 5 Update 1: Security and Privacy Controls for Information Systems and Organizations,” 2020.</w:t>
                    </w:r>
                  </w:p>
                </w:tc>
              </w:tr>
              <w:tr w:rsidR="0044307E" w14:paraId="3066D7E4" w14:textId="77777777">
                <w:trPr>
                  <w:divId w:val="1545025291"/>
                  <w:tblCellSpacing w:w="15" w:type="dxa"/>
                </w:trPr>
                <w:tc>
                  <w:tcPr>
                    <w:tcW w:w="50" w:type="pct"/>
                    <w:hideMark/>
                  </w:tcPr>
                  <w:p w14:paraId="126DA352" w14:textId="77777777" w:rsidR="0044307E" w:rsidRDefault="0044307E">
                    <w:pPr>
                      <w:pStyle w:val="Bibliography"/>
                      <w:rPr>
                        <w:noProof/>
                      </w:rPr>
                    </w:pPr>
                    <w:r>
                      <w:rPr>
                        <w:noProof/>
                      </w:rPr>
                      <w:t xml:space="preserve">[14] </w:t>
                    </w:r>
                  </w:p>
                </w:tc>
                <w:tc>
                  <w:tcPr>
                    <w:tcW w:w="0" w:type="auto"/>
                    <w:hideMark/>
                  </w:tcPr>
                  <w:p w14:paraId="131F3CA9" w14:textId="77777777" w:rsidR="0044307E" w:rsidRDefault="0044307E">
                    <w:pPr>
                      <w:pStyle w:val="Bibliography"/>
                      <w:rPr>
                        <w:noProof/>
                      </w:rPr>
                    </w:pPr>
                    <w:r>
                      <w:rPr>
                        <w:noProof/>
                      </w:rPr>
                      <w:t>N. C. S. C. (. UK), “Device Security Guidance,” National Cyber Security Centre, [Online]. Available: https://www.ncsc.gov.uk/collection/device-security-guidance. [Accessed 20 1 2026].</w:t>
                    </w:r>
                  </w:p>
                </w:tc>
              </w:tr>
              <w:tr w:rsidR="0044307E" w14:paraId="3BB38F8B" w14:textId="77777777">
                <w:trPr>
                  <w:divId w:val="1545025291"/>
                  <w:tblCellSpacing w:w="15" w:type="dxa"/>
                </w:trPr>
                <w:tc>
                  <w:tcPr>
                    <w:tcW w:w="50" w:type="pct"/>
                    <w:hideMark/>
                  </w:tcPr>
                  <w:p w14:paraId="74751E04" w14:textId="77777777" w:rsidR="0044307E" w:rsidRDefault="0044307E">
                    <w:pPr>
                      <w:pStyle w:val="Bibliography"/>
                      <w:rPr>
                        <w:noProof/>
                      </w:rPr>
                    </w:pPr>
                    <w:r>
                      <w:rPr>
                        <w:noProof/>
                      </w:rPr>
                      <w:t xml:space="preserve">[15] </w:t>
                    </w:r>
                  </w:p>
                </w:tc>
                <w:tc>
                  <w:tcPr>
                    <w:tcW w:w="0" w:type="auto"/>
                    <w:hideMark/>
                  </w:tcPr>
                  <w:p w14:paraId="4C0D77A3" w14:textId="77777777" w:rsidR="0044307E" w:rsidRDefault="0044307E">
                    <w:pPr>
                      <w:pStyle w:val="Bibliography"/>
                      <w:rPr>
                        <w:noProof/>
                      </w:rPr>
                    </w:pPr>
                    <w:r>
                      <w:rPr>
                        <w:noProof/>
                      </w:rPr>
                      <w:t>N. I. o. S. a. T. (NIST), “NIST Special Publication 800-145: The NIST Definition of Cloud Computing,” 2011.</w:t>
                    </w:r>
                  </w:p>
                </w:tc>
              </w:tr>
              <w:tr w:rsidR="0044307E" w14:paraId="697C1A72" w14:textId="77777777">
                <w:trPr>
                  <w:divId w:val="1545025291"/>
                  <w:tblCellSpacing w:w="15" w:type="dxa"/>
                </w:trPr>
                <w:tc>
                  <w:tcPr>
                    <w:tcW w:w="50" w:type="pct"/>
                    <w:hideMark/>
                  </w:tcPr>
                  <w:p w14:paraId="72968D7A" w14:textId="77777777" w:rsidR="0044307E" w:rsidRDefault="0044307E">
                    <w:pPr>
                      <w:pStyle w:val="Bibliography"/>
                      <w:rPr>
                        <w:noProof/>
                      </w:rPr>
                    </w:pPr>
                    <w:r>
                      <w:rPr>
                        <w:noProof/>
                      </w:rPr>
                      <w:t xml:space="preserve">[16] </w:t>
                    </w:r>
                  </w:p>
                </w:tc>
                <w:tc>
                  <w:tcPr>
                    <w:tcW w:w="0" w:type="auto"/>
                    <w:hideMark/>
                  </w:tcPr>
                  <w:p w14:paraId="14BE7430" w14:textId="77777777" w:rsidR="0044307E" w:rsidRDefault="0044307E">
                    <w:pPr>
                      <w:pStyle w:val="Bibliography"/>
                      <w:rPr>
                        <w:noProof/>
                      </w:rPr>
                    </w:pPr>
                    <w:r>
                      <w:rPr>
                        <w:noProof/>
                      </w:rPr>
                      <w:t>N. I. o. S. a. T. (NIST), “NIST Special Publication 800-60 Volume 1 Revision 1: Guide for Mapping Types of Information and Information Systems to Security Categories,” National Institute of Standards and Technolog, 2008.</w:t>
                    </w:r>
                  </w:p>
                </w:tc>
              </w:tr>
              <w:tr w:rsidR="0044307E" w14:paraId="212F879F" w14:textId="77777777">
                <w:trPr>
                  <w:divId w:val="1545025291"/>
                  <w:tblCellSpacing w:w="15" w:type="dxa"/>
                </w:trPr>
                <w:tc>
                  <w:tcPr>
                    <w:tcW w:w="50" w:type="pct"/>
                    <w:hideMark/>
                  </w:tcPr>
                  <w:p w14:paraId="590F6C6B" w14:textId="77777777" w:rsidR="0044307E" w:rsidRDefault="0044307E">
                    <w:pPr>
                      <w:pStyle w:val="Bibliography"/>
                      <w:rPr>
                        <w:noProof/>
                      </w:rPr>
                    </w:pPr>
                    <w:r>
                      <w:rPr>
                        <w:noProof/>
                      </w:rPr>
                      <w:t xml:space="preserve">[17] </w:t>
                    </w:r>
                  </w:p>
                </w:tc>
                <w:tc>
                  <w:tcPr>
                    <w:tcW w:w="0" w:type="auto"/>
                    <w:hideMark/>
                  </w:tcPr>
                  <w:p w14:paraId="3FBF1904" w14:textId="77777777" w:rsidR="0044307E" w:rsidRDefault="0044307E">
                    <w:pPr>
                      <w:pStyle w:val="Bibliography"/>
                      <w:rPr>
                        <w:noProof/>
                      </w:rPr>
                    </w:pPr>
                    <w:r>
                      <w:rPr>
                        <w:noProof/>
                      </w:rPr>
                      <w:t>I. C. O. (ICO), “Accountability and Governance (UK GDPR Guidance),” ICO UK, [Online]. Available: https://ico.org.uk/for-organisations/uk-gdpr-guidance-and-resources/accountability-and-governance/. [Accessed 29 1 2026].</w:t>
                    </w:r>
                  </w:p>
                </w:tc>
              </w:tr>
              <w:tr w:rsidR="0044307E" w14:paraId="5AB7AB3D" w14:textId="77777777">
                <w:trPr>
                  <w:divId w:val="1545025291"/>
                  <w:tblCellSpacing w:w="15" w:type="dxa"/>
                </w:trPr>
                <w:tc>
                  <w:tcPr>
                    <w:tcW w:w="50" w:type="pct"/>
                    <w:hideMark/>
                  </w:tcPr>
                  <w:p w14:paraId="37729815" w14:textId="77777777" w:rsidR="0044307E" w:rsidRDefault="0044307E">
                    <w:pPr>
                      <w:pStyle w:val="Bibliography"/>
                      <w:rPr>
                        <w:noProof/>
                      </w:rPr>
                    </w:pPr>
                    <w:r>
                      <w:rPr>
                        <w:noProof/>
                      </w:rPr>
                      <w:t xml:space="preserve">[18] </w:t>
                    </w:r>
                  </w:p>
                </w:tc>
                <w:tc>
                  <w:tcPr>
                    <w:tcW w:w="0" w:type="auto"/>
                    <w:hideMark/>
                  </w:tcPr>
                  <w:p w14:paraId="424135BF" w14:textId="77777777" w:rsidR="0044307E" w:rsidRDefault="0044307E">
                    <w:pPr>
                      <w:pStyle w:val="Bibliography"/>
                      <w:rPr>
                        <w:noProof/>
                      </w:rPr>
                    </w:pPr>
                    <w:r>
                      <w:rPr>
                        <w:noProof/>
                      </w:rPr>
                      <w:t>E. Commission, “Data Protection,” European Commission, [Online]. Available: https://commission.europa.eu/law/law-topic/data-protection_en. [Accessed 29 1 2026].</w:t>
                    </w:r>
                  </w:p>
                </w:tc>
              </w:tr>
              <w:tr w:rsidR="0044307E" w14:paraId="4770862E" w14:textId="77777777">
                <w:trPr>
                  <w:divId w:val="1545025291"/>
                  <w:tblCellSpacing w:w="15" w:type="dxa"/>
                </w:trPr>
                <w:tc>
                  <w:tcPr>
                    <w:tcW w:w="50" w:type="pct"/>
                    <w:hideMark/>
                  </w:tcPr>
                  <w:p w14:paraId="53312E9B" w14:textId="77777777" w:rsidR="0044307E" w:rsidRDefault="0044307E">
                    <w:pPr>
                      <w:pStyle w:val="Bibliography"/>
                      <w:rPr>
                        <w:noProof/>
                      </w:rPr>
                    </w:pPr>
                    <w:r>
                      <w:rPr>
                        <w:noProof/>
                      </w:rPr>
                      <w:t xml:space="preserve">[19] </w:t>
                    </w:r>
                  </w:p>
                </w:tc>
                <w:tc>
                  <w:tcPr>
                    <w:tcW w:w="0" w:type="auto"/>
                    <w:hideMark/>
                  </w:tcPr>
                  <w:p w14:paraId="20D5DC48" w14:textId="77777777" w:rsidR="0044307E" w:rsidRDefault="0044307E">
                    <w:pPr>
                      <w:pStyle w:val="Bibliography"/>
                      <w:rPr>
                        <w:noProof/>
                      </w:rPr>
                    </w:pPr>
                    <w:r>
                      <w:rPr>
                        <w:noProof/>
                      </w:rPr>
                      <w:t>C. a. I. S. A. (CISA), “Insider Threat Mitigation Guide,” 2024.</w:t>
                    </w:r>
                  </w:p>
                </w:tc>
              </w:tr>
              <w:tr w:rsidR="0044307E" w14:paraId="1EFF3905" w14:textId="77777777">
                <w:trPr>
                  <w:divId w:val="1545025291"/>
                  <w:tblCellSpacing w:w="15" w:type="dxa"/>
                </w:trPr>
                <w:tc>
                  <w:tcPr>
                    <w:tcW w:w="50" w:type="pct"/>
                    <w:hideMark/>
                  </w:tcPr>
                  <w:p w14:paraId="42D86C40" w14:textId="77777777" w:rsidR="0044307E" w:rsidRDefault="0044307E">
                    <w:pPr>
                      <w:pStyle w:val="Bibliography"/>
                      <w:rPr>
                        <w:noProof/>
                      </w:rPr>
                    </w:pPr>
                    <w:r>
                      <w:rPr>
                        <w:noProof/>
                      </w:rPr>
                      <w:t xml:space="preserve">[20] </w:t>
                    </w:r>
                  </w:p>
                </w:tc>
                <w:tc>
                  <w:tcPr>
                    <w:tcW w:w="0" w:type="auto"/>
                    <w:hideMark/>
                  </w:tcPr>
                  <w:p w14:paraId="03BDAF6A" w14:textId="77777777" w:rsidR="0044307E" w:rsidRDefault="0044307E">
                    <w:pPr>
                      <w:pStyle w:val="Bibliography"/>
                      <w:rPr>
                        <w:noProof/>
                      </w:rPr>
                    </w:pPr>
                    <w:r>
                      <w:rPr>
                        <w:noProof/>
                      </w:rPr>
                      <w:t>N. I. o. S. a. T. (NIST), “NIST Special Publication 800-34 Revision 1: Contingency Planning Guide for Federal Information Systems,” 2010.</w:t>
                    </w:r>
                  </w:p>
                </w:tc>
              </w:tr>
              <w:tr w:rsidR="0044307E" w14:paraId="22ACF3EB" w14:textId="77777777">
                <w:trPr>
                  <w:divId w:val="1545025291"/>
                  <w:tblCellSpacing w:w="15" w:type="dxa"/>
                </w:trPr>
                <w:tc>
                  <w:tcPr>
                    <w:tcW w:w="50" w:type="pct"/>
                    <w:hideMark/>
                  </w:tcPr>
                  <w:p w14:paraId="403B418B" w14:textId="77777777" w:rsidR="0044307E" w:rsidRDefault="0044307E">
                    <w:pPr>
                      <w:pStyle w:val="Bibliography"/>
                      <w:rPr>
                        <w:noProof/>
                      </w:rPr>
                    </w:pPr>
                    <w:r>
                      <w:rPr>
                        <w:noProof/>
                      </w:rPr>
                      <w:t xml:space="preserve">[21] </w:t>
                    </w:r>
                  </w:p>
                </w:tc>
                <w:tc>
                  <w:tcPr>
                    <w:tcW w:w="0" w:type="auto"/>
                    <w:hideMark/>
                  </w:tcPr>
                  <w:p w14:paraId="3C4E4B56" w14:textId="77777777" w:rsidR="0044307E" w:rsidRDefault="0044307E">
                    <w:pPr>
                      <w:pStyle w:val="Bibliography"/>
                      <w:rPr>
                        <w:noProof/>
                      </w:rPr>
                    </w:pPr>
                    <w:r>
                      <w:rPr>
                        <w:noProof/>
                      </w:rPr>
                      <w:t xml:space="preserve">B. Yalçıner, K. Dinçer, A. G. Karaçor and M. Ö. Efe, “Enhancing Agile Story Point Estimation: Integrating Deep Learning, Machine Learning, and Natural Language Processing with SBERT and Gradient Boosted Trees,” </w:t>
                    </w:r>
                    <w:r>
                      <w:rPr>
                        <w:i/>
                        <w:iCs/>
                        <w:noProof/>
                      </w:rPr>
                      <w:t xml:space="preserve">Applied Sciences, </w:t>
                    </w:r>
                    <w:r>
                      <w:rPr>
                        <w:noProof/>
                      </w:rPr>
                      <w:t xml:space="preserve">vol. 14, no. 16, 2024. </w:t>
                    </w:r>
                  </w:p>
                </w:tc>
              </w:tr>
            </w:tbl>
            <w:p w14:paraId="60163165" w14:textId="77777777" w:rsidR="0044307E" w:rsidRDefault="0044307E">
              <w:pPr>
                <w:divId w:val="1545025291"/>
                <w:rPr>
                  <w:rFonts w:eastAsia="Times New Roman"/>
                  <w:noProof/>
                </w:rPr>
              </w:pPr>
            </w:p>
            <w:p w14:paraId="1F2D47BA" w14:textId="669BFC76" w:rsidR="0044307E" w:rsidRDefault="0044307E">
              <w:r>
                <w:rPr>
                  <w:b/>
                  <w:bCs/>
                  <w:noProof/>
                </w:rPr>
                <w:fldChar w:fldCharType="end"/>
              </w:r>
            </w:p>
          </w:sdtContent>
        </w:sdt>
      </w:sdtContent>
    </w:sdt>
    <w:p w14:paraId="722ABAD5" w14:textId="77777777" w:rsidR="0044307E" w:rsidRPr="00045C8C" w:rsidRDefault="0044307E" w:rsidP="006A2131"/>
    <w:sectPr w:rsidR="0044307E" w:rsidRPr="00045C8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2E818" w14:textId="77777777" w:rsidR="000A41BB" w:rsidRDefault="000A41BB" w:rsidP="00821BDD">
      <w:pPr>
        <w:spacing w:after="0" w:line="240" w:lineRule="auto"/>
      </w:pPr>
      <w:r>
        <w:separator/>
      </w:r>
    </w:p>
  </w:endnote>
  <w:endnote w:type="continuationSeparator" w:id="0">
    <w:p w14:paraId="555D5733" w14:textId="77777777" w:rsidR="000A41BB" w:rsidRDefault="000A41BB" w:rsidP="00821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91886" w14:textId="77777777" w:rsidR="000A41BB" w:rsidRDefault="000A41BB" w:rsidP="00821BDD">
      <w:pPr>
        <w:spacing w:after="0" w:line="240" w:lineRule="auto"/>
      </w:pPr>
      <w:r>
        <w:separator/>
      </w:r>
    </w:p>
  </w:footnote>
  <w:footnote w:type="continuationSeparator" w:id="0">
    <w:p w14:paraId="0C901994" w14:textId="77777777" w:rsidR="000A41BB" w:rsidRDefault="000A41BB" w:rsidP="00821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8476F"/>
    <w:multiLevelType w:val="multilevel"/>
    <w:tmpl w:val="7702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604E7"/>
    <w:multiLevelType w:val="multilevel"/>
    <w:tmpl w:val="5F105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D57AD"/>
    <w:multiLevelType w:val="hybridMultilevel"/>
    <w:tmpl w:val="A6A0C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592AA5"/>
    <w:multiLevelType w:val="hybridMultilevel"/>
    <w:tmpl w:val="679E7F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0D593FAE"/>
    <w:multiLevelType w:val="hybridMultilevel"/>
    <w:tmpl w:val="7D12863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1411171"/>
    <w:multiLevelType w:val="hybridMultilevel"/>
    <w:tmpl w:val="849E49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626A7F"/>
    <w:multiLevelType w:val="multilevel"/>
    <w:tmpl w:val="B7A00A4A"/>
    <w:lvl w:ilvl="0">
      <w:start w:val="1"/>
      <w:numFmt w:val="decimal"/>
      <w:lvlText w:val="%1."/>
      <w:lvlJc w:val="left"/>
      <w:pPr>
        <w:ind w:left="720" w:hanging="360"/>
      </w:pPr>
      <w:rPr>
        <w:rFonts w:hint="default"/>
      </w:rPr>
    </w:lvl>
    <w:lvl w:ilvl="1">
      <w:start w:val="1"/>
      <w:numFmt w:val="decimal"/>
      <w:isLgl/>
      <w:lvlText w:val="%1.%2"/>
      <w:lvlJc w:val="left"/>
      <w:pPr>
        <w:ind w:left="833" w:hanging="4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8C336D9"/>
    <w:multiLevelType w:val="hybridMultilevel"/>
    <w:tmpl w:val="C5003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42E6F"/>
    <w:multiLevelType w:val="multilevel"/>
    <w:tmpl w:val="5F105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187B89"/>
    <w:multiLevelType w:val="hybridMultilevel"/>
    <w:tmpl w:val="2748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E14501"/>
    <w:multiLevelType w:val="multilevel"/>
    <w:tmpl w:val="B7A00A4A"/>
    <w:lvl w:ilvl="0">
      <w:start w:val="1"/>
      <w:numFmt w:val="decimal"/>
      <w:lvlText w:val="%1."/>
      <w:lvlJc w:val="left"/>
      <w:pPr>
        <w:ind w:left="720" w:hanging="360"/>
      </w:pPr>
      <w:rPr>
        <w:rFonts w:hint="default"/>
      </w:rPr>
    </w:lvl>
    <w:lvl w:ilvl="1">
      <w:start w:val="1"/>
      <w:numFmt w:val="decimal"/>
      <w:isLgl/>
      <w:lvlText w:val="%1.%2"/>
      <w:lvlJc w:val="left"/>
      <w:pPr>
        <w:ind w:left="833" w:hanging="4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8464F31"/>
    <w:multiLevelType w:val="multilevel"/>
    <w:tmpl w:val="AE2AF6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6D20AA"/>
    <w:multiLevelType w:val="hybridMultilevel"/>
    <w:tmpl w:val="4424738A"/>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3" w15:restartNumberingAfterBreak="0">
    <w:nsid w:val="38140881"/>
    <w:multiLevelType w:val="multilevel"/>
    <w:tmpl w:val="5F105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871D68"/>
    <w:multiLevelType w:val="hybridMultilevel"/>
    <w:tmpl w:val="8B4AFB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3FF97F1E"/>
    <w:multiLevelType w:val="hybridMultilevel"/>
    <w:tmpl w:val="D4405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996D26"/>
    <w:multiLevelType w:val="hybridMultilevel"/>
    <w:tmpl w:val="4CB41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210D2"/>
    <w:multiLevelType w:val="multilevel"/>
    <w:tmpl w:val="DCC8A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923781"/>
    <w:multiLevelType w:val="multilevel"/>
    <w:tmpl w:val="ADC009A2"/>
    <w:lvl w:ilvl="0">
      <w:start w:val="1"/>
      <w:numFmt w:val="bullet"/>
      <w:lvlText w:val=""/>
      <w:lvlJc w:val="left"/>
      <w:pPr>
        <w:ind w:left="720" w:hanging="360"/>
      </w:pPr>
      <w:rPr>
        <w:rFonts w:ascii="Symbol" w:hAnsi="Symbol" w:hint="default"/>
      </w:rPr>
    </w:lvl>
    <w:lvl w:ilvl="1">
      <w:start w:val="1"/>
      <w:numFmt w:val="decimal"/>
      <w:isLgl/>
      <w:lvlText w:val="%1.%2"/>
      <w:lvlJc w:val="left"/>
      <w:pPr>
        <w:ind w:left="833" w:hanging="4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C825E46"/>
    <w:multiLevelType w:val="hybridMultilevel"/>
    <w:tmpl w:val="B956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056B84"/>
    <w:multiLevelType w:val="multilevel"/>
    <w:tmpl w:val="0A081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8170D3"/>
    <w:multiLevelType w:val="multilevel"/>
    <w:tmpl w:val="4F282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FF237D"/>
    <w:multiLevelType w:val="hybridMultilevel"/>
    <w:tmpl w:val="7962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C656FE"/>
    <w:multiLevelType w:val="multilevel"/>
    <w:tmpl w:val="36A6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D74FCE"/>
    <w:multiLevelType w:val="hybridMultilevel"/>
    <w:tmpl w:val="7676E6A8"/>
    <w:lvl w:ilvl="0" w:tplc="A8BEEFE4">
      <w:start w:val="3"/>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B7F6140"/>
    <w:multiLevelType w:val="hybridMultilevel"/>
    <w:tmpl w:val="298C6D0E"/>
    <w:lvl w:ilvl="0" w:tplc="A8BEEFE4">
      <w:start w:val="3"/>
      <w:numFmt w:val="bullet"/>
      <w:lvlText w:val="–"/>
      <w:lvlJc w:val="left"/>
      <w:pPr>
        <w:ind w:left="2160" w:hanging="360"/>
      </w:pPr>
      <w:rPr>
        <w:rFonts w:ascii="Aptos" w:eastAsiaTheme="minorHAnsi" w:hAnsi="Aptos"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5D636556"/>
    <w:multiLevelType w:val="multilevel"/>
    <w:tmpl w:val="B268BD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4428A4"/>
    <w:multiLevelType w:val="multilevel"/>
    <w:tmpl w:val="BCA8FA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6B4D7F"/>
    <w:multiLevelType w:val="hybridMultilevel"/>
    <w:tmpl w:val="79E22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A71728"/>
    <w:multiLevelType w:val="hybridMultilevel"/>
    <w:tmpl w:val="58EA780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71D24ADA"/>
    <w:multiLevelType w:val="multilevel"/>
    <w:tmpl w:val="B11E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DC38D2"/>
    <w:multiLevelType w:val="hybridMultilevel"/>
    <w:tmpl w:val="FEBE6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32134"/>
    <w:multiLevelType w:val="multilevel"/>
    <w:tmpl w:val="B7A00A4A"/>
    <w:lvl w:ilvl="0">
      <w:start w:val="1"/>
      <w:numFmt w:val="decimal"/>
      <w:lvlText w:val="%1."/>
      <w:lvlJc w:val="left"/>
      <w:pPr>
        <w:ind w:left="720" w:hanging="360"/>
      </w:pPr>
      <w:rPr>
        <w:rFonts w:hint="default"/>
      </w:rPr>
    </w:lvl>
    <w:lvl w:ilvl="1">
      <w:start w:val="1"/>
      <w:numFmt w:val="decimal"/>
      <w:isLgl/>
      <w:lvlText w:val="%1.%2"/>
      <w:lvlJc w:val="left"/>
      <w:pPr>
        <w:ind w:left="833" w:hanging="4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B46098F"/>
    <w:multiLevelType w:val="hybridMultilevel"/>
    <w:tmpl w:val="B4129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274B37"/>
    <w:multiLevelType w:val="hybridMultilevel"/>
    <w:tmpl w:val="98CAF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094222">
    <w:abstractNumId w:val="32"/>
  </w:num>
  <w:num w:numId="2" w16cid:durableId="400905612">
    <w:abstractNumId w:val="7"/>
  </w:num>
  <w:num w:numId="3" w16cid:durableId="17898730">
    <w:abstractNumId w:val="28"/>
  </w:num>
  <w:num w:numId="4" w16cid:durableId="1777017286">
    <w:abstractNumId w:val="22"/>
  </w:num>
  <w:num w:numId="5" w16cid:durableId="89008424">
    <w:abstractNumId w:val="29"/>
  </w:num>
  <w:num w:numId="6" w16cid:durableId="2038045406">
    <w:abstractNumId w:val="21"/>
  </w:num>
  <w:num w:numId="7" w16cid:durableId="1246842010">
    <w:abstractNumId w:val="33"/>
  </w:num>
  <w:num w:numId="8" w16cid:durableId="1452241551">
    <w:abstractNumId w:val="1"/>
  </w:num>
  <w:num w:numId="9" w16cid:durableId="12538646">
    <w:abstractNumId w:val="19"/>
  </w:num>
  <w:num w:numId="10" w16cid:durableId="1754427646">
    <w:abstractNumId w:val="6"/>
  </w:num>
  <w:num w:numId="11" w16cid:durableId="202207224">
    <w:abstractNumId w:val="15"/>
  </w:num>
  <w:num w:numId="12" w16cid:durableId="1371880987">
    <w:abstractNumId w:val="16"/>
  </w:num>
  <w:num w:numId="13" w16cid:durableId="1311864056">
    <w:abstractNumId w:val="10"/>
  </w:num>
  <w:num w:numId="14" w16cid:durableId="508064827">
    <w:abstractNumId w:val="18"/>
  </w:num>
  <w:num w:numId="15" w16cid:durableId="1421222820">
    <w:abstractNumId w:val="5"/>
  </w:num>
  <w:num w:numId="16" w16cid:durableId="1655336795">
    <w:abstractNumId w:val="24"/>
  </w:num>
  <w:num w:numId="17" w16cid:durableId="1191337017">
    <w:abstractNumId w:val="13"/>
  </w:num>
  <w:num w:numId="18" w16cid:durableId="762841345">
    <w:abstractNumId w:val="8"/>
  </w:num>
  <w:num w:numId="19" w16cid:durableId="1308168509">
    <w:abstractNumId w:val="11"/>
  </w:num>
  <w:num w:numId="20" w16cid:durableId="784495505">
    <w:abstractNumId w:val="25"/>
  </w:num>
  <w:num w:numId="21" w16cid:durableId="1428695336">
    <w:abstractNumId w:val="12"/>
  </w:num>
  <w:num w:numId="22" w16cid:durableId="1602564366">
    <w:abstractNumId w:val="27"/>
  </w:num>
  <w:num w:numId="23" w16cid:durableId="1182474766">
    <w:abstractNumId w:val="14"/>
  </w:num>
  <w:num w:numId="24" w16cid:durableId="784621267">
    <w:abstractNumId w:val="34"/>
  </w:num>
  <w:num w:numId="25" w16cid:durableId="258834314">
    <w:abstractNumId w:val="30"/>
  </w:num>
  <w:num w:numId="26" w16cid:durableId="1475365475">
    <w:abstractNumId w:val="31"/>
  </w:num>
  <w:num w:numId="27" w16cid:durableId="107431723">
    <w:abstractNumId w:val="20"/>
  </w:num>
  <w:num w:numId="28" w16cid:durableId="1741708807">
    <w:abstractNumId w:val="26"/>
  </w:num>
  <w:num w:numId="29" w16cid:durableId="2083140110">
    <w:abstractNumId w:val="3"/>
  </w:num>
  <w:num w:numId="30" w16cid:durableId="638071444">
    <w:abstractNumId w:val="4"/>
  </w:num>
  <w:num w:numId="31" w16cid:durableId="746654048">
    <w:abstractNumId w:val="17"/>
  </w:num>
  <w:num w:numId="32" w16cid:durableId="1349529320">
    <w:abstractNumId w:val="23"/>
  </w:num>
  <w:num w:numId="33" w16cid:durableId="914314056">
    <w:abstractNumId w:val="0"/>
  </w:num>
  <w:num w:numId="34" w16cid:durableId="631323294">
    <w:abstractNumId w:val="2"/>
  </w:num>
  <w:num w:numId="35" w16cid:durableId="1620873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9E"/>
    <w:rsid w:val="00014027"/>
    <w:rsid w:val="000252FD"/>
    <w:rsid w:val="00031CCF"/>
    <w:rsid w:val="00033461"/>
    <w:rsid w:val="00041163"/>
    <w:rsid w:val="00042462"/>
    <w:rsid w:val="00045C8C"/>
    <w:rsid w:val="00053275"/>
    <w:rsid w:val="000611C3"/>
    <w:rsid w:val="00074449"/>
    <w:rsid w:val="0008789E"/>
    <w:rsid w:val="00090740"/>
    <w:rsid w:val="0009513C"/>
    <w:rsid w:val="000A41BB"/>
    <w:rsid w:val="000A5276"/>
    <w:rsid w:val="000C5919"/>
    <w:rsid w:val="000C5CD7"/>
    <w:rsid w:val="000C7A54"/>
    <w:rsid w:val="000D5E27"/>
    <w:rsid w:val="000E7041"/>
    <w:rsid w:val="00105839"/>
    <w:rsid w:val="00111442"/>
    <w:rsid w:val="001128A5"/>
    <w:rsid w:val="001128E2"/>
    <w:rsid w:val="00124089"/>
    <w:rsid w:val="00124503"/>
    <w:rsid w:val="00142B87"/>
    <w:rsid w:val="00144242"/>
    <w:rsid w:val="001474C4"/>
    <w:rsid w:val="00147631"/>
    <w:rsid w:val="00152D4B"/>
    <w:rsid w:val="00156B5F"/>
    <w:rsid w:val="00161E73"/>
    <w:rsid w:val="0017589F"/>
    <w:rsid w:val="001A2951"/>
    <w:rsid w:val="001C3ED1"/>
    <w:rsid w:val="001C6010"/>
    <w:rsid w:val="001D6321"/>
    <w:rsid w:val="001E685A"/>
    <w:rsid w:val="001F0CC0"/>
    <w:rsid w:val="001F6584"/>
    <w:rsid w:val="00206E5A"/>
    <w:rsid w:val="00226265"/>
    <w:rsid w:val="002618AC"/>
    <w:rsid w:val="00267CA8"/>
    <w:rsid w:val="00277EDC"/>
    <w:rsid w:val="00280F26"/>
    <w:rsid w:val="002A269F"/>
    <w:rsid w:val="002B1173"/>
    <w:rsid w:val="002B2B6F"/>
    <w:rsid w:val="002C55A5"/>
    <w:rsid w:val="002D0365"/>
    <w:rsid w:val="002F046A"/>
    <w:rsid w:val="002F32C0"/>
    <w:rsid w:val="00300D9A"/>
    <w:rsid w:val="00334DF7"/>
    <w:rsid w:val="00335E33"/>
    <w:rsid w:val="0033719E"/>
    <w:rsid w:val="00342AEA"/>
    <w:rsid w:val="00376E30"/>
    <w:rsid w:val="003800CA"/>
    <w:rsid w:val="003869EE"/>
    <w:rsid w:val="0039683B"/>
    <w:rsid w:val="003A1923"/>
    <w:rsid w:val="003A5674"/>
    <w:rsid w:val="003C39DB"/>
    <w:rsid w:val="003E2C73"/>
    <w:rsid w:val="003F2BAA"/>
    <w:rsid w:val="003F44E6"/>
    <w:rsid w:val="003F6772"/>
    <w:rsid w:val="00406DC7"/>
    <w:rsid w:val="00414AD7"/>
    <w:rsid w:val="004340E9"/>
    <w:rsid w:val="0044307E"/>
    <w:rsid w:val="00443F27"/>
    <w:rsid w:val="004446DD"/>
    <w:rsid w:val="0045256C"/>
    <w:rsid w:val="00467527"/>
    <w:rsid w:val="004720F6"/>
    <w:rsid w:val="004902F4"/>
    <w:rsid w:val="0049260E"/>
    <w:rsid w:val="004A07C9"/>
    <w:rsid w:val="004B13F2"/>
    <w:rsid w:val="004B6306"/>
    <w:rsid w:val="004C1564"/>
    <w:rsid w:val="004C72FB"/>
    <w:rsid w:val="004E6055"/>
    <w:rsid w:val="004F6BC8"/>
    <w:rsid w:val="00523FF1"/>
    <w:rsid w:val="005354D8"/>
    <w:rsid w:val="005571F8"/>
    <w:rsid w:val="00591260"/>
    <w:rsid w:val="005C4232"/>
    <w:rsid w:val="005D446B"/>
    <w:rsid w:val="005E4C14"/>
    <w:rsid w:val="005F090B"/>
    <w:rsid w:val="00602B01"/>
    <w:rsid w:val="0060308D"/>
    <w:rsid w:val="00611A48"/>
    <w:rsid w:val="006262C5"/>
    <w:rsid w:val="00636681"/>
    <w:rsid w:val="00641615"/>
    <w:rsid w:val="00651F57"/>
    <w:rsid w:val="00663809"/>
    <w:rsid w:val="006A2131"/>
    <w:rsid w:val="006A5716"/>
    <w:rsid w:val="006B2B82"/>
    <w:rsid w:val="006C3C9A"/>
    <w:rsid w:val="006C3F24"/>
    <w:rsid w:val="006F184E"/>
    <w:rsid w:val="006F5972"/>
    <w:rsid w:val="007121D7"/>
    <w:rsid w:val="00726249"/>
    <w:rsid w:val="0073392E"/>
    <w:rsid w:val="00737887"/>
    <w:rsid w:val="007562A2"/>
    <w:rsid w:val="007607DF"/>
    <w:rsid w:val="00774FF7"/>
    <w:rsid w:val="007A599A"/>
    <w:rsid w:val="007A7328"/>
    <w:rsid w:val="007C1CB1"/>
    <w:rsid w:val="007E5ECB"/>
    <w:rsid w:val="008015BA"/>
    <w:rsid w:val="00821BDD"/>
    <w:rsid w:val="00826753"/>
    <w:rsid w:val="00832643"/>
    <w:rsid w:val="008346A0"/>
    <w:rsid w:val="00856D89"/>
    <w:rsid w:val="0087585E"/>
    <w:rsid w:val="008972EC"/>
    <w:rsid w:val="008A6BEE"/>
    <w:rsid w:val="008C707A"/>
    <w:rsid w:val="008D65C9"/>
    <w:rsid w:val="008E71C8"/>
    <w:rsid w:val="008E73A2"/>
    <w:rsid w:val="00921CE2"/>
    <w:rsid w:val="00950315"/>
    <w:rsid w:val="0095772C"/>
    <w:rsid w:val="009653A0"/>
    <w:rsid w:val="00971FE8"/>
    <w:rsid w:val="00984DB2"/>
    <w:rsid w:val="009A0290"/>
    <w:rsid w:val="009A0837"/>
    <w:rsid w:val="009B204D"/>
    <w:rsid w:val="009B23E1"/>
    <w:rsid w:val="009C0769"/>
    <w:rsid w:val="00A015D5"/>
    <w:rsid w:val="00A14400"/>
    <w:rsid w:val="00A33B47"/>
    <w:rsid w:val="00A40871"/>
    <w:rsid w:val="00A43D32"/>
    <w:rsid w:val="00A466CF"/>
    <w:rsid w:val="00A516F9"/>
    <w:rsid w:val="00A721EB"/>
    <w:rsid w:val="00A832D1"/>
    <w:rsid w:val="00A96E57"/>
    <w:rsid w:val="00AA5915"/>
    <w:rsid w:val="00AB3216"/>
    <w:rsid w:val="00AB6A0A"/>
    <w:rsid w:val="00AD0C7E"/>
    <w:rsid w:val="00AE2C89"/>
    <w:rsid w:val="00B00A5B"/>
    <w:rsid w:val="00B06575"/>
    <w:rsid w:val="00B31F46"/>
    <w:rsid w:val="00B37149"/>
    <w:rsid w:val="00B40FA5"/>
    <w:rsid w:val="00B46530"/>
    <w:rsid w:val="00B526F5"/>
    <w:rsid w:val="00B6477E"/>
    <w:rsid w:val="00B83A72"/>
    <w:rsid w:val="00B93C4B"/>
    <w:rsid w:val="00B96A20"/>
    <w:rsid w:val="00BA157E"/>
    <w:rsid w:val="00BA36AE"/>
    <w:rsid w:val="00BB61E2"/>
    <w:rsid w:val="00BC3F4F"/>
    <w:rsid w:val="00BD414E"/>
    <w:rsid w:val="00BD7CC3"/>
    <w:rsid w:val="00BF6415"/>
    <w:rsid w:val="00C1613E"/>
    <w:rsid w:val="00C42C91"/>
    <w:rsid w:val="00C55C0C"/>
    <w:rsid w:val="00C626AC"/>
    <w:rsid w:val="00C64636"/>
    <w:rsid w:val="00C779AB"/>
    <w:rsid w:val="00C86145"/>
    <w:rsid w:val="00CB694D"/>
    <w:rsid w:val="00CC5487"/>
    <w:rsid w:val="00CC56B4"/>
    <w:rsid w:val="00CD330A"/>
    <w:rsid w:val="00CD4B9F"/>
    <w:rsid w:val="00CD6A50"/>
    <w:rsid w:val="00CE2B9E"/>
    <w:rsid w:val="00D03590"/>
    <w:rsid w:val="00D240F6"/>
    <w:rsid w:val="00D56469"/>
    <w:rsid w:val="00D56CE6"/>
    <w:rsid w:val="00D57CF9"/>
    <w:rsid w:val="00D62A60"/>
    <w:rsid w:val="00D74B6C"/>
    <w:rsid w:val="00D77873"/>
    <w:rsid w:val="00D80E36"/>
    <w:rsid w:val="00D948FA"/>
    <w:rsid w:val="00DA2757"/>
    <w:rsid w:val="00DD612B"/>
    <w:rsid w:val="00DE4007"/>
    <w:rsid w:val="00E03CD2"/>
    <w:rsid w:val="00E17709"/>
    <w:rsid w:val="00E33D23"/>
    <w:rsid w:val="00E34E43"/>
    <w:rsid w:val="00E64646"/>
    <w:rsid w:val="00E7543D"/>
    <w:rsid w:val="00E8229C"/>
    <w:rsid w:val="00E84258"/>
    <w:rsid w:val="00EA4138"/>
    <w:rsid w:val="00EA446D"/>
    <w:rsid w:val="00EC00D4"/>
    <w:rsid w:val="00EC4807"/>
    <w:rsid w:val="00ED3189"/>
    <w:rsid w:val="00EE62C2"/>
    <w:rsid w:val="00EE6A06"/>
    <w:rsid w:val="00F029CD"/>
    <w:rsid w:val="00F04BB1"/>
    <w:rsid w:val="00F068C4"/>
    <w:rsid w:val="00F071E1"/>
    <w:rsid w:val="00F42AC8"/>
    <w:rsid w:val="00F71045"/>
    <w:rsid w:val="00F71F19"/>
    <w:rsid w:val="00F81A47"/>
    <w:rsid w:val="00F875CF"/>
    <w:rsid w:val="00F901DE"/>
    <w:rsid w:val="00FB6EAF"/>
    <w:rsid w:val="00FC3670"/>
    <w:rsid w:val="00FD6429"/>
    <w:rsid w:val="00FD71C0"/>
    <w:rsid w:val="00FF6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14DB2"/>
  <w15:chartTrackingRefBased/>
  <w15:docId w15:val="{42E33E09-6BBE-4C03-A93F-A4FDBB6CA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2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2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2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B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B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B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B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2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2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2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B9E"/>
    <w:rPr>
      <w:rFonts w:eastAsiaTheme="majorEastAsia" w:cstheme="majorBidi"/>
      <w:color w:val="272727" w:themeColor="text1" w:themeTint="D8"/>
    </w:rPr>
  </w:style>
  <w:style w:type="paragraph" w:styleId="Title">
    <w:name w:val="Title"/>
    <w:basedOn w:val="Normal"/>
    <w:next w:val="Normal"/>
    <w:link w:val="TitleChar"/>
    <w:uiPriority w:val="10"/>
    <w:qFormat/>
    <w:rsid w:val="00CE2B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B9E"/>
    <w:pPr>
      <w:spacing w:before="160"/>
      <w:jc w:val="center"/>
    </w:pPr>
    <w:rPr>
      <w:i/>
      <w:iCs/>
      <w:color w:val="404040" w:themeColor="text1" w:themeTint="BF"/>
    </w:rPr>
  </w:style>
  <w:style w:type="character" w:customStyle="1" w:styleId="QuoteChar">
    <w:name w:val="Quote Char"/>
    <w:basedOn w:val="DefaultParagraphFont"/>
    <w:link w:val="Quote"/>
    <w:uiPriority w:val="29"/>
    <w:rsid w:val="00CE2B9E"/>
    <w:rPr>
      <w:i/>
      <w:iCs/>
      <w:color w:val="404040" w:themeColor="text1" w:themeTint="BF"/>
    </w:rPr>
  </w:style>
  <w:style w:type="paragraph" w:styleId="ListParagraph">
    <w:name w:val="List Paragraph"/>
    <w:basedOn w:val="Normal"/>
    <w:uiPriority w:val="34"/>
    <w:qFormat/>
    <w:rsid w:val="00CE2B9E"/>
    <w:pPr>
      <w:ind w:left="720"/>
      <w:contextualSpacing/>
    </w:pPr>
  </w:style>
  <w:style w:type="character" w:styleId="IntenseEmphasis">
    <w:name w:val="Intense Emphasis"/>
    <w:basedOn w:val="DefaultParagraphFont"/>
    <w:uiPriority w:val="21"/>
    <w:qFormat/>
    <w:rsid w:val="00CE2B9E"/>
    <w:rPr>
      <w:i/>
      <w:iCs/>
      <w:color w:val="0F4761" w:themeColor="accent1" w:themeShade="BF"/>
    </w:rPr>
  </w:style>
  <w:style w:type="paragraph" w:styleId="IntenseQuote">
    <w:name w:val="Intense Quote"/>
    <w:basedOn w:val="Normal"/>
    <w:next w:val="Normal"/>
    <w:link w:val="IntenseQuoteChar"/>
    <w:uiPriority w:val="30"/>
    <w:qFormat/>
    <w:rsid w:val="00CE2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B9E"/>
    <w:rPr>
      <w:i/>
      <w:iCs/>
      <w:color w:val="0F4761" w:themeColor="accent1" w:themeShade="BF"/>
    </w:rPr>
  </w:style>
  <w:style w:type="character" w:styleId="IntenseReference">
    <w:name w:val="Intense Reference"/>
    <w:basedOn w:val="DefaultParagraphFont"/>
    <w:uiPriority w:val="32"/>
    <w:qFormat/>
    <w:rsid w:val="00CE2B9E"/>
    <w:rPr>
      <w:b/>
      <w:bCs/>
      <w:smallCaps/>
      <w:color w:val="0F4761" w:themeColor="accent1" w:themeShade="BF"/>
      <w:spacing w:val="5"/>
    </w:rPr>
  </w:style>
  <w:style w:type="paragraph" w:styleId="NoSpacing">
    <w:name w:val="No Spacing"/>
    <w:link w:val="NoSpacingChar"/>
    <w:uiPriority w:val="1"/>
    <w:qFormat/>
    <w:rsid w:val="00CE2B9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E2B9E"/>
    <w:rPr>
      <w:rFonts w:eastAsiaTheme="minorEastAsia"/>
      <w:kern w:val="0"/>
      <w:sz w:val="22"/>
      <w:szCs w:val="22"/>
      <w:lang w:val="en-US"/>
      <w14:ligatures w14:val="none"/>
    </w:rPr>
  </w:style>
  <w:style w:type="character" w:styleId="Hyperlink">
    <w:name w:val="Hyperlink"/>
    <w:basedOn w:val="DefaultParagraphFont"/>
    <w:uiPriority w:val="99"/>
    <w:unhideWhenUsed/>
    <w:rsid w:val="00CE2B9E"/>
    <w:rPr>
      <w:color w:val="467886" w:themeColor="hyperlink"/>
      <w:u w:val="single"/>
    </w:rPr>
  </w:style>
  <w:style w:type="character" w:styleId="UnresolvedMention">
    <w:name w:val="Unresolved Mention"/>
    <w:basedOn w:val="DefaultParagraphFont"/>
    <w:uiPriority w:val="99"/>
    <w:semiHidden/>
    <w:unhideWhenUsed/>
    <w:rsid w:val="00CE2B9E"/>
    <w:rPr>
      <w:color w:val="605E5C"/>
      <w:shd w:val="clear" w:color="auto" w:fill="E1DFDD"/>
    </w:rPr>
  </w:style>
  <w:style w:type="paragraph" w:styleId="TOCHeading">
    <w:name w:val="TOC Heading"/>
    <w:basedOn w:val="Heading1"/>
    <w:next w:val="Normal"/>
    <w:uiPriority w:val="39"/>
    <w:unhideWhenUsed/>
    <w:qFormat/>
    <w:rsid w:val="00CE2B9E"/>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821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BDD"/>
  </w:style>
  <w:style w:type="paragraph" w:styleId="Footer">
    <w:name w:val="footer"/>
    <w:basedOn w:val="Normal"/>
    <w:link w:val="FooterChar"/>
    <w:uiPriority w:val="99"/>
    <w:unhideWhenUsed/>
    <w:rsid w:val="00821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BDD"/>
  </w:style>
  <w:style w:type="table" w:styleId="TableGrid">
    <w:name w:val="Table Grid"/>
    <w:basedOn w:val="TableNormal"/>
    <w:uiPriority w:val="39"/>
    <w:rsid w:val="003C39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3C39DB"/>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3C39DB"/>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3C39DB"/>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3C39DB"/>
    <w:rPr>
      <w:i/>
      <w:iCs/>
    </w:rPr>
  </w:style>
  <w:style w:type="table" w:styleId="LightShading-Accent1">
    <w:name w:val="Light Shading Accent 1"/>
    <w:basedOn w:val="TableNormal"/>
    <w:uiPriority w:val="60"/>
    <w:rsid w:val="003C39DB"/>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Caption">
    <w:name w:val="caption"/>
    <w:basedOn w:val="Normal"/>
    <w:next w:val="Normal"/>
    <w:uiPriority w:val="35"/>
    <w:unhideWhenUsed/>
    <w:qFormat/>
    <w:rsid w:val="00D240F6"/>
    <w:pPr>
      <w:spacing w:after="200" w:line="240" w:lineRule="auto"/>
    </w:pPr>
    <w:rPr>
      <w:i/>
      <w:iCs/>
      <w:color w:val="0E2841" w:themeColor="text2"/>
      <w:sz w:val="18"/>
      <w:szCs w:val="18"/>
    </w:rPr>
  </w:style>
  <w:style w:type="paragraph" w:styleId="NormalWeb">
    <w:name w:val="Normal (Web)"/>
    <w:basedOn w:val="Normal"/>
    <w:uiPriority w:val="99"/>
    <w:semiHidden/>
    <w:unhideWhenUsed/>
    <w:rsid w:val="00FD64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EC4807"/>
    <w:pPr>
      <w:spacing w:after="100"/>
    </w:pPr>
  </w:style>
  <w:style w:type="paragraph" w:styleId="TOC2">
    <w:name w:val="toc 2"/>
    <w:basedOn w:val="Normal"/>
    <w:next w:val="Normal"/>
    <w:autoRedefine/>
    <w:uiPriority w:val="39"/>
    <w:unhideWhenUsed/>
    <w:rsid w:val="00EC4807"/>
    <w:pPr>
      <w:spacing w:after="100"/>
      <w:ind w:left="240"/>
    </w:pPr>
  </w:style>
  <w:style w:type="paragraph" w:styleId="TOC3">
    <w:name w:val="toc 3"/>
    <w:basedOn w:val="Normal"/>
    <w:next w:val="Normal"/>
    <w:autoRedefine/>
    <w:uiPriority w:val="39"/>
    <w:unhideWhenUsed/>
    <w:rsid w:val="00EC4807"/>
    <w:pPr>
      <w:spacing w:after="100"/>
      <w:ind w:left="480"/>
    </w:pPr>
  </w:style>
  <w:style w:type="paragraph" w:styleId="Bibliography">
    <w:name w:val="Bibliography"/>
    <w:basedOn w:val="Normal"/>
    <w:next w:val="Normal"/>
    <w:uiPriority w:val="37"/>
    <w:unhideWhenUsed/>
    <w:rsid w:val="00443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501">
      <w:bodyDiv w:val="1"/>
      <w:marLeft w:val="0"/>
      <w:marRight w:val="0"/>
      <w:marTop w:val="0"/>
      <w:marBottom w:val="0"/>
      <w:divBdr>
        <w:top w:val="none" w:sz="0" w:space="0" w:color="auto"/>
        <w:left w:val="none" w:sz="0" w:space="0" w:color="auto"/>
        <w:bottom w:val="none" w:sz="0" w:space="0" w:color="auto"/>
        <w:right w:val="none" w:sz="0" w:space="0" w:color="auto"/>
      </w:divBdr>
    </w:div>
    <w:div w:id="1788805">
      <w:bodyDiv w:val="1"/>
      <w:marLeft w:val="0"/>
      <w:marRight w:val="0"/>
      <w:marTop w:val="0"/>
      <w:marBottom w:val="0"/>
      <w:divBdr>
        <w:top w:val="none" w:sz="0" w:space="0" w:color="auto"/>
        <w:left w:val="none" w:sz="0" w:space="0" w:color="auto"/>
        <w:bottom w:val="none" w:sz="0" w:space="0" w:color="auto"/>
        <w:right w:val="none" w:sz="0" w:space="0" w:color="auto"/>
      </w:divBdr>
    </w:div>
    <w:div w:id="22442087">
      <w:bodyDiv w:val="1"/>
      <w:marLeft w:val="0"/>
      <w:marRight w:val="0"/>
      <w:marTop w:val="0"/>
      <w:marBottom w:val="0"/>
      <w:divBdr>
        <w:top w:val="none" w:sz="0" w:space="0" w:color="auto"/>
        <w:left w:val="none" w:sz="0" w:space="0" w:color="auto"/>
        <w:bottom w:val="none" w:sz="0" w:space="0" w:color="auto"/>
        <w:right w:val="none" w:sz="0" w:space="0" w:color="auto"/>
      </w:divBdr>
    </w:div>
    <w:div w:id="37357347">
      <w:bodyDiv w:val="1"/>
      <w:marLeft w:val="0"/>
      <w:marRight w:val="0"/>
      <w:marTop w:val="0"/>
      <w:marBottom w:val="0"/>
      <w:divBdr>
        <w:top w:val="none" w:sz="0" w:space="0" w:color="auto"/>
        <w:left w:val="none" w:sz="0" w:space="0" w:color="auto"/>
        <w:bottom w:val="none" w:sz="0" w:space="0" w:color="auto"/>
        <w:right w:val="none" w:sz="0" w:space="0" w:color="auto"/>
      </w:divBdr>
    </w:div>
    <w:div w:id="70274168">
      <w:bodyDiv w:val="1"/>
      <w:marLeft w:val="0"/>
      <w:marRight w:val="0"/>
      <w:marTop w:val="0"/>
      <w:marBottom w:val="0"/>
      <w:divBdr>
        <w:top w:val="none" w:sz="0" w:space="0" w:color="auto"/>
        <w:left w:val="none" w:sz="0" w:space="0" w:color="auto"/>
        <w:bottom w:val="none" w:sz="0" w:space="0" w:color="auto"/>
        <w:right w:val="none" w:sz="0" w:space="0" w:color="auto"/>
      </w:divBdr>
    </w:div>
    <w:div w:id="95905417">
      <w:bodyDiv w:val="1"/>
      <w:marLeft w:val="0"/>
      <w:marRight w:val="0"/>
      <w:marTop w:val="0"/>
      <w:marBottom w:val="0"/>
      <w:divBdr>
        <w:top w:val="none" w:sz="0" w:space="0" w:color="auto"/>
        <w:left w:val="none" w:sz="0" w:space="0" w:color="auto"/>
        <w:bottom w:val="none" w:sz="0" w:space="0" w:color="auto"/>
        <w:right w:val="none" w:sz="0" w:space="0" w:color="auto"/>
      </w:divBdr>
    </w:div>
    <w:div w:id="99758940">
      <w:bodyDiv w:val="1"/>
      <w:marLeft w:val="0"/>
      <w:marRight w:val="0"/>
      <w:marTop w:val="0"/>
      <w:marBottom w:val="0"/>
      <w:divBdr>
        <w:top w:val="none" w:sz="0" w:space="0" w:color="auto"/>
        <w:left w:val="none" w:sz="0" w:space="0" w:color="auto"/>
        <w:bottom w:val="none" w:sz="0" w:space="0" w:color="auto"/>
        <w:right w:val="none" w:sz="0" w:space="0" w:color="auto"/>
      </w:divBdr>
    </w:div>
    <w:div w:id="155456492">
      <w:bodyDiv w:val="1"/>
      <w:marLeft w:val="0"/>
      <w:marRight w:val="0"/>
      <w:marTop w:val="0"/>
      <w:marBottom w:val="0"/>
      <w:divBdr>
        <w:top w:val="none" w:sz="0" w:space="0" w:color="auto"/>
        <w:left w:val="none" w:sz="0" w:space="0" w:color="auto"/>
        <w:bottom w:val="none" w:sz="0" w:space="0" w:color="auto"/>
        <w:right w:val="none" w:sz="0" w:space="0" w:color="auto"/>
      </w:divBdr>
    </w:div>
    <w:div w:id="205456053">
      <w:bodyDiv w:val="1"/>
      <w:marLeft w:val="0"/>
      <w:marRight w:val="0"/>
      <w:marTop w:val="0"/>
      <w:marBottom w:val="0"/>
      <w:divBdr>
        <w:top w:val="none" w:sz="0" w:space="0" w:color="auto"/>
        <w:left w:val="none" w:sz="0" w:space="0" w:color="auto"/>
        <w:bottom w:val="none" w:sz="0" w:space="0" w:color="auto"/>
        <w:right w:val="none" w:sz="0" w:space="0" w:color="auto"/>
      </w:divBdr>
    </w:div>
    <w:div w:id="220144047">
      <w:bodyDiv w:val="1"/>
      <w:marLeft w:val="0"/>
      <w:marRight w:val="0"/>
      <w:marTop w:val="0"/>
      <w:marBottom w:val="0"/>
      <w:divBdr>
        <w:top w:val="none" w:sz="0" w:space="0" w:color="auto"/>
        <w:left w:val="none" w:sz="0" w:space="0" w:color="auto"/>
        <w:bottom w:val="none" w:sz="0" w:space="0" w:color="auto"/>
        <w:right w:val="none" w:sz="0" w:space="0" w:color="auto"/>
      </w:divBdr>
    </w:div>
    <w:div w:id="287130175">
      <w:bodyDiv w:val="1"/>
      <w:marLeft w:val="0"/>
      <w:marRight w:val="0"/>
      <w:marTop w:val="0"/>
      <w:marBottom w:val="0"/>
      <w:divBdr>
        <w:top w:val="none" w:sz="0" w:space="0" w:color="auto"/>
        <w:left w:val="none" w:sz="0" w:space="0" w:color="auto"/>
        <w:bottom w:val="none" w:sz="0" w:space="0" w:color="auto"/>
        <w:right w:val="none" w:sz="0" w:space="0" w:color="auto"/>
      </w:divBdr>
    </w:div>
    <w:div w:id="293023020">
      <w:bodyDiv w:val="1"/>
      <w:marLeft w:val="0"/>
      <w:marRight w:val="0"/>
      <w:marTop w:val="0"/>
      <w:marBottom w:val="0"/>
      <w:divBdr>
        <w:top w:val="none" w:sz="0" w:space="0" w:color="auto"/>
        <w:left w:val="none" w:sz="0" w:space="0" w:color="auto"/>
        <w:bottom w:val="none" w:sz="0" w:space="0" w:color="auto"/>
        <w:right w:val="none" w:sz="0" w:space="0" w:color="auto"/>
      </w:divBdr>
    </w:div>
    <w:div w:id="316343557">
      <w:bodyDiv w:val="1"/>
      <w:marLeft w:val="0"/>
      <w:marRight w:val="0"/>
      <w:marTop w:val="0"/>
      <w:marBottom w:val="0"/>
      <w:divBdr>
        <w:top w:val="none" w:sz="0" w:space="0" w:color="auto"/>
        <w:left w:val="none" w:sz="0" w:space="0" w:color="auto"/>
        <w:bottom w:val="none" w:sz="0" w:space="0" w:color="auto"/>
        <w:right w:val="none" w:sz="0" w:space="0" w:color="auto"/>
      </w:divBdr>
    </w:div>
    <w:div w:id="346908846">
      <w:bodyDiv w:val="1"/>
      <w:marLeft w:val="0"/>
      <w:marRight w:val="0"/>
      <w:marTop w:val="0"/>
      <w:marBottom w:val="0"/>
      <w:divBdr>
        <w:top w:val="none" w:sz="0" w:space="0" w:color="auto"/>
        <w:left w:val="none" w:sz="0" w:space="0" w:color="auto"/>
        <w:bottom w:val="none" w:sz="0" w:space="0" w:color="auto"/>
        <w:right w:val="none" w:sz="0" w:space="0" w:color="auto"/>
      </w:divBdr>
    </w:div>
    <w:div w:id="354162334">
      <w:bodyDiv w:val="1"/>
      <w:marLeft w:val="0"/>
      <w:marRight w:val="0"/>
      <w:marTop w:val="0"/>
      <w:marBottom w:val="0"/>
      <w:divBdr>
        <w:top w:val="none" w:sz="0" w:space="0" w:color="auto"/>
        <w:left w:val="none" w:sz="0" w:space="0" w:color="auto"/>
        <w:bottom w:val="none" w:sz="0" w:space="0" w:color="auto"/>
        <w:right w:val="none" w:sz="0" w:space="0" w:color="auto"/>
      </w:divBdr>
    </w:div>
    <w:div w:id="366031615">
      <w:bodyDiv w:val="1"/>
      <w:marLeft w:val="0"/>
      <w:marRight w:val="0"/>
      <w:marTop w:val="0"/>
      <w:marBottom w:val="0"/>
      <w:divBdr>
        <w:top w:val="none" w:sz="0" w:space="0" w:color="auto"/>
        <w:left w:val="none" w:sz="0" w:space="0" w:color="auto"/>
        <w:bottom w:val="none" w:sz="0" w:space="0" w:color="auto"/>
        <w:right w:val="none" w:sz="0" w:space="0" w:color="auto"/>
      </w:divBdr>
    </w:div>
    <w:div w:id="412435784">
      <w:bodyDiv w:val="1"/>
      <w:marLeft w:val="0"/>
      <w:marRight w:val="0"/>
      <w:marTop w:val="0"/>
      <w:marBottom w:val="0"/>
      <w:divBdr>
        <w:top w:val="none" w:sz="0" w:space="0" w:color="auto"/>
        <w:left w:val="none" w:sz="0" w:space="0" w:color="auto"/>
        <w:bottom w:val="none" w:sz="0" w:space="0" w:color="auto"/>
        <w:right w:val="none" w:sz="0" w:space="0" w:color="auto"/>
      </w:divBdr>
    </w:div>
    <w:div w:id="443185766">
      <w:bodyDiv w:val="1"/>
      <w:marLeft w:val="0"/>
      <w:marRight w:val="0"/>
      <w:marTop w:val="0"/>
      <w:marBottom w:val="0"/>
      <w:divBdr>
        <w:top w:val="none" w:sz="0" w:space="0" w:color="auto"/>
        <w:left w:val="none" w:sz="0" w:space="0" w:color="auto"/>
        <w:bottom w:val="none" w:sz="0" w:space="0" w:color="auto"/>
        <w:right w:val="none" w:sz="0" w:space="0" w:color="auto"/>
      </w:divBdr>
    </w:div>
    <w:div w:id="446586920">
      <w:bodyDiv w:val="1"/>
      <w:marLeft w:val="0"/>
      <w:marRight w:val="0"/>
      <w:marTop w:val="0"/>
      <w:marBottom w:val="0"/>
      <w:divBdr>
        <w:top w:val="none" w:sz="0" w:space="0" w:color="auto"/>
        <w:left w:val="none" w:sz="0" w:space="0" w:color="auto"/>
        <w:bottom w:val="none" w:sz="0" w:space="0" w:color="auto"/>
        <w:right w:val="none" w:sz="0" w:space="0" w:color="auto"/>
      </w:divBdr>
    </w:div>
    <w:div w:id="448547350">
      <w:bodyDiv w:val="1"/>
      <w:marLeft w:val="0"/>
      <w:marRight w:val="0"/>
      <w:marTop w:val="0"/>
      <w:marBottom w:val="0"/>
      <w:divBdr>
        <w:top w:val="none" w:sz="0" w:space="0" w:color="auto"/>
        <w:left w:val="none" w:sz="0" w:space="0" w:color="auto"/>
        <w:bottom w:val="none" w:sz="0" w:space="0" w:color="auto"/>
        <w:right w:val="none" w:sz="0" w:space="0" w:color="auto"/>
      </w:divBdr>
    </w:div>
    <w:div w:id="452750061">
      <w:bodyDiv w:val="1"/>
      <w:marLeft w:val="0"/>
      <w:marRight w:val="0"/>
      <w:marTop w:val="0"/>
      <w:marBottom w:val="0"/>
      <w:divBdr>
        <w:top w:val="none" w:sz="0" w:space="0" w:color="auto"/>
        <w:left w:val="none" w:sz="0" w:space="0" w:color="auto"/>
        <w:bottom w:val="none" w:sz="0" w:space="0" w:color="auto"/>
        <w:right w:val="none" w:sz="0" w:space="0" w:color="auto"/>
      </w:divBdr>
    </w:div>
    <w:div w:id="511795813">
      <w:bodyDiv w:val="1"/>
      <w:marLeft w:val="0"/>
      <w:marRight w:val="0"/>
      <w:marTop w:val="0"/>
      <w:marBottom w:val="0"/>
      <w:divBdr>
        <w:top w:val="none" w:sz="0" w:space="0" w:color="auto"/>
        <w:left w:val="none" w:sz="0" w:space="0" w:color="auto"/>
        <w:bottom w:val="none" w:sz="0" w:space="0" w:color="auto"/>
        <w:right w:val="none" w:sz="0" w:space="0" w:color="auto"/>
      </w:divBdr>
    </w:div>
    <w:div w:id="564990301">
      <w:bodyDiv w:val="1"/>
      <w:marLeft w:val="0"/>
      <w:marRight w:val="0"/>
      <w:marTop w:val="0"/>
      <w:marBottom w:val="0"/>
      <w:divBdr>
        <w:top w:val="none" w:sz="0" w:space="0" w:color="auto"/>
        <w:left w:val="none" w:sz="0" w:space="0" w:color="auto"/>
        <w:bottom w:val="none" w:sz="0" w:space="0" w:color="auto"/>
        <w:right w:val="none" w:sz="0" w:space="0" w:color="auto"/>
      </w:divBdr>
    </w:div>
    <w:div w:id="568425198">
      <w:bodyDiv w:val="1"/>
      <w:marLeft w:val="0"/>
      <w:marRight w:val="0"/>
      <w:marTop w:val="0"/>
      <w:marBottom w:val="0"/>
      <w:divBdr>
        <w:top w:val="none" w:sz="0" w:space="0" w:color="auto"/>
        <w:left w:val="none" w:sz="0" w:space="0" w:color="auto"/>
        <w:bottom w:val="none" w:sz="0" w:space="0" w:color="auto"/>
        <w:right w:val="none" w:sz="0" w:space="0" w:color="auto"/>
      </w:divBdr>
    </w:div>
    <w:div w:id="600796981">
      <w:bodyDiv w:val="1"/>
      <w:marLeft w:val="0"/>
      <w:marRight w:val="0"/>
      <w:marTop w:val="0"/>
      <w:marBottom w:val="0"/>
      <w:divBdr>
        <w:top w:val="none" w:sz="0" w:space="0" w:color="auto"/>
        <w:left w:val="none" w:sz="0" w:space="0" w:color="auto"/>
        <w:bottom w:val="none" w:sz="0" w:space="0" w:color="auto"/>
        <w:right w:val="none" w:sz="0" w:space="0" w:color="auto"/>
      </w:divBdr>
    </w:div>
    <w:div w:id="627202887">
      <w:bodyDiv w:val="1"/>
      <w:marLeft w:val="0"/>
      <w:marRight w:val="0"/>
      <w:marTop w:val="0"/>
      <w:marBottom w:val="0"/>
      <w:divBdr>
        <w:top w:val="none" w:sz="0" w:space="0" w:color="auto"/>
        <w:left w:val="none" w:sz="0" w:space="0" w:color="auto"/>
        <w:bottom w:val="none" w:sz="0" w:space="0" w:color="auto"/>
        <w:right w:val="none" w:sz="0" w:space="0" w:color="auto"/>
      </w:divBdr>
    </w:div>
    <w:div w:id="668295786">
      <w:bodyDiv w:val="1"/>
      <w:marLeft w:val="0"/>
      <w:marRight w:val="0"/>
      <w:marTop w:val="0"/>
      <w:marBottom w:val="0"/>
      <w:divBdr>
        <w:top w:val="none" w:sz="0" w:space="0" w:color="auto"/>
        <w:left w:val="none" w:sz="0" w:space="0" w:color="auto"/>
        <w:bottom w:val="none" w:sz="0" w:space="0" w:color="auto"/>
        <w:right w:val="none" w:sz="0" w:space="0" w:color="auto"/>
      </w:divBdr>
    </w:div>
    <w:div w:id="702511035">
      <w:bodyDiv w:val="1"/>
      <w:marLeft w:val="0"/>
      <w:marRight w:val="0"/>
      <w:marTop w:val="0"/>
      <w:marBottom w:val="0"/>
      <w:divBdr>
        <w:top w:val="none" w:sz="0" w:space="0" w:color="auto"/>
        <w:left w:val="none" w:sz="0" w:space="0" w:color="auto"/>
        <w:bottom w:val="none" w:sz="0" w:space="0" w:color="auto"/>
        <w:right w:val="none" w:sz="0" w:space="0" w:color="auto"/>
      </w:divBdr>
    </w:div>
    <w:div w:id="755857177">
      <w:bodyDiv w:val="1"/>
      <w:marLeft w:val="0"/>
      <w:marRight w:val="0"/>
      <w:marTop w:val="0"/>
      <w:marBottom w:val="0"/>
      <w:divBdr>
        <w:top w:val="none" w:sz="0" w:space="0" w:color="auto"/>
        <w:left w:val="none" w:sz="0" w:space="0" w:color="auto"/>
        <w:bottom w:val="none" w:sz="0" w:space="0" w:color="auto"/>
        <w:right w:val="none" w:sz="0" w:space="0" w:color="auto"/>
      </w:divBdr>
    </w:div>
    <w:div w:id="810908599">
      <w:bodyDiv w:val="1"/>
      <w:marLeft w:val="0"/>
      <w:marRight w:val="0"/>
      <w:marTop w:val="0"/>
      <w:marBottom w:val="0"/>
      <w:divBdr>
        <w:top w:val="none" w:sz="0" w:space="0" w:color="auto"/>
        <w:left w:val="none" w:sz="0" w:space="0" w:color="auto"/>
        <w:bottom w:val="none" w:sz="0" w:space="0" w:color="auto"/>
        <w:right w:val="none" w:sz="0" w:space="0" w:color="auto"/>
      </w:divBdr>
    </w:div>
    <w:div w:id="853571662">
      <w:bodyDiv w:val="1"/>
      <w:marLeft w:val="0"/>
      <w:marRight w:val="0"/>
      <w:marTop w:val="0"/>
      <w:marBottom w:val="0"/>
      <w:divBdr>
        <w:top w:val="none" w:sz="0" w:space="0" w:color="auto"/>
        <w:left w:val="none" w:sz="0" w:space="0" w:color="auto"/>
        <w:bottom w:val="none" w:sz="0" w:space="0" w:color="auto"/>
        <w:right w:val="none" w:sz="0" w:space="0" w:color="auto"/>
      </w:divBdr>
    </w:div>
    <w:div w:id="930771727">
      <w:bodyDiv w:val="1"/>
      <w:marLeft w:val="0"/>
      <w:marRight w:val="0"/>
      <w:marTop w:val="0"/>
      <w:marBottom w:val="0"/>
      <w:divBdr>
        <w:top w:val="none" w:sz="0" w:space="0" w:color="auto"/>
        <w:left w:val="none" w:sz="0" w:space="0" w:color="auto"/>
        <w:bottom w:val="none" w:sz="0" w:space="0" w:color="auto"/>
        <w:right w:val="none" w:sz="0" w:space="0" w:color="auto"/>
      </w:divBdr>
    </w:div>
    <w:div w:id="948315748">
      <w:bodyDiv w:val="1"/>
      <w:marLeft w:val="0"/>
      <w:marRight w:val="0"/>
      <w:marTop w:val="0"/>
      <w:marBottom w:val="0"/>
      <w:divBdr>
        <w:top w:val="none" w:sz="0" w:space="0" w:color="auto"/>
        <w:left w:val="none" w:sz="0" w:space="0" w:color="auto"/>
        <w:bottom w:val="none" w:sz="0" w:space="0" w:color="auto"/>
        <w:right w:val="none" w:sz="0" w:space="0" w:color="auto"/>
      </w:divBdr>
    </w:div>
    <w:div w:id="993873892">
      <w:bodyDiv w:val="1"/>
      <w:marLeft w:val="0"/>
      <w:marRight w:val="0"/>
      <w:marTop w:val="0"/>
      <w:marBottom w:val="0"/>
      <w:divBdr>
        <w:top w:val="none" w:sz="0" w:space="0" w:color="auto"/>
        <w:left w:val="none" w:sz="0" w:space="0" w:color="auto"/>
        <w:bottom w:val="none" w:sz="0" w:space="0" w:color="auto"/>
        <w:right w:val="none" w:sz="0" w:space="0" w:color="auto"/>
      </w:divBdr>
    </w:div>
    <w:div w:id="1023439934">
      <w:bodyDiv w:val="1"/>
      <w:marLeft w:val="0"/>
      <w:marRight w:val="0"/>
      <w:marTop w:val="0"/>
      <w:marBottom w:val="0"/>
      <w:divBdr>
        <w:top w:val="none" w:sz="0" w:space="0" w:color="auto"/>
        <w:left w:val="none" w:sz="0" w:space="0" w:color="auto"/>
        <w:bottom w:val="none" w:sz="0" w:space="0" w:color="auto"/>
        <w:right w:val="none" w:sz="0" w:space="0" w:color="auto"/>
      </w:divBdr>
    </w:div>
    <w:div w:id="1049764323">
      <w:bodyDiv w:val="1"/>
      <w:marLeft w:val="0"/>
      <w:marRight w:val="0"/>
      <w:marTop w:val="0"/>
      <w:marBottom w:val="0"/>
      <w:divBdr>
        <w:top w:val="none" w:sz="0" w:space="0" w:color="auto"/>
        <w:left w:val="none" w:sz="0" w:space="0" w:color="auto"/>
        <w:bottom w:val="none" w:sz="0" w:space="0" w:color="auto"/>
        <w:right w:val="none" w:sz="0" w:space="0" w:color="auto"/>
      </w:divBdr>
    </w:div>
    <w:div w:id="1080951524">
      <w:bodyDiv w:val="1"/>
      <w:marLeft w:val="0"/>
      <w:marRight w:val="0"/>
      <w:marTop w:val="0"/>
      <w:marBottom w:val="0"/>
      <w:divBdr>
        <w:top w:val="none" w:sz="0" w:space="0" w:color="auto"/>
        <w:left w:val="none" w:sz="0" w:space="0" w:color="auto"/>
        <w:bottom w:val="none" w:sz="0" w:space="0" w:color="auto"/>
        <w:right w:val="none" w:sz="0" w:space="0" w:color="auto"/>
      </w:divBdr>
    </w:div>
    <w:div w:id="1090926217">
      <w:bodyDiv w:val="1"/>
      <w:marLeft w:val="0"/>
      <w:marRight w:val="0"/>
      <w:marTop w:val="0"/>
      <w:marBottom w:val="0"/>
      <w:divBdr>
        <w:top w:val="none" w:sz="0" w:space="0" w:color="auto"/>
        <w:left w:val="none" w:sz="0" w:space="0" w:color="auto"/>
        <w:bottom w:val="none" w:sz="0" w:space="0" w:color="auto"/>
        <w:right w:val="none" w:sz="0" w:space="0" w:color="auto"/>
      </w:divBdr>
    </w:div>
    <w:div w:id="1095637484">
      <w:bodyDiv w:val="1"/>
      <w:marLeft w:val="0"/>
      <w:marRight w:val="0"/>
      <w:marTop w:val="0"/>
      <w:marBottom w:val="0"/>
      <w:divBdr>
        <w:top w:val="none" w:sz="0" w:space="0" w:color="auto"/>
        <w:left w:val="none" w:sz="0" w:space="0" w:color="auto"/>
        <w:bottom w:val="none" w:sz="0" w:space="0" w:color="auto"/>
        <w:right w:val="none" w:sz="0" w:space="0" w:color="auto"/>
      </w:divBdr>
    </w:div>
    <w:div w:id="1124620372">
      <w:bodyDiv w:val="1"/>
      <w:marLeft w:val="0"/>
      <w:marRight w:val="0"/>
      <w:marTop w:val="0"/>
      <w:marBottom w:val="0"/>
      <w:divBdr>
        <w:top w:val="none" w:sz="0" w:space="0" w:color="auto"/>
        <w:left w:val="none" w:sz="0" w:space="0" w:color="auto"/>
        <w:bottom w:val="none" w:sz="0" w:space="0" w:color="auto"/>
        <w:right w:val="none" w:sz="0" w:space="0" w:color="auto"/>
      </w:divBdr>
    </w:div>
    <w:div w:id="1166630491">
      <w:bodyDiv w:val="1"/>
      <w:marLeft w:val="0"/>
      <w:marRight w:val="0"/>
      <w:marTop w:val="0"/>
      <w:marBottom w:val="0"/>
      <w:divBdr>
        <w:top w:val="none" w:sz="0" w:space="0" w:color="auto"/>
        <w:left w:val="none" w:sz="0" w:space="0" w:color="auto"/>
        <w:bottom w:val="none" w:sz="0" w:space="0" w:color="auto"/>
        <w:right w:val="none" w:sz="0" w:space="0" w:color="auto"/>
      </w:divBdr>
    </w:div>
    <w:div w:id="1180437951">
      <w:bodyDiv w:val="1"/>
      <w:marLeft w:val="0"/>
      <w:marRight w:val="0"/>
      <w:marTop w:val="0"/>
      <w:marBottom w:val="0"/>
      <w:divBdr>
        <w:top w:val="none" w:sz="0" w:space="0" w:color="auto"/>
        <w:left w:val="none" w:sz="0" w:space="0" w:color="auto"/>
        <w:bottom w:val="none" w:sz="0" w:space="0" w:color="auto"/>
        <w:right w:val="none" w:sz="0" w:space="0" w:color="auto"/>
      </w:divBdr>
    </w:div>
    <w:div w:id="1183401543">
      <w:bodyDiv w:val="1"/>
      <w:marLeft w:val="0"/>
      <w:marRight w:val="0"/>
      <w:marTop w:val="0"/>
      <w:marBottom w:val="0"/>
      <w:divBdr>
        <w:top w:val="none" w:sz="0" w:space="0" w:color="auto"/>
        <w:left w:val="none" w:sz="0" w:space="0" w:color="auto"/>
        <w:bottom w:val="none" w:sz="0" w:space="0" w:color="auto"/>
        <w:right w:val="none" w:sz="0" w:space="0" w:color="auto"/>
      </w:divBdr>
    </w:div>
    <w:div w:id="1192453487">
      <w:bodyDiv w:val="1"/>
      <w:marLeft w:val="0"/>
      <w:marRight w:val="0"/>
      <w:marTop w:val="0"/>
      <w:marBottom w:val="0"/>
      <w:divBdr>
        <w:top w:val="none" w:sz="0" w:space="0" w:color="auto"/>
        <w:left w:val="none" w:sz="0" w:space="0" w:color="auto"/>
        <w:bottom w:val="none" w:sz="0" w:space="0" w:color="auto"/>
        <w:right w:val="none" w:sz="0" w:space="0" w:color="auto"/>
      </w:divBdr>
    </w:div>
    <w:div w:id="1196969703">
      <w:bodyDiv w:val="1"/>
      <w:marLeft w:val="0"/>
      <w:marRight w:val="0"/>
      <w:marTop w:val="0"/>
      <w:marBottom w:val="0"/>
      <w:divBdr>
        <w:top w:val="none" w:sz="0" w:space="0" w:color="auto"/>
        <w:left w:val="none" w:sz="0" w:space="0" w:color="auto"/>
        <w:bottom w:val="none" w:sz="0" w:space="0" w:color="auto"/>
        <w:right w:val="none" w:sz="0" w:space="0" w:color="auto"/>
      </w:divBdr>
    </w:div>
    <w:div w:id="1202397891">
      <w:bodyDiv w:val="1"/>
      <w:marLeft w:val="0"/>
      <w:marRight w:val="0"/>
      <w:marTop w:val="0"/>
      <w:marBottom w:val="0"/>
      <w:divBdr>
        <w:top w:val="none" w:sz="0" w:space="0" w:color="auto"/>
        <w:left w:val="none" w:sz="0" w:space="0" w:color="auto"/>
        <w:bottom w:val="none" w:sz="0" w:space="0" w:color="auto"/>
        <w:right w:val="none" w:sz="0" w:space="0" w:color="auto"/>
      </w:divBdr>
    </w:div>
    <w:div w:id="1207260311">
      <w:bodyDiv w:val="1"/>
      <w:marLeft w:val="0"/>
      <w:marRight w:val="0"/>
      <w:marTop w:val="0"/>
      <w:marBottom w:val="0"/>
      <w:divBdr>
        <w:top w:val="none" w:sz="0" w:space="0" w:color="auto"/>
        <w:left w:val="none" w:sz="0" w:space="0" w:color="auto"/>
        <w:bottom w:val="none" w:sz="0" w:space="0" w:color="auto"/>
        <w:right w:val="none" w:sz="0" w:space="0" w:color="auto"/>
      </w:divBdr>
    </w:div>
    <w:div w:id="1223063204">
      <w:bodyDiv w:val="1"/>
      <w:marLeft w:val="0"/>
      <w:marRight w:val="0"/>
      <w:marTop w:val="0"/>
      <w:marBottom w:val="0"/>
      <w:divBdr>
        <w:top w:val="none" w:sz="0" w:space="0" w:color="auto"/>
        <w:left w:val="none" w:sz="0" w:space="0" w:color="auto"/>
        <w:bottom w:val="none" w:sz="0" w:space="0" w:color="auto"/>
        <w:right w:val="none" w:sz="0" w:space="0" w:color="auto"/>
      </w:divBdr>
    </w:div>
    <w:div w:id="1298759609">
      <w:bodyDiv w:val="1"/>
      <w:marLeft w:val="0"/>
      <w:marRight w:val="0"/>
      <w:marTop w:val="0"/>
      <w:marBottom w:val="0"/>
      <w:divBdr>
        <w:top w:val="none" w:sz="0" w:space="0" w:color="auto"/>
        <w:left w:val="none" w:sz="0" w:space="0" w:color="auto"/>
        <w:bottom w:val="none" w:sz="0" w:space="0" w:color="auto"/>
        <w:right w:val="none" w:sz="0" w:space="0" w:color="auto"/>
      </w:divBdr>
    </w:div>
    <w:div w:id="1309213031">
      <w:bodyDiv w:val="1"/>
      <w:marLeft w:val="0"/>
      <w:marRight w:val="0"/>
      <w:marTop w:val="0"/>
      <w:marBottom w:val="0"/>
      <w:divBdr>
        <w:top w:val="none" w:sz="0" w:space="0" w:color="auto"/>
        <w:left w:val="none" w:sz="0" w:space="0" w:color="auto"/>
        <w:bottom w:val="none" w:sz="0" w:space="0" w:color="auto"/>
        <w:right w:val="none" w:sz="0" w:space="0" w:color="auto"/>
      </w:divBdr>
    </w:div>
    <w:div w:id="1365059538">
      <w:bodyDiv w:val="1"/>
      <w:marLeft w:val="0"/>
      <w:marRight w:val="0"/>
      <w:marTop w:val="0"/>
      <w:marBottom w:val="0"/>
      <w:divBdr>
        <w:top w:val="none" w:sz="0" w:space="0" w:color="auto"/>
        <w:left w:val="none" w:sz="0" w:space="0" w:color="auto"/>
        <w:bottom w:val="none" w:sz="0" w:space="0" w:color="auto"/>
        <w:right w:val="none" w:sz="0" w:space="0" w:color="auto"/>
      </w:divBdr>
    </w:div>
    <w:div w:id="1423720967">
      <w:bodyDiv w:val="1"/>
      <w:marLeft w:val="0"/>
      <w:marRight w:val="0"/>
      <w:marTop w:val="0"/>
      <w:marBottom w:val="0"/>
      <w:divBdr>
        <w:top w:val="none" w:sz="0" w:space="0" w:color="auto"/>
        <w:left w:val="none" w:sz="0" w:space="0" w:color="auto"/>
        <w:bottom w:val="none" w:sz="0" w:space="0" w:color="auto"/>
        <w:right w:val="none" w:sz="0" w:space="0" w:color="auto"/>
      </w:divBdr>
    </w:div>
    <w:div w:id="1521702983">
      <w:bodyDiv w:val="1"/>
      <w:marLeft w:val="0"/>
      <w:marRight w:val="0"/>
      <w:marTop w:val="0"/>
      <w:marBottom w:val="0"/>
      <w:divBdr>
        <w:top w:val="none" w:sz="0" w:space="0" w:color="auto"/>
        <w:left w:val="none" w:sz="0" w:space="0" w:color="auto"/>
        <w:bottom w:val="none" w:sz="0" w:space="0" w:color="auto"/>
        <w:right w:val="none" w:sz="0" w:space="0" w:color="auto"/>
      </w:divBdr>
    </w:div>
    <w:div w:id="1528523428">
      <w:bodyDiv w:val="1"/>
      <w:marLeft w:val="0"/>
      <w:marRight w:val="0"/>
      <w:marTop w:val="0"/>
      <w:marBottom w:val="0"/>
      <w:divBdr>
        <w:top w:val="none" w:sz="0" w:space="0" w:color="auto"/>
        <w:left w:val="none" w:sz="0" w:space="0" w:color="auto"/>
        <w:bottom w:val="none" w:sz="0" w:space="0" w:color="auto"/>
        <w:right w:val="none" w:sz="0" w:space="0" w:color="auto"/>
      </w:divBdr>
    </w:div>
    <w:div w:id="1545025291">
      <w:bodyDiv w:val="1"/>
      <w:marLeft w:val="0"/>
      <w:marRight w:val="0"/>
      <w:marTop w:val="0"/>
      <w:marBottom w:val="0"/>
      <w:divBdr>
        <w:top w:val="none" w:sz="0" w:space="0" w:color="auto"/>
        <w:left w:val="none" w:sz="0" w:space="0" w:color="auto"/>
        <w:bottom w:val="none" w:sz="0" w:space="0" w:color="auto"/>
        <w:right w:val="none" w:sz="0" w:space="0" w:color="auto"/>
      </w:divBdr>
    </w:div>
    <w:div w:id="1557471311">
      <w:bodyDiv w:val="1"/>
      <w:marLeft w:val="0"/>
      <w:marRight w:val="0"/>
      <w:marTop w:val="0"/>
      <w:marBottom w:val="0"/>
      <w:divBdr>
        <w:top w:val="none" w:sz="0" w:space="0" w:color="auto"/>
        <w:left w:val="none" w:sz="0" w:space="0" w:color="auto"/>
        <w:bottom w:val="none" w:sz="0" w:space="0" w:color="auto"/>
        <w:right w:val="none" w:sz="0" w:space="0" w:color="auto"/>
      </w:divBdr>
    </w:div>
    <w:div w:id="1568346285">
      <w:bodyDiv w:val="1"/>
      <w:marLeft w:val="0"/>
      <w:marRight w:val="0"/>
      <w:marTop w:val="0"/>
      <w:marBottom w:val="0"/>
      <w:divBdr>
        <w:top w:val="none" w:sz="0" w:space="0" w:color="auto"/>
        <w:left w:val="none" w:sz="0" w:space="0" w:color="auto"/>
        <w:bottom w:val="none" w:sz="0" w:space="0" w:color="auto"/>
        <w:right w:val="none" w:sz="0" w:space="0" w:color="auto"/>
      </w:divBdr>
    </w:div>
    <w:div w:id="1582369022">
      <w:bodyDiv w:val="1"/>
      <w:marLeft w:val="0"/>
      <w:marRight w:val="0"/>
      <w:marTop w:val="0"/>
      <w:marBottom w:val="0"/>
      <w:divBdr>
        <w:top w:val="none" w:sz="0" w:space="0" w:color="auto"/>
        <w:left w:val="none" w:sz="0" w:space="0" w:color="auto"/>
        <w:bottom w:val="none" w:sz="0" w:space="0" w:color="auto"/>
        <w:right w:val="none" w:sz="0" w:space="0" w:color="auto"/>
      </w:divBdr>
    </w:div>
    <w:div w:id="1615673298">
      <w:bodyDiv w:val="1"/>
      <w:marLeft w:val="0"/>
      <w:marRight w:val="0"/>
      <w:marTop w:val="0"/>
      <w:marBottom w:val="0"/>
      <w:divBdr>
        <w:top w:val="none" w:sz="0" w:space="0" w:color="auto"/>
        <w:left w:val="none" w:sz="0" w:space="0" w:color="auto"/>
        <w:bottom w:val="none" w:sz="0" w:space="0" w:color="auto"/>
        <w:right w:val="none" w:sz="0" w:space="0" w:color="auto"/>
      </w:divBdr>
    </w:div>
    <w:div w:id="1678187986">
      <w:bodyDiv w:val="1"/>
      <w:marLeft w:val="0"/>
      <w:marRight w:val="0"/>
      <w:marTop w:val="0"/>
      <w:marBottom w:val="0"/>
      <w:divBdr>
        <w:top w:val="none" w:sz="0" w:space="0" w:color="auto"/>
        <w:left w:val="none" w:sz="0" w:space="0" w:color="auto"/>
        <w:bottom w:val="none" w:sz="0" w:space="0" w:color="auto"/>
        <w:right w:val="none" w:sz="0" w:space="0" w:color="auto"/>
      </w:divBdr>
    </w:div>
    <w:div w:id="1742605659">
      <w:bodyDiv w:val="1"/>
      <w:marLeft w:val="0"/>
      <w:marRight w:val="0"/>
      <w:marTop w:val="0"/>
      <w:marBottom w:val="0"/>
      <w:divBdr>
        <w:top w:val="none" w:sz="0" w:space="0" w:color="auto"/>
        <w:left w:val="none" w:sz="0" w:space="0" w:color="auto"/>
        <w:bottom w:val="none" w:sz="0" w:space="0" w:color="auto"/>
        <w:right w:val="none" w:sz="0" w:space="0" w:color="auto"/>
      </w:divBdr>
    </w:div>
    <w:div w:id="1773813898">
      <w:bodyDiv w:val="1"/>
      <w:marLeft w:val="0"/>
      <w:marRight w:val="0"/>
      <w:marTop w:val="0"/>
      <w:marBottom w:val="0"/>
      <w:divBdr>
        <w:top w:val="none" w:sz="0" w:space="0" w:color="auto"/>
        <w:left w:val="none" w:sz="0" w:space="0" w:color="auto"/>
        <w:bottom w:val="none" w:sz="0" w:space="0" w:color="auto"/>
        <w:right w:val="none" w:sz="0" w:space="0" w:color="auto"/>
      </w:divBdr>
    </w:div>
    <w:div w:id="1798061916">
      <w:bodyDiv w:val="1"/>
      <w:marLeft w:val="0"/>
      <w:marRight w:val="0"/>
      <w:marTop w:val="0"/>
      <w:marBottom w:val="0"/>
      <w:divBdr>
        <w:top w:val="none" w:sz="0" w:space="0" w:color="auto"/>
        <w:left w:val="none" w:sz="0" w:space="0" w:color="auto"/>
        <w:bottom w:val="none" w:sz="0" w:space="0" w:color="auto"/>
        <w:right w:val="none" w:sz="0" w:space="0" w:color="auto"/>
      </w:divBdr>
    </w:div>
    <w:div w:id="1806310684">
      <w:bodyDiv w:val="1"/>
      <w:marLeft w:val="0"/>
      <w:marRight w:val="0"/>
      <w:marTop w:val="0"/>
      <w:marBottom w:val="0"/>
      <w:divBdr>
        <w:top w:val="none" w:sz="0" w:space="0" w:color="auto"/>
        <w:left w:val="none" w:sz="0" w:space="0" w:color="auto"/>
        <w:bottom w:val="none" w:sz="0" w:space="0" w:color="auto"/>
        <w:right w:val="none" w:sz="0" w:space="0" w:color="auto"/>
      </w:divBdr>
    </w:div>
    <w:div w:id="1861236665">
      <w:bodyDiv w:val="1"/>
      <w:marLeft w:val="0"/>
      <w:marRight w:val="0"/>
      <w:marTop w:val="0"/>
      <w:marBottom w:val="0"/>
      <w:divBdr>
        <w:top w:val="none" w:sz="0" w:space="0" w:color="auto"/>
        <w:left w:val="none" w:sz="0" w:space="0" w:color="auto"/>
        <w:bottom w:val="none" w:sz="0" w:space="0" w:color="auto"/>
        <w:right w:val="none" w:sz="0" w:space="0" w:color="auto"/>
      </w:divBdr>
    </w:div>
    <w:div w:id="1888685683">
      <w:bodyDiv w:val="1"/>
      <w:marLeft w:val="0"/>
      <w:marRight w:val="0"/>
      <w:marTop w:val="0"/>
      <w:marBottom w:val="0"/>
      <w:divBdr>
        <w:top w:val="none" w:sz="0" w:space="0" w:color="auto"/>
        <w:left w:val="none" w:sz="0" w:space="0" w:color="auto"/>
        <w:bottom w:val="none" w:sz="0" w:space="0" w:color="auto"/>
        <w:right w:val="none" w:sz="0" w:space="0" w:color="auto"/>
      </w:divBdr>
    </w:div>
    <w:div w:id="1941520071">
      <w:bodyDiv w:val="1"/>
      <w:marLeft w:val="0"/>
      <w:marRight w:val="0"/>
      <w:marTop w:val="0"/>
      <w:marBottom w:val="0"/>
      <w:divBdr>
        <w:top w:val="none" w:sz="0" w:space="0" w:color="auto"/>
        <w:left w:val="none" w:sz="0" w:space="0" w:color="auto"/>
        <w:bottom w:val="none" w:sz="0" w:space="0" w:color="auto"/>
        <w:right w:val="none" w:sz="0" w:space="0" w:color="auto"/>
      </w:divBdr>
    </w:div>
    <w:div w:id="1975600125">
      <w:bodyDiv w:val="1"/>
      <w:marLeft w:val="0"/>
      <w:marRight w:val="0"/>
      <w:marTop w:val="0"/>
      <w:marBottom w:val="0"/>
      <w:divBdr>
        <w:top w:val="none" w:sz="0" w:space="0" w:color="auto"/>
        <w:left w:val="none" w:sz="0" w:space="0" w:color="auto"/>
        <w:bottom w:val="none" w:sz="0" w:space="0" w:color="auto"/>
        <w:right w:val="none" w:sz="0" w:space="0" w:color="auto"/>
      </w:divBdr>
    </w:div>
    <w:div w:id="2013100369">
      <w:bodyDiv w:val="1"/>
      <w:marLeft w:val="0"/>
      <w:marRight w:val="0"/>
      <w:marTop w:val="0"/>
      <w:marBottom w:val="0"/>
      <w:divBdr>
        <w:top w:val="none" w:sz="0" w:space="0" w:color="auto"/>
        <w:left w:val="none" w:sz="0" w:space="0" w:color="auto"/>
        <w:bottom w:val="none" w:sz="0" w:space="0" w:color="auto"/>
        <w:right w:val="none" w:sz="0" w:space="0" w:color="auto"/>
      </w:divBdr>
    </w:div>
    <w:div w:id="2039693816">
      <w:bodyDiv w:val="1"/>
      <w:marLeft w:val="0"/>
      <w:marRight w:val="0"/>
      <w:marTop w:val="0"/>
      <w:marBottom w:val="0"/>
      <w:divBdr>
        <w:top w:val="none" w:sz="0" w:space="0" w:color="auto"/>
        <w:left w:val="none" w:sz="0" w:space="0" w:color="auto"/>
        <w:bottom w:val="none" w:sz="0" w:space="0" w:color="auto"/>
        <w:right w:val="none" w:sz="0" w:space="0" w:color="auto"/>
      </w:divBdr>
    </w:div>
    <w:div w:id="2083599585">
      <w:bodyDiv w:val="1"/>
      <w:marLeft w:val="0"/>
      <w:marRight w:val="0"/>
      <w:marTop w:val="0"/>
      <w:marBottom w:val="0"/>
      <w:divBdr>
        <w:top w:val="none" w:sz="0" w:space="0" w:color="auto"/>
        <w:left w:val="none" w:sz="0" w:space="0" w:color="auto"/>
        <w:bottom w:val="none" w:sz="0" w:space="0" w:color="auto"/>
        <w:right w:val="none" w:sz="0" w:space="0" w:color="auto"/>
      </w:divBdr>
    </w:div>
    <w:div w:id="2089645536">
      <w:bodyDiv w:val="1"/>
      <w:marLeft w:val="0"/>
      <w:marRight w:val="0"/>
      <w:marTop w:val="0"/>
      <w:marBottom w:val="0"/>
      <w:divBdr>
        <w:top w:val="none" w:sz="0" w:space="0" w:color="auto"/>
        <w:left w:val="none" w:sz="0" w:space="0" w:color="auto"/>
        <w:bottom w:val="none" w:sz="0" w:space="0" w:color="auto"/>
        <w:right w:val="none" w:sz="0" w:space="0" w:color="auto"/>
      </w:divBdr>
    </w:div>
    <w:div w:id="210279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321%306%34%35%31@s%74%75d%65n%74.u%77%74%73%64.a%63.%75%6b" TargetMode="External"/><Relationship Id="rId18" Type="http://schemas.openxmlformats.org/officeDocument/2006/relationships/diagramQuickStyle" Target="diagrams/quickStyle1.xml"/><Relationship Id="rId26" Type="http://schemas.openxmlformats.org/officeDocument/2006/relationships/diagramData" Target="diagrams/data3.xml"/><Relationship Id="rId3" Type="http://schemas.openxmlformats.org/officeDocument/2006/relationships/customXml" Target="../customXml/item3.xml"/><Relationship Id="rId21" Type="http://schemas.openxmlformats.org/officeDocument/2006/relationships/diagramData" Target="diagrams/data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Colors" Target="diagrams/colors2.xm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diagramQuickStyle" Target="diagrams/quickStyle2.xml"/><Relationship Id="rId28" Type="http://schemas.openxmlformats.org/officeDocument/2006/relationships/diagramQuickStyle" Target="diagrams/quickStyle3.xml"/><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321%306%34%35%31@s%74%75d%65n%74.u%77%74%73%64.a%63.%75%6b" TargetMode="External"/><Relationship Id="rId22" Type="http://schemas.openxmlformats.org/officeDocument/2006/relationships/diagramLayout" Target="diagrams/layout2.xml"/><Relationship Id="rId27" Type="http://schemas.openxmlformats.org/officeDocument/2006/relationships/diagramLayout" Target="diagrams/layout3.xml"/><Relationship Id="rId30" Type="http://schemas.microsoft.com/office/2007/relationships/diagramDrawing" Target="diagrams/drawing3.xml"/><Relationship Id="rId8"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153291-94F0-48E2-9E6F-E441524F0404}" type="doc">
      <dgm:prSet loTypeId="urn:microsoft.com/office/officeart/2005/8/layout/orgChart1" loCatId="hierarchy" qsTypeId="urn:microsoft.com/office/officeart/2005/8/quickstyle/simple3" qsCatId="simple" csTypeId="urn:microsoft.com/office/officeart/2005/8/colors/colorful4" csCatId="colorful" phldr="1"/>
      <dgm:spPr/>
      <dgm:t>
        <a:bodyPr/>
        <a:lstStyle/>
        <a:p>
          <a:endParaRPr lang="en-GB"/>
        </a:p>
      </dgm:t>
    </dgm:pt>
    <dgm:pt modelId="{F18E808E-1EA7-4E4F-B62D-83A192A216E8}">
      <dgm:prSet phldrT="[Text]"/>
      <dgm:spPr/>
      <dgm:t>
        <a:bodyPr/>
        <a:lstStyle/>
        <a:p>
          <a:pPr algn="ctr"/>
          <a:r>
            <a:rPr lang="en-GB"/>
            <a:t>Board of Directors</a:t>
          </a:r>
        </a:p>
      </dgm:t>
    </dgm:pt>
    <dgm:pt modelId="{2F5E8AEC-1404-4A2F-B9E6-DD19BC939E98}" type="parTrans" cxnId="{20F3A449-E286-42E8-8B37-84F2E467B116}">
      <dgm:prSet/>
      <dgm:spPr/>
      <dgm:t>
        <a:bodyPr/>
        <a:lstStyle/>
        <a:p>
          <a:pPr algn="ctr"/>
          <a:endParaRPr lang="en-GB"/>
        </a:p>
      </dgm:t>
    </dgm:pt>
    <dgm:pt modelId="{53774238-8084-4431-8DEA-B957D0075A7A}" type="sibTrans" cxnId="{20F3A449-E286-42E8-8B37-84F2E467B116}">
      <dgm:prSet/>
      <dgm:spPr/>
      <dgm:t>
        <a:bodyPr/>
        <a:lstStyle/>
        <a:p>
          <a:pPr algn="ctr"/>
          <a:endParaRPr lang="en-GB"/>
        </a:p>
      </dgm:t>
    </dgm:pt>
    <dgm:pt modelId="{E21259C6-2224-4BB0-BE8F-BC8A3C538A52}">
      <dgm:prSet phldrT="[Text]"/>
      <dgm:spPr/>
      <dgm:t>
        <a:bodyPr/>
        <a:lstStyle/>
        <a:p>
          <a:pPr algn="ctr"/>
          <a:r>
            <a:rPr lang="en-GB"/>
            <a:t>Information Security Committee</a:t>
          </a:r>
        </a:p>
      </dgm:t>
    </dgm:pt>
    <dgm:pt modelId="{AEB4312D-7A58-47F9-A541-21BB42824479}" type="parTrans" cxnId="{7B7D0D4D-33CC-4D04-8F69-47FF20F113C4}">
      <dgm:prSet/>
      <dgm:spPr/>
      <dgm:t>
        <a:bodyPr/>
        <a:lstStyle/>
        <a:p>
          <a:pPr algn="ctr"/>
          <a:endParaRPr lang="en-GB"/>
        </a:p>
      </dgm:t>
    </dgm:pt>
    <dgm:pt modelId="{89F9C2E8-D07E-419D-A39A-C2252C79EFC1}" type="sibTrans" cxnId="{7B7D0D4D-33CC-4D04-8F69-47FF20F113C4}">
      <dgm:prSet/>
      <dgm:spPr/>
      <dgm:t>
        <a:bodyPr/>
        <a:lstStyle/>
        <a:p>
          <a:pPr algn="ctr"/>
          <a:endParaRPr lang="en-GB"/>
        </a:p>
      </dgm:t>
    </dgm:pt>
    <dgm:pt modelId="{E093E746-2934-4974-AF15-F3DA01ECF90E}">
      <dgm:prSet/>
      <dgm:spPr/>
      <dgm:t>
        <a:bodyPr/>
        <a:lstStyle/>
        <a:p>
          <a:pPr algn="ctr"/>
          <a:r>
            <a:rPr lang="en-GB"/>
            <a:t>Chief Information Security Officer (CISO)</a:t>
          </a:r>
        </a:p>
      </dgm:t>
    </dgm:pt>
    <dgm:pt modelId="{7F0BCE62-8280-460E-98BF-6BCAE0B492BC}" type="parTrans" cxnId="{1F71FE2E-0EBF-4439-AC1F-604C812064DE}">
      <dgm:prSet/>
      <dgm:spPr/>
      <dgm:t>
        <a:bodyPr/>
        <a:lstStyle/>
        <a:p>
          <a:pPr algn="ctr"/>
          <a:endParaRPr lang="en-GB"/>
        </a:p>
      </dgm:t>
    </dgm:pt>
    <dgm:pt modelId="{8F7B4675-D013-4A7A-8299-932E0D07A378}" type="sibTrans" cxnId="{1F71FE2E-0EBF-4439-AC1F-604C812064DE}">
      <dgm:prSet/>
      <dgm:spPr/>
      <dgm:t>
        <a:bodyPr/>
        <a:lstStyle/>
        <a:p>
          <a:pPr algn="ctr"/>
          <a:endParaRPr lang="en-GB"/>
        </a:p>
      </dgm:t>
    </dgm:pt>
    <dgm:pt modelId="{C39122DC-8A4F-4D0D-85E7-AD21A998642C}">
      <dgm:prSet/>
      <dgm:spPr/>
      <dgm:t>
        <a:bodyPr/>
        <a:lstStyle/>
        <a:p>
          <a:pPr algn="ctr"/>
          <a:r>
            <a:rPr lang="en-GB"/>
            <a:t>risk managment team</a:t>
          </a:r>
        </a:p>
      </dgm:t>
    </dgm:pt>
    <dgm:pt modelId="{67051A50-D72F-42CB-8244-57C60CC8CCDB}" type="parTrans" cxnId="{3F7ED477-ECBC-4AB3-A871-025AF89F80DA}">
      <dgm:prSet/>
      <dgm:spPr/>
      <dgm:t>
        <a:bodyPr/>
        <a:lstStyle/>
        <a:p>
          <a:pPr algn="ctr"/>
          <a:endParaRPr lang="en-GB"/>
        </a:p>
      </dgm:t>
    </dgm:pt>
    <dgm:pt modelId="{6BC7DC9C-D968-411B-AD02-230707EF9372}" type="sibTrans" cxnId="{3F7ED477-ECBC-4AB3-A871-025AF89F80DA}">
      <dgm:prSet/>
      <dgm:spPr/>
      <dgm:t>
        <a:bodyPr/>
        <a:lstStyle/>
        <a:p>
          <a:pPr algn="ctr"/>
          <a:endParaRPr lang="en-GB"/>
        </a:p>
      </dgm:t>
    </dgm:pt>
    <dgm:pt modelId="{062F79EB-A639-4A87-8532-8048BE1772B0}">
      <dgm:prSet/>
      <dgm:spPr/>
      <dgm:t>
        <a:bodyPr/>
        <a:lstStyle/>
        <a:p>
          <a:pPr algn="ctr"/>
          <a:r>
            <a:rPr lang="en-GB"/>
            <a:t>compliance and legal</a:t>
          </a:r>
        </a:p>
      </dgm:t>
    </dgm:pt>
    <dgm:pt modelId="{52BA72FC-655B-466B-89DF-ADB19727B11B}" type="parTrans" cxnId="{BED3BA07-3295-4A48-A496-2F0876F91512}">
      <dgm:prSet/>
      <dgm:spPr/>
      <dgm:t>
        <a:bodyPr/>
        <a:lstStyle/>
        <a:p>
          <a:pPr algn="ctr"/>
          <a:endParaRPr lang="en-GB"/>
        </a:p>
      </dgm:t>
    </dgm:pt>
    <dgm:pt modelId="{EA044DB0-A65B-4055-96EA-D5603CEE3E63}" type="sibTrans" cxnId="{BED3BA07-3295-4A48-A496-2F0876F91512}">
      <dgm:prSet/>
      <dgm:spPr/>
      <dgm:t>
        <a:bodyPr/>
        <a:lstStyle/>
        <a:p>
          <a:pPr algn="ctr"/>
          <a:endParaRPr lang="en-GB"/>
        </a:p>
      </dgm:t>
    </dgm:pt>
    <dgm:pt modelId="{2508BBDD-5A2D-49A7-818A-1C0D9548EF16}">
      <dgm:prSet/>
      <dgm:spPr/>
      <dgm:t>
        <a:bodyPr/>
        <a:lstStyle/>
        <a:p>
          <a:pPr algn="ctr"/>
          <a:r>
            <a:rPr lang="en-GB"/>
            <a:t>security operations (SOC , IR)</a:t>
          </a:r>
        </a:p>
      </dgm:t>
    </dgm:pt>
    <dgm:pt modelId="{D5DB7C89-E100-4FF3-9E97-9FB322ACD9F3}" type="parTrans" cxnId="{197B33F9-7A55-48F4-8BCE-E4108C298B63}">
      <dgm:prSet/>
      <dgm:spPr/>
      <dgm:t>
        <a:bodyPr/>
        <a:lstStyle/>
        <a:p>
          <a:pPr algn="ctr"/>
          <a:endParaRPr lang="en-GB"/>
        </a:p>
      </dgm:t>
    </dgm:pt>
    <dgm:pt modelId="{BA4F4A12-1D85-4C6F-83F1-38B50C8D52E0}" type="sibTrans" cxnId="{197B33F9-7A55-48F4-8BCE-E4108C298B63}">
      <dgm:prSet/>
      <dgm:spPr/>
      <dgm:t>
        <a:bodyPr/>
        <a:lstStyle/>
        <a:p>
          <a:pPr algn="ctr"/>
          <a:endParaRPr lang="en-GB"/>
        </a:p>
      </dgm:t>
    </dgm:pt>
    <dgm:pt modelId="{2ADDF88B-7506-4113-86D9-D78ED3C48EAB}">
      <dgm:prSet/>
      <dgm:spPr/>
      <dgm:t>
        <a:bodyPr/>
        <a:lstStyle/>
        <a:p>
          <a:pPr algn="ctr"/>
          <a:r>
            <a:rPr lang="en-GB"/>
            <a:t>IT operations and infrastructure </a:t>
          </a:r>
        </a:p>
      </dgm:t>
    </dgm:pt>
    <dgm:pt modelId="{2BC2D91A-8CE2-452F-B8FB-0B0CF2378848}" type="parTrans" cxnId="{B7F644FC-3786-4918-A758-346F62D5C18E}">
      <dgm:prSet/>
      <dgm:spPr/>
      <dgm:t>
        <a:bodyPr/>
        <a:lstStyle/>
        <a:p>
          <a:pPr algn="ctr"/>
          <a:endParaRPr lang="en-GB"/>
        </a:p>
      </dgm:t>
    </dgm:pt>
    <dgm:pt modelId="{65660DD9-E2A3-4F86-843B-DA4C18010DD6}" type="sibTrans" cxnId="{B7F644FC-3786-4918-A758-346F62D5C18E}">
      <dgm:prSet/>
      <dgm:spPr/>
      <dgm:t>
        <a:bodyPr/>
        <a:lstStyle/>
        <a:p>
          <a:pPr algn="ctr"/>
          <a:endParaRPr lang="en-GB"/>
        </a:p>
      </dgm:t>
    </dgm:pt>
    <dgm:pt modelId="{D513EF6A-7544-488F-B85B-E2F8101E53F4}" type="pres">
      <dgm:prSet presAssocID="{E4153291-94F0-48E2-9E6F-E441524F0404}" presName="hierChild1" presStyleCnt="0">
        <dgm:presLayoutVars>
          <dgm:orgChart val="1"/>
          <dgm:chPref val="1"/>
          <dgm:dir/>
          <dgm:animOne val="branch"/>
          <dgm:animLvl val="lvl"/>
          <dgm:resizeHandles/>
        </dgm:presLayoutVars>
      </dgm:prSet>
      <dgm:spPr/>
    </dgm:pt>
    <dgm:pt modelId="{B410C78D-386D-4403-A48B-258C6F8B51E8}" type="pres">
      <dgm:prSet presAssocID="{F18E808E-1EA7-4E4F-B62D-83A192A216E8}" presName="hierRoot1" presStyleCnt="0">
        <dgm:presLayoutVars>
          <dgm:hierBranch val="init"/>
        </dgm:presLayoutVars>
      </dgm:prSet>
      <dgm:spPr/>
    </dgm:pt>
    <dgm:pt modelId="{CB9921F4-54AD-418F-BBE3-0B7326B76601}" type="pres">
      <dgm:prSet presAssocID="{F18E808E-1EA7-4E4F-B62D-83A192A216E8}" presName="rootComposite1" presStyleCnt="0"/>
      <dgm:spPr/>
    </dgm:pt>
    <dgm:pt modelId="{BCDCBAD4-BA97-44C4-8F69-DFBEF0ED762E}" type="pres">
      <dgm:prSet presAssocID="{F18E808E-1EA7-4E4F-B62D-83A192A216E8}" presName="rootText1" presStyleLbl="node0" presStyleIdx="0" presStyleCnt="1">
        <dgm:presLayoutVars>
          <dgm:chPref val="3"/>
        </dgm:presLayoutVars>
      </dgm:prSet>
      <dgm:spPr/>
    </dgm:pt>
    <dgm:pt modelId="{43A6AB15-68D7-4F3F-85EB-22E7C32923ED}" type="pres">
      <dgm:prSet presAssocID="{F18E808E-1EA7-4E4F-B62D-83A192A216E8}" presName="rootConnector1" presStyleLbl="node1" presStyleIdx="0" presStyleCnt="0"/>
      <dgm:spPr/>
    </dgm:pt>
    <dgm:pt modelId="{C5E64BD6-24D6-4FE9-A566-CAB082A95F5F}" type="pres">
      <dgm:prSet presAssocID="{F18E808E-1EA7-4E4F-B62D-83A192A216E8}" presName="hierChild2" presStyleCnt="0"/>
      <dgm:spPr/>
    </dgm:pt>
    <dgm:pt modelId="{CC83E70B-9485-493B-94BE-EB7DAA36D142}" type="pres">
      <dgm:prSet presAssocID="{AEB4312D-7A58-47F9-A541-21BB42824479}" presName="Name37" presStyleLbl="parChTrans1D2" presStyleIdx="0" presStyleCnt="1"/>
      <dgm:spPr/>
    </dgm:pt>
    <dgm:pt modelId="{083D287F-EEB8-4505-8948-BF6A5DC4E729}" type="pres">
      <dgm:prSet presAssocID="{E21259C6-2224-4BB0-BE8F-BC8A3C538A52}" presName="hierRoot2" presStyleCnt="0">
        <dgm:presLayoutVars>
          <dgm:hierBranch val="init"/>
        </dgm:presLayoutVars>
      </dgm:prSet>
      <dgm:spPr/>
    </dgm:pt>
    <dgm:pt modelId="{8002D296-3773-4B22-9DD4-DDB4EC36C8F0}" type="pres">
      <dgm:prSet presAssocID="{E21259C6-2224-4BB0-BE8F-BC8A3C538A52}" presName="rootComposite" presStyleCnt="0"/>
      <dgm:spPr/>
    </dgm:pt>
    <dgm:pt modelId="{DB8668EA-3432-466D-9953-E8F6F2FF38A4}" type="pres">
      <dgm:prSet presAssocID="{E21259C6-2224-4BB0-BE8F-BC8A3C538A52}" presName="rootText" presStyleLbl="node2" presStyleIdx="0" presStyleCnt="1">
        <dgm:presLayoutVars>
          <dgm:chPref val="3"/>
        </dgm:presLayoutVars>
      </dgm:prSet>
      <dgm:spPr/>
    </dgm:pt>
    <dgm:pt modelId="{9179DF22-266F-415D-8504-3026A6D15B82}" type="pres">
      <dgm:prSet presAssocID="{E21259C6-2224-4BB0-BE8F-BC8A3C538A52}" presName="rootConnector" presStyleLbl="node2" presStyleIdx="0" presStyleCnt="1"/>
      <dgm:spPr/>
    </dgm:pt>
    <dgm:pt modelId="{DC784F10-E9F2-4614-8C4C-493994353977}" type="pres">
      <dgm:prSet presAssocID="{E21259C6-2224-4BB0-BE8F-BC8A3C538A52}" presName="hierChild4" presStyleCnt="0"/>
      <dgm:spPr/>
    </dgm:pt>
    <dgm:pt modelId="{FB1977A1-BD71-4FA1-BB9E-9E879E05C8DA}" type="pres">
      <dgm:prSet presAssocID="{7F0BCE62-8280-460E-98BF-6BCAE0B492BC}" presName="Name37" presStyleLbl="parChTrans1D3" presStyleIdx="0" presStyleCnt="1"/>
      <dgm:spPr/>
    </dgm:pt>
    <dgm:pt modelId="{5EDE029B-C8B2-4F10-AEE5-5E6185CC8A6B}" type="pres">
      <dgm:prSet presAssocID="{E093E746-2934-4974-AF15-F3DA01ECF90E}" presName="hierRoot2" presStyleCnt="0">
        <dgm:presLayoutVars>
          <dgm:hierBranch/>
        </dgm:presLayoutVars>
      </dgm:prSet>
      <dgm:spPr/>
    </dgm:pt>
    <dgm:pt modelId="{B815CA20-1ED1-4236-AD71-03AEC169FA38}" type="pres">
      <dgm:prSet presAssocID="{E093E746-2934-4974-AF15-F3DA01ECF90E}" presName="rootComposite" presStyleCnt="0"/>
      <dgm:spPr/>
    </dgm:pt>
    <dgm:pt modelId="{7A005EB3-9683-4878-B7F9-5C64454D8CDD}" type="pres">
      <dgm:prSet presAssocID="{E093E746-2934-4974-AF15-F3DA01ECF90E}" presName="rootText" presStyleLbl="node3" presStyleIdx="0" presStyleCnt="1">
        <dgm:presLayoutVars>
          <dgm:chPref val="3"/>
        </dgm:presLayoutVars>
      </dgm:prSet>
      <dgm:spPr/>
    </dgm:pt>
    <dgm:pt modelId="{2B84028D-8883-4000-9669-70FAB280642A}" type="pres">
      <dgm:prSet presAssocID="{E093E746-2934-4974-AF15-F3DA01ECF90E}" presName="rootConnector" presStyleLbl="node3" presStyleIdx="0" presStyleCnt="1"/>
      <dgm:spPr/>
    </dgm:pt>
    <dgm:pt modelId="{60A277DE-4B64-415B-B96C-0710EBEFEE4B}" type="pres">
      <dgm:prSet presAssocID="{E093E746-2934-4974-AF15-F3DA01ECF90E}" presName="hierChild4" presStyleCnt="0"/>
      <dgm:spPr/>
    </dgm:pt>
    <dgm:pt modelId="{5B8A58F5-983C-4568-BBA9-8434C20B5249}" type="pres">
      <dgm:prSet presAssocID="{67051A50-D72F-42CB-8244-57C60CC8CCDB}" presName="Name35" presStyleLbl="parChTrans1D4" presStyleIdx="0" presStyleCnt="4"/>
      <dgm:spPr/>
    </dgm:pt>
    <dgm:pt modelId="{C5F55375-B7C2-43E4-88FB-9670A24EE851}" type="pres">
      <dgm:prSet presAssocID="{C39122DC-8A4F-4D0D-85E7-AD21A998642C}" presName="hierRoot2" presStyleCnt="0">
        <dgm:presLayoutVars>
          <dgm:hierBranch/>
        </dgm:presLayoutVars>
      </dgm:prSet>
      <dgm:spPr/>
    </dgm:pt>
    <dgm:pt modelId="{05371573-70BB-4A3B-AAB8-D134C2A412CC}" type="pres">
      <dgm:prSet presAssocID="{C39122DC-8A4F-4D0D-85E7-AD21A998642C}" presName="rootComposite" presStyleCnt="0"/>
      <dgm:spPr/>
    </dgm:pt>
    <dgm:pt modelId="{A8817527-BE2F-496A-9CE9-283C957D8ECB}" type="pres">
      <dgm:prSet presAssocID="{C39122DC-8A4F-4D0D-85E7-AD21A998642C}" presName="rootText" presStyleLbl="node4" presStyleIdx="0" presStyleCnt="4">
        <dgm:presLayoutVars>
          <dgm:chPref val="3"/>
        </dgm:presLayoutVars>
      </dgm:prSet>
      <dgm:spPr/>
    </dgm:pt>
    <dgm:pt modelId="{0ADC55C7-6C2B-4027-B5DE-63DD7EA90A19}" type="pres">
      <dgm:prSet presAssocID="{C39122DC-8A4F-4D0D-85E7-AD21A998642C}" presName="rootConnector" presStyleLbl="node4" presStyleIdx="0" presStyleCnt="4"/>
      <dgm:spPr/>
    </dgm:pt>
    <dgm:pt modelId="{D5A9C3E3-FD65-437C-9181-128361D643E0}" type="pres">
      <dgm:prSet presAssocID="{C39122DC-8A4F-4D0D-85E7-AD21A998642C}" presName="hierChild4" presStyleCnt="0"/>
      <dgm:spPr/>
    </dgm:pt>
    <dgm:pt modelId="{81BBD9FD-80F7-4CB7-8F8B-545717AC91FA}" type="pres">
      <dgm:prSet presAssocID="{C39122DC-8A4F-4D0D-85E7-AD21A998642C}" presName="hierChild5" presStyleCnt="0"/>
      <dgm:spPr/>
    </dgm:pt>
    <dgm:pt modelId="{7D958C05-B9FC-4F53-9D7B-C210C69AD698}" type="pres">
      <dgm:prSet presAssocID="{D5DB7C89-E100-4FF3-9E97-9FB322ACD9F3}" presName="Name35" presStyleLbl="parChTrans1D4" presStyleIdx="1" presStyleCnt="4"/>
      <dgm:spPr/>
    </dgm:pt>
    <dgm:pt modelId="{92630C77-8B9B-4A85-ACF2-2E0FCBD47CB4}" type="pres">
      <dgm:prSet presAssocID="{2508BBDD-5A2D-49A7-818A-1C0D9548EF16}" presName="hierRoot2" presStyleCnt="0">
        <dgm:presLayoutVars>
          <dgm:hierBranch val="init"/>
        </dgm:presLayoutVars>
      </dgm:prSet>
      <dgm:spPr/>
    </dgm:pt>
    <dgm:pt modelId="{C6866D29-A7D4-48F8-95C5-81F6FFB8BBB1}" type="pres">
      <dgm:prSet presAssocID="{2508BBDD-5A2D-49A7-818A-1C0D9548EF16}" presName="rootComposite" presStyleCnt="0"/>
      <dgm:spPr/>
    </dgm:pt>
    <dgm:pt modelId="{CC5101C4-A6AC-4839-A760-C0475695D600}" type="pres">
      <dgm:prSet presAssocID="{2508BBDD-5A2D-49A7-818A-1C0D9548EF16}" presName="rootText" presStyleLbl="node4" presStyleIdx="1" presStyleCnt="4">
        <dgm:presLayoutVars>
          <dgm:chPref val="3"/>
        </dgm:presLayoutVars>
      </dgm:prSet>
      <dgm:spPr/>
    </dgm:pt>
    <dgm:pt modelId="{70FF17B2-7D6E-49C8-803C-C9CC14BB3782}" type="pres">
      <dgm:prSet presAssocID="{2508BBDD-5A2D-49A7-818A-1C0D9548EF16}" presName="rootConnector" presStyleLbl="node4" presStyleIdx="1" presStyleCnt="4"/>
      <dgm:spPr/>
    </dgm:pt>
    <dgm:pt modelId="{FE28C4A1-5B53-4F6F-ADD7-148DA965CFF3}" type="pres">
      <dgm:prSet presAssocID="{2508BBDD-5A2D-49A7-818A-1C0D9548EF16}" presName="hierChild4" presStyleCnt="0"/>
      <dgm:spPr/>
    </dgm:pt>
    <dgm:pt modelId="{5F22F2DE-9A18-4A73-8831-4C91A16D69BE}" type="pres">
      <dgm:prSet presAssocID="{2508BBDD-5A2D-49A7-818A-1C0D9548EF16}" presName="hierChild5" presStyleCnt="0"/>
      <dgm:spPr/>
    </dgm:pt>
    <dgm:pt modelId="{540FB798-F387-4FD8-B68A-4ADD11E06AB2}" type="pres">
      <dgm:prSet presAssocID="{52BA72FC-655B-466B-89DF-ADB19727B11B}" presName="Name35" presStyleLbl="parChTrans1D4" presStyleIdx="2" presStyleCnt="4"/>
      <dgm:spPr/>
    </dgm:pt>
    <dgm:pt modelId="{A9EF3843-B84E-43DE-9A23-E29C6F47DD9A}" type="pres">
      <dgm:prSet presAssocID="{062F79EB-A639-4A87-8532-8048BE1772B0}" presName="hierRoot2" presStyleCnt="0">
        <dgm:presLayoutVars>
          <dgm:hierBranch/>
        </dgm:presLayoutVars>
      </dgm:prSet>
      <dgm:spPr/>
    </dgm:pt>
    <dgm:pt modelId="{217E43A3-FF16-4FBB-A8DF-8F57AFB10FDB}" type="pres">
      <dgm:prSet presAssocID="{062F79EB-A639-4A87-8532-8048BE1772B0}" presName="rootComposite" presStyleCnt="0"/>
      <dgm:spPr/>
    </dgm:pt>
    <dgm:pt modelId="{A5B7750B-4D92-4E92-98A2-86C2B59B159E}" type="pres">
      <dgm:prSet presAssocID="{062F79EB-A639-4A87-8532-8048BE1772B0}" presName="rootText" presStyleLbl="node4" presStyleIdx="2" presStyleCnt="4">
        <dgm:presLayoutVars>
          <dgm:chPref val="3"/>
        </dgm:presLayoutVars>
      </dgm:prSet>
      <dgm:spPr/>
    </dgm:pt>
    <dgm:pt modelId="{53BF1AC8-6161-460F-8A6F-EF0A04BDF49E}" type="pres">
      <dgm:prSet presAssocID="{062F79EB-A639-4A87-8532-8048BE1772B0}" presName="rootConnector" presStyleLbl="node4" presStyleIdx="2" presStyleCnt="4"/>
      <dgm:spPr/>
    </dgm:pt>
    <dgm:pt modelId="{D610E4F7-6779-4311-A924-3B1F038CC8BD}" type="pres">
      <dgm:prSet presAssocID="{062F79EB-A639-4A87-8532-8048BE1772B0}" presName="hierChild4" presStyleCnt="0"/>
      <dgm:spPr/>
    </dgm:pt>
    <dgm:pt modelId="{7D795D90-0432-4176-BDD7-37E4B118BAD6}" type="pres">
      <dgm:prSet presAssocID="{062F79EB-A639-4A87-8532-8048BE1772B0}" presName="hierChild5" presStyleCnt="0"/>
      <dgm:spPr/>
    </dgm:pt>
    <dgm:pt modelId="{C5E9A586-D244-40A8-952F-3A95EFF638C1}" type="pres">
      <dgm:prSet presAssocID="{2BC2D91A-8CE2-452F-B8FB-0B0CF2378848}" presName="Name35" presStyleLbl="parChTrans1D4" presStyleIdx="3" presStyleCnt="4"/>
      <dgm:spPr/>
    </dgm:pt>
    <dgm:pt modelId="{544FB510-61DA-434F-8BD0-EE0969CC2CAB}" type="pres">
      <dgm:prSet presAssocID="{2ADDF88B-7506-4113-86D9-D78ED3C48EAB}" presName="hierRoot2" presStyleCnt="0">
        <dgm:presLayoutVars>
          <dgm:hierBranch/>
        </dgm:presLayoutVars>
      </dgm:prSet>
      <dgm:spPr/>
    </dgm:pt>
    <dgm:pt modelId="{177328EC-218E-4BE4-B659-92DD95FA75DA}" type="pres">
      <dgm:prSet presAssocID="{2ADDF88B-7506-4113-86D9-D78ED3C48EAB}" presName="rootComposite" presStyleCnt="0"/>
      <dgm:spPr/>
    </dgm:pt>
    <dgm:pt modelId="{542238E7-65FF-4091-873C-6C4F9E97EA94}" type="pres">
      <dgm:prSet presAssocID="{2ADDF88B-7506-4113-86D9-D78ED3C48EAB}" presName="rootText" presStyleLbl="node4" presStyleIdx="3" presStyleCnt="4">
        <dgm:presLayoutVars>
          <dgm:chPref val="3"/>
        </dgm:presLayoutVars>
      </dgm:prSet>
      <dgm:spPr/>
    </dgm:pt>
    <dgm:pt modelId="{3C02A209-38C4-4BB9-B2E2-6696E3493698}" type="pres">
      <dgm:prSet presAssocID="{2ADDF88B-7506-4113-86D9-D78ED3C48EAB}" presName="rootConnector" presStyleLbl="node4" presStyleIdx="3" presStyleCnt="4"/>
      <dgm:spPr/>
    </dgm:pt>
    <dgm:pt modelId="{359381FA-A038-4830-8A9E-89B9F0403C44}" type="pres">
      <dgm:prSet presAssocID="{2ADDF88B-7506-4113-86D9-D78ED3C48EAB}" presName="hierChild4" presStyleCnt="0"/>
      <dgm:spPr/>
    </dgm:pt>
    <dgm:pt modelId="{770BDD00-7A84-4366-A098-F7AE515BC752}" type="pres">
      <dgm:prSet presAssocID="{2ADDF88B-7506-4113-86D9-D78ED3C48EAB}" presName="hierChild5" presStyleCnt="0"/>
      <dgm:spPr/>
    </dgm:pt>
    <dgm:pt modelId="{B7AD33CE-9C45-4571-B5CB-0626ACCCEF26}" type="pres">
      <dgm:prSet presAssocID="{E093E746-2934-4974-AF15-F3DA01ECF90E}" presName="hierChild5" presStyleCnt="0"/>
      <dgm:spPr/>
    </dgm:pt>
    <dgm:pt modelId="{17B6B734-BBFA-4531-9ED5-8D810E11C46F}" type="pres">
      <dgm:prSet presAssocID="{E21259C6-2224-4BB0-BE8F-BC8A3C538A52}" presName="hierChild5" presStyleCnt="0"/>
      <dgm:spPr/>
    </dgm:pt>
    <dgm:pt modelId="{C7C14DD6-7A8B-432F-907A-51CCC2C164D7}" type="pres">
      <dgm:prSet presAssocID="{F18E808E-1EA7-4E4F-B62D-83A192A216E8}" presName="hierChild3" presStyleCnt="0"/>
      <dgm:spPr/>
    </dgm:pt>
  </dgm:ptLst>
  <dgm:cxnLst>
    <dgm:cxn modelId="{BED3BA07-3295-4A48-A496-2F0876F91512}" srcId="{E093E746-2934-4974-AF15-F3DA01ECF90E}" destId="{062F79EB-A639-4A87-8532-8048BE1772B0}" srcOrd="2" destOrd="0" parTransId="{52BA72FC-655B-466B-89DF-ADB19727B11B}" sibTransId="{EA044DB0-A65B-4055-96EA-D5603CEE3E63}"/>
    <dgm:cxn modelId="{5845C00B-7144-4600-9DD4-E11275E51D6C}" type="presOf" srcId="{67051A50-D72F-42CB-8244-57C60CC8CCDB}" destId="{5B8A58F5-983C-4568-BBA9-8434C20B5249}" srcOrd="0" destOrd="0" presId="urn:microsoft.com/office/officeart/2005/8/layout/orgChart1"/>
    <dgm:cxn modelId="{16D4AA10-C385-4A4B-B0F3-1E836CE8120E}" type="presOf" srcId="{E21259C6-2224-4BB0-BE8F-BC8A3C538A52}" destId="{DB8668EA-3432-466D-9953-E8F6F2FF38A4}" srcOrd="0" destOrd="0" presId="urn:microsoft.com/office/officeart/2005/8/layout/orgChart1"/>
    <dgm:cxn modelId="{5D9C8812-7DAE-4150-AB9F-0FE539F6FD2A}" type="presOf" srcId="{C39122DC-8A4F-4D0D-85E7-AD21A998642C}" destId="{0ADC55C7-6C2B-4027-B5DE-63DD7EA90A19}" srcOrd="1" destOrd="0" presId="urn:microsoft.com/office/officeart/2005/8/layout/orgChart1"/>
    <dgm:cxn modelId="{676F4E1F-E01B-44B9-960B-9E1553E97188}" type="presOf" srcId="{F18E808E-1EA7-4E4F-B62D-83A192A216E8}" destId="{BCDCBAD4-BA97-44C4-8F69-DFBEF0ED762E}" srcOrd="0" destOrd="0" presId="urn:microsoft.com/office/officeart/2005/8/layout/orgChart1"/>
    <dgm:cxn modelId="{73DB5522-CF2F-43D0-872B-12F4807D65A1}" type="presOf" srcId="{062F79EB-A639-4A87-8532-8048BE1772B0}" destId="{A5B7750B-4D92-4E92-98A2-86C2B59B159E}" srcOrd="0" destOrd="0" presId="urn:microsoft.com/office/officeart/2005/8/layout/orgChart1"/>
    <dgm:cxn modelId="{1F71FE2E-0EBF-4439-AC1F-604C812064DE}" srcId="{E21259C6-2224-4BB0-BE8F-BC8A3C538A52}" destId="{E093E746-2934-4974-AF15-F3DA01ECF90E}" srcOrd="0" destOrd="0" parTransId="{7F0BCE62-8280-460E-98BF-6BCAE0B492BC}" sibTransId="{8F7B4675-D013-4A7A-8299-932E0D07A378}"/>
    <dgm:cxn modelId="{1ECBEA30-B72E-4EAA-B931-C75ACD326B33}" type="presOf" srcId="{2ADDF88B-7506-4113-86D9-D78ED3C48EAB}" destId="{542238E7-65FF-4091-873C-6C4F9E97EA94}" srcOrd="0" destOrd="0" presId="urn:microsoft.com/office/officeart/2005/8/layout/orgChart1"/>
    <dgm:cxn modelId="{E4E0BE31-F071-4276-83D7-131DA2E75C3F}" type="presOf" srcId="{52BA72FC-655B-466B-89DF-ADB19727B11B}" destId="{540FB798-F387-4FD8-B68A-4ADD11E06AB2}" srcOrd="0" destOrd="0" presId="urn:microsoft.com/office/officeart/2005/8/layout/orgChart1"/>
    <dgm:cxn modelId="{E7CE3A34-DD8F-4595-955E-EC8E7EA09336}" type="presOf" srcId="{E21259C6-2224-4BB0-BE8F-BC8A3C538A52}" destId="{9179DF22-266F-415D-8504-3026A6D15B82}" srcOrd="1" destOrd="0" presId="urn:microsoft.com/office/officeart/2005/8/layout/orgChart1"/>
    <dgm:cxn modelId="{19431F35-2FAC-4A3E-83BC-31D891363F61}" type="presOf" srcId="{E093E746-2934-4974-AF15-F3DA01ECF90E}" destId="{7A005EB3-9683-4878-B7F9-5C64454D8CDD}" srcOrd="0" destOrd="0" presId="urn:microsoft.com/office/officeart/2005/8/layout/orgChart1"/>
    <dgm:cxn modelId="{E231F13F-2482-4188-A363-7672C59A1484}" type="presOf" srcId="{E4153291-94F0-48E2-9E6F-E441524F0404}" destId="{D513EF6A-7544-488F-B85B-E2F8101E53F4}" srcOrd="0" destOrd="0" presId="urn:microsoft.com/office/officeart/2005/8/layout/orgChart1"/>
    <dgm:cxn modelId="{6E05965B-C1DD-46FF-9777-0BE334CE7EA0}" type="presOf" srcId="{D5DB7C89-E100-4FF3-9E97-9FB322ACD9F3}" destId="{7D958C05-B9FC-4F53-9D7B-C210C69AD698}" srcOrd="0" destOrd="0" presId="urn:microsoft.com/office/officeart/2005/8/layout/orgChart1"/>
    <dgm:cxn modelId="{A1DD9C43-92D4-4F7B-B141-707601985236}" type="presOf" srcId="{7F0BCE62-8280-460E-98BF-6BCAE0B492BC}" destId="{FB1977A1-BD71-4FA1-BB9E-9E879E05C8DA}" srcOrd="0" destOrd="0" presId="urn:microsoft.com/office/officeart/2005/8/layout/orgChart1"/>
    <dgm:cxn modelId="{20F3A449-E286-42E8-8B37-84F2E467B116}" srcId="{E4153291-94F0-48E2-9E6F-E441524F0404}" destId="{F18E808E-1EA7-4E4F-B62D-83A192A216E8}" srcOrd="0" destOrd="0" parTransId="{2F5E8AEC-1404-4A2F-B9E6-DD19BC939E98}" sibTransId="{53774238-8084-4431-8DEA-B957D0075A7A}"/>
    <dgm:cxn modelId="{7B7D0D4D-33CC-4D04-8F69-47FF20F113C4}" srcId="{F18E808E-1EA7-4E4F-B62D-83A192A216E8}" destId="{E21259C6-2224-4BB0-BE8F-BC8A3C538A52}" srcOrd="0" destOrd="0" parTransId="{AEB4312D-7A58-47F9-A541-21BB42824479}" sibTransId="{89F9C2E8-D07E-419D-A39A-C2252C79EFC1}"/>
    <dgm:cxn modelId="{A3070B6F-1D23-465C-9466-2EF1D53871B2}" type="presOf" srcId="{062F79EB-A639-4A87-8532-8048BE1772B0}" destId="{53BF1AC8-6161-460F-8A6F-EF0A04BDF49E}" srcOrd="1" destOrd="0" presId="urn:microsoft.com/office/officeart/2005/8/layout/orgChart1"/>
    <dgm:cxn modelId="{32A95055-10DB-4C3F-922E-427B5F56FFAF}" type="presOf" srcId="{E093E746-2934-4974-AF15-F3DA01ECF90E}" destId="{2B84028D-8883-4000-9669-70FAB280642A}" srcOrd="1" destOrd="0" presId="urn:microsoft.com/office/officeart/2005/8/layout/orgChart1"/>
    <dgm:cxn modelId="{DD1F0156-84D8-4F37-BF05-B4E54AFF0864}" type="presOf" srcId="{2508BBDD-5A2D-49A7-818A-1C0D9548EF16}" destId="{70FF17B2-7D6E-49C8-803C-C9CC14BB3782}" srcOrd="1" destOrd="0" presId="urn:microsoft.com/office/officeart/2005/8/layout/orgChart1"/>
    <dgm:cxn modelId="{3F7ED477-ECBC-4AB3-A871-025AF89F80DA}" srcId="{E093E746-2934-4974-AF15-F3DA01ECF90E}" destId="{C39122DC-8A4F-4D0D-85E7-AD21A998642C}" srcOrd="0" destOrd="0" parTransId="{67051A50-D72F-42CB-8244-57C60CC8CCDB}" sibTransId="{6BC7DC9C-D968-411B-AD02-230707EF9372}"/>
    <dgm:cxn modelId="{11D16A7E-738D-4773-8074-8932B9C4D0E7}" type="presOf" srcId="{AEB4312D-7A58-47F9-A541-21BB42824479}" destId="{CC83E70B-9485-493B-94BE-EB7DAA36D142}" srcOrd="0" destOrd="0" presId="urn:microsoft.com/office/officeart/2005/8/layout/orgChart1"/>
    <dgm:cxn modelId="{CC7E14D5-91D0-4F76-8305-C2D5BA4180F1}" type="presOf" srcId="{F18E808E-1EA7-4E4F-B62D-83A192A216E8}" destId="{43A6AB15-68D7-4F3F-85EB-22E7C32923ED}" srcOrd="1" destOrd="0" presId="urn:microsoft.com/office/officeart/2005/8/layout/orgChart1"/>
    <dgm:cxn modelId="{6C1AC5EF-5B18-4946-A24D-076DA1A1B34E}" type="presOf" srcId="{C39122DC-8A4F-4D0D-85E7-AD21A998642C}" destId="{A8817527-BE2F-496A-9CE9-283C957D8ECB}" srcOrd="0" destOrd="0" presId="urn:microsoft.com/office/officeart/2005/8/layout/orgChart1"/>
    <dgm:cxn modelId="{7F04C7F1-A27F-45F2-94E9-7D05C44C0976}" type="presOf" srcId="{2BC2D91A-8CE2-452F-B8FB-0B0CF2378848}" destId="{C5E9A586-D244-40A8-952F-3A95EFF638C1}" srcOrd="0" destOrd="0" presId="urn:microsoft.com/office/officeart/2005/8/layout/orgChart1"/>
    <dgm:cxn modelId="{47FE15F7-C59C-4C2A-BA99-5ECC07BF4329}" type="presOf" srcId="{2ADDF88B-7506-4113-86D9-D78ED3C48EAB}" destId="{3C02A209-38C4-4BB9-B2E2-6696E3493698}" srcOrd="1" destOrd="0" presId="urn:microsoft.com/office/officeart/2005/8/layout/orgChart1"/>
    <dgm:cxn modelId="{197B33F9-7A55-48F4-8BCE-E4108C298B63}" srcId="{E093E746-2934-4974-AF15-F3DA01ECF90E}" destId="{2508BBDD-5A2D-49A7-818A-1C0D9548EF16}" srcOrd="1" destOrd="0" parTransId="{D5DB7C89-E100-4FF3-9E97-9FB322ACD9F3}" sibTransId="{BA4F4A12-1D85-4C6F-83F1-38B50C8D52E0}"/>
    <dgm:cxn modelId="{B7F644FC-3786-4918-A758-346F62D5C18E}" srcId="{E093E746-2934-4974-AF15-F3DA01ECF90E}" destId="{2ADDF88B-7506-4113-86D9-D78ED3C48EAB}" srcOrd="3" destOrd="0" parTransId="{2BC2D91A-8CE2-452F-B8FB-0B0CF2378848}" sibTransId="{65660DD9-E2A3-4F86-843B-DA4C18010DD6}"/>
    <dgm:cxn modelId="{ED43B9FC-9248-4F49-A43D-06EBD2EBE027}" type="presOf" srcId="{2508BBDD-5A2D-49A7-818A-1C0D9548EF16}" destId="{CC5101C4-A6AC-4839-A760-C0475695D600}" srcOrd="0" destOrd="0" presId="urn:microsoft.com/office/officeart/2005/8/layout/orgChart1"/>
    <dgm:cxn modelId="{BED34BD4-5ABD-4762-AF3F-82BDD4D61366}" type="presParOf" srcId="{D513EF6A-7544-488F-B85B-E2F8101E53F4}" destId="{B410C78D-386D-4403-A48B-258C6F8B51E8}" srcOrd="0" destOrd="0" presId="urn:microsoft.com/office/officeart/2005/8/layout/orgChart1"/>
    <dgm:cxn modelId="{BE227E73-1EAE-4903-A8C3-B5C11CEEEF6D}" type="presParOf" srcId="{B410C78D-386D-4403-A48B-258C6F8B51E8}" destId="{CB9921F4-54AD-418F-BBE3-0B7326B76601}" srcOrd="0" destOrd="0" presId="urn:microsoft.com/office/officeart/2005/8/layout/orgChart1"/>
    <dgm:cxn modelId="{E2E7258E-3F85-41AF-88CF-79D9502E268E}" type="presParOf" srcId="{CB9921F4-54AD-418F-BBE3-0B7326B76601}" destId="{BCDCBAD4-BA97-44C4-8F69-DFBEF0ED762E}" srcOrd="0" destOrd="0" presId="urn:microsoft.com/office/officeart/2005/8/layout/orgChart1"/>
    <dgm:cxn modelId="{BCB44B1A-572E-4CFF-987C-97CFE83F7F8D}" type="presParOf" srcId="{CB9921F4-54AD-418F-BBE3-0B7326B76601}" destId="{43A6AB15-68D7-4F3F-85EB-22E7C32923ED}" srcOrd="1" destOrd="0" presId="urn:microsoft.com/office/officeart/2005/8/layout/orgChart1"/>
    <dgm:cxn modelId="{CA72BBA0-640C-4F41-97CC-E918E5EFC944}" type="presParOf" srcId="{B410C78D-386D-4403-A48B-258C6F8B51E8}" destId="{C5E64BD6-24D6-4FE9-A566-CAB082A95F5F}" srcOrd="1" destOrd="0" presId="urn:microsoft.com/office/officeart/2005/8/layout/orgChart1"/>
    <dgm:cxn modelId="{172C6518-DF89-4C4B-86A7-50DD1457170B}" type="presParOf" srcId="{C5E64BD6-24D6-4FE9-A566-CAB082A95F5F}" destId="{CC83E70B-9485-493B-94BE-EB7DAA36D142}" srcOrd="0" destOrd="0" presId="urn:microsoft.com/office/officeart/2005/8/layout/orgChart1"/>
    <dgm:cxn modelId="{225C9FFE-CC6C-4A7B-88C7-0E386AE42673}" type="presParOf" srcId="{C5E64BD6-24D6-4FE9-A566-CAB082A95F5F}" destId="{083D287F-EEB8-4505-8948-BF6A5DC4E729}" srcOrd="1" destOrd="0" presId="urn:microsoft.com/office/officeart/2005/8/layout/orgChart1"/>
    <dgm:cxn modelId="{9C50133A-6EA2-4658-B100-EDC8D246F7FA}" type="presParOf" srcId="{083D287F-EEB8-4505-8948-BF6A5DC4E729}" destId="{8002D296-3773-4B22-9DD4-DDB4EC36C8F0}" srcOrd="0" destOrd="0" presId="urn:microsoft.com/office/officeart/2005/8/layout/orgChart1"/>
    <dgm:cxn modelId="{4CE97A3D-68B8-4B43-AC49-1C066D5F0EF8}" type="presParOf" srcId="{8002D296-3773-4B22-9DD4-DDB4EC36C8F0}" destId="{DB8668EA-3432-466D-9953-E8F6F2FF38A4}" srcOrd="0" destOrd="0" presId="urn:microsoft.com/office/officeart/2005/8/layout/orgChart1"/>
    <dgm:cxn modelId="{0086DB46-5474-4060-83AA-AC59BFC1CEEB}" type="presParOf" srcId="{8002D296-3773-4B22-9DD4-DDB4EC36C8F0}" destId="{9179DF22-266F-415D-8504-3026A6D15B82}" srcOrd="1" destOrd="0" presId="urn:microsoft.com/office/officeart/2005/8/layout/orgChart1"/>
    <dgm:cxn modelId="{869E1491-8832-48A3-968D-B977F814D93B}" type="presParOf" srcId="{083D287F-EEB8-4505-8948-BF6A5DC4E729}" destId="{DC784F10-E9F2-4614-8C4C-493994353977}" srcOrd="1" destOrd="0" presId="urn:microsoft.com/office/officeart/2005/8/layout/orgChart1"/>
    <dgm:cxn modelId="{EAB79988-610D-4104-A53B-5D7B4CAC8C35}" type="presParOf" srcId="{DC784F10-E9F2-4614-8C4C-493994353977}" destId="{FB1977A1-BD71-4FA1-BB9E-9E879E05C8DA}" srcOrd="0" destOrd="0" presId="urn:microsoft.com/office/officeart/2005/8/layout/orgChart1"/>
    <dgm:cxn modelId="{6F298ABE-78DF-436A-AF3A-EA3864C29ECA}" type="presParOf" srcId="{DC784F10-E9F2-4614-8C4C-493994353977}" destId="{5EDE029B-C8B2-4F10-AEE5-5E6185CC8A6B}" srcOrd="1" destOrd="0" presId="urn:microsoft.com/office/officeart/2005/8/layout/orgChart1"/>
    <dgm:cxn modelId="{526C4DFC-E146-4EA8-BBC5-3E7B4E18ADDC}" type="presParOf" srcId="{5EDE029B-C8B2-4F10-AEE5-5E6185CC8A6B}" destId="{B815CA20-1ED1-4236-AD71-03AEC169FA38}" srcOrd="0" destOrd="0" presId="urn:microsoft.com/office/officeart/2005/8/layout/orgChart1"/>
    <dgm:cxn modelId="{3C622263-8E38-4433-A3AD-9810752AB521}" type="presParOf" srcId="{B815CA20-1ED1-4236-AD71-03AEC169FA38}" destId="{7A005EB3-9683-4878-B7F9-5C64454D8CDD}" srcOrd="0" destOrd="0" presId="urn:microsoft.com/office/officeart/2005/8/layout/orgChart1"/>
    <dgm:cxn modelId="{FE9A1A0F-AEE8-4FE6-8D2E-033A52E36F5A}" type="presParOf" srcId="{B815CA20-1ED1-4236-AD71-03AEC169FA38}" destId="{2B84028D-8883-4000-9669-70FAB280642A}" srcOrd="1" destOrd="0" presId="urn:microsoft.com/office/officeart/2005/8/layout/orgChart1"/>
    <dgm:cxn modelId="{6C1ED6D7-BAC0-40D6-9FBA-4F7D55785EAF}" type="presParOf" srcId="{5EDE029B-C8B2-4F10-AEE5-5E6185CC8A6B}" destId="{60A277DE-4B64-415B-B96C-0710EBEFEE4B}" srcOrd="1" destOrd="0" presId="urn:microsoft.com/office/officeart/2005/8/layout/orgChart1"/>
    <dgm:cxn modelId="{4A8A62CD-1CAF-40EB-9556-70D9BFA58462}" type="presParOf" srcId="{60A277DE-4B64-415B-B96C-0710EBEFEE4B}" destId="{5B8A58F5-983C-4568-BBA9-8434C20B5249}" srcOrd="0" destOrd="0" presId="urn:microsoft.com/office/officeart/2005/8/layout/orgChart1"/>
    <dgm:cxn modelId="{27A6CC99-60AD-47EC-9E39-68D00C0E5EB4}" type="presParOf" srcId="{60A277DE-4B64-415B-B96C-0710EBEFEE4B}" destId="{C5F55375-B7C2-43E4-88FB-9670A24EE851}" srcOrd="1" destOrd="0" presId="urn:microsoft.com/office/officeart/2005/8/layout/orgChart1"/>
    <dgm:cxn modelId="{AD33D1EC-7BE4-4F63-AE02-BA3D9FC3FA02}" type="presParOf" srcId="{C5F55375-B7C2-43E4-88FB-9670A24EE851}" destId="{05371573-70BB-4A3B-AAB8-D134C2A412CC}" srcOrd="0" destOrd="0" presId="urn:microsoft.com/office/officeart/2005/8/layout/orgChart1"/>
    <dgm:cxn modelId="{CBD4C3C6-DA4E-4229-BF91-32DE9EF15D4E}" type="presParOf" srcId="{05371573-70BB-4A3B-AAB8-D134C2A412CC}" destId="{A8817527-BE2F-496A-9CE9-283C957D8ECB}" srcOrd="0" destOrd="0" presId="urn:microsoft.com/office/officeart/2005/8/layout/orgChart1"/>
    <dgm:cxn modelId="{B04891CD-4A42-4D49-80B0-D5E3D2DC446C}" type="presParOf" srcId="{05371573-70BB-4A3B-AAB8-D134C2A412CC}" destId="{0ADC55C7-6C2B-4027-B5DE-63DD7EA90A19}" srcOrd="1" destOrd="0" presId="urn:microsoft.com/office/officeart/2005/8/layout/orgChart1"/>
    <dgm:cxn modelId="{5B45C97E-E7C0-46A9-A847-B3A1865581B5}" type="presParOf" srcId="{C5F55375-B7C2-43E4-88FB-9670A24EE851}" destId="{D5A9C3E3-FD65-437C-9181-128361D643E0}" srcOrd="1" destOrd="0" presId="urn:microsoft.com/office/officeart/2005/8/layout/orgChart1"/>
    <dgm:cxn modelId="{93C0F0B5-2BAD-4480-BE9D-8388721C35DD}" type="presParOf" srcId="{C5F55375-B7C2-43E4-88FB-9670A24EE851}" destId="{81BBD9FD-80F7-4CB7-8F8B-545717AC91FA}" srcOrd="2" destOrd="0" presId="urn:microsoft.com/office/officeart/2005/8/layout/orgChart1"/>
    <dgm:cxn modelId="{214DD350-A94F-4258-8D5D-1C8185D3FC64}" type="presParOf" srcId="{60A277DE-4B64-415B-B96C-0710EBEFEE4B}" destId="{7D958C05-B9FC-4F53-9D7B-C210C69AD698}" srcOrd="2" destOrd="0" presId="urn:microsoft.com/office/officeart/2005/8/layout/orgChart1"/>
    <dgm:cxn modelId="{785C98EF-5E11-4894-A5E8-3997F6C180ED}" type="presParOf" srcId="{60A277DE-4B64-415B-B96C-0710EBEFEE4B}" destId="{92630C77-8B9B-4A85-ACF2-2E0FCBD47CB4}" srcOrd="3" destOrd="0" presId="urn:microsoft.com/office/officeart/2005/8/layout/orgChart1"/>
    <dgm:cxn modelId="{CAF63993-5248-4BC4-9C6D-FEF6D4FBD2EE}" type="presParOf" srcId="{92630C77-8B9B-4A85-ACF2-2E0FCBD47CB4}" destId="{C6866D29-A7D4-48F8-95C5-81F6FFB8BBB1}" srcOrd="0" destOrd="0" presId="urn:microsoft.com/office/officeart/2005/8/layout/orgChart1"/>
    <dgm:cxn modelId="{6AECB4FD-01DD-4B1E-AC3B-53367C7522CB}" type="presParOf" srcId="{C6866D29-A7D4-48F8-95C5-81F6FFB8BBB1}" destId="{CC5101C4-A6AC-4839-A760-C0475695D600}" srcOrd="0" destOrd="0" presId="urn:microsoft.com/office/officeart/2005/8/layout/orgChart1"/>
    <dgm:cxn modelId="{8578F52B-D238-4C8C-B52C-4D63A5CCED12}" type="presParOf" srcId="{C6866D29-A7D4-48F8-95C5-81F6FFB8BBB1}" destId="{70FF17B2-7D6E-49C8-803C-C9CC14BB3782}" srcOrd="1" destOrd="0" presId="urn:microsoft.com/office/officeart/2005/8/layout/orgChart1"/>
    <dgm:cxn modelId="{7835972A-73B1-4706-B2B9-AF5B59E860F3}" type="presParOf" srcId="{92630C77-8B9B-4A85-ACF2-2E0FCBD47CB4}" destId="{FE28C4A1-5B53-4F6F-ADD7-148DA965CFF3}" srcOrd="1" destOrd="0" presId="urn:microsoft.com/office/officeart/2005/8/layout/orgChart1"/>
    <dgm:cxn modelId="{F4EDC42A-3DEA-4AF1-A1C2-A8064BEDA143}" type="presParOf" srcId="{92630C77-8B9B-4A85-ACF2-2E0FCBD47CB4}" destId="{5F22F2DE-9A18-4A73-8831-4C91A16D69BE}" srcOrd="2" destOrd="0" presId="urn:microsoft.com/office/officeart/2005/8/layout/orgChart1"/>
    <dgm:cxn modelId="{045FC162-9F93-44A0-B92E-30347E8307D9}" type="presParOf" srcId="{60A277DE-4B64-415B-B96C-0710EBEFEE4B}" destId="{540FB798-F387-4FD8-B68A-4ADD11E06AB2}" srcOrd="4" destOrd="0" presId="urn:microsoft.com/office/officeart/2005/8/layout/orgChart1"/>
    <dgm:cxn modelId="{5480DF21-7F30-47EB-8C87-1DCEBEDD16F6}" type="presParOf" srcId="{60A277DE-4B64-415B-B96C-0710EBEFEE4B}" destId="{A9EF3843-B84E-43DE-9A23-E29C6F47DD9A}" srcOrd="5" destOrd="0" presId="urn:microsoft.com/office/officeart/2005/8/layout/orgChart1"/>
    <dgm:cxn modelId="{651E3B35-BA8F-41FD-8210-A98C6C56AF44}" type="presParOf" srcId="{A9EF3843-B84E-43DE-9A23-E29C6F47DD9A}" destId="{217E43A3-FF16-4FBB-A8DF-8F57AFB10FDB}" srcOrd="0" destOrd="0" presId="urn:microsoft.com/office/officeart/2005/8/layout/orgChart1"/>
    <dgm:cxn modelId="{237ADC85-3968-4259-82E4-57E621CBFC3D}" type="presParOf" srcId="{217E43A3-FF16-4FBB-A8DF-8F57AFB10FDB}" destId="{A5B7750B-4D92-4E92-98A2-86C2B59B159E}" srcOrd="0" destOrd="0" presId="urn:microsoft.com/office/officeart/2005/8/layout/orgChart1"/>
    <dgm:cxn modelId="{46C57864-84B2-4BFF-BEEC-227F4A04EDD5}" type="presParOf" srcId="{217E43A3-FF16-4FBB-A8DF-8F57AFB10FDB}" destId="{53BF1AC8-6161-460F-8A6F-EF0A04BDF49E}" srcOrd="1" destOrd="0" presId="urn:microsoft.com/office/officeart/2005/8/layout/orgChart1"/>
    <dgm:cxn modelId="{F69BDADE-ABC7-46A8-BB8A-6CF5161B273D}" type="presParOf" srcId="{A9EF3843-B84E-43DE-9A23-E29C6F47DD9A}" destId="{D610E4F7-6779-4311-A924-3B1F038CC8BD}" srcOrd="1" destOrd="0" presId="urn:microsoft.com/office/officeart/2005/8/layout/orgChart1"/>
    <dgm:cxn modelId="{F75EFC6F-31D7-4793-91E5-BAA3FED130F1}" type="presParOf" srcId="{A9EF3843-B84E-43DE-9A23-E29C6F47DD9A}" destId="{7D795D90-0432-4176-BDD7-37E4B118BAD6}" srcOrd="2" destOrd="0" presId="urn:microsoft.com/office/officeart/2005/8/layout/orgChart1"/>
    <dgm:cxn modelId="{06FC3855-9395-44AD-92ED-6516462E6EE0}" type="presParOf" srcId="{60A277DE-4B64-415B-B96C-0710EBEFEE4B}" destId="{C5E9A586-D244-40A8-952F-3A95EFF638C1}" srcOrd="6" destOrd="0" presId="urn:microsoft.com/office/officeart/2005/8/layout/orgChart1"/>
    <dgm:cxn modelId="{4DB0D395-453A-4759-A829-C2114592213C}" type="presParOf" srcId="{60A277DE-4B64-415B-B96C-0710EBEFEE4B}" destId="{544FB510-61DA-434F-8BD0-EE0969CC2CAB}" srcOrd="7" destOrd="0" presId="urn:microsoft.com/office/officeart/2005/8/layout/orgChart1"/>
    <dgm:cxn modelId="{875F1D40-4ED1-4A78-B69A-56BEF754F555}" type="presParOf" srcId="{544FB510-61DA-434F-8BD0-EE0969CC2CAB}" destId="{177328EC-218E-4BE4-B659-92DD95FA75DA}" srcOrd="0" destOrd="0" presId="urn:microsoft.com/office/officeart/2005/8/layout/orgChart1"/>
    <dgm:cxn modelId="{D017944F-13A5-43E2-853A-C1AB32098118}" type="presParOf" srcId="{177328EC-218E-4BE4-B659-92DD95FA75DA}" destId="{542238E7-65FF-4091-873C-6C4F9E97EA94}" srcOrd="0" destOrd="0" presId="urn:microsoft.com/office/officeart/2005/8/layout/orgChart1"/>
    <dgm:cxn modelId="{32C222E3-AE82-465C-860D-2A042EB29BE2}" type="presParOf" srcId="{177328EC-218E-4BE4-B659-92DD95FA75DA}" destId="{3C02A209-38C4-4BB9-B2E2-6696E3493698}" srcOrd="1" destOrd="0" presId="urn:microsoft.com/office/officeart/2005/8/layout/orgChart1"/>
    <dgm:cxn modelId="{A6562EED-6BF1-42FB-BAEC-E708B99A4418}" type="presParOf" srcId="{544FB510-61DA-434F-8BD0-EE0969CC2CAB}" destId="{359381FA-A038-4830-8A9E-89B9F0403C44}" srcOrd="1" destOrd="0" presId="urn:microsoft.com/office/officeart/2005/8/layout/orgChart1"/>
    <dgm:cxn modelId="{F3D4D34B-1EAA-4BBD-8F8D-52BC4A9A5234}" type="presParOf" srcId="{544FB510-61DA-434F-8BD0-EE0969CC2CAB}" destId="{770BDD00-7A84-4366-A098-F7AE515BC752}" srcOrd="2" destOrd="0" presId="urn:microsoft.com/office/officeart/2005/8/layout/orgChart1"/>
    <dgm:cxn modelId="{E568E164-FFE1-4449-A73F-884939EFC639}" type="presParOf" srcId="{5EDE029B-C8B2-4F10-AEE5-5E6185CC8A6B}" destId="{B7AD33CE-9C45-4571-B5CB-0626ACCCEF26}" srcOrd="2" destOrd="0" presId="urn:microsoft.com/office/officeart/2005/8/layout/orgChart1"/>
    <dgm:cxn modelId="{94EA10A7-97CD-47D0-BBC9-299C379C7412}" type="presParOf" srcId="{083D287F-EEB8-4505-8948-BF6A5DC4E729}" destId="{17B6B734-BBFA-4531-9ED5-8D810E11C46F}" srcOrd="2" destOrd="0" presId="urn:microsoft.com/office/officeart/2005/8/layout/orgChart1"/>
    <dgm:cxn modelId="{38D55CEF-09D8-4F2C-80B4-3BC8425D5CD8}" type="presParOf" srcId="{B410C78D-386D-4403-A48B-258C6F8B51E8}" destId="{C7C14DD6-7A8B-432F-907A-51CCC2C164D7}"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76B61F5-FACF-4DC2-B791-20E0A347AC49}" type="doc">
      <dgm:prSet loTypeId="urn:microsoft.com/office/officeart/2005/8/layout/pyramid1" loCatId="pyramid" qsTypeId="urn:microsoft.com/office/officeart/2005/8/quickstyle/simple3" qsCatId="simple" csTypeId="urn:microsoft.com/office/officeart/2005/8/colors/colorful5" csCatId="colorful" phldr="1"/>
      <dgm:spPr/>
    </dgm:pt>
    <dgm:pt modelId="{0493EBBB-615F-4295-9C32-4237D9B8F500}">
      <dgm:prSet phldrT="[Text]" custT="1"/>
      <dgm:spPr/>
      <dgm:t>
        <a:bodyPr/>
        <a:lstStyle/>
        <a:p>
          <a:pPr algn="ctr">
            <a:buNone/>
          </a:pPr>
          <a:r>
            <a:rPr lang="en-GB" sz="1400"/>
            <a:t>Enterprise Information Security Policy (EISP)</a:t>
          </a:r>
        </a:p>
      </dgm:t>
    </dgm:pt>
    <dgm:pt modelId="{222E1DD0-DBCD-4DF9-9E19-B7B620CE2409}" type="parTrans" cxnId="{7AD01DF2-A698-4016-9B2F-CF2A33252DD0}">
      <dgm:prSet/>
      <dgm:spPr/>
      <dgm:t>
        <a:bodyPr/>
        <a:lstStyle/>
        <a:p>
          <a:pPr algn="ctr"/>
          <a:endParaRPr lang="en-GB"/>
        </a:p>
      </dgm:t>
    </dgm:pt>
    <dgm:pt modelId="{AA148C87-CB46-4D6B-AFD7-132FD9BB75E6}" type="sibTrans" cxnId="{7AD01DF2-A698-4016-9B2F-CF2A33252DD0}">
      <dgm:prSet/>
      <dgm:spPr/>
      <dgm:t>
        <a:bodyPr/>
        <a:lstStyle/>
        <a:p>
          <a:pPr algn="ctr"/>
          <a:endParaRPr lang="en-GB"/>
        </a:p>
      </dgm:t>
    </dgm:pt>
    <dgm:pt modelId="{F7872B33-1C18-43B9-A540-F20C91C9A5FF}">
      <dgm:prSet phldrT="[Text]" custT="1"/>
      <dgm:spPr/>
      <dgm:t>
        <a:bodyPr/>
        <a:lstStyle/>
        <a:p>
          <a:pPr algn="ctr">
            <a:buNone/>
          </a:pPr>
          <a:r>
            <a:rPr lang="en-GB" sz="1400"/>
            <a:t>Security Standards</a:t>
          </a:r>
        </a:p>
      </dgm:t>
    </dgm:pt>
    <dgm:pt modelId="{7691B679-7102-433B-8411-DA419AEFC6C4}" type="parTrans" cxnId="{9304008B-DB61-4843-A0E9-D5CF3FDC1F5F}">
      <dgm:prSet/>
      <dgm:spPr/>
      <dgm:t>
        <a:bodyPr/>
        <a:lstStyle/>
        <a:p>
          <a:pPr algn="ctr"/>
          <a:endParaRPr lang="en-GB"/>
        </a:p>
      </dgm:t>
    </dgm:pt>
    <dgm:pt modelId="{8BE93D85-2217-4618-B250-0C5B74D8AD36}" type="sibTrans" cxnId="{9304008B-DB61-4843-A0E9-D5CF3FDC1F5F}">
      <dgm:prSet/>
      <dgm:spPr/>
      <dgm:t>
        <a:bodyPr/>
        <a:lstStyle/>
        <a:p>
          <a:pPr algn="ctr"/>
          <a:endParaRPr lang="en-GB"/>
        </a:p>
      </dgm:t>
    </dgm:pt>
    <dgm:pt modelId="{A712BE0E-5609-4B96-A5A2-1F33BEC3F86B}">
      <dgm:prSet phldrT="[Text]" custT="1"/>
      <dgm:spPr/>
      <dgm:t>
        <a:bodyPr/>
        <a:lstStyle/>
        <a:p>
          <a:pPr algn="ctr">
            <a:buNone/>
          </a:pPr>
          <a:r>
            <a:rPr lang="en-GB" sz="1400"/>
            <a:t>Guidelines and Work Instructions</a:t>
          </a:r>
        </a:p>
      </dgm:t>
    </dgm:pt>
    <dgm:pt modelId="{4111F82C-D1AF-4B64-92F2-5A1206716ACA}" type="parTrans" cxnId="{6E677334-D1CC-4276-BDF8-9A80F9A44171}">
      <dgm:prSet/>
      <dgm:spPr/>
      <dgm:t>
        <a:bodyPr/>
        <a:lstStyle/>
        <a:p>
          <a:pPr algn="ctr"/>
          <a:endParaRPr lang="en-GB"/>
        </a:p>
      </dgm:t>
    </dgm:pt>
    <dgm:pt modelId="{5DB9BDF4-A9D3-4E10-B3C0-28D3D62822B7}" type="sibTrans" cxnId="{6E677334-D1CC-4276-BDF8-9A80F9A44171}">
      <dgm:prSet/>
      <dgm:spPr/>
      <dgm:t>
        <a:bodyPr/>
        <a:lstStyle/>
        <a:p>
          <a:pPr algn="ctr"/>
          <a:endParaRPr lang="en-GB"/>
        </a:p>
      </dgm:t>
    </dgm:pt>
    <dgm:pt modelId="{2DC78360-9834-4824-84A6-4CA1BC2A12EF}">
      <dgm:prSet custT="1"/>
      <dgm:spPr/>
      <dgm:t>
        <a:bodyPr/>
        <a:lstStyle/>
        <a:p>
          <a:pPr algn="ctr">
            <a:buNone/>
          </a:pPr>
          <a:r>
            <a:rPr lang="en-GB" sz="1400"/>
            <a:t>Security Procedures</a:t>
          </a:r>
        </a:p>
      </dgm:t>
    </dgm:pt>
    <dgm:pt modelId="{7198A52D-8101-457E-91EE-BEE29690242F}" type="parTrans" cxnId="{BE0A42DD-7346-4632-A871-8F75ABD37FAC}">
      <dgm:prSet/>
      <dgm:spPr/>
      <dgm:t>
        <a:bodyPr/>
        <a:lstStyle/>
        <a:p>
          <a:pPr algn="ctr"/>
          <a:endParaRPr lang="en-GB"/>
        </a:p>
      </dgm:t>
    </dgm:pt>
    <dgm:pt modelId="{0CC6593C-3865-4D2D-9310-D45A970C8038}" type="sibTrans" cxnId="{BE0A42DD-7346-4632-A871-8F75ABD37FAC}">
      <dgm:prSet/>
      <dgm:spPr/>
      <dgm:t>
        <a:bodyPr/>
        <a:lstStyle/>
        <a:p>
          <a:pPr algn="ctr"/>
          <a:endParaRPr lang="en-GB"/>
        </a:p>
      </dgm:t>
    </dgm:pt>
    <dgm:pt modelId="{590C5AFC-1E8D-44F3-943F-196EFD11D973}" type="pres">
      <dgm:prSet presAssocID="{A76B61F5-FACF-4DC2-B791-20E0A347AC49}" presName="Name0" presStyleCnt="0">
        <dgm:presLayoutVars>
          <dgm:dir/>
          <dgm:animLvl val="lvl"/>
          <dgm:resizeHandles val="exact"/>
        </dgm:presLayoutVars>
      </dgm:prSet>
      <dgm:spPr/>
    </dgm:pt>
    <dgm:pt modelId="{8135B780-CC53-4A82-AFFC-3B5287F0EC00}" type="pres">
      <dgm:prSet presAssocID="{0493EBBB-615F-4295-9C32-4237D9B8F500}" presName="Name8" presStyleCnt="0"/>
      <dgm:spPr/>
    </dgm:pt>
    <dgm:pt modelId="{221FA7AF-E136-4A15-B1C9-46B364AA2B26}" type="pres">
      <dgm:prSet presAssocID="{0493EBBB-615F-4295-9C32-4237D9B8F500}" presName="level" presStyleLbl="node1" presStyleIdx="0" presStyleCnt="4" custScaleY="150684">
        <dgm:presLayoutVars>
          <dgm:chMax val="1"/>
          <dgm:bulletEnabled val="1"/>
        </dgm:presLayoutVars>
      </dgm:prSet>
      <dgm:spPr/>
    </dgm:pt>
    <dgm:pt modelId="{A9117AD0-B83D-4624-8130-FA37B3A141B3}" type="pres">
      <dgm:prSet presAssocID="{0493EBBB-615F-4295-9C32-4237D9B8F500}" presName="levelTx" presStyleLbl="revTx" presStyleIdx="0" presStyleCnt="0">
        <dgm:presLayoutVars>
          <dgm:chMax val="1"/>
          <dgm:bulletEnabled val="1"/>
        </dgm:presLayoutVars>
      </dgm:prSet>
      <dgm:spPr/>
    </dgm:pt>
    <dgm:pt modelId="{B7D3BFCB-61A8-4AF2-B389-3760D6A62D12}" type="pres">
      <dgm:prSet presAssocID="{F7872B33-1C18-43B9-A540-F20C91C9A5FF}" presName="Name8" presStyleCnt="0"/>
      <dgm:spPr/>
    </dgm:pt>
    <dgm:pt modelId="{83106CD9-EB8E-4ACB-8B9F-FF723232DD6A}" type="pres">
      <dgm:prSet presAssocID="{F7872B33-1C18-43B9-A540-F20C91C9A5FF}" presName="level" presStyleLbl="node1" presStyleIdx="1" presStyleCnt="4">
        <dgm:presLayoutVars>
          <dgm:chMax val="1"/>
          <dgm:bulletEnabled val="1"/>
        </dgm:presLayoutVars>
      </dgm:prSet>
      <dgm:spPr/>
    </dgm:pt>
    <dgm:pt modelId="{AD629EBB-727A-4A1F-A7D7-3E91AAFE3951}" type="pres">
      <dgm:prSet presAssocID="{F7872B33-1C18-43B9-A540-F20C91C9A5FF}" presName="levelTx" presStyleLbl="revTx" presStyleIdx="0" presStyleCnt="0">
        <dgm:presLayoutVars>
          <dgm:chMax val="1"/>
          <dgm:bulletEnabled val="1"/>
        </dgm:presLayoutVars>
      </dgm:prSet>
      <dgm:spPr/>
    </dgm:pt>
    <dgm:pt modelId="{7013C00D-0AA6-412C-9550-BD988BF7FBE9}" type="pres">
      <dgm:prSet presAssocID="{2DC78360-9834-4824-84A6-4CA1BC2A12EF}" presName="Name8" presStyleCnt="0"/>
      <dgm:spPr/>
    </dgm:pt>
    <dgm:pt modelId="{E7ACE398-7BAA-4CF0-9B83-5DAC4C9EBFC6}" type="pres">
      <dgm:prSet presAssocID="{2DC78360-9834-4824-84A6-4CA1BC2A12EF}" presName="level" presStyleLbl="node1" presStyleIdx="2" presStyleCnt="4">
        <dgm:presLayoutVars>
          <dgm:chMax val="1"/>
          <dgm:bulletEnabled val="1"/>
        </dgm:presLayoutVars>
      </dgm:prSet>
      <dgm:spPr/>
    </dgm:pt>
    <dgm:pt modelId="{4D802E7C-961E-4B84-89B4-42F1D0F0FA74}" type="pres">
      <dgm:prSet presAssocID="{2DC78360-9834-4824-84A6-4CA1BC2A12EF}" presName="levelTx" presStyleLbl="revTx" presStyleIdx="0" presStyleCnt="0">
        <dgm:presLayoutVars>
          <dgm:chMax val="1"/>
          <dgm:bulletEnabled val="1"/>
        </dgm:presLayoutVars>
      </dgm:prSet>
      <dgm:spPr/>
    </dgm:pt>
    <dgm:pt modelId="{9DE35240-16E3-4FCA-93C2-24A3979A7D82}" type="pres">
      <dgm:prSet presAssocID="{A712BE0E-5609-4B96-A5A2-1F33BEC3F86B}" presName="Name8" presStyleCnt="0"/>
      <dgm:spPr/>
    </dgm:pt>
    <dgm:pt modelId="{503493EC-18BE-4460-8B67-4F174325D6CE}" type="pres">
      <dgm:prSet presAssocID="{A712BE0E-5609-4B96-A5A2-1F33BEC3F86B}" presName="level" presStyleLbl="node1" presStyleIdx="3" presStyleCnt="4">
        <dgm:presLayoutVars>
          <dgm:chMax val="1"/>
          <dgm:bulletEnabled val="1"/>
        </dgm:presLayoutVars>
      </dgm:prSet>
      <dgm:spPr/>
    </dgm:pt>
    <dgm:pt modelId="{E913D524-AA8D-4013-BE20-4F217BED4A4F}" type="pres">
      <dgm:prSet presAssocID="{A712BE0E-5609-4B96-A5A2-1F33BEC3F86B}" presName="levelTx" presStyleLbl="revTx" presStyleIdx="0" presStyleCnt="0">
        <dgm:presLayoutVars>
          <dgm:chMax val="1"/>
          <dgm:bulletEnabled val="1"/>
        </dgm:presLayoutVars>
      </dgm:prSet>
      <dgm:spPr/>
    </dgm:pt>
  </dgm:ptLst>
  <dgm:cxnLst>
    <dgm:cxn modelId="{F33BEB06-C680-4AF1-A749-682AAAD8BAD9}" type="presOf" srcId="{2DC78360-9834-4824-84A6-4CA1BC2A12EF}" destId="{4D802E7C-961E-4B84-89B4-42F1D0F0FA74}" srcOrd="1" destOrd="0" presId="urn:microsoft.com/office/officeart/2005/8/layout/pyramid1"/>
    <dgm:cxn modelId="{40ECB422-C410-45FA-8D2A-9A521C45653A}" type="presOf" srcId="{F7872B33-1C18-43B9-A540-F20C91C9A5FF}" destId="{AD629EBB-727A-4A1F-A7D7-3E91AAFE3951}" srcOrd="1" destOrd="0" presId="urn:microsoft.com/office/officeart/2005/8/layout/pyramid1"/>
    <dgm:cxn modelId="{6E677334-D1CC-4276-BDF8-9A80F9A44171}" srcId="{A76B61F5-FACF-4DC2-B791-20E0A347AC49}" destId="{A712BE0E-5609-4B96-A5A2-1F33BEC3F86B}" srcOrd="3" destOrd="0" parTransId="{4111F82C-D1AF-4B64-92F2-5A1206716ACA}" sibTransId="{5DB9BDF4-A9D3-4E10-B3C0-28D3D62822B7}"/>
    <dgm:cxn modelId="{C2AD7538-A3C7-4B61-93D8-3C6963DB4B25}" type="presOf" srcId="{0493EBBB-615F-4295-9C32-4237D9B8F500}" destId="{221FA7AF-E136-4A15-B1C9-46B364AA2B26}" srcOrd="0" destOrd="0" presId="urn:microsoft.com/office/officeart/2005/8/layout/pyramid1"/>
    <dgm:cxn modelId="{8485D343-AEF7-4B73-A738-7DE401E49ACD}" type="presOf" srcId="{0493EBBB-615F-4295-9C32-4237D9B8F500}" destId="{A9117AD0-B83D-4624-8130-FA37B3A141B3}" srcOrd="1" destOrd="0" presId="urn:microsoft.com/office/officeart/2005/8/layout/pyramid1"/>
    <dgm:cxn modelId="{C8B32352-BA41-4820-86BF-B99B28AD08BE}" type="presOf" srcId="{A76B61F5-FACF-4DC2-B791-20E0A347AC49}" destId="{590C5AFC-1E8D-44F3-943F-196EFD11D973}" srcOrd="0" destOrd="0" presId="urn:microsoft.com/office/officeart/2005/8/layout/pyramid1"/>
    <dgm:cxn modelId="{13C09854-090D-4644-BE9C-4178889E04B0}" type="presOf" srcId="{F7872B33-1C18-43B9-A540-F20C91C9A5FF}" destId="{83106CD9-EB8E-4ACB-8B9F-FF723232DD6A}" srcOrd="0" destOrd="0" presId="urn:microsoft.com/office/officeart/2005/8/layout/pyramid1"/>
    <dgm:cxn modelId="{9304008B-DB61-4843-A0E9-D5CF3FDC1F5F}" srcId="{A76B61F5-FACF-4DC2-B791-20E0A347AC49}" destId="{F7872B33-1C18-43B9-A540-F20C91C9A5FF}" srcOrd="1" destOrd="0" parTransId="{7691B679-7102-433B-8411-DA419AEFC6C4}" sibTransId="{8BE93D85-2217-4618-B250-0C5B74D8AD36}"/>
    <dgm:cxn modelId="{1647AA90-E6EB-4C0D-A42D-6070446463F3}" type="presOf" srcId="{A712BE0E-5609-4B96-A5A2-1F33BEC3F86B}" destId="{E913D524-AA8D-4013-BE20-4F217BED4A4F}" srcOrd="1" destOrd="0" presId="urn:microsoft.com/office/officeart/2005/8/layout/pyramid1"/>
    <dgm:cxn modelId="{663273A3-0185-49F3-ADCE-18C995A10691}" type="presOf" srcId="{A712BE0E-5609-4B96-A5A2-1F33BEC3F86B}" destId="{503493EC-18BE-4460-8B67-4F174325D6CE}" srcOrd="0" destOrd="0" presId="urn:microsoft.com/office/officeart/2005/8/layout/pyramid1"/>
    <dgm:cxn modelId="{52F707B6-089E-4DD2-810B-971E7FEC4141}" type="presOf" srcId="{2DC78360-9834-4824-84A6-4CA1BC2A12EF}" destId="{E7ACE398-7BAA-4CF0-9B83-5DAC4C9EBFC6}" srcOrd="0" destOrd="0" presId="urn:microsoft.com/office/officeart/2005/8/layout/pyramid1"/>
    <dgm:cxn modelId="{BE0A42DD-7346-4632-A871-8F75ABD37FAC}" srcId="{A76B61F5-FACF-4DC2-B791-20E0A347AC49}" destId="{2DC78360-9834-4824-84A6-4CA1BC2A12EF}" srcOrd="2" destOrd="0" parTransId="{7198A52D-8101-457E-91EE-BEE29690242F}" sibTransId="{0CC6593C-3865-4D2D-9310-D45A970C8038}"/>
    <dgm:cxn modelId="{7AD01DF2-A698-4016-9B2F-CF2A33252DD0}" srcId="{A76B61F5-FACF-4DC2-B791-20E0A347AC49}" destId="{0493EBBB-615F-4295-9C32-4237D9B8F500}" srcOrd="0" destOrd="0" parTransId="{222E1DD0-DBCD-4DF9-9E19-B7B620CE2409}" sibTransId="{AA148C87-CB46-4D6B-AFD7-132FD9BB75E6}"/>
    <dgm:cxn modelId="{485FFA53-77CA-42BF-B1EC-A35BB0F3905A}" type="presParOf" srcId="{590C5AFC-1E8D-44F3-943F-196EFD11D973}" destId="{8135B780-CC53-4A82-AFFC-3B5287F0EC00}" srcOrd="0" destOrd="0" presId="urn:microsoft.com/office/officeart/2005/8/layout/pyramid1"/>
    <dgm:cxn modelId="{A6EE390D-3C8F-4F44-A584-703831B78F68}" type="presParOf" srcId="{8135B780-CC53-4A82-AFFC-3B5287F0EC00}" destId="{221FA7AF-E136-4A15-B1C9-46B364AA2B26}" srcOrd="0" destOrd="0" presId="urn:microsoft.com/office/officeart/2005/8/layout/pyramid1"/>
    <dgm:cxn modelId="{8102F75D-F21A-4EFB-B3AC-F198ACA83AAE}" type="presParOf" srcId="{8135B780-CC53-4A82-AFFC-3B5287F0EC00}" destId="{A9117AD0-B83D-4624-8130-FA37B3A141B3}" srcOrd="1" destOrd="0" presId="urn:microsoft.com/office/officeart/2005/8/layout/pyramid1"/>
    <dgm:cxn modelId="{3AED8815-2025-4571-A61A-2281E2B639A3}" type="presParOf" srcId="{590C5AFC-1E8D-44F3-943F-196EFD11D973}" destId="{B7D3BFCB-61A8-4AF2-B389-3760D6A62D12}" srcOrd="1" destOrd="0" presId="urn:microsoft.com/office/officeart/2005/8/layout/pyramid1"/>
    <dgm:cxn modelId="{61569E8F-5BD2-4AF1-8DA9-CAF1C5F9FFF9}" type="presParOf" srcId="{B7D3BFCB-61A8-4AF2-B389-3760D6A62D12}" destId="{83106CD9-EB8E-4ACB-8B9F-FF723232DD6A}" srcOrd="0" destOrd="0" presId="urn:microsoft.com/office/officeart/2005/8/layout/pyramid1"/>
    <dgm:cxn modelId="{F46F9FDA-F6FE-4066-AD8A-D8C02E5EF75C}" type="presParOf" srcId="{B7D3BFCB-61A8-4AF2-B389-3760D6A62D12}" destId="{AD629EBB-727A-4A1F-A7D7-3E91AAFE3951}" srcOrd="1" destOrd="0" presId="urn:microsoft.com/office/officeart/2005/8/layout/pyramid1"/>
    <dgm:cxn modelId="{589D5FB5-6269-47CD-B8CB-C1EC8698414B}" type="presParOf" srcId="{590C5AFC-1E8D-44F3-943F-196EFD11D973}" destId="{7013C00D-0AA6-412C-9550-BD988BF7FBE9}" srcOrd="2" destOrd="0" presId="urn:microsoft.com/office/officeart/2005/8/layout/pyramid1"/>
    <dgm:cxn modelId="{87308E0C-9CE0-4DA3-82B1-9E83EA577E6F}" type="presParOf" srcId="{7013C00D-0AA6-412C-9550-BD988BF7FBE9}" destId="{E7ACE398-7BAA-4CF0-9B83-5DAC4C9EBFC6}" srcOrd="0" destOrd="0" presId="urn:microsoft.com/office/officeart/2005/8/layout/pyramid1"/>
    <dgm:cxn modelId="{27287F40-2128-43FC-9A6E-03EB29E3821B}" type="presParOf" srcId="{7013C00D-0AA6-412C-9550-BD988BF7FBE9}" destId="{4D802E7C-961E-4B84-89B4-42F1D0F0FA74}" srcOrd="1" destOrd="0" presId="urn:microsoft.com/office/officeart/2005/8/layout/pyramid1"/>
    <dgm:cxn modelId="{10D99AA2-28AF-41F4-BE71-C858BB748EB4}" type="presParOf" srcId="{590C5AFC-1E8D-44F3-943F-196EFD11D973}" destId="{9DE35240-16E3-4FCA-93C2-24A3979A7D82}" srcOrd="3" destOrd="0" presId="urn:microsoft.com/office/officeart/2005/8/layout/pyramid1"/>
    <dgm:cxn modelId="{AE7DB9FD-202D-46B2-8F61-D35D13845B9C}" type="presParOf" srcId="{9DE35240-16E3-4FCA-93C2-24A3979A7D82}" destId="{503493EC-18BE-4460-8B67-4F174325D6CE}" srcOrd="0" destOrd="0" presId="urn:microsoft.com/office/officeart/2005/8/layout/pyramid1"/>
    <dgm:cxn modelId="{A8822C27-7C60-4A7E-9E6F-7EB6443B5CB9}" type="presParOf" srcId="{9DE35240-16E3-4FCA-93C2-24A3979A7D82}" destId="{E913D524-AA8D-4013-BE20-4F217BED4A4F}" srcOrd="1" destOrd="0" presId="urn:microsoft.com/office/officeart/2005/8/layout/pyramid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BCF41C1-025E-483E-9684-E781DF2B33A0}" type="doc">
      <dgm:prSet loTypeId="urn:microsoft.com/office/officeart/2005/8/layout/list1" loCatId="list" qsTypeId="urn:microsoft.com/office/officeart/2005/8/quickstyle/simple3" qsCatId="simple" csTypeId="urn:microsoft.com/office/officeart/2005/8/colors/colorful4" csCatId="colorful" phldr="1"/>
      <dgm:spPr/>
      <dgm:t>
        <a:bodyPr/>
        <a:lstStyle/>
        <a:p>
          <a:endParaRPr lang="en-GB"/>
        </a:p>
      </dgm:t>
    </dgm:pt>
    <dgm:pt modelId="{48B0744C-5EF1-4F1C-9EB8-F8B9D2E556D5}">
      <dgm:prSet phldrT="[Text]"/>
      <dgm:spPr/>
      <dgm:t>
        <a:bodyPr/>
        <a:lstStyle/>
        <a:p>
          <a:pPr>
            <a:buNone/>
          </a:pPr>
          <a:r>
            <a:rPr lang="en-GB"/>
            <a:t>Internet</a:t>
          </a:r>
        </a:p>
      </dgm:t>
    </dgm:pt>
    <dgm:pt modelId="{6D58EA26-29B9-4691-A717-FF22714EE7E9}" type="parTrans" cxnId="{1435B64B-2472-4389-9C1A-12BAF1C36B9A}">
      <dgm:prSet/>
      <dgm:spPr/>
      <dgm:t>
        <a:bodyPr/>
        <a:lstStyle/>
        <a:p>
          <a:endParaRPr lang="en-GB"/>
        </a:p>
      </dgm:t>
    </dgm:pt>
    <dgm:pt modelId="{D9B0E944-6CAB-489D-A11C-BDFC02BD8916}" type="sibTrans" cxnId="{1435B64B-2472-4389-9C1A-12BAF1C36B9A}">
      <dgm:prSet/>
      <dgm:spPr/>
      <dgm:t>
        <a:bodyPr/>
        <a:lstStyle/>
        <a:p>
          <a:endParaRPr lang="en-GB"/>
        </a:p>
      </dgm:t>
    </dgm:pt>
    <dgm:pt modelId="{06BE2030-9E10-4E1B-88F2-FA6331CD19EB}">
      <dgm:prSet phldrT="[Text]"/>
      <dgm:spPr/>
      <dgm:t>
        <a:bodyPr/>
        <a:lstStyle/>
        <a:p>
          <a:pPr>
            <a:buNone/>
          </a:pPr>
          <a:r>
            <a:rPr lang="en-GB"/>
            <a:t>Segmented Internal Network (Corporate / Restricted / Admin Zones</a:t>
          </a:r>
        </a:p>
      </dgm:t>
    </dgm:pt>
    <dgm:pt modelId="{2A65BF3C-0643-47B6-8BB4-593089D5B90F}" type="parTrans" cxnId="{B1A69278-07F5-4E9A-83B9-F8202C015CEE}">
      <dgm:prSet/>
      <dgm:spPr/>
      <dgm:t>
        <a:bodyPr/>
        <a:lstStyle/>
        <a:p>
          <a:endParaRPr lang="en-GB"/>
        </a:p>
      </dgm:t>
    </dgm:pt>
    <dgm:pt modelId="{4DCA2AF5-1D64-4D44-9799-B4858D7D4DC5}" type="sibTrans" cxnId="{B1A69278-07F5-4E9A-83B9-F8202C015CEE}">
      <dgm:prSet/>
      <dgm:spPr/>
      <dgm:t>
        <a:bodyPr/>
        <a:lstStyle/>
        <a:p>
          <a:endParaRPr lang="en-GB"/>
        </a:p>
      </dgm:t>
    </dgm:pt>
    <dgm:pt modelId="{74DD932F-1B77-43BA-BECF-3918CDD684B7}">
      <dgm:prSet/>
      <dgm:spPr/>
      <dgm:t>
        <a:bodyPr/>
        <a:lstStyle/>
        <a:p>
          <a:pPr>
            <a:buNone/>
          </a:pPr>
          <a:r>
            <a:rPr lang="en-GB"/>
            <a:t>Firewall + WAF</a:t>
          </a:r>
        </a:p>
      </dgm:t>
    </dgm:pt>
    <dgm:pt modelId="{10EF051D-FF13-47DF-928B-8084F9DD3C1C}" type="parTrans" cxnId="{B6044B6D-7F70-4EBF-9FED-88519E6160ED}">
      <dgm:prSet/>
      <dgm:spPr/>
      <dgm:t>
        <a:bodyPr/>
        <a:lstStyle/>
        <a:p>
          <a:endParaRPr lang="en-GB"/>
        </a:p>
      </dgm:t>
    </dgm:pt>
    <dgm:pt modelId="{21CA68CE-16A1-4CFD-9EC0-70721A7D3CBF}" type="sibTrans" cxnId="{B6044B6D-7F70-4EBF-9FED-88519E6160ED}">
      <dgm:prSet/>
      <dgm:spPr/>
      <dgm:t>
        <a:bodyPr/>
        <a:lstStyle/>
        <a:p>
          <a:endParaRPr lang="en-GB"/>
        </a:p>
      </dgm:t>
    </dgm:pt>
    <dgm:pt modelId="{C3142CA5-5A78-4943-B977-486D2C538F5F}">
      <dgm:prSet/>
      <dgm:spPr/>
      <dgm:t>
        <a:bodyPr/>
        <a:lstStyle/>
        <a:p>
          <a:pPr>
            <a:buNone/>
          </a:pPr>
          <a:r>
            <a:rPr lang="en-GB"/>
            <a:t>Cloud Services (Encryption, CASB &amp; Configuration Monitoring)</a:t>
          </a:r>
        </a:p>
      </dgm:t>
    </dgm:pt>
    <dgm:pt modelId="{A59260E6-5F60-4E10-A947-4F70A1E3C8B4}" type="parTrans" cxnId="{C87A0DA8-54BF-44B4-86B3-88EB623E6C37}">
      <dgm:prSet/>
      <dgm:spPr/>
      <dgm:t>
        <a:bodyPr/>
        <a:lstStyle/>
        <a:p>
          <a:endParaRPr lang="en-GB"/>
        </a:p>
      </dgm:t>
    </dgm:pt>
    <dgm:pt modelId="{D271EC27-AB02-42AC-98B8-0A1B01B14780}" type="sibTrans" cxnId="{C87A0DA8-54BF-44B4-86B3-88EB623E6C37}">
      <dgm:prSet/>
      <dgm:spPr/>
      <dgm:t>
        <a:bodyPr/>
        <a:lstStyle/>
        <a:p>
          <a:endParaRPr lang="en-GB"/>
        </a:p>
      </dgm:t>
    </dgm:pt>
    <dgm:pt modelId="{5395321B-3B7D-4872-BEE8-CAFB9D3F096A}">
      <dgm:prSet/>
      <dgm:spPr/>
      <dgm:t>
        <a:bodyPr/>
        <a:lstStyle/>
        <a:p>
          <a:pPr>
            <a:buNone/>
          </a:pPr>
          <a:r>
            <a:rPr lang="en-GB"/>
            <a:t>DMZ (Public-Facing Services)</a:t>
          </a:r>
        </a:p>
      </dgm:t>
    </dgm:pt>
    <dgm:pt modelId="{0B223108-9072-4BE2-9E8C-B8C427ED3142}" type="sibTrans" cxnId="{E0A21CE6-6B8D-4E54-9037-487536DB7687}">
      <dgm:prSet/>
      <dgm:spPr/>
      <dgm:t>
        <a:bodyPr/>
        <a:lstStyle/>
        <a:p>
          <a:endParaRPr lang="en-GB"/>
        </a:p>
      </dgm:t>
    </dgm:pt>
    <dgm:pt modelId="{1457F4A2-5F6E-4D1B-9F90-60463EE6EE5E}" type="parTrans" cxnId="{E0A21CE6-6B8D-4E54-9037-487536DB7687}">
      <dgm:prSet/>
      <dgm:spPr/>
      <dgm:t>
        <a:bodyPr/>
        <a:lstStyle/>
        <a:p>
          <a:endParaRPr lang="en-GB"/>
        </a:p>
      </dgm:t>
    </dgm:pt>
    <dgm:pt modelId="{EE6EFFCD-1410-4613-8CB3-162824977188}">
      <dgm:prSet phldrT="[Text]"/>
      <dgm:spPr/>
      <dgm:t>
        <a:bodyPr/>
        <a:lstStyle/>
        <a:p>
          <a:pPr>
            <a:buNone/>
          </a:pPr>
          <a:r>
            <a:rPr lang="en-GB"/>
            <a:t>Users (Staff / BYOD / Customers)</a:t>
          </a:r>
        </a:p>
      </dgm:t>
    </dgm:pt>
    <dgm:pt modelId="{541C0C16-484D-4AC4-93C6-A0D40F666B67}" type="sibTrans" cxnId="{77EEF5E0-18CF-44D2-8C73-3E1D9B3F7B29}">
      <dgm:prSet/>
      <dgm:spPr/>
      <dgm:t>
        <a:bodyPr/>
        <a:lstStyle/>
        <a:p>
          <a:endParaRPr lang="en-GB"/>
        </a:p>
      </dgm:t>
    </dgm:pt>
    <dgm:pt modelId="{BC46A966-481B-40B4-B33B-A93DB02DEB45}" type="parTrans" cxnId="{77EEF5E0-18CF-44D2-8C73-3E1D9B3F7B29}">
      <dgm:prSet/>
      <dgm:spPr/>
      <dgm:t>
        <a:bodyPr/>
        <a:lstStyle/>
        <a:p>
          <a:endParaRPr lang="en-GB"/>
        </a:p>
      </dgm:t>
    </dgm:pt>
    <dgm:pt modelId="{86F79DA2-936D-4A35-8917-543FCC19C870}" type="pres">
      <dgm:prSet presAssocID="{7BCF41C1-025E-483E-9684-E781DF2B33A0}" presName="linear" presStyleCnt="0">
        <dgm:presLayoutVars>
          <dgm:dir/>
          <dgm:animLvl val="lvl"/>
          <dgm:resizeHandles val="exact"/>
        </dgm:presLayoutVars>
      </dgm:prSet>
      <dgm:spPr/>
    </dgm:pt>
    <dgm:pt modelId="{B4CFB653-ECA7-4300-8F84-1EE254D6A885}" type="pres">
      <dgm:prSet presAssocID="{EE6EFFCD-1410-4613-8CB3-162824977188}" presName="parentLin" presStyleCnt="0"/>
      <dgm:spPr/>
    </dgm:pt>
    <dgm:pt modelId="{8D890DBA-C05B-4CE1-AD3F-059A33FF6E4B}" type="pres">
      <dgm:prSet presAssocID="{EE6EFFCD-1410-4613-8CB3-162824977188}" presName="parentLeftMargin" presStyleLbl="node1" presStyleIdx="0" presStyleCnt="6"/>
      <dgm:spPr/>
    </dgm:pt>
    <dgm:pt modelId="{2364821B-596F-4897-8DCC-F1E3C0FBAE09}" type="pres">
      <dgm:prSet presAssocID="{EE6EFFCD-1410-4613-8CB3-162824977188}" presName="parentText" presStyleLbl="node1" presStyleIdx="0" presStyleCnt="6">
        <dgm:presLayoutVars>
          <dgm:chMax val="0"/>
          <dgm:bulletEnabled val="1"/>
        </dgm:presLayoutVars>
      </dgm:prSet>
      <dgm:spPr/>
    </dgm:pt>
    <dgm:pt modelId="{A92240FD-0555-44B7-998A-8C1AC4A615EC}" type="pres">
      <dgm:prSet presAssocID="{EE6EFFCD-1410-4613-8CB3-162824977188}" presName="negativeSpace" presStyleCnt="0"/>
      <dgm:spPr/>
    </dgm:pt>
    <dgm:pt modelId="{1DD1F4D6-F318-4BAE-AB7D-ED3DBE73C5AE}" type="pres">
      <dgm:prSet presAssocID="{EE6EFFCD-1410-4613-8CB3-162824977188}" presName="childText" presStyleLbl="conFgAcc1" presStyleIdx="0" presStyleCnt="6">
        <dgm:presLayoutVars>
          <dgm:bulletEnabled val="1"/>
        </dgm:presLayoutVars>
      </dgm:prSet>
      <dgm:spPr/>
    </dgm:pt>
    <dgm:pt modelId="{D9F160AD-0E5D-40E0-804A-FB0556806FE5}" type="pres">
      <dgm:prSet presAssocID="{541C0C16-484D-4AC4-93C6-A0D40F666B67}" presName="spaceBetweenRectangles" presStyleCnt="0"/>
      <dgm:spPr/>
    </dgm:pt>
    <dgm:pt modelId="{727D1022-BA66-439A-BFD2-DA5AD7406AAB}" type="pres">
      <dgm:prSet presAssocID="{48B0744C-5EF1-4F1C-9EB8-F8B9D2E556D5}" presName="parentLin" presStyleCnt="0"/>
      <dgm:spPr/>
    </dgm:pt>
    <dgm:pt modelId="{C906ED47-3764-4161-A70F-1727B9C6C7D3}" type="pres">
      <dgm:prSet presAssocID="{48B0744C-5EF1-4F1C-9EB8-F8B9D2E556D5}" presName="parentLeftMargin" presStyleLbl="node1" presStyleIdx="0" presStyleCnt="6"/>
      <dgm:spPr/>
    </dgm:pt>
    <dgm:pt modelId="{BDF744AD-561D-4789-8966-395429035EF7}" type="pres">
      <dgm:prSet presAssocID="{48B0744C-5EF1-4F1C-9EB8-F8B9D2E556D5}" presName="parentText" presStyleLbl="node1" presStyleIdx="1" presStyleCnt="6">
        <dgm:presLayoutVars>
          <dgm:chMax val="0"/>
          <dgm:bulletEnabled val="1"/>
        </dgm:presLayoutVars>
      </dgm:prSet>
      <dgm:spPr/>
    </dgm:pt>
    <dgm:pt modelId="{E5C8B234-DBDD-4A5F-B5ED-58B7A44239CB}" type="pres">
      <dgm:prSet presAssocID="{48B0744C-5EF1-4F1C-9EB8-F8B9D2E556D5}" presName="negativeSpace" presStyleCnt="0"/>
      <dgm:spPr/>
    </dgm:pt>
    <dgm:pt modelId="{DC3ACF2E-E460-46AC-8BE3-2A7DB4F65A1A}" type="pres">
      <dgm:prSet presAssocID="{48B0744C-5EF1-4F1C-9EB8-F8B9D2E556D5}" presName="childText" presStyleLbl="conFgAcc1" presStyleIdx="1" presStyleCnt="6">
        <dgm:presLayoutVars>
          <dgm:bulletEnabled val="1"/>
        </dgm:presLayoutVars>
      </dgm:prSet>
      <dgm:spPr/>
    </dgm:pt>
    <dgm:pt modelId="{B6CD0FAF-8777-47E4-A990-73212ABB0F5C}" type="pres">
      <dgm:prSet presAssocID="{D9B0E944-6CAB-489D-A11C-BDFC02BD8916}" presName="spaceBetweenRectangles" presStyleCnt="0"/>
      <dgm:spPr/>
    </dgm:pt>
    <dgm:pt modelId="{85C5BBFB-E397-448F-B7CB-AA3B1DAD0352}" type="pres">
      <dgm:prSet presAssocID="{74DD932F-1B77-43BA-BECF-3918CDD684B7}" presName="parentLin" presStyleCnt="0"/>
      <dgm:spPr/>
    </dgm:pt>
    <dgm:pt modelId="{B93ABAB4-E602-47A4-9C41-A5A6565718D9}" type="pres">
      <dgm:prSet presAssocID="{74DD932F-1B77-43BA-BECF-3918CDD684B7}" presName="parentLeftMargin" presStyleLbl="node1" presStyleIdx="1" presStyleCnt="6"/>
      <dgm:spPr/>
    </dgm:pt>
    <dgm:pt modelId="{BD82B72B-0635-48D9-8495-C5745A112685}" type="pres">
      <dgm:prSet presAssocID="{74DD932F-1B77-43BA-BECF-3918CDD684B7}" presName="parentText" presStyleLbl="node1" presStyleIdx="2" presStyleCnt="6">
        <dgm:presLayoutVars>
          <dgm:chMax val="0"/>
          <dgm:bulletEnabled val="1"/>
        </dgm:presLayoutVars>
      </dgm:prSet>
      <dgm:spPr/>
    </dgm:pt>
    <dgm:pt modelId="{FF9798A8-E84D-48E7-A021-B98379D6DC9E}" type="pres">
      <dgm:prSet presAssocID="{74DD932F-1B77-43BA-BECF-3918CDD684B7}" presName="negativeSpace" presStyleCnt="0"/>
      <dgm:spPr/>
    </dgm:pt>
    <dgm:pt modelId="{87F40F4E-52AA-444A-A5A0-9121809B4A07}" type="pres">
      <dgm:prSet presAssocID="{74DD932F-1B77-43BA-BECF-3918CDD684B7}" presName="childText" presStyleLbl="conFgAcc1" presStyleIdx="2" presStyleCnt="6">
        <dgm:presLayoutVars>
          <dgm:bulletEnabled val="1"/>
        </dgm:presLayoutVars>
      </dgm:prSet>
      <dgm:spPr/>
    </dgm:pt>
    <dgm:pt modelId="{D954BBD1-7321-43F5-9F26-9F6B87EA594F}" type="pres">
      <dgm:prSet presAssocID="{21CA68CE-16A1-4CFD-9EC0-70721A7D3CBF}" presName="spaceBetweenRectangles" presStyleCnt="0"/>
      <dgm:spPr/>
    </dgm:pt>
    <dgm:pt modelId="{9D98DA31-7D02-46F8-810C-073044885B66}" type="pres">
      <dgm:prSet presAssocID="{5395321B-3B7D-4872-BEE8-CAFB9D3F096A}" presName="parentLin" presStyleCnt="0"/>
      <dgm:spPr/>
    </dgm:pt>
    <dgm:pt modelId="{5EE2D6C5-830E-475E-9C40-F0E15A1F9B35}" type="pres">
      <dgm:prSet presAssocID="{5395321B-3B7D-4872-BEE8-CAFB9D3F096A}" presName="parentLeftMargin" presStyleLbl="node1" presStyleIdx="2" presStyleCnt="6"/>
      <dgm:spPr/>
    </dgm:pt>
    <dgm:pt modelId="{E66C7CE2-D501-499A-B1CB-75F8D2C92336}" type="pres">
      <dgm:prSet presAssocID="{5395321B-3B7D-4872-BEE8-CAFB9D3F096A}" presName="parentText" presStyleLbl="node1" presStyleIdx="3" presStyleCnt="6">
        <dgm:presLayoutVars>
          <dgm:chMax val="0"/>
          <dgm:bulletEnabled val="1"/>
        </dgm:presLayoutVars>
      </dgm:prSet>
      <dgm:spPr/>
    </dgm:pt>
    <dgm:pt modelId="{62F47690-6D1E-4980-B99B-AA8A660637D3}" type="pres">
      <dgm:prSet presAssocID="{5395321B-3B7D-4872-BEE8-CAFB9D3F096A}" presName="negativeSpace" presStyleCnt="0"/>
      <dgm:spPr/>
    </dgm:pt>
    <dgm:pt modelId="{B75AF810-1AF1-417A-9E11-BE7055825CBC}" type="pres">
      <dgm:prSet presAssocID="{5395321B-3B7D-4872-BEE8-CAFB9D3F096A}" presName="childText" presStyleLbl="conFgAcc1" presStyleIdx="3" presStyleCnt="6">
        <dgm:presLayoutVars>
          <dgm:bulletEnabled val="1"/>
        </dgm:presLayoutVars>
      </dgm:prSet>
      <dgm:spPr/>
    </dgm:pt>
    <dgm:pt modelId="{E4CD6686-826D-4EA6-B864-9A4FD9CC5E65}" type="pres">
      <dgm:prSet presAssocID="{0B223108-9072-4BE2-9E8C-B8C427ED3142}" presName="spaceBetweenRectangles" presStyleCnt="0"/>
      <dgm:spPr/>
    </dgm:pt>
    <dgm:pt modelId="{3AE7D6FD-7C87-434A-A256-2DDEC09903F5}" type="pres">
      <dgm:prSet presAssocID="{06BE2030-9E10-4E1B-88F2-FA6331CD19EB}" presName="parentLin" presStyleCnt="0"/>
      <dgm:spPr/>
    </dgm:pt>
    <dgm:pt modelId="{8020CF2A-8C38-475F-8A36-F5BF5D8EC55E}" type="pres">
      <dgm:prSet presAssocID="{06BE2030-9E10-4E1B-88F2-FA6331CD19EB}" presName="parentLeftMargin" presStyleLbl="node1" presStyleIdx="3" presStyleCnt="6"/>
      <dgm:spPr/>
    </dgm:pt>
    <dgm:pt modelId="{831EF937-409E-4655-B0E6-AE7CC03B7582}" type="pres">
      <dgm:prSet presAssocID="{06BE2030-9E10-4E1B-88F2-FA6331CD19EB}" presName="parentText" presStyleLbl="node1" presStyleIdx="4" presStyleCnt="6">
        <dgm:presLayoutVars>
          <dgm:chMax val="0"/>
          <dgm:bulletEnabled val="1"/>
        </dgm:presLayoutVars>
      </dgm:prSet>
      <dgm:spPr/>
    </dgm:pt>
    <dgm:pt modelId="{09A2A7F6-D5D0-4196-B050-251CC45B3857}" type="pres">
      <dgm:prSet presAssocID="{06BE2030-9E10-4E1B-88F2-FA6331CD19EB}" presName="negativeSpace" presStyleCnt="0"/>
      <dgm:spPr/>
    </dgm:pt>
    <dgm:pt modelId="{36495F99-899D-4918-82CE-F33D5AB997E7}" type="pres">
      <dgm:prSet presAssocID="{06BE2030-9E10-4E1B-88F2-FA6331CD19EB}" presName="childText" presStyleLbl="conFgAcc1" presStyleIdx="4" presStyleCnt="6">
        <dgm:presLayoutVars>
          <dgm:bulletEnabled val="1"/>
        </dgm:presLayoutVars>
      </dgm:prSet>
      <dgm:spPr/>
    </dgm:pt>
    <dgm:pt modelId="{291BD156-1D5B-4A38-9F72-7884639E8C7E}" type="pres">
      <dgm:prSet presAssocID="{4DCA2AF5-1D64-4D44-9799-B4858D7D4DC5}" presName="spaceBetweenRectangles" presStyleCnt="0"/>
      <dgm:spPr/>
    </dgm:pt>
    <dgm:pt modelId="{CFEDD3A7-64FB-44B1-BE8C-EC62F4048718}" type="pres">
      <dgm:prSet presAssocID="{C3142CA5-5A78-4943-B977-486D2C538F5F}" presName="parentLin" presStyleCnt="0"/>
      <dgm:spPr/>
    </dgm:pt>
    <dgm:pt modelId="{384CB745-CD48-4088-B3CA-64EC60F37F04}" type="pres">
      <dgm:prSet presAssocID="{C3142CA5-5A78-4943-B977-486D2C538F5F}" presName="parentLeftMargin" presStyleLbl="node1" presStyleIdx="4" presStyleCnt="6"/>
      <dgm:spPr/>
    </dgm:pt>
    <dgm:pt modelId="{295639A9-3D8D-4D03-8B2B-061A9AD9155F}" type="pres">
      <dgm:prSet presAssocID="{C3142CA5-5A78-4943-B977-486D2C538F5F}" presName="parentText" presStyleLbl="node1" presStyleIdx="5" presStyleCnt="6">
        <dgm:presLayoutVars>
          <dgm:chMax val="0"/>
          <dgm:bulletEnabled val="1"/>
        </dgm:presLayoutVars>
      </dgm:prSet>
      <dgm:spPr/>
    </dgm:pt>
    <dgm:pt modelId="{14964A66-8469-4EC2-9A27-48D48A1B74D6}" type="pres">
      <dgm:prSet presAssocID="{C3142CA5-5A78-4943-B977-486D2C538F5F}" presName="negativeSpace" presStyleCnt="0"/>
      <dgm:spPr/>
    </dgm:pt>
    <dgm:pt modelId="{A101A48D-19F6-4960-BD51-AD1B941C3B35}" type="pres">
      <dgm:prSet presAssocID="{C3142CA5-5A78-4943-B977-486D2C538F5F}" presName="childText" presStyleLbl="conFgAcc1" presStyleIdx="5" presStyleCnt="6">
        <dgm:presLayoutVars>
          <dgm:bulletEnabled val="1"/>
        </dgm:presLayoutVars>
      </dgm:prSet>
      <dgm:spPr/>
    </dgm:pt>
  </dgm:ptLst>
  <dgm:cxnLst>
    <dgm:cxn modelId="{E4DBFF1E-27F9-4339-B74D-E6AFDED77592}" type="presOf" srcId="{EE6EFFCD-1410-4613-8CB3-162824977188}" destId="{2364821B-596F-4897-8DCC-F1E3C0FBAE09}" srcOrd="1" destOrd="0" presId="urn:microsoft.com/office/officeart/2005/8/layout/list1"/>
    <dgm:cxn modelId="{219D2629-994A-486A-8978-ABB13B3A4102}" type="presOf" srcId="{48B0744C-5EF1-4F1C-9EB8-F8B9D2E556D5}" destId="{BDF744AD-561D-4789-8966-395429035EF7}" srcOrd="1" destOrd="0" presId="urn:microsoft.com/office/officeart/2005/8/layout/list1"/>
    <dgm:cxn modelId="{607C6634-910D-48BD-9161-974A19C6FEC0}" type="presOf" srcId="{EE6EFFCD-1410-4613-8CB3-162824977188}" destId="{8D890DBA-C05B-4CE1-AD3F-059A33FF6E4B}" srcOrd="0" destOrd="0" presId="urn:microsoft.com/office/officeart/2005/8/layout/list1"/>
    <dgm:cxn modelId="{CF253F3C-77CA-4EDB-8403-DDEBD0A618DF}" type="presOf" srcId="{7BCF41C1-025E-483E-9684-E781DF2B33A0}" destId="{86F79DA2-936D-4A35-8917-543FCC19C870}" srcOrd="0" destOrd="0" presId="urn:microsoft.com/office/officeart/2005/8/layout/list1"/>
    <dgm:cxn modelId="{1435B64B-2472-4389-9C1A-12BAF1C36B9A}" srcId="{7BCF41C1-025E-483E-9684-E781DF2B33A0}" destId="{48B0744C-5EF1-4F1C-9EB8-F8B9D2E556D5}" srcOrd="1" destOrd="0" parTransId="{6D58EA26-29B9-4691-A717-FF22714EE7E9}" sibTransId="{D9B0E944-6CAB-489D-A11C-BDFC02BD8916}"/>
    <dgm:cxn modelId="{B6044B6D-7F70-4EBF-9FED-88519E6160ED}" srcId="{7BCF41C1-025E-483E-9684-E781DF2B33A0}" destId="{74DD932F-1B77-43BA-BECF-3918CDD684B7}" srcOrd="2" destOrd="0" parTransId="{10EF051D-FF13-47DF-928B-8084F9DD3C1C}" sibTransId="{21CA68CE-16A1-4CFD-9EC0-70721A7D3CBF}"/>
    <dgm:cxn modelId="{C0E80A72-E7D3-40A0-B653-0F81ACEF3658}" type="presOf" srcId="{C3142CA5-5A78-4943-B977-486D2C538F5F}" destId="{384CB745-CD48-4088-B3CA-64EC60F37F04}" srcOrd="0" destOrd="0" presId="urn:microsoft.com/office/officeart/2005/8/layout/list1"/>
    <dgm:cxn modelId="{B1A69278-07F5-4E9A-83B9-F8202C015CEE}" srcId="{7BCF41C1-025E-483E-9684-E781DF2B33A0}" destId="{06BE2030-9E10-4E1B-88F2-FA6331CD19EB}" srcOrd="4" destOrd="0" parTransId="{2A65BF3C-0643-47B6-8BB4-593089D5B90F}" sibTransId="{4DCA2AF5-1D64-4D44-9799-B4858D7D4DC5}"/>
    <dgm:cxn modelId="{6A6ED0A1-A603-48EA-AF27-9ED0C180B645}" type="presOf" srcId="{5395321B-3B7D-4872-BEE8-CAFB9D3F096A}" destId="{5EE2D6C5-830E-475E-9C40-F0E15A1F9B35}" srcOrd="0" destOrd="0" presId="urn:microsoft.com/office/officeart/2005/8/layout/list1"/>
    <dgm:cxn modelId="{C87A0DA8-54BF-44B4-86B3-88EB623E6C37}" srcId="{7BCF41C1-025E-483E-9684-E781DF2B33A0}" destId="{C3142CA5-5A78-4943-B977-486D2C538F5F}" srcOrd="5" destOrd="0" parTransId="{A59260E6-5F60-4E10-A947-4F70A1E3C8B4}" sibTransId="{D271EC27-AB02-42AC-98B8-0A1B01B14780}"/>
    <dgm:cxn modelId="{150E2EAA-C074-4147-8A11-EBF024C56233}" type="presOf" srcId="{48B0744C-5EF1-4F1C-9EB8-F8B9D2E556D5}" destId="{C906ED47-3764-4161-A70F-1727B9C6C7D3}" srcOrd="0" destOrd="0" presId="urn:microsoft.com/office/officeart/2005/8/layout/list1"/>
    <dgm:cxn modelId="{765DCBB0-876B-4630-884D-B14BB7FC9842}" type="presOf" srcId="{C3142CA5-5A78-4943-B977-486D2C538F5F}" destId="{295639A9-3D8D-4D03-8B2B-061A9AD9155F}" srcOrd="1" destOrd="0" presId="urn:microsoft.com/office/officeart/2005/8/layout/list1"/>
    <dgm:cxn modelId="{373577C6-5D17-4569-A14D-FBA39970FEC9}" type="presOf" srcId="{74DD932F-1B77-43BA-BECF-3918CDD684B7}" destId="{BD82B72B-0635-48D9-8495-C5745A112685}" srcOrd="1" destOrd="0" presId="urn:microsoft.com/office/officeart/2005/8/layout/list1"/>
    <dgm:cxn modelId="{8ACA25C9-6947-43B3-85AF-865C435FEE23}" type="presOf" srcId="{74DD932F-1B77-43BA-BECF-3918CDD684B7}" destId="{B93ABAB4-E602-47A4-9C41-A5A6565718D9}" srcOrd="0" destOrd="0" presId="urn:microsoft.com/office/officeart/2005/8/layout/list1"/>
    <dgm:cxn modelId="{27649ECB-7100-45EF-AB53-9F2A4BC5F329}" type="presOf" srcId="{06BE2030-9E10-4E1B-88F2-FA6331CD19EB}" destId="{8020CF2A-8C38-475F-8A36-F5BF5D8EC55E}" srcOrd="0" destOrd="0" presId="urn:microsoft.com/office/officeart/2005/8/layout/list1"/>
    <dgm:cxn modelId="{69A9A9CC-66EE-4C03-97F1-AC63F5257A0A}" type="presOf" srcId="{5395321B-3B7D-4872-BEE8-CAFB9D3F096A}" destId="{E66C7CE2-D501-499A-B1CB-75F8D2C92336}" srcOrd="1" destOrd="0" presId="urn:microsoft.com/office/officeart/2005/8/layout/list1"/>
    <dgm:cxn modelId="{77EEF5E0-18CF-44D2-8C73-3E1D9B3F7B29}" srcId="{7BCF41C1-025E-483E-9684-E781DF2B33A0}" destId="{EE6EFFCD-1410-4613-8CB3-162824977188}" srcOrd="0" destOrd="0" parTransId="{BC46A966-481B-40B4-B33B-A93DB02DEB45}" sibTransId="{541C0C16-484D-4AC4-93C6-A0D40F666B67}"/>
    <dgm:cxn modelId="{E0A21CE6-6B8D-4E54-9037-487536DB7687}" srcId="{7BCF41C1-025E-483E-9684-E781DF2B33A0}" destId="{5395321B-3B7D-4872-BEE8-CAFB9D3F096A}" srcOrd="3" destOrd="0" parTransId="{1457F4A2-5F6E-4D1B-9F90-60463EE6EE5E}" sibTransId="{0B223108-9072-4BE2-9E8C-B8C427ED3142}"/>
    <dgm:cxn modelId="{33248AF4-A32C-4224-98E3-B6F46E990519}" type="presOf" srcId="{06BE2030-9E10-4E1B-88F2-FA6331CD19EB}" destId="{831EF937-409E-4655-B0E6-AE7CC03B7582}" srcOrd="1" destOrd="0" presId="urn:microsoft.com/office/officeart/2005/8/layout/list1"/>
    <dgm:cxn modelId="{286CAB77-5DB0-4734-B0D8-E4D4D6DA460D}" type="presParOf" srcId="{86F79DA2-936D-4A35-8917-543FCC19C870}" destId="{B4CFB653-ECA7-4300-8F84-1EE254D6A885}" srcOrd="0" destOrd="0" presId="urn:microsoft.com/office/officeart/2005/8/layout/list1"/>
    <dgm:cxn modelId="{122349B1-A15B-43AB-8AF7-10832AB9E863}" type="presParOf" srcId="{B4CFB653-ECA7-4300-8F84-1EE254D6A885}" destId="{8D890DBA-C05B-4CE1-AD3F-059A33FF6E4B}" srcOrd="0" destOrd="0" presId="urn:microsoft.com/office/officeart/2005/8/layout/list1"/>
    <dgm:cxn modelId="{36B61CD3-5AA6-43AF-B467-64951275B327}" type="presParOf" srcId="{B4CFB653-ECA7-4300-8F84-1EE254D6A885}" destId="{2364821B-596F-4897-8DCC-F1E3C0FBAE09}" srcOrd="1" destOrd="0" presId="urn:microsoft.com/office/officeart/2005/8/layout/list1"/>
    <dgm:cxn modelId="{EAE228BE-8571-48A0-9BAA-780190CED6E3}" type="presParOf" srcId="{86F79DA2-936D-4A35-8917-543FCC19C870}" destId="{A92240FD-0555-44B7-998A-8C1AC4A615EC}" srcOrd="1" destOrd="0" presId="urn:microsoft.com/office/officeart/2005/8/layout/list1"/>
    <dgm:cxn modelId="{6F3A21DA-D734-4950-A19A-4BC6300FDBED}" type="presParOf" srcId="{86F79DA2-936D-4A35-8917-543FCC19C870}" destId="{1DD1F4D6-F318-4BAE-AB7D-ED3DBE73C5AE}" srcOrd="2" destOrd="0" presId="urn:microsoft.com/office/officeart/2005/8/layout/list1"/>
    <dgm:cxn modelId="{17CE8D96-03F7-4731-A1D5-1292A1B00D62}" type="presParOf" srcId="{86F79DA2-936D-4A35-8917-543FCC19C870}" destId="{D9F160AD-0E5D-40E0-804A-FB0556806FE5}" srcOrd="3" destOrd="0" presId="urn:microsoft.com/office/officeart/2005/8/layout/list1"/>
    <dgm:cxn modelId="{88FFF440-7AF3-49C4-9D55-82D5D6A7298A}" type="presParOf" srcId="{86F79DA2-936D-4A35-8917-543FCC19C870}" destId="{727D1022-BA66-439A-BFD2-DA5AD7406AAB}" srcOrd="4" destOrd="0" presId="urn:microsoft.com/office/officeart/2005/8/layout/list1"/>
    <dgm:cxn modelId="{0292CE5B-850D-447B-9968-4869E379E140}" type="presParOf" srcId="{727D1022-BA66-439A-BFD2-DA5AD7406AAB}" destId="{C906ED47-3764-4161-A70F-1727B9C6C7D3}" srcOrd="0" destOrd="0" presId="urn:microsoft.com/office/officeart/2005/8/layout/list1"/>
    <dgm:cxn modelId="{57A80D3B-4B5F-4D79-9EB2-F689381969BF}" type="presParOf" srcId="{727D1022-BA66-439A-BFD2-DA5AD7406AAB}" destId="{BDF744AD-561D-4789-8966-395429035EF7}" srcOrd="1" destOrd="0" presId="urn:microsoft.com/office/officeart/2005/8/layout/list1"/>
    <dgm:cxn modelId="{F8675005-4615-49A6-B7D9-C7DE400A6C13}" type="presParOf" srcId="{86F79DA2-936D-4A35-8917-543FCC19C870}" destId="{E5C8B234-DBDD-4A5F-B5ED-58B7A44239CB}" srcOrd="5" destOrd="0" presId="urn:microsoft.com/office/officeart/2005/8/layout/list1"/>
    <dgm:cxn modelId="{6B951B9E-A86F-4573-9B10-4552C7136C61}" type="presParOf" srcId="{86F79DA2-936D-4A35-8917-543FCC19C870}" destId="{DC3ACF2E-E460-46AC-8BE3-2A7DB4F65A1A}" srcOrd="6" destOrd="0" presId="urn:microsoft.com/office/officeart/2005/8/layout/list1"/>
    <dgm:cxn modelId="{32923775-88B9-4B2E-B9E2-E05E47FF56C4}" type="presParOf" srcId="{86F79DA2-936D-4A35-8917-543FCC19C870}" destId="{B6CD0FAF-8777-47E4-A990-73212ABB0F5C}" srcOrd="7" destOrd="0" presId="urn:microsoft.com/office/officeart/2005/8/layout/list1"/>
    <dgm:cxn modelId="{A6591BD7-9BD5-436D-A584-7DA124BCD26E}" type="presParOf" srcId="{86F79DA2-936D-4A35-8917-543FCC19C870}" destId="{85C5BBFB-E397-448F-B7CB-AA3B1DAD0352}" srcOrd="8" destOrd="0" presId="urn:microsoft.com/office/officeart/2005/8/layout/list1"/>
    <dgm:cxn modelId="{FB68C776-434C-44EC-B105-37A1657B6399}" type="presParOf" srcId="{85C5BBFB-E397-448F-B7CB-AA3B1DAD0352}" destId="{B93ABAB4-E602-47A4-9C41-A5A6565718D9}" srcOrd="0" destOrd="0" presId="urn:microsoft.com/office/officeart/2005/8/layout/list1"/>
    <dgm:cxn modelId="{3B195D0B-7853-4D34-AA89-84447A5982E0}" type="presParOf" srcId="{85C5BBFB-E397-448F-B7CB-AA3B1DAD0352}" destId="{BD82B72B-0635-48D9-8495-C5745A112685}" srcOrd="1" destOrd="0" presId="urn:microsoft.com/office/officeart/2005/8/layout/list1"/>
    <dgm:cxn modelId="{913A1E68-E7D6-417E-A73B-31CC85E98F06}" type="presParOf" srcId="{86F79DA2-936D-4A35-8917-543FCC19C870}" destId="{FF9798A8-E84D-48E7-A021-B98379D6DC9E}" srcOrd="9" destOrd="0" presId="urn:microsoft.com/office/officeart/2005/8/layout/list1"/>
    <dgm:cxn modelId="{870CA924-C4AA-4EC6-9CAA-8BD14BB1032E}" type="presParOf" srcId="{86F79DA2-936D-4A35-8917-543FCC19C870}" destId="{87F40F4E-52AA-444A-A5A0-9121809B4A07}" srcOrd="10" destOrd="0" presId="urn:microsoft.com/office/officeart/2005/8/layout/list1"/>
    <dgm:cxn modelId="{B75738E8-C214-4F84-AECC-066FA5282DC3}" type="presParOf" srcId="{86F79DA2-936D-4A35-8917-543FCC19C870}" destId="{D954BBD1-7321-43F5-9F26-9F6B87EA594F}" srcOrd="11" destOrd="0" presId="urn:microsoft.com/office/officeart/2005/8/layout/list1"/>
    <dgm:cxn modelId="{BEC70831-6841-4086-9760-1816E59F2EC9}" type="presParOf" srcId="{86F79DA2-936D-4A35-8917-543FCC19C870}" destId="{9D98DA31-7D02-46F8-810C-073044885B66}" srcOrd="12" destOrd="0" presId="urn:microsoft.com/office/officeart/2005/8/layout/list1"/>
    <dgm:cxn modelId="{30AA2BFB-CFC3-48FD-B01A-925299A961A3}" type="presParOf" srcId="{9D98DA31-7D02-46F8-810C-073044885B66}" destId="{5EE2D6C5-830E-475E-9C40-F0E15A1F9B35}" srcOrd="0" destOrd="0" presId="urn:microsoft.com/office/officeart/2005/8/layout/list1"/>
    <dgm:cxn modelId="{6DCB02D3-457A-4F37-A75E-193191FD1413}" type="presParOf" srcId="{9D98DA31-7D02-46F8-810C-073044885B66}" destId="{E66C7CE2-D501-499A-B1CB-75F8D2C92336}" srcOrd="1" destOrd="0" presId="urn:microsoft.com/office/officeart/2005/8/layout/list1"/>
    <dgm:cxn modelId="{08C099D2-0536-40A8-A162-85F950CD7C47}" type="presParOf" srcId="{86F79DA2-936D-4A35-8917-543FCC19C870}" destId="{62F47690-6D1E-4980-B99B-AA8A660637D3}" srcOrd="13" destOrd="0" presId="urn:microsoft.com/office/officeart/2005/8/layout/list1"/>
    <dgm:cxn modelId="{8B3C0FBB-602C-4A6F-B066-2A42759D8F79}" type="presParOf" srcId="{86F79DA2-936D-4A35-8917-543FCC19C870}" destId="{B75AF810-1AF1-417A-9E11-BE7055825CBC}" srcOrd="14" destOrd="0" presId="urn:microsoft.com/office/officeart/2005/8/layout/list1"/>
    <dgm:cxn modelId="{B3A6FF29-7F70-4E33-95A8-DA5BEE030385}" type="presParOf" srcId="{86F79DA2-936D-4A35-8917-543FCC19C870}" destId="{E4CD6686-826D-4EA6-B864-9A4FD9CC5E65}" srcOrd="15" destOrd="0" presId="urn:microsoft.com/office/officeart/2005/8/layout/list1"/>
    <dgm:cxn modelId="{4C4A65A1-552D-4484-9900-00C201D254FE}" type="presParOf" srcId="{86F79DA2-936D-4A35-8917-543FCC19C870}" destId="{3AE7D6FD-7C87-434A-A256-2DDEC09903F5}" srcOrd="16" destOrd="0" presId="urn:microsoft.com/office/officeart/2005/8/layout/list1"/>
    <dgm:cxn modelId="{228D544D-3EBB-4BAC-83B2-05BF428A2B88}" type="presParOf" srcId="{3AE7D6FD-7C87-434A-A256-2DDEC09903F5}" destId="{8020CF2A-8C38-475F-8A36-F5BF5D8EC55E}" srcOrd="0" destOrd="0" presId="urn:microsoft.com/office/officeart/2005/8/layout/list1"/>
    <dgm:cxn modelId="{DFFD9E97-C98D-4851-B9E5-A4809D129D34}" type="presParOf" srcId="{3AE7D6FD-7C87-434A-A256-2DDEC09903F5}" destId="{831EF937-409E-4655-B0E6-AE7CC03B7582}" srcOrd="1" destOrd="0" presId="urn:microsoft.com/office/officeart/2005/8/layout/list1"/>
    <dgm:cxn modelId="{C64F3FCA-37E3-4B15-8C24-348F5F3A56A3}" type="presParOf" srcId="{86F79DA2-936D-4A35-8917-543FCC19C870}" destId="{09A2A7F6-D5D0-4196-B050-251CC45B3857}" srcOrd="17" destOrd="0" presId="urn:microsoft.com/office/officeart/2005/8/layout/list1"/>
    <dgm:cxn modelId="{BF9FC2CD-9DDF-4379-9507-976D2AE24882}" type="presParOf" srcId="{86F79DA2-936D-4A35-8917-543FCC19C870}" destId="{36495F99-899D-4918-82CE-F33D5AB997E7}" srcOrd="18" destOrd="0" presId="urn:microsoft.com/office/officeart/2005/8/layout/list1"/>
    <dgm:cxn modelId="{93CE1E8D-CCC9-4912-8F90-06C23BB8836C}" type="presParOf" srcId="{86F79DA2-936D-4A35-8917-543FCC19C870}" destId="{291BD156-1D5B-4A38-9F72-7884639E8C7E}" srcOrd="19" destOrd="0" presId="urn:microsoft.com/office/officeart/2005/8/layout/list1"/>
    <dgm:cxn modelId="{50DAC3CE-5984-48E0-B921-8B74C0786275}" type="presParOf" srcId="{86F79DA2-936D-4A35-8917-543FCC19C870}" destId="{CFEDD3A7-64FB-44B1-BE8C-EC62F4048718}" srcOrd="20" destOrd="0" presId="urn:microsoft.com/office/officeart/2005/8/layout/list1"/>
    <dgm:cxn modelId="{234401E6-4D75-4990-B476-A8FEE5BBE682}" type="presParOf" srcId="{CFEDD3A7-64FB-44B1-BE8C-EC62F4048718}" destId="{384CB745-CD48-4088-B3CA-64EC60F37F04}" srcOrd="0" destOrd="0" presId="urn:microsoft.com/office/officeart/2005/8/layout/list1"/>
    <dgm:cxn modelId="{CC7B1654-8FBF-4C76-89F0-28F49450F2E2}" type="presParOf" srcId="{CFEDD3A7-64FB-44B1-BE8C-EC62F4048718}" destId="{295639A9-3D8D-4D03-8B2B-061A9AD9155F}" srcOrd="1" destOrd="0" presId="urn:microsoft.com/office/officeart/2005/8/layout/list1"/>
    <dgm:cxn modelId="{ED377F57-03F1-40AE-A052-62ADF702A041}" type="presParOf" srcId="{86F79DA2-936D-4A35-8917-543FCC19C870}" destId="{14964A66-8469-4EC2-9A27-48D48A1B74D6}" srcOrd="21" destOrd="0" presId="urn:microsoft.com/office/officeart/2005/8/layout/list1"/>
    <dgm:cxn modelId="{6F0935DE-805E-4CA8-889D-C2FC544CE4DD}" type="presParOf" srcId="{86F79DA2-936D-4A35-8917-543FCC19C870}" destId="{A101A48D-19F6-4960-BD51-AD1B941C3B35}" srcOrd="22" destOrd="0" presId="urn:microsoft.com/office/officeart/2005/8/layout/lis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E9A586-D244-40A8-952F-3A95EFF638C1}">
      <dsp:nvSpPr>
        <dsp:cNvPr id="0" name=""/>
        <dsp:cNvSpPr/>
      </dsp:nvSpPr>
      <dsp:spPr>
        <a:xfrm>
          <a:off x="2778759" y="2116982"/>
          <a:ext cx="2000880" cy="231506"/>
        </a:xfrm>
        <a:custGeom>
          <a:avLst/>
          <a:gdLst/>
          <a:ahLst/>
          <a:cxnLst/>
          <a:rect l="0" t="0" r="0" b="0"/>
          <a:pathLst>
            <a:path>
              <a:moveTo>
                <a:pt x="0" y="0"/>
              </a:moveTo>
              <a:lnTo>
                <a:pt x="0" y="115753"/>
              </a:lnTo>
              <a:lnTo>
                <a:pt x="2000880" y="115753"/>
              </a:lnTo>
              <a:lnTo>
                <a:pt x="2000880" y="231506"/>
              </a:lnTo>
            </a:path>
          </a:pathLst>
        </a:custGeom>
        <a:noFill/>
        <a:ln w="1905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0FB798-F387-4FD8-B68A-4ADD11E06AB2}">
      <dsp:nvSpPr>
        <dsp:cNvPr id="0" name=""/>
        <dsp:cNvSpPr/>
      </dsp:nvSpPr>
      <dsp:spPr>
        <a:xfrm>
          <a:off x="2778759" y="2116982"/>
          <a:ext cx="666960" cy="231506"/>
        </a:xfrm>
        <a:custGeom>
          <a:avLst/>
          <a:gdLst/>
          <a:ahLst/>
          <a:cxnLst/>
          <a:rect l="0" t="0" r="0" b="0"/>
          <a:pathLst>
            <a:path>
              <a:moveTo>
                <a:pt x="0" y="0"/>
              </a:moveTo>
              <a:lnTo>
                <a:pt x="0" y="115753"/>
              </a:lnTo>
              <a:lnTo>
                <a:pt x="666960" y="115753"/>
              </a:lnTo>
              <a:lnTo>
                <a:pt x="666960" y="231506"/>
              </a:lnTo>
            </a:path>
          </a:pathLst>
        </a:custGeom>
        <a:noFill/>
        <a:ln w="1905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958C05-B9FC-4F53-9D7B-C210C69AD698}">
      <dsp:nvSpPr>
        <dsp:cNvPr id="0" name=""/>
        <dsp:cNvSpPr/>
      </dsp:nvSpPr>
      <dsp:spPr>
        <a:xfrm>
          <a:off x="2111799" y="2116982"/>
          <a:ext cx="666960" cy="231506"/>
        </a:xfrm>
        <a:custGeom>
          <a:avLst/>
          <a:gdLst/>
          <a:ahLst/>
          <a:cxnLst/>
          <a:rect l="0" t="0" r="0" b="0"/>
          <a:pathLst>
            <a:path>
              <a:moveTo>
                <a:pt x="666960" y="0"/>
              </a:moveTo>
              <a:lnTo>
                <a:pt x="666960" y="115753"/>
              </a:lnTo>
              <a:lnTo>
                <a:pt x="0" y="115753"/>
              </a:lnTo>
              <a:lnTo>
                <a:pt x="0" y="231506"/>
              </a:lnTo>
            </a:path>
          </a:pathLst>
        </a:custGeom>
        <a:noFill/>
        <a:ln w="1905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8A58F5-983C-4568-BBA9-8434C20B5249}">
      <dsp:nvSpPr>
        <dsp:cNvPr id="0" name=""/>
        <dsp:cNvSpPr/>
      </dsp:nvSpPr>
      <dsp:spPr>
        <a:xfrm>
          <a:off x="777879" y="2116982"/>
          <a:ext cx="2000880" cy="231506"/>
        </a:xfrm>
        <a:custGeom>
          <a:avLst/>
          <a:gdLst/>
          <a:ahLst/>
          <a:cxnLst/>
          <a:rect l="0" t="0" r="0" b="0"/>
          <a:pathLst>
            <a:path>
              <a:moveTo>
                <a:pt x="2000880" y="0"/>
              </a:moveTo>
              <a:lnTo>
                <a:pt x="2000880" y="115753"/>
              </a:lnTo>
              <a:lnTo>
                <a:pt x="0" y="115753"/>
              </a:lnTo>
              <a:lnTo>
                <a:pt x="0" y="231506"/>
              </a:lnTo>
            </a:path>
          </a:pathLst>
        </a:custGeom>
        <a:noFill/>
        <a:ln w="1905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1977A1-BD71-4FA1-BB9E-9E879E05C8DA}">
      <dsp:nvSpPr>
        <dsp:cNvPr id="0" name=""/>
        <dsp:cNvSpPr/>
      </dsp:nvSpPr>
      <dsp:spPr>
        <a:xfrm>
          <a:off x="2733039" y="1334269"/>
          <a:ext cx="91440" cy="231506"/>
        </a:xfrm>
        <a:custGeom>
          <a:avLst/>
          <a:gdLst/>
          <a:ahLst/>
          <a:cxnLst/>
          <a:rect l="0" t="0" r="0" b="0"/>
          <a:pathLst>
            <a:path>
              <a:moveTo>
                <a:pt x="45720" y="0"/>
              </a:moveTo>
              <a:lnTo>
                <a:pt x="45720" y="231506"/>
              </a:lnTo>
            </a:path>
          </a:pathLst>
        </a:custGeom>
        <a:noFill/>
        <a:ln w="1905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83E70B-9485-493B-94BE-EB7DAA36D142}">
      <dsp:nvSpPr>
        <dsp:cNvPr id="0" name=""/>
        <dsp:cNvSpPr/>
      </dsp:nvSpPr>
      <dsp:spPr>
        <a:xfrm>
          <a:off x="2733039" y="551555"/>
          <a:ext cx="91440" cy="231506"/>
        </a:xfrm>
        <a:custGeom>
          <a:avLst/>
          <a:gdLst/>
          <a:ahLst/>
          <a:cxnLst/>
          <a:rect l="0" t="0" r="0" b="0"/>
          <a:pathLst>
            <a:path>
              <a:moveTo>
                <a:pt x="45720" y="0"/>
              </a:moveTo>
              <a:lnTo>
                <a:pt x="45720" y="231506"/>
              </a:lnTo>
            </a:path>
          </a:pathLst>
        </a:custGeom>
        <a:noFill/>
        <a:ln w="1905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DCBAD4-BA97-44C4-8F69-DFBEF0ED762E}">
      <dsp:nvSpPr>
        <dsp:cNvPr id="0" name=""/>
        <dsp:cNvSpPr/>
      </dsp:nvSpPr>
      <dsp:spPr>
        <a:xfrm>
          <a:off x="2227553" y="348"/>
          <a:ext cx="1102413" cy="551206"/>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Board of Directors</a:t>
          </a:r>
        </a:p>
      </dsp:txBody>
      <dsp:txXfrm>
        <a:off x="2227553" y="348"/>
        <a:ext cx="1102413" cy="551206"/>
      </dsp:txXfrm>
    </dsp:sp>
    <dsp:sp modelId="{DB8668EA-3432-466D-9953-E8F6F2FF38A4}">
      <dsp:nvSpPr>
        <dsp:cNvPr id="0" name=""/>
        <dsp:cNvSpPr/>
      </dsp:nvSpPr>
      <dsp:spPr>
        <a:xfrm>
          <a:off x="2227553" y="783062"/>
          <a:ext cx="1102413" cy="551206"/>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Information Security Committee</a:t>
          </a:r>
        </a:p>
      </dsp:txBody>
      <dsp:txXfrm>
        <a:off x="2227553" y="783062"/>
        <a:ext cx="1102413" cy="551206"/>
      </dsp:txXfrm>
    </dsp:sp>
    <dsp:sp modelId="{7A005EB3-9683-4878-B7F9-5C64454D8CDD}">
      <dsp:nvSpPr>
        <dsp:cNvPr id="0" name=""/>
        <dsp:cNvSpPr/>
      </dsp:nvSpPr>
      <dsp:spPr>
        <a:xfrm>
          <a:off x="2227553" y="1565775"/>
          <a:ext cx="1102413" cy="551206"/>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Chief Information Security Officer (CISO)</a:t>
          </a:r>
        </a:p>
      </dsp:txBody>
      <dsp:txXfrm>
        <a:off x="2227553" y="1565775"/>
        <a:ext cx="1102413" cy="551206"/>
      </dsp:txXfrm>
    </dsp:sp>
    <dsp:sp modelId="{A8817527-BE2F-496A-9CE9-283C957D8ECB}">
      <dsp:nvSpPr>
        <dsp:cNvPr id="0" name=""/>
        <dsp:cNvSpPr/>
      </dsp:nvSpPr>
      <dsp:spPr>
        <a:xfrm>
          <a:off x="226673" y="2348489"/>
          <a:ext cx="1102413" cy="55120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risk managment team</a:t>
          </a:r>
        </a:p>
      </dsp:txBody>
      <dsp:txXfrm>
        <a:off x="226673" y="2348489"/>
        <a:ext cx="1102413" cy="551206"/>
      </dsp:txXfrm>
    </dsp:sp>
    <dsp:sp modelId="{CC5101C4-A6AC-4839-A760-C0475695D600}">
      <dsp:nvSpPr>
        <dsp:cNvPr id="0" name=""/>
        <dsp:cNvSpPr/>
      </dsp:nvSpPr>
      <dsp:spPr>
        <a:xfrm>
          <a:off x="1560593" y="2348489"/>
          <a:ext cx="1102413" cy="55120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security operations (SOC , IR)</a:t>
          </a:r>
        </a:p>
      </dsp:txBody>
      <dsp:txXfrm>
        <a:off x="1560593" y="2348489"/>
        <a:ext cx="1102413" cy="551206"/>
      </dsp:txXfrm>
    </dsp:sp>
    <dsp:sp modelId="{A5B7750B-4D92-4E92-98A2-86C2B59B159E}">
      <dsp:nvSpPr>
        <dsp:cNvPr id="0" name=""/>
        <dsp:cNvSpPr/>
      </dsp:nvSpPr>
      <dsp:spPr>
        <a:xfrm>
          <a:off x="2894513" y="2348489"/>
          <a:ext cx="1102413" cy="55120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compliance and legal</a:t>
          </a:r>
        </a:p>
      </dsp:txBody>
      <dsp:txXfrm>
        <a:off x="2894513" y="2348489"/>
        <a:ext cx="1102413" cy="551206"/>
      </dsp:txXfrm>
    </dsp:sp>
    <dsp:sp modelId="{542238E7-65FF-4091-873C-6C4F9E97EA94}">
      <dsp:nvSpPr>
        <dsp:cNvPr id="0" name=""/>
        <dsp:cNvSpPr/>
      </dsp:nvSpPr>
      <dsp:spPr>
        <a:xfrm>
          <a:off x="4228433" y="2348489"/>
          <a:ext cx="1102413" cy="55120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IT operations and infrastructure </a:t>
          </a:r>
        </a:p>
      </dsp:txBody>
      <dsp:txXfrm>
        <a:off x="4228433" y="2348489"/>
        <a:ext cx="1102413" cy="5512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1FA7AF-E136-4A15-B1C9-46B364AA2B26}">
      <dsp:nvSpPr>
        <dsp:cNvPr id="0" name=""/>
        <dsp:cNvSpPr/>
      </dsp:nvSpPr>
      <dsp:spPr>
        <a:xfrm>
          <a:off x="1191988" y="0"/>
          <a:ext cx="1197423" cy="971102"/>
        </a:xfrm>
        <a:prstGeom prst="trapezoid">
          <a:avLst>
            <a:gd name="adj" fmla="val 61653"/>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Enterprise Information Security Policy (EISP)</a:t>
          </a:r>
        </a:p>
      </dsp:txBody>
      <dsp:txXfrm>
        <a:off x="1191988" y="0"/>
        <a:ext cx="1197423" cy="971102"/>
      </dsp:txXfrm>
    </dsp:sp>
    <dsp:sp modelId="{83106CD9-EB8E-4ACB-8B9F-FF723232DD6A}">
      <dsp:nvSpPr>
        <dsp:cNvPr id="0" name=""/>
        <dsp:cNvSpPr/>
      </dsp:nvSpPr>
      <dsp:spPr>
        <a:xfrm>
          <a:off x="794658" y="971102"/>
          <a:ext cx="1992082" cy="644462"/>
        </a:xfrm>
        <a:prstGeom prst="trapezoid">
          <a:avLst>
            <a:gd name="adj" fmla="val 61653"/>
          </a:avLst>
        </a:prstGeom>
        <a:gradFill rotWithShape="0">
          <a:gsLst>
            <a:gs pos="0">
              <a:schemeClr val="accent5">
                <a:hueOff val="-4050717"/>
                <a:satOff val="-275"/>
                <a:lumOff val="654"/>
                <a:alphaOff val="0"/>
                <a:lumMod val="110000"/>
                <a:satMod val="105000"/>
                <a:tint val="67000"/>
              </a:schemeClr>
            </a:gs>
            <a:gs pos="50000">
              <a:schemeClr val="accent5">
                <a:hueOff val="-4050717"/>
                <a:satOff val="-275"/>
                <a:lumOff val="654"/>
                <a:alphaOff val="0"/>
                <a:lumMod val="105000"/>
                <a:satMod val="103000"/>
                <a:tint val="73000"/>
              </a:schemeClr>
            </a:gs>
            <a:gs pos="100000">
              <a:schemeClr val="accent5">
                <a:hueOff val="-4050717"/>
                <a:satOff val="-275"/>
                <a:lumOff val="65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Security Standards</a:t>
          </a:r>
        </a:p>
      </dsp:txBody>
      <dsp:txXfrm>
        <a:off x="1143273" y="971102"/>
        <a:ext cx="1294853" cy="644462"/>
      </dsp:txXfrm>
    </dsp:sp>
    <dsp:sp modelId="{E7ACE398-7BAA-4CF0-9B83-5DAC4C9EBFC6}">
      <dsp:nvSpPr>
        <dsp:cNvPr id="0" name=""/>
        <dsp:cNvSpPr/>
      </dsp:nvSpPr>
      <dsp:spPr>
        <a:xfrm>
          <a:off x="397329" y="1615564"/>
          <a:ext cx="2786741" cy="644462"/>
        </a:xfrm>
        <a:prstGeom prst="trapezoid">
          <a:avLst>
            <a:gd name="adj" fmla="val 61653"/>
          </a:avLst>
        </a:prstGeom>
        <a:gradFill rotWithShape="0">
          <a:gsLst>
            <a:gs pos="0">
              <a:schemeClr val="accent5">
                <a:hueOff val="-8101434"/>
                <a:satOff val="-551"/>
                <a:lumOff val="1307"/>
                <a:alphaOff val="0"/>
                <a:lumMod val="110000"/>
                <a:satMod val="105000"/>
                <a:tint val="67000"/>
              </a:schemeClr>
            </a:gs>
            <a:gs pos="50000">
              <a:schemeClr val="accent5">
                <a:hueOff val="-8101434"/>
                <a:satOff val="-551"/>
                <a:lumOff val="1307"/>
                <a:alphaOff val="0"/>
                <a:lumMod val="105000"/>
                <a:satMod val="103000"/>
                <a:tint val="73000"/>
              </a:schemeClr>
            </a:gs>
            <a:gs pos="100000">
              <a:schemeClr val="accent5">
                <a:hueOff val="-8101434"/>
                <a:satOff val="-551"/>
                <a:lumOff val="13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Security Procedures</a:t>
          </a:r>
        </a:p>
      </dsp:txBody>
      <dsp:txXfrm>
        <a:off x="885009" y="1615564"/>
        <a:ext cx="1811381" cy="644462"/>
      </dsp:txXfrm>
    </dsp:sp>
    <dsp:sp modelId="{503493EC-18BE-4460-8B67-4F174325D6CE}">
      <dsp:nvSpPr>
        <dsp:cNvPr id="0" name=""/>
        <dsp:cNvSpPr/>
      </dsp:nvSpPr>
      <dsp:spPr>
        <a:xfrm>
          <a:off x="0" y="2260027"/>
          <a:ext cx="3581400" cy="644462"/>
        </a:xfrm>
        <a:prstGeom prst="trapezoid">
          <a:avLst>
            <a:gd name="adj" fmla="val 61653"/>
          </a:avLst>
        </a:prstGeom>
        <a:gradFill rotWithShape="0">
          <a:gsLst>
            <a:gs pos="0">
              <a:schemeClr val="accent5">
                <a:hueOff val="-12152150"/>
                <a:satOff val="-826"/>
                <a:lumOff val="1961"/>
                <a:alphaOff val="0"/>
                <a:lumMod val="110000"/>
                <a:satMod val="105000"/>
                <a:tint val="67000"/>
              </a:schemeClr>
            </a:gs>
            <a:gs pos="50000">
              <a:schemeClr val="accent5">
                <a:hueOff val="-12152150"/>
                <a:satOff val="-826"/>
                <a:lumOff val="1961"/>
                <a:alphaOff val="0"/>
                <a:lumMod val="105000"/>
                <a:satMod val="103000"/>
                <a:tint val="73000"/>
              </a:schemeClr>
            </a:gs>
            <a:gs pos="100000">
              <a:schemeClr val="accent5">
                <a:hueOff val="-12152150"/>
                <a:satOff val="-826"/>
                <a:lumOff val="196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Guidelines and Work Instructions</a:t>
          </a:r>
        </a:p>
      </dsp:txBody>
      <dsp:txXfrm>
        <a:off x="626744" y="2260027"/>
        <a:ext cx="2327910" cy="64446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D1F4D6-F318-4BAE-AB7D-ED3DBE73C5AE}">
      <dsp:nvSpPr>
        <dsp:cNvPr id="0" name=""/>
        <dsp:cNvSpPr/>
      </dsp:nvSpPr>
      <dsp:spPr>
        <a:xfrm>
          <a:off x="0" y="532619"/>
          <a:ext cx="5486400" cy="2268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2364821B-596F-4897-8DCC-F1E3C0FBAE09}">
      <dsp:nvSpPr>
        <dsp:cNvPr id="0" name=""/>
        <dsp:cNvSpPr/>
      </dsp:nvSpPr>
      <dsp:spPr>
        <a:xfrm>
          <a:off x="274320" y="399779"/>
          <a:ext cx="3840480" cy="265680"/>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Users (Staff / BYOD / Customers)</a:t>
          </a:r>
        </a:p>
      </dsp:txBody>
      <dsp:txXfrm>
        <a:off x="287289" y="412748"/>
        <a:ext cx="3814542" cy="239742"/>
      </dsp:txXfrm>
    </dsp:sp>
    <dsp:sp modelId="{DC3ACF2E-E460-46AC-8BE3-2A7DB4F65A1A}">
      <dsp:nvSpPr>
        <dsp:cNvPr id="0" name=""/>
        <dsp:cNvSpPr/>
      </dsp:nvSpPr>
      <dsp:spPr>
        <a:xfrm>
          <a:off x="0" y="940860"/>
          <a:ext cx="5486400" cy="226800"/>
        </a:xfrm>
        <a:prstGeom prst="rect">
          <a:avLst/>
        </a:prstGeom>
        <a:solidFill>
          <a:schemeClr val="lt1">
            <a:alpha val="90000"/>
            <a:hueOff val="0"/>
            <a:satOff val="0"/>
            <a:lumOff val="0"/>
            <a:alphaOff val="0"/>
          </a:schemeClr>
        </a:solidFill>
        <a:ln w="12700" cap="flat" cmpd="sng" algn="ctr">
          <a:solidFill>
            <a:schemeClr val="accent4">
              <a:hueOff val="1319987"/>
              <a:satOff val="-5840"/>
              <a:lumOff val="-981"/>
              <a:alphaOff val="0"/>
            </a:schemeClr>
          </a:solidFill>
          <a:prstDash val="solid"/>
          <a:miter lim="800000"/>
        </a:ln>
        <a:effectLst/>
      </dsp:spPr>
      <dsp:style>
        <a:lnRef idx="1">
          <a:scrgbClr r="0" g="0" b="0"/>
        </a:lnRef>
        <a:fillRef idx="1">
          <a:scrgbClr r="0" g="0" b="0"/>
        </a:fillRef>
        <a:effectRef idx="0">
          <a:scrgbClr r="0" g="0" b="0"/>
        </a:effectRef>
        <a:fontRef idx="minor"/>
      </dsp:style>
    </dsp:sp>
    <dsp:sp modelId="{BDF744AD-561D-4789-8966-395429035EF7}">
      <dsp:nvSpPr>
        <dsp:cNvPr id="0" name=""/>
        <dsp:cNvSpPr/>
      </dsp:nvSpPr>
      <dsp:spPr>
        <a:xfrm>
          <a:off x="274320" y="808020"/>
          <a:ext cx="3840480" cy="265680"/>
        </a:xfrm>
        <a:prstGeom prst="roundRect">
          <a:avLst/>
        </a:prstGeom>
        <a:gradFill rotWithShape="0">
          <a:gsLst>
            <a:gs pos="0">
              <a:schemeClr val="accent4">
                <a:hueOff val="1319987"/>
                <a:satOff val="-5840"/>
                <a:lumOff val="-981"/>
                <a:alphaOff val="0"/>
                <a:lumMod val="110000"/>
                <a:satMod val="105000"/>
                <a:tint val="67000"/>
              </a:schemeClr>
            </a:gs>
            <a:gs pos="50000">
              <a:schemeClr val="accent4">
                <a:hueOff val="1319987"/>
                <a:satOff val="-5840"/>
                <a:lumOff val="-981"/>
                <a:alphaOff val="0"/>
                <a:lumMod val="105000"/>
                <a:satMod val="103000"/>
                <a:tint val="73000"/>
              </a:schemeClr>
            </a:gs>
            <a:gs pos="100000">
              <a:schemeClr val="accent4">
                <a:hueOff val="1319987"/>
                <a:satOff val="-5840"/>
                <a:lumOff val="-98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Internet</a:t>
          </a:r>
        </a:p>
      </dsp:txBody>
      <dsp:txXfrm>
        <a:off x="287289" y="820989"/>
        <a:ext cx="3814542" cy="239742"/>
      </dsp:txXfrm>
    </dsp:sp>
    <dsp:sp modelId="{87F40F4E-52AA-444A-A5A0-9121809B4A07}">
      <dsp:nvSpPr>
        <dsp:cNvPr id="0" name=""/>
        <dsp:cNvSpPr/>
      </dsp:nvSpPr>
      <dsp:spPr>
        <a:xfrm>
          <a:off x="0" y="1349099"/>
          <a:ext cx="5486400" cy="226800"/>
        </a:xfrm>
        <a:prstGeom prst="rect">
          <a:avLst/>
        </a:prstGeom>
        <a:solidFill>
          <a:schemeClr val="lt1">
            <a:alpha val="90000"/>
            <a:hueOff val="0"/>
            <a:satOff val="0"/>
            <a:lumOff val="0"/>
            <a:alphaOff val="0"/>
          </a:schemeClr>
        </a:solidFill>
        <a:ln w="12700" cap="flat" cmpd="sng" algn="ctr">
          <a:solidFill>
            <a:schemeClr val="accent4">
              <a:hueOff val="2639975"/>
              <a:satOff val="-11681"/>
              <a:lumOff val="-1961"/>
              <a:alphaOff val="0"/>
            </a:schemeClr>
          </a:solidFill>
          <a:prstDash val="solid"/>
          <a:miter lim="800000"/>
        </a:ln>
        <a:effectLst/>
      </dsp:spPr>
      <dsp:style>
        <a:lnRef idx="1">
          <a:scrgbClr r="0" g="0" b="0"/>
        </a:lnRef>
        <a:fillRef idx="1">
          <a:scrgbClr r="0" g="0" b="0"/>
        </a:fillRef>
        <a:effectRef idx="0">
          <a:scrgbClr r="0" g="0" b="0"/>
        </a:effectRef>
        <a:fontRef idx="minor"/>
      </dsp:style>
    </dsp:sp>
    <dsp:sp modelId="{BD82B72B-0635-48D9-8495-C5745A112685}">
      <dsp:nvSpPr>
        <dsp:cNvPr id="0" name=""/>
        <dsp:cNvSpPr/>
      </dsp:nvSpPr>
      <dsp:spPr>
        <a:xfrm>
          <a:off x="274320" y="1216259"/>
          <a:ext cx="3840480" cy="265680"/>
        </a:xfrm>
        <a:prstGeom prst="roundRect">
          <a:avLst/>
        </a:prstGeom>
        <a:gradFill rotWithShape="0">
          <a:gsLst>
            <a:gs pos="0">
              <a:schemeClr val="accent4">
                <a:hueOff val="2639975"/>
                <a:satOff val="-11681"/>
                <a:lumOff val="-1961"/>
                <a:alphaOff val="0"/>
                <a:lumMod val="110000"/>
                <a:satMod val="105000"/>
                <a:tint val="67000"/>
              </a:schemeClr>
            </a:gs>
            <a:gs pos="50000">
              <a:schemeClr val="accent4">
                <a:hueOff val="2639975"/>
                <a:satOff val="-11681"/>
                <a:lumOff val="-1961"/>
                <a:alphaOff val="0"/>
                <a:lumMod val="105000"/>
                <a:satMod val="103000"/>
                <a:tint val="73000"/>
              </a:schemeClr>
            </a:gs>
            <a:gs pos="100000">
              <a:schemeClr val="accent4">
                <a:hueOff val="2639975"/>
                <a:satOff val="-11681"/>
                <a:lumOff val="-196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Firewall + WAF</a:t>
          </a:r>
        </a:p>
      </dsp:txBody>
      <dsp:txXfrm>
        <a:off x="287289" y="1229228"/>
        <a:ext cx="3814542" cy="239742"/>
      </dsp:txXfrm>
    </dsp:sp>
    <dsp:sp modelId="{B75AF810-1AF1-417A-9E11-BE7055825CBC}">
      <dsp:nvSpPr>
        <dsp:cNvPr id="0" name=""/>
        <dsp:cNvSpPr/>
      </dsp:nvSpPr>
      <dsp:spPr>
        <a:xfrm>
          <a:off x="0" y="1757340"/>
          <a:ext cx="5486400" cy="226800"/>
        </a:xfrm>
        <a:prstGeom prst="rect">
          <a:avLst/>
        </a:prstGeom>
        <a:solidFill>
          <a:schemeClr val="lt1">
            <a:alpha val="90000"/>
            <a:hueOff val="0"/>
            <a:satOff val="0"/>
            <a:lumOff val="0"/>
            <a:alphaOff val="0"/>
          </a:schemeClr>
        </a:solidFill>
        <a:ln w="12700" cap="flat" cmpd="sng" algn="ctr">
          <a:solidFill>
            <a:schemeClr val="accent4">
              <a:hueOff val="3959962"/>
              <a:satOff val="-17521"/>
              <a:lumOff val="-2942"/>
              <a:alphaOff val="0"/>
            </a:schemeClr>
          </a:solidFill>
          <a:prstDash val="solid"/>
          <a:miter lim="800000"/>
        </a:ln>
        <a:effectLst/>
      </dsp:spPr>
      <dsp:style>
        <a:lnRef idx="1">
          <a:scrgbClr r="0" g="0" b="0"/>
        </a:lnRef>
        <a:fillRef idx="1">
          <a:scrgbClr r="0" g="0" b="0"/>
        </a:fillRef>
        <a:effectRef idx="0">
          <a:scrgbClr r="0" g="0" b="0"/>
        </a:effectRef>
        <a:fontRef idx="minor"/>
      </dsp:style>
    </dsp:sp>
    <dsp:sp modelId="{E66C7CE2-D501-499A-B1CB-75F8D2C92336}">
      <dsp:nvSpPr>
        <dsp:cNvPr id="0" name=""/>
        <dsp:cNvSpPr/>
      </dsp:nvSpPr>
      <dsp:spPr>
        <a:xfrm>
          <a:off x="274320" y="1624500"/>
          <a:ext cx="3840480" cy="265680"/>
        </a:xfrm>
        <a:prstGeom prst="roundRect">
          <a:avLst/>
        </a:prstGeom>
        <a:gradFill rotWithShape="0">
          <a:gsLst>
            <a:gs pos="0">
              <a:schemeClr val="accent4">
                <a:hueOff val="3959962"/>
                <a:satOff val="-17521"/>
                <a:lumOff val="-2942"/>
                <a:alphaOff val="0"/>
                <a:lumMod val="110000"/>
                <a:satMod val="105000"/>
                <a:tint val="67000"/>
              </a:schemeClr>
            </a:gs>
            <a:gs pos="50000">
              <a:schemeClr val="accent4">
                <a:hueOff val="3959962"/>
                <a:satOff val="-17521"/>
                <a:lumOff val="-2942"/>
                <a:alphaOff val="0"/>
                <a:lumMod val="105000"/>
                <a:satMod val="103000"/>
                <a:tint val="73000"/>
              </a:schemeClr>
            </a:gs>
            <a:gs pos="100000">
              <a:schemeClr val="accent4">
                <a:hueOff val="3959962"/>
                <a:satOff val="-17521"/>
                <a:lumOff val="-294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DMZ (Public-Facing Services)</a:t>
          </a:r>
        </a:p>
      </dsp:txBody>
      <dsp:txXfrm>
        <a:off x="287289" y="1637469"/>
        <a:ext cx="3814542" cy="239742"/>
      </dsp:txXfrm>
    </dsp:sp>
    <dsp:sp modelId="{36495F99-899D-4918-82CE-F33D5AB997E7}">
      <dsp:nvSpPr>
        <dsp:cNvPr id="0" name=""/>
        <dsp:cNvSpPr/>
      </dsp:nvSpPr>
      <dsp:spPr>
        <a:xfrm>
          <a:off x="0" y="2165580"/>
          <a:ext cx="5486400" cy="226800"/>
        </a:xfrm>
        <a:prstGeom prst="rect">
          <a:avLst/>
        </a:prstGeom>
        <a:solidFill>
          <a:schemeClr val="lt1">
            <a:alpha val="90000"/>
            <a:hueOff val="0"/>
            <a:satOff val="0"/>
            <a:lumOff val="0"/>
            <a:alphaOff val="0"/>
          </a:schemeClr>
        </a:solidFill>
        <a:ln w="12700" cap="flat" cmpd="sng" algn="ctr">
          <a:solidFill>
            <a:schemeClr val="accent4">
              <a:hueOff val="5279950"/>
              <a:satOff val="-23362"/>
              <a:lumOff val="-3922"/>
              <a:alphaOff val="0"/>
            </a:schemeClr>
          </a:solidFill>
          <a:prstDash val="solid"/>
          <a:miter lim="800000"/>
        </a:ln>
        <a:effectLst/>
      </dsp:spPr>
      <dsp:style>
        <a:lnRef idx="1">
          <a:scrgbClr r="0" g="0" b="0"/>
        </a:lnRef>
        <a:fillRef idx="1">
          <a:scrgbClr r="0" g="0" b="0"/>
        </a:fillRef>
        <a:effectRef idx="0">
          <a:scrgbClr r="0" g="0" b="0"/>
        </a:effectRef>
        <a:fontRef idx="minor"/>
      </dsp:style>
    </dsp:sp>
    <dsp:sp modelId="{831EF937-409E-4655-B0E6-AE7CC03B7582}">
      <dsp:nvSpPr>
        <dsp:cNvPr id="0" name=""/>
        <dsp:cNvSpPr/>
      </dsp:nvSpPr>
      <dsp:spPr>
        <a:xfrm>
          <a:off x="274320" y="2032740"/>
          <a:ext cx="3840480" cy="265680"/>
        </a:xfrm>
        <a:prstGeom prst="roundRect">
          <a:avLst/>
        </a:prstGeom>
        <a:gradFill rotWithShape="0">
          <a:gsLst>
            <a:gs pos="0">
              <a:schemeClr val="accent4">
                <a:hueOff val="5279950"/>
                <a:satOff val="-23362"/>
                <a:lumOff val="-3922"/>
                <a:alphaOff val="0"/>
                <a:lumMod val="110000"/>
                <a:satMod val="105000"/>
                <a:tint val="67000"/>
              </a:schemeClr>
            </a:gs>
            <a:gs pos="50000">
              <a:schemeClr val="accent4">
                <a:hueOff val="5279950"/>
                <a:satOff val="-23362"/>
                <a:lumOff val="-3922"/>
                <a:alphaOff val="0"/>
                <a:lumMod val="105000"/>
                <a:satMod val="103000"/>
                <a:tint val="73000"/>
              </a:schemeClr>
            </a:gs>
            <a:gs pos="100000">
              <a:schemeClr val="accent4">
                <a:hueOff val="5279950"/>
                <a:satOff val="-23362"/>
                <a:lumOff val="-3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Segmented Internal Network (Corporate / Restricted / Admin Zones</a:t>
          </a:r>
        </a:p>
      </dsp:txBody>
      <dsp:txXfrm>
        <a:off x="287289" y="2045709"/>
        <a:ext cx="3814542" cy="239742"/>
      </dsp:txXfrm>
    </dsp:sp>
    <dsp:sp modelId="{A101A48D-19F6-4960-BD51-AD1B941C3B35}">
      <dsp:nvSpPr>
        <dsp:cNvPr id="0" name=""/>
        <dsp:cNvSpPr/>
      </dsp:nvSpPr>
      <dsp:spPr>
        <a:xfrm>
          <a:off x="0" y="2573820"/>
          <a:ext cx="5486400" cy="226800"/>
        </a:xfrm>
        <a:prstGeom prst="rect">
          <a:avLst/>
        </a:prstGeom>
        <a:solidFill>
          <a:schemeClr val="lt1">
            <a:alpha val="90000"/>
            <a:hueOff val="0"/>
            <a:satOff val="0"/>
            <a:lumOff val="0"/>
            <a:alphaOff val="0"/>
          </a:schemeClr>
        </a:solidFill>
        <a:ln w="12700" cap="flat" cmpd="sng" algn="ctr">
          <a:solidFill>
            <a:schemeClr val="accent4">
              <a:hueOff val="6599937"/>
              <a:satOff val="-29202"/>
              <a:lumOff val="-4903"/>
              <a:alphaOff val="0"/>
            </a:schemeClr>
          </a:solidFill>
          <a:prstDash val="solid"/>
          <a:miter lim="800000"/>
        </a:ln>
        <a:effectLst/>
      </dsp:spPr>
      <dsp:style>
        <a:lnRef idx="1">
          <a:scrgbClr r="0" g="0" b="0"/>
        </a:lnRef>
        <a:fillRef idx="1">
          <a:scrgbClr r="0" g="0" b="0"/>
        </a:fillRef>
        <a:effectRef idx="0">
          <a:scrgbClr r="0" g="0" b="0"/>
        </a:effectRef>
        <a:fontRef idx="minor"/>
      </dsp:style>
    </dsp:sp>
    <dsp:sp modelId="{295639A9-3D8D-4D03-8B2B-061A9AD9155F}">
      <dsp:nvSpPr>
        <dsp:cNvPr id="0" name=""/>
        <dsp:cNvSpPr/>
      </dsp:nvSpPr>
      <dsp:spPr>
        <a:xfrm>
          <a:off x="274320" y="2440980"/>
          <a:ext cx="3840480" cy="265680"/>
        </a:xfrm>
        <a:prstGeom prst="roundRect">
          <a:avLst/>
        </a:prstGeom>
        <a:gradFill rotWithShape="0">
          <a:gsLst>
            <a:gs pos="0">
              <a:schemeClr val="accent4">
                <a:hueOff val="6599937"/>
                <a:satOff val="-29202"/>
                <a:lumOff val="-4903"/>
                <a:alphaOff val="0"/>
                <a:lumMod val="110000"/>
                <a:satMod val="105000"/>
                <a:tint val="67000"/>
              </a:schemeClr>
            </a:gs>
            <a:gs pos="50000">
              <a:schemeClr val="accent4">
                <a:hueOff val="6599937"/>
                <a:satOff val="-29202"/>
                <a:lumOff val="-4903"/>
                <a:alphaOff val="0"/>
                <a:lumMod val="105000"/>
                <a:satMod val="103000"/>
                <a:tint val="73000"/>
              </a:schemeClr>
            </a:gs>
            <a:gs pos="100000">
              <a:schemeClr val="accent4">
                <a:hueOff val="6599937"/>
                <a:satOff val="-29202"/>
                <a:lumOff val="-49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Cloud Services (Encryption, CASB &amp; Configuration Monitoring)</a:t>
          </a:r>
        </a:p>
      </dsp:txBody>
      <dsp:txXfrm>
        <a:off x="287289" y="2453949"/>
        <a:ext cx="3814542"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F31B84BF98441238F217182531CB4FB"/>
        <w:category>
          <w:name w:val="General"/>
          <w:gallery w:val="placeholder"/>
        </w:category>
        <w:types>
          <w:type w:val="bbPlcHdr"/>
        </w:types>
        <w:behaviors>
          <w:behavior w:val="content"/>
        </w:behaviors>
        <w:guid w:val="{16945EED-8552-4D71-9E90-2D91E23603BE}"/>
      </w:docPartPr>
      <w:docPartBody>
        <w:p w:rsidR="00000000" w:rsidRDefault="00737063" w:rsidP="00737063">
          <w:pPr>
            <w:pStyle w:val="4F31B84BF98441238F217182531CB4FB"/>
          </w:pPr>
          <w:r>
            <w:rPr>
              <w:rFonts w:asciiTheme="majorHAnsi" w:eastAsiaTheme="majorEastAsia" w:hAnsiTheme="majorHAnsi" w:cstheme="majorBidi"/>
              <w:caps/>
              <w:color w:val="156082" w:themeColor="accent1"/>
              <w:sz w:val="80"/>
              <w:szCs w:val="80"/>
            </w:rPr>
            <w:t>[Document title]</w:t>
          </w:r>
        </w:p>
      </w:docPartBody>
    </w:docPart>
    <w:docPart>
      <w:docPartPr>
        <w:name w:val="6BA59FA8C3F844B08F76E68D3C286EDF"/>
        <w:category>
          <w:name w:val="General"/>
          <w:gallery w:val="placeholder"/>
        </w:category>
        <w:types>
          <w:type w:val="bbPlcHdr"/>
        </w:types>
        <w:behaviors>
          <w:behavior w:val="content"/>
        </w:behaviors>
        <w:guid w:val="{32FCAC42-BF7A-4A09-AF9A-F4927BB02BC0}"/>
      </w:docPartPr>
      <w:docPartBody>
        <w:p w:rsidR="00000000" w:rsidRDefault="00737063" w:rsidP="00737063">
          <w:pPr>
            <w:pStyle w:val="6BA59FA8C3F844B08F76E68D3C286ED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063"/>
    <w:rsid w:val="0039683B"/>
    <w:rsid w:val="00737063"/>
    <w:rsid w:val="00B70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31B84BF98441238F217182531CB4FB">
    <w:name w:val="4F31B84BF98441238F217182531CB4FB"/>
    <w:rsid w:val="00737063"/>
  </w:style>
  <w:style w:type="paragraph" w:customStyle="1" w:styleId="6BA59FA8C3F844B08F76E68D3C286EDF">
    <w:name w:val="6BA59FA8C3F844B08F76E68D3C286EDF"/>
    <w:rsid w:val="007370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Kelly Casey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58c219ffe239af19935127465fa1e18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da33b66211f6a7eb71801bef43d2e7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Wor24</b:Tag>
    <b:SourceType>InternetSite</b:SourceType>
    <b:Guid>{48300E05-D5B1-43D4-BC61-D00E913DE25C}</b:Guid>
    <b:Title>Global Risks Report 2024</b:Title>
    <b:Year>2024</b:Year>
    <b:Author>
      <b:Author>
        <b:NameList>
          <b:Person>
            <b:Last>Forum</b:Last>
            <b:First>World</b:First>
            <b:Middle>Economic</b:Middle>
          </b:Person>
        </b:NameList>
      </b:Author>
    </b:Author>
    <b:InternetSiteTitle>World Economic Forum</b:InternetSiteTitle>
    <b:URL>https://www.weforum.org/publications/global-risks-report-2024/</b:URL>
    <b:RefOrder>1</b:RefOrder>
  </b:Source>
  <b:Source>
    <b:Tag>Nat26</b:Tag>
    <b:SourceType>InternetSite</b:SourceType>
    <b:Guid>{2D0EE1D0-D33E-46F2-BA11-B3435DECD5D5}</b:Guid>
    <b:Author>
      <b:Author>
        <b:NameList>
          <b:Person>
            <b:Last>(NIST)</b:Last>
            <b:First>National</b:First>
            <b:Middle>Institute of Standards and Technology</b:Middle>
          </b:Person>
        </b:NameList>
      </b:Author>
    </b:Author>
    <b:Title>NIST Computer Security Resource Center Glossary</b:Title>
    <b:ProductionCompany>nist</b:ProductionCompany>
    <b:YearAccessed>2026</b:YearAccessed>
    <b:MonthAccessed>1</b:MonthAccessed>
    <b:DayAccessed>12</b:DayAccessed>
    <b:URL>https://csrc.nist.gov/glossary/term/confidentiality_integrity_availability</b:URL>
    <b:RefOrder>2</b:RefOrder>
  </b:Source>
  <b:Source>
    <b:Tag>Int22</b:Tag>
    <b:SourceType>InternetSite</b:SourceType>
    <b:Guid>{C371A9D0-1D85-4AEA-98D1-46FFE2956C9F}</b:Guid>
    <b:Author>
      <b:Author>
        <b:NameList>
          <b:Person>
            <b:Last>(IEC)</b:Last>
            <b:First>International</b:First>
            <b:Middle>Organization for Standardization (ISO) / International Electrotechnical Commission</b:Middle>
          </b:Person>
        </b:NameList>
      </b:Author>
    </b:Author>
    <b:Title>ISO/IEC 27001:2022 — Information security, cybersecurity and privacy protection — Information security management systems — Requirements</b:Title>
    <b:ProductionCompany>ISO</b:ProductionCompany>
    <b:Year>2022</b:Year>
    <b:YearAccessed>2026</b:YearAccessed>
    <b:MonthAccessed>1</b:MonthAccessed>
    <b:DayAccessed>12</b:DayAccessed>
    <b:URL>https://www.iso.org/standard/27001</b:URL>
    <b:RefOrder>3</b:RefOrder>
  </b:Source>
  <b:Source>
    <b:Tag>Nat24</b:Tag>
    <b:SourceType>Report</b:SourceType>
    <b:Guid>{02BB98A0-6F5A-415D-9785-4FF494F728FC}</b:Guid>
    <b:Title>The NIST Cybersecurity Framework (CSF) 2.0</b:Title>
    <b:Year>2024</b:Year>
    <b:Author>
      <b:Author>
        <b:NameList>
          <b:Person>
            <b:Last>(NIST)</b:Last>
            <b:First>National</b:First>
            <b:Middle>Institute of Standards and Technology</b:Middle>
          </b:Person>
        </b:NameList>
      </b:Author>
    </b:Author>
    <b:RefOrder>4</b:RefOrder>
  </b:Source>
  <b:Source>
    <b:Tag>ISA26</b:Tag>
    <b:SourceType>InternetSite</b:SourceType>
    <b:Guid>{172FBBD4-062D-42C1-870C-1291FA65B803}</b:Guid>
    <b:Title>ISACA</b:Title>
    <b:Author>
      <b:Author>
        <b:NameList>
          <b:Person>
            <b:Last>ISACA</b:Last>
          </b:Person>
        </b:NameList>
      </b:Author>
    </b:Author>
    <b:ProductionCompany>COBIT</b:ProductionCompany>
    <b:YearAccessed>2026</b:YearAccessed>
    <b:MonthAccessed>1</b:MonthAccessed>
    <b:DayAccessed>15</b:DayAccessed>
    <b:URL>https://www.isaca.org/resources/cobit</b:URL>
    <b:RefOrder>5</b:RefOrder>
  </b:Source>
  <b:Source>
    <b:Tag>Peo26</b:Tag>
    <b:SourceType>InternetSite</b:SourceType>
    <b:Guid>{512A43BE-6193-4B3B-AF34-77F78A6A01A3}</b:Guid>
    <b:Author>
      <b:Author>
        <b:NameList>
          <b:Person>
            <b:Last>PeopleCert</b:Last>
          </b:Person>
        </b:NameList>
      </b:Author>
    </b:Author>
    <b:Title>ITIL Framework</b:Title>
    <b:ProductionCompany>PeopleCert</b:ProductionCompany>
    <b:YearAccessed>2026</b:YearAccessed>
    <b:MonthAccessed>1</b:MonthAccessed>
    <b:DayAccessed>15</b:DayAccessed>
    <b:URL>https://www.peoplecert.org/Frameworks-Professionals/ITIL-framework</b:URL>
    <b:RefOrder>6</b:RefOrder>
  </b:Source>
  <b:Source>
    <b:Tag>GRC26</b:Tag>
    <b:SourceType>InternetSite</b:SourceType>
    <b:Guid>{D56F5AA8-CE98-4725-9DA8-F8A3D960977C}</b:Guid>
    <b:Author>
      <b:Author>
        <b:NameList>
          <b:Person>
            <b:Last>Solutions</b:Last>
            <b:First>GRC</b:First>
          </b:Person>
        </b:NameList>
      </b:Author>
    </b:Author>
    <b:Title>ISO 27001 Overview: What It Is + How It Works</b:Title>
    <b:ProductionCompany>GRC Solutions</b:ProductionCompany>
    <b:YearAccessed>2026</b:YearAccessed>
    <b:MonthAccessed>1</b:MonthAccessed>
    <b:DayAccessed>12</b:DayAccessed>
    <b:URL>https://grcsolutions.io/iso27001/</b:URL>
    <b:RefOrder>7</b:RefOrder>
  </b:Source>
  <b:Source>
    <b:Tag>Nat12</b:Tag>
    <b:SourceType>Report</b:SourceType>
    <b:Guid>{7D37BC6F-663A-414D-A53D-BD371587762E}</b:Guid>
    <b:Title>NIST Special Publication 800-61 Revision 2: Computer Security Incident Handling Guide</b:Title>
    <b:Year>2012</b:Year>
    <b:Author>
      <b:Author>
        <b:NameList>
          <b:Person>
            <b:Last>Technology</b:Last>
            <b:First>National</b:First>
            <b:Middle>Institute of Standards and</b:Middle>
          </b:Person>
        </b:NameList>
      </b:Author>
    </b:Author>
    <b:City>Gaithersburg, MD</b:City>
    <b:RefOrder>8</b:RefOrder>
  </b:Source>
  <b:Source>
    <b:Tag>Yal24</b:Tag>
    <b:SourceType>JournalArticle</b:SourceType>
    <b:Guid>{9042CB57-B754-4734-A32E-3D1D013A1BC4}</b:Guid>
    <b:Title>Enhancing Agile Story Point Estimation: Integrating Deep Learning, Machine Learning, and Natural Language Processing with SBERT and Gradient Boosted Trees</b:Title>
    <b:Year>2024</b:Year>
    <b:Author>
      <b:Author>
        <b:NameList>
          <b:Person>
            <b:Last>Yalçıner</b:Last>
            <b:First>B.</b:First>
          </b:Person>
          <b:Person>
            <b:Last>Dinçer</b:Last>
            <b:First>K.</b:First>
          </b:Person>
          <b:Person>
            <b:Last>Karaçor</b:Last>
            <b:First>A.</b:First>
            <b:Middle>G.</b:Middle>
          </b:Person>
          <b:Person>
            <b:Last>Efe</b:Last>
            <b:First>M.</b:First>
            <b:Middle>Ö.</b:Middle>
          </b:Person>
        </b:NameList>
      </b:Author>
    </b:Author>
    <b:JournalName>Applied Sciences</b:JournalName>
    <b:Volume>14</b:Volume>
    <b:Issue>16</b:Issue>
    <b:RefOrder>21</b:RefOrder>
  </b:Source>
  <b:Source>
    <b:Tag>Nat261</b:Tag>
    <b:SourceType>InternetSite</b:SourceType>
    <b:Guid>{DE1BB854-0B2D-4601-B05D-11041AAD63DF}</b:Guid>
    <b:Title>Cyber Assessment Framework</b:Title>
    <b:Author>
      <b:Author>
        <b:NameList>
          <b:Person>
            <b:Last>Centre</b:Last>
            <b:First>National</b:First>
            <b:Middle>Cyber Security</b:Middle>
          </b:Person>
        </b:NameList>
      </b:Author>
    </b:Author>
    <b:ProductionCompany>National Cyber Security Centre</b:ProductionCompany>
    <b:YearAccessed>2026</b:YearAccessed>
    <b:MonthAccessed>1</b:MonthAccessed>
    <b:DayAccessed>18</b:DayAccessed>
    <b:URL>https://www.ncsc.gov.uk/collection/cyber-assessment-framework</b:URL>
    <b:RefOrder>9</b:RefOrder>
  </b:Source>
  <b:Source>
    <b:Tag>Nat23</b:Tag>
    <b:SourceType>Report</b:SourceType>
    <b:Guid>{3DEB43B7-3B82-4BF6-911F-FEFD20FFF2B5}</b:Guid>
    <b:Title>Board Toolkit Executive Summary</b:Title>
    <b:Year>2023</b:Year>
    <b:Author>
      <b:Author>
        <b:NameList>
          <b:Person>
            <b:Last>UK</b:Last>
            <b:First>National</b:First>
            <b:Middle>Cyber Security Centre (NCSC</b:Middle>
          </b:Person>
        </b:NameList>
      </b:Author>
    </b:Author>
    <b:City>London, UK</b:City>
    <b:RefOrder>10</b:RefOrder>
  </b:Source>
  <b:Source>
    <b:Tag>NIS26</b:Tag>
    <b:SourceType>InternetSite</b:SourceType>
    <b:Guid>{E72D0049-1FEE-4E0E-8A92-0449CB5E972D}</b:Guid>
    <b:Author>
      <b:Author>
        <b:NameList>
          <b:Person>
            <b:Last>(NIST)</b:Last>
            <b:First>National</b:First>
            <b:Middle>Institute of Standards and Technology</b:Middle>
          </b:Person>
        </b:NameList>
      </b:Author>
    </b:Author>
    <b:Title>About the Risk Management Framework (RMF)</b:Title>
    <b:ProductionCompany>NIST Computer Security Resource Center</b:ProductionCompany>
    <b:YearAccessed>2026</b:YearAccessed>
    <b:MonthAccessed>1</b:MonthAccessed>
    <b:DayAccessed>20</b:DayAccessed>
    <b:URL>https://csrc.nist.gov/projects/risk-management/about-rmf</b:URL>
    <b:RefOrder>12</b:RefOrder>
  </b:Source>
  <b:Source>
    <b:Tag>Int18</b:Tag>
    <b:SourceType>Report</b:SourceType>
    <b:Guid>{CD2FA3AB-EC13-4681-A4C2-44AF83972941}</b:Guid>
    <b:Title>SO/IEC 27005:2018 — Information security risk management</b:Title>
    <b:Year>2018</b:Year>
    <b:Author>
      <b:Author>
        <b:NameList>
          <b:Person>
            <b:Last>(IEC)</b:Last>
            <b:First>International</b:First>
            <b:Middle>Organization for Standardization (ISO) / International Electrotechnical Commission</b:Middle>
          </b:Person>
        </b:NameList>
      </b:Author>
    </b:Author>
    <b:City>Geneva, Switzerland</b:City>
    <b:RefOrder>11</b:RefOrder>
  </b:Source>
  <b:Source>
    <b:Tag>Nat20</b:Tag>
    <b:SourceType>Report</b:SourceType>
    <b:Guid>{8585FDD1-7C04-492C-BE4C-437FECE6A2B5}</b:Guid>
    <b:Author>
      <b:Author>
        <b:NameList>
          <b:Person>
            <b:Last>(NIST)</b:Last>
            <b:First>National</b:First>
            <b:Middle>Institute of Standards and Technology</b:Middle>
          </b:Person>
        </b:NameList>
      </b:Author>
    </b:Author>
    <b:Title>NIST Special Publication 800-53 Revision 5 Update 1: Security and Privacy Controls for Information Systems and Organizations</b:Title>
    <b:Year>2020</b:Year>
    <b:RefOrder>13</b:RefOrder>
  </b:Source>
  <b:Source>
    <b:Tag>Nat262</b:Tag>
    <b:SourceType>InternetSite</b:SourceType>
    <b:Guid>{C0148C35-4FB9-4D82-B448-01E6DF3AE909}</b:Guid>
    <b:Title>Device Security Guidance</b:Title>
    <b:Author>
      <b:Author>
        <b:NameList>
          <b:Person>
            <b:Last>UK)</b:Last>
            <b:First>National</b:First>
            <b:Middle>Cyber Security Centre (NCSC</b:Middle>
          </b:Person>
        </b:NameList>
      </b:Author>
    </b:Author>
    <b:ProductionCompany>National Cyber Security Centre</b:ProductionCompany>
    <b:YearAccessed>2026</b:YearAccessed>
    <b:MonthAccessed>1</b:MonthAccessed>
    <b:DayAccessed>20</b:DayAccessed>
    <b:URL>https://www.ncsc.gov.uk/collection/device-security-guidance</b:URL>
    <b:RefOrder>14</b:RefOrder>
  </b:Source>
  <b:Source>
    <b:Tag>Nat11</b:Tag>
    <b:SourceType>Report</b:SourceType>
    <b:Guid>{C2D2EDF5-09C1-46F7-BF5C-790786D67463}</b:Guid>
    <b:Title>NIST Special Publication 800-145: The NIST Definition of Cloud Computing</b:Title>
    <b:Year>2011</b:Year>
    <b:Author>
      <b:Author>
        <b:NameList>
          <b:Person>
            <b:Last>(NIST)</b:Last>
            <b:First>National</b:First>
            <b:Middle>Institute of Standards and Technology</b:Middle>
          </b:Person>
        </b:NameList>
      </b:Author>
    </b:Author>
    <b:RefOrder>15</b:RefOrder>
  </b:Source>
  <b:Source>
    <b:Tag>Nat08</b:Tag>
    <b:SourceType>Report</b:SourceType>
    <b:Guid>{29E38D5E-081D-4AE8-B413-78C22FF33259}</b:Guid>
    <b:Author>
      <b:Author>
        <b:NameList>
          <b:Person>
            <b:Last>(NIST)</b:Last>
            <b:First>National</b:First>
            <b:Middle>Institute of Standards and Technology</b:Middle>
          </b:Person>
        </b:NameList>
      </b:Author>
    </b:Author>
    <b:Title>NIST Special Publication 800-60 Volume 1 Revision 1: Guide for Mapping Types of Information and Information Systems to Security Categories</b:Title>
    <b:Year>2008</b:Year>
    <b:Publisher>National Institute of Standards and Technolog</b:Publisher>
    <b:RefOrder>16</b:RefOrder>
  </b:Source>
  <b:Source>
    <b:Tag>Inf26</b:Tag>
    <b:SourceType>InternetSite</b:SourceType>
    <b:Guid>{1857DF64-2624-43EB-98B3-D0B0C6B836C4}</b:Guid>
    <b:Title>Accountability and Governance (UK GDPR Guidance)</b:Title>
    <b:Author>
      <b:Author>
        <b:NameList>
          <b:Person>
            <b:Last>(ICO)</b:Last>
            <b:First>Information</b:First>
            <b:Middle>Commissioner’s Office</b:Middle>
          </b:Person>
        </b:NameList>
      </b:Author>
    </b:Author>
    <b:ProductionCompany>ICO UK</b:ProductionCompany>
    <b:YearAccessed>2026</b:YearAccessed>
    <b:MonthAccessed>1</b:MonthAccessed>
    <b:DayAccessed>29</b:DayAccessed>
    <b:URL>https://ico.org.uk/for-organisations/uk-gdpr-guidance-and-resources/accountability-and-governance/</b:URL>
    <b:RefOrder>17</b:RefOrder>
  </b:Source>
  <b:Source>
    <b:Tag>Eur26</b:Tag>
    <b:SourceType>InternetSite</b:SourceType>
    <b:Guid>{A2843F50-13EC-46A5-8E49-1C12D9A0CCEC}</b:Guid>
    <b:Author>
      <b:Author>
        <b:NameList>
          <b:Person>
            <b:Last>Commission</b:Last>
            <b:First>European</b:First>
          </b:Person>
        </b:NameList>
      </b:Author>
    </b:Author>
    <b:Title>Data Protection</b:Title>
    <b:ProductionCompany>European Commission</b:ProductionCompany>
    <b:YearAccessed>2026</b:YearAccessed>
    <b:MonthAccessed>1</b:MonthAccessed>
    <b:DayAccessed>29</b:DayAccessed>
    <b:URL>https://commission.europa.eu/law/law-topic/data-protection_en</b:URL>
    <b:RefOrder>18</b:RefOrder>
  </b:Source>
  <b:Source>
    <b:Tag>Cyb24</b:Tag>
    <b:SourceType>Report</b:SourceType>
    <b:Guid>{3EF76E7A-A385-4DB7-9F86-8A859B43CB09}</b:Guid>
    <b:Title>Insider Threat Mitigation Guide</b:Title>
    <b:Year>2024</b:Year>
    <b:Author>
      <b:Author>
        <b:NameList>
          <b:Person>
            <b:Last>(CISA)</b:Last>
            <b:First>Cybersecurity</b:First>
            <b:Middle>and Infrastructure Security Agency</b:Middle>
          </b:Person>
        </b:NameList>
      </b:Author>
    </b:Author>
    <b:RefOrder>19</b:RefOrder>
  </b:Source>
  <b:Source>
    <b:Tag>Nat10</b:Tag>
    <b:SourceType>Report</b:SourceType>
    <b:Guid>{2E50BB2D-FB90-4CF7-9041-04C81D44AB2D}</b:Guid>
    <b:Author>
      <b:Author>
        <b:NameList>
          <b:Person>
            <b:Last>(NIST)</b:Last>
            <b:First>National</b:First>
            <b:Middle>Institute of Standards and Technology</b:Middle>
          </b:Person>
        </b:NameList>
      </b:Author>
    </b:Author>
    <b:Title>NIST Special Publication 800-34 Revision 1: Contingency Planning Guide for Federal Information Systems</b:Title>
    <b:Year>2010</b:Yea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5A2949-87E6-4D1A-89D2-C4360EA8DE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1A7BEE-CBED-4E3A-A66D-B51572887012}">
  <ds:schemaRefs>
    <ds:schemaRef ds:uri="http://schemas.microsoft.com/sharepoint/v3/contenttype/forms"/>
  </ds:schemaRefs>
</ds:datastoreItem>
</file>

<file path=customXml/itemProps4.xml><?xml version="1.0" encoding="utf-8"?>
<ds:datastoreItem xmlns:ds="http://schemas.openxmlformats.org/officeDocument/2006/customXml" ds:itemID="{66653255-8BE1-4699-814D-0A0559509BA2}">
  <ds:schemaRefs>
    <ds:schemaRef ds:uri="http://schemas.microsoft.com/office/2006/metadata/properties"/>
    <ds:schemaRef ds:uri="http://schemas.microsoft.com/office/infopath/2007/PartnerControls"/>
    <ds:schemaRef ds:uri="be49ff73-cec0-4379-9da8-63ff3cc411bb"/>
  </ds:schemaRefs>
</ds:datastoreItem>
</file>

<file path=customXml/itemProps5.xml><?xml version="1.0" encoding="utf-8"?>
<ds:datastoreItem xmlns:ds="http://schemas.openxmlformats.org/officeDocument/2006/customXml" ds:itemID="{2EAA97CB-033A-44C2-9328-97C72D5E3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22</Pages>
  <Words>4993</Words>
  <Characters>33454</Characters>
  <Application>Microsoft Office Word</Application>
  <DocSecurity>0</DocSecurity>
  <Lines>655</Lines>
  <Paragraphs>272</Paragraphs>
  <ScaleCrop>false</ScaleCrop>
  <Company/>
  <LinksUpToDate>false</LinksUpToDate>
  <CharactersWithSpaces>38175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practices of Data security, Governance and Compliance</dc:title>
  <dc:subject>ACCA7028</dc:subject>
  <dc:creator>Kelly casey</dc:creator>
  <cp:keywords/>
  <dc:description/>
  <cp:lastModifiedBy>Kelly Casey (2106451)</cp:lastModifiedBy>
  <cp:revision>7</cp:revision>
  <dcterms:created xsi:type="dcterms:W3CDTF">2026-02-11T19:47:00Z</dcterms:created>
  <dcterms:modified xsi:type="dcterms:W3CDTF">2026-02-11T22:38:00Z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