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4885C" w14:textId="77777777" w:rsidR="00530E16" w:rsidRPr="00C61B18" w:rsidRDefault="004468F8" w:rsidP="00B16875">
      <w:pPr>
        <w:pBdr>
          <w:top w:val="nil"/>
          <w:left w:val="nil"/>
          <w:bottom w:val="nil"/>
          <w:right w:val="nil"/>
          <w:between w:val="nil"/>
        </w:pBdr>
        <w:spacing w:after="0" w:line="276" w:lineRule="auto"/>
        <w:rPr>
          <w:rFonts w:ascii="Arial" w:eastAsia="Arial" w:hAnsi="Arial" w:cs="Arial"/>
          <w:sz w:val="22"/>
          <w:szCs w:val="22"/>
        </w:rPr>
      </w:pPr>
      <w:r w:rsidRPr="00C61B18">
        <w:rPr>
          <w:rFonts w:ascii="Arial" w:eastAsia="Arial" w:hAnsi="Arial" w:cs="Arial"/>
          <w:noProof/>
          <w:sz w:val="22"/>
          <w:szCs w:val="22"/>
        </w:rPr>
        <mc:AlternateContent>
          <mc:Choice Requires="wpg">
            <w:drawing>
              <wp:anchor distT="0" distB="0" distL="114300" distR="114300" simplePos="0" relativeHeight="251658240" behindDoc="1" locked="0" layoutInCell="1" allowOverlap="1" wp14:anchorId="645E3E53" wp14:editId="0E89E1D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393A2B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36E4BF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45E3E53"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393A2BB"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36E4BF3"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C61B18">
        <w:rPr>
          <w:rFonts w:ascii="Arial" w:eastAsia="Arial" w:hAnsi="Arial" w:cs="Arial"/>
          <w:noProof/>
          <w:sz w:val="22"/>
          <w:szCs w:val="22"/>
        </w:rPr>
        <mc:AlternateContent>
          <mc:Choice Requires="wps">
            <w:drawing>
              <wp:anchor distT="0" distB="0" distL="114300" distR="114300" simplePos="0" relativeHeight="251659264" behindDoc="0" locked="0" layoutInCell="1" hidden="0" allowOverlap="1" wp14:anchorId="5AA9362A" wp14:editId="288FD34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04624B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DFBBF0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AA9362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204624B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DFBBF0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990250A" w14:textId="77777777" w:rsidR="00530E16" w:rsidRPr="00C61B18" w:rsidRDefault="004468F8" w:rsidP="00B16875">
      <w:pPr>
        <w:spacing w:line="276" w:lineRule="auto"/>
        <w:rPr>
          <w:rFonts w:ascii="Arial" w:eastAsia="Arial" w:hAnsi="Arial" w:cs="Arial"/>
          <w:sz w:val="22"/>
          <w:szCs w:val="22"/>
        </w:rPr>
      </w:pPr>
      <w:r w:rsidRPr="00C61B18">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30A94BD2" wp14:editId="69CE88E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8C15EB2" w14:textId="77777777" w:rsidR="00DB7B3A" w:rsidRPr="00DB7B3A" w:rsidRDefault="00DB7B3A" w:rsidP="00DB7B3A">
                            <w:pPr>
                              <w:widowControl w:val="0"/>
                              <w:autoSpaceDE w:val="0"/>
                              <w:autoSpaceDN w:val="0"/>
                              <w:adjustRightInd w:val="0"/>
                              <w:spacing w:before="72" w:after="0" w:line="240" w:lineRule="auto"/>
                              <w:ind w:left="2093"/>
                              <w:rPr>
                                <w:rFonts w:ascii="Arial" w:hAnsi="Arial" w:cs="Arial"/>
                                <w:sz w:val="36"/>
                                <w:szCs w:val="36"/>
                              </w:rPr>
                            </w:pPr>
                            <w:r w:rsidRPr="00DB7B3A">
                              <w:rPr>
                                <w:rFonts w:ascii="Arial" w:hAnsi="Arial" w:cs="Arial"/>
                                <w:b/>
                                <w:bCs/>
                                <w:color w:val="000000"/>
                                <w:sz w:val="36"/>
                                <w:szCs w:val="36"/>
                              </w:rPr>
                              <w:t>Portfolio</w:t>
                            </w:r>
                          </w:p>
                          <w:p w14:paraId="0CA56E0A" w14:textId="77777777" w:rsidR="00DB7B3A" w:rsidRDefault="004468F8" w:rsidP="00DB7B3A">
                            <w:pPr>
                              <w:widowControl w:val="0"/>
                              <w:autoSpaceDE w:val="0"/>
                              <w:autoSpaceDN w:val="0"/>
                              <w:adjustRightInd w:val="0"/>
                              <w:spacing w:before="84" w:after="0" w:line="240" w:lineRule="auto"/>
                              <w:rPr>
                                <w:rFonts w:ascii="Arial" w:hAnsi="Arial" w:cs="Arial"/>
                              </w:rPr>
                            </w:pPr>
                            <w:r>
                              <w:rPr>
                                <w:color w:val="404040"/>
                                <w:sz w:val="36"/>
                              </w:rPr>
                              <w:t xml:space="preserve">Module Name: </w:t>
                            </w:r>
                            <w:r w:rsidR="00DB7B3A">
                              <w:rPr>
                                <w:rFonts w:ascii="Arial" w:hAnsi="Arial" w:cs="Arial"/>
                                <w:b/>
                                <w:bCs/>
                                <w:color w:val="000000"/>
                                <w:sz w:val="22"/>
                                <w:szCs w:val="22"/>
                              </w:rPr>
                              <w:t>Introduction to Health and Social Care</w:t>
                            </w:r>
                          </w:p>
                          <w:p w14:paraId="04E11FCC" w14:textId="417B20F1" w:rsidR="00530E16" w:rsidRDefault="00530E16">
                            <w:pPr>
                              <w:spacing w:before="120" w:line="277" w:lineRule="auto"/>
                              <w:textDirection w:val="btLr"/>
                            </w:pPr>
                          </w:p>
                          <w:p w14:paraId="4B8D9972" w14:textId="226F6F6A" w:rsidR="00530E16" w:rsidRDefault="004468F8">
                            <w:pPr>
                              <w:spacing w:before="120" w:line="277" w:lineRule="auto"/>
                              <w:textDirection w:val="btLr"/>
                            </w:pPr>
                            <w:r>
                              <w:rPr>
                                <w:color w:val="404040"/>
                                <w:sz w:val="36"/>
                              </w:rPr>
                              <w:t>Module Code: LCHS 400</w:t>
                            </w:r>
                            <w:r w:rsidR="00DB7B3A">
                              <w:rPr>
                                <w:color w:val="404040"/>
                                <w:sz w:val="36"/>
                              </w:rPr>
                              <w:t>3</w:t>
                            </w:r>
                          </w:p>
                          <w:p w14:paraId="12448291" w14:textId="2436B0C7" w:rsidR="00530E16" w:rsidRDefault="004468F8">
                            <w:pPr>
                              <w:spacing w:before="120" w:line="277" w:lineRule="auto"/>
                              <w:textDirection w:val="btLr"/>
                            </w:pPr>
                            <w:r>
                              <w:rPr>
                                <w:color w:val="404040"/>
                                <w:sz w:val="36"/>
                              </w:rPr>
                              <w:t xml:space="preserve">Student name: </w:t>
                            </w:r>
                            <w:r w:rsidR="00B16875" w:rsidRPr="00BA35B1">
                              <w:rPr>
                                <w:rFonts w:ascii="Arial" w:hAnsi="Arial" w:cs="Arial"/>
                                <w:b/>
                                <w:bCs/>
                              </w:rPr>
                              <w:t>Cristina Bucur</w:t>
                            </w:r>
                          </w:p>
                          <w:p w14:paraId="48187AE4" w14:textId="77777777" w:rsidR="00B16875" w:rsidRDefault="004468F8">
                            <w:pPr>
                              <w:spacing w:before="120" w:line="277" w:lineRule="auto"/>
                              <w:textDirection w:val="btLr"/>
                              <w:rPr>
                                <w:rFonts w:ascii="Arial" w:hAnsi="Arial" w:cs="Arial"/>
                                <w:b/>
                                <w:bCs/>
                              </w:rPr>
                            </w:pPr>
                            <w:r>
                              <w:rPr>
                                <w:color w:val="404040"/>
                                <w:sz w:val="36"/>
                              </w:rPr>
                              <w:t>Student ID:</w:t>
                            </w:r>
                            <w:r w:rsidR="00B16875" w:rsidRPr="00B16875">
                              <w:rPr>
                                <w:rFonts w:ascii="Arial" w:hAnsi="Arial" w:cs="Arial"/>
                                <w:b/>
                                <w:bCs/>
                              </w:rPr>
                              <w:t xml:space="preserve"> </w:t>
                            </w:r>
                            <w:r w:rsidR="00B16875" w:rsidRPr="00BA35B1">
                              <w:rPr>
                                <w:rFonts w:ascii="Arial" w:hAnsi="Arial" w:cs="Arial"/>
                                <w:b/>
                                <w:bCs/>
                              </w:rPr>
                              <w:t>2524789</w:t>
                            </w:r>
                          </w:p>
                          <w:p w14:paraId="5259E049" w14:textId="77777777" w:rsidR="00DB7B3A" w:rsidRDefault="004468F8" w:rsidP="00DB7B3A">
                            <w:pPr>
                              <w:widowControl w:val="0"/>
                              <w:autoSpaceDE w:val="0"/>
                              <w:autoSpaceDN w:val="0"/>
                              <w:adjustRightInd w:val="0"/>
                              <w:spacing w:after="0" w:line="252" w:lineRule="exact"/>
                              <w:rPr>
                                <w:rFonts w:ascii="Arial" w:hAnsi="Arial" w:cs="Arial"/>
                              </w:rPr>
                            </w:pPr>
                            <w:r>
                              <w:rPr>
                                <w:color w:val="404040"/>
                                <w:sz w:val="36"/>
                              </w:rPr>
                              <w:t xml:space="preserve">Lecturer’s Name: </w:t>
                            </w:r>
                            <w:r w:rsidR="00DB7B3A">
                              <w:rPr>
                                <w:rFonts w:ascii="Arial" w:hAnsi="Arial" w:cs="Arial"/>
                                <w:b/>
                                <w:bCs/>
                                <w:color w:val="000000"/>
                                <w:sz w:val="22"/>
                                <w:szCs w:val="22"/>
                              </w:rPr>
                              <w:t>Muhammad Aliyu</w:t>
                            </w:r>
                          </w:p>
                          <w:p w14:paraId="1B5CC7E7" w14:textId="5CFE3E70" w:rsidR="00B16875" w:rsidRDefault="00B16875" w:rsidP="00B16875">
                            <w:pPr>
                              <w:widowControl w:val="0"/>
                              <w:autoSpaceDE w:val="0"/>
                              <w:autoSpaceDN w:val="0"/>
                              <w:adjustRightInd w:val="0"/>
                              <w:spacing w:after="0" w:line="416" w:lineRule="auto"/>
                              <w:rPr>
                                <w:rFonts w:ascii="Arial" w:hAnsi="Arial" w:cs="Arial"/>
                              </w:rPr>
                            </w:pPr>
                          </w:p>
                          <w:p w14:paraId="7FD974AA" w14:textId="516DB498" w:rsidR="00B16875" w:rsidRPr="00FC69F3" w:rsidRDefault="00B16875" w:rsidP="00B16875">
                            <w:pPr>
                              <w:widowControl w:val="0"/>
                              <w:autoSpaceDE w:val="0"/>
                              <w:autoSpaceDN w:val="0"/>
                              <w:adjustRightInd w:val="0"/>
                              <w:spacing w:after="0" w:line="276" w:lineRule="auto"/>
                              <w:rPr>
                                <w:rFonts w:ascii="Arial" w:hAnsi="Arial" w:cs="Arial"/>
                              </w:rPr>
                            </w:pPr>
                          </w:p>
                          <w:p w14:paraId="7CAF91B5" w14:textId="545DABBF" w:rsidR="00530E16" w:rsidRDefault="00530E16">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30A94BD2"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58C15EB2" w14:textId="77777777" w:rsidR="00DB7B3A" w:rsidRPr="00DB7B3A" w:rsidRDefault="00DB7B3A" w:rsidP="00DB7B3A">
                      <w:pPr>
                        <w:widowControl w:val="0"/>
                        <w:autoSpaceDE w:val="0"/>
                        <w:autoSpaceDN w:val="0"/>
                        <w:adjustRightInd w:val="0"/>
                        <w:spacing w:before="72" w:after="0" w:line="240" w:lineRule="auto"/>
                        <w:ind w:left="2093"/>
                        <w:rPr>
                          <w:rFonts w:ascii="Arial" w:hAnsi="Arial" w:cs="Arial"/>
                          <w:sz w:val="36"/>
                          <w:szCs w:val="36"/>
                        </w:rPr>
                      </w:pPr>
                      <w:r w:rsidRPr="00DB7B3A">
                        <w:rPr>
                          <w:rFonts w:ascii="Arial" w:hAnsi="Arial" w:cs="Arial"/>
                          <w:b/>
                          <w:bCs/>
                          <w:color w:val="000000"/>
                          <w:sz w:val="36"/>
                          <w:szCs w:val="36"/>
                        </w:rPr>
                        <w:t>Portfolio</w:t>
                      </w:r>
                    </w:p>
                    <w:p w14:paraId="0CA56E0A" w14:textId="77777777" w:rsidR="00DB7B3A" w:rsidRDefault="004468F8" w:rsidP="00DB7B3A">
                      <w:pPr>
                        <w:widowControl w:val="0"/>
                        <w:autoSpaceDE w:val="0"/>
                        <w:autoSpaceDN w:val="0"/>
                        <w:adjustRightInd w:val="0"/>
                        <w:spacing w:before="84" w:after="0" w:line="240" w:lineRule="auto"/>
                        <w:rPr>
                          <w:rFonts w:ascii="Arial" w:hAnsi="Arial" w:cs="Arial"/>
                        </w:rPr>
                      </w:pPr>
                      <w:r>
                        <w:rPr>
                          <w:color w:val="404040"/>
                          <w:sz w:val="36"/>
                        </w:rPr>
                        <w:t xml:space="preserve">Module Name: </w:t>
                      </w:r>
                      <w:r w:rsidR="00DB7B3A">
                        <w:rPr>
                          <w:rFonts w:ascii="Arial" w:hAnsi="Arial" w:cs="Arial"/>
                          <w:b/>
                          <w:bCs/>
                          <w:color w:val="000000"/>
                          <w:sz w:val="22"/>
                          <w:szCs w:val="22"/>
                        </w:rPr>
                        <w:t>Introduction to Health and Social Care</w:t>
                      </w:r>
                    </w:p>
                    <w:p w14:paraId="04E11FCC" w14:textId="417B20F1" w:rsidR="00530E16" w:rsidRDefault="00530E16">
                      <w:pPr>
                        <w:spacing w:before="120" w:line="277" w:lineRule="auto"/>
                        <w:textDirection w:val="btLr"/>
                      </w:pPr>
                    </w:p>
                    <w:p w14:paraId="4B8D9972" w14:textId="226F6F6A" w:rsidR="00530E16" w:rsidRDefault="004468F8">
                      <w:pPr>
                        <w:spacing w:before="120" w:line="277" w:lineRule="auto"/>
                        <w:textDirection w:val="btLr"/>
                      </w:pPr>
                      <w:r>
                        <w:rPr>
                          <w:color w:val="404040"/>
                          <w:sz w:val="36"/>
                        </w:rPr>
                        <w:t>Module Code: LCHS 400</w:t>
                      </w:r>
                      <w:r w:rsidR="00DB7B3A">
                        <w:rPr>
                          <w:color w:val="404040"/>
                          <w:sz w:val="36"/>
                        </w:rPr>
                        <w:t>3</w:t>
                      </w:r>
                    </w:p>
                    <w:p w14:paraId="12448291" w14:textId="2436B0C7" w:rsidR="00530E16" w:rsidRDefault="004468F8">
                      <w:pPr>
                        <w:spacing w:before="120" w:line="277" w:lineRule="auto"/>
                        <w:textDirection w:val="btLr"/>
                      </w:pPr>
                      <w:r>
                        <w:rPr>
                          <w:color w:val="404040"/>
                          <w:sz w:val="36"/>
                        </w:rPr>
                        <w:t xml:space="preserve">Student name: </w:t>
                      </w:r>
                      <w:r w:rsidR="00B16875" w:rsidRPr="00BA35B1">
                        <w:rPr>
                          <w:rFonts w:ascii="Arial" w:hAnsi="Arial" w:cs="Arial"/>
                          <w:b/>
                          <w:bCs/>
                        </w:rPr>
                        <w:t>Cristina Bucur</w:t>
                      </w:r>
                    </w:p>
                    <w:p w14:paraId="48187AE4" w14:textId="77777777" w:rsidR="00B16875" w:rsidRDefault="004468F8">
                      <w:pPr>
                        <w:spacing w:before="120" w:line="277" w:lineRule="auto"/>
                        <w:textDirection w:val="btLr"/>
                        <w:rPr>
                          <w:rFonts w:ascii="Arial" w:hAnsi="Arial" w:cs="Arial"/>
                          <w:b/>
                          <w:bCs/>
                        </w:rPr>
                      </w:pPr>
                      <w:r>
                        <w:rPr>
                          <w:color w:val="404040"/>
                          <w:sz w:val="36"/>
                        </w:rPr>
                        <w:t>Student ID:</w:t>
                      </w:r>
                      <w:r w:rsidR="00B16875" w:rsidRPr="00B16875">
                        <w:rPr>
                          <w:rFonts w:ascii="Arial" w:hAnsi="Arial" w:cs="Arial"/>
                          <w:b/>
                          <w:bCs/>
                        </w:rPr>
                        <w:t xml:space="preserve"> </w:t>
                      </w:r>
                      <w:r w:rsidR="00B16875" w:rsidRPr="00BA35B1">
                        <w:rPr>
                          <w:rFonts w:ascii="Arial" w:hAnsi="Arial" w:cs="Arial"/>
                          <w:b/>
                          <w:bCs/>
                        </w:rPr>
                        <w:t>2524789</w:t>
                      </w:r>
                    </w:p>
                    <w:p w14:paraId="5259E049" w14:textId="77777777" w:rsidR="00DB7B3A" w:rsidRDefault="004468F8" w:rsidP="00DB7B3A">
                      <w:pPr>
                        <w:widowControl w:val="0"/>
                        <w:autoSpaceDE w:val="0"/>
                        <w:autoSpaceDN w:val="0"/>
                        <w:adjustRightInd w:val="0"/>
                        <w:spacing w:after="0" w:line="252" w:lineRule="exact"/>
                        <w:rPr>
                          <w:rFonts w:ascii="Arial" w:hAnsi="Arial" w:cs="Arial"/>
                        </w:rPr>
                      </w:pPr>
                      <w:r>
                        <w:rPr>
                          <w:color w:val="404040"/>
                          <w:sz w:val="36"/>
                        </w:rPr>
                        <w:t xml:space="preserve">Lecturer’s Name: </w:t>
                      </w:r>
                      <w:r w:rsidR="00DB7B3A">
                        <w:rPr>
                          <w:rFonts w:ascii="Arial" w:hAnsi="Arial" w:cs="Arial"/>
                          <w:b/>
                          <w:bCs/>
                          <w:color w:val="000000"/>
                          <w:sz w:val="22"/>
                          <w:szCs w:val="22"/>
                        </w:rPr>
                        <w:t>Muhammad Aliyu</w:t>
                      </w:r>
                    </w:p>
                    <w:p w14:paraId="1B5CC7E7" w14:textId="5CFE3E70" w:rsidR="00B16875" w:rsidRDefault="00B16875" w:rsidP="00B16875">
                      <w:pPr>
                        <w:widowControl w:val="0"/>
                        <w:autoSpaceDE w:val="0"/>
                        <w:autoSpaceDN w:val="0"/>
                        <w:adjustRightInd w:val="0"/>
                        <w:spacing w:after="0" w:line="416" w:lineRule="auto"/>
                        <w:rPr>
                          <w:rFonts w:ascii="Arial" w:hAnsi="Arial" w:cs="Arial"/>
                        </w:rPr>
                      </w:pPr>
                    </w:p>
                    <w:p w14:paraId="7FD974AA" w14:textId="516DB498" w:rsidR="00B16875" w:rsidRPr="00FC69F3" w:rsidRDefault="00B16875" w:rsidP="00B16875">
                      <w:pPr>
                        <w:widowControl w:val="0"/>
                        <w:autoSpaceDE w:val="0"/>
                        <w:autoSpaceDN w:val="0"/>
                        <w:adjustRightInd w:val="0"/>
                        <w:spacing w:after="0" w:line="276" w:lineRule="auto"/>
                        <w:rPr>
                          <w:rFonts w:ascii="Arial" w:hAnsi="Arial" w:cs="Arial"/>
                        </w:rPr>
                      </w:pPr>
                    </w:p>
                    <w:p w14:paraId="7CAF91B5" w14:textId="545DABBF" w:rsidR="00530E16" w:rsidRDefault="00530E16">
                      <w:pPr>
                        <w:spacing w:before="120" w:line="277" w:lineRule="auto"/>
                        <w:textDirection w:val="btLr"/>
                      </w:pPr>
                    </w:p>
                  </w:txbxContent>
                </v:textbox>
                <w10:wrap anchorx="page" anchory="page"/>
              </v:rect>
            </w:pict>
          </mc:Fallback>
        </mc:AlternateContent>
      </w:r>
      <w:r w:rsidRPr="00C61B18">
        <w:rPr>
          <w:rFonts w:ascii="Arial" w:hAnsi="Arial" w:cs="Arial"/>
          <w:sz w:val="22"/>
          <w:szCs w:val="22"/>
        </w:rPr>
        <w:br w:type="page"/>
      </w:r>
    </w:p>
    <w:p w14:paraId="79E9AE98" w14:textId="77777777" w:rsidR="00530E16" w:rsidRPr="00C61B18" w:rsidRDefault="00530E16" w:rsidP="00B16875">
      <w:pPr>
        <w:spacing w:line="276" w:lineRule="auto"/>
        <w:rPr>
          <w:rFonts w:ascii="Arial" w:eastAsia="Arial" w:hAnsi="Arial" w:cs="Arial"/>
          <w:sz w:val="22"/>
          <w:szCs w:val="22"/>
        </w:rPr>
      </w:pPr>
    </w:p>
    <w:p w14:paraId="14DC05BE" w14:textId="77777777" w:rsidR="00530E16" w:rsidRPr="00C61B18" w:rsidRDefault="004468F8" w:rsidP="00B16875">
      <w:pPr>
        <w:keepNext/>
        <w:keepLines/>
        <w:pBdr>
          <w:top w:val="nil"/>
          <w:left w:val="nil"/>
          <w:bottom w:val="nil"/>
          <w:right w:val="nil"/>
          <w:between w:val="nil"/>
        </w:pBdr>
        <w:spacing w:before="240" w:after="0" w:line="276" w:lineRule="auto"/>
        <w:rPr>
          <w:rFonts w:ascii="Arial" w:eastAsia="Play" w:hAnsi="Arial" w:cs="Arial"/>
          <w:sz w:val="22"/>
          <w:szCs w:val="22"/>
        </w:rPr>
      </w:pPr>
      <w:r w:rsidRPr="00C61B18">
        <w:rPr>
          <w:rFonts w:ascii="Arial" w:eastAsia="Play" w:hAnsi="Arial" w:cs="Arial"/>
          <w:sz w:val="22"/>
          <w:szCs w:val="22"/>
        </w:rPr>
        <w:t>Table of Contents</w:t>
      </w:r>
    </w:p>
    <w:p w14:paraId="14099C54" w14:textId="76D25D9B" w:rsidR="00530E16" w:rsidRPr="00C61B18" w:rsidRDefault="00530E16" w:rsidP="00DB7B3A">
      <w:pPr>
        <w:pStyle w:val="TOC1"/>
        <w:tabs>
          <w:tab w:val="right" w:leader="dot" w:pos="9016"/>
        </w:tabs>
        <w:spacing w:line="276" w:lineRule="auto"/>
        <w:rPr>
          <w:rFonts w:ascii="Arial" w:hAnsi="Arial" w:cs="Arial"/>
          <w:sz w:val="22"/>
          <w:szCs w:val="22"/>
        </w:rPr>
      </w:pPr>
    </w:p>
    <w:p w14:paraId="7F5DFAD1" w14:textId="1DFB2EAD" w:rsidR="00DB7B3A" w:rsidRPr="00C61B18" w:rsidRDefault="00DB7B3A" w:rsidP="00DB7B3A">
      <w:pPr>
        <w:rPr>
          <w:rFonts w:ascii="Arial" w:hAnsi="Arial" w:cs="Arial"/>
          <w:sz w:val="22"/>
          <w:szCs w:val="22"/>
        </w:rPr>
      </w:pPr>
      <w:r w:rsidRPr="00C61B18">
        <w:rPr>
          <w:rFonts w:ascii="Arial" w:hAnsi="Arial" w:cs="Arial"/>
          <w:sz w:val="22"/>
          <w:szCs w:val="22"/>
        </w:rPr>
        <w:t>Poster</w:t>
      </w:r>
    </w:p>
    <w:p w14:paraId="2329B94F" w14:textId="4D2ECBF6" w:rsidR="00DB7B3A" w:rsidRPr="00C61B18" w:rsidRDefault="006A6BA7" w:rsidP="006A6BA7">
      <w:pPr>
        <w:spacing w:line="276" w:lineRule="auto"/>
        <w:rPr>
          <w:rFonts w:ascii="Arial" w:eastAsia="Arial" w:hAnsi="Arial" w:cs="Arial"/>
          <w:sz w:val="22"/>
          <w:szCs w:val="22"/>
        </w:rPr>
      </w:pPr>
      <w:r w:rsidRPr="00C61B18">
        <w:rPr>
          <w:rFonts w:ascii="Arial" w:hAnsi="Arial" w:cs="Arial"/>
          <w:sz w:val="22"/>
          <w:szCs w:val="22"/>
        </w:rPr>
        <w:t>Task 2: Domiciliary Care Services within the Community</w:t>
      </w:r>
    </w:p>
    <w:p w14:paraId="0A54D60E" w14:textId="0617A8BD" w:rsidR="00DB7B3A" w:rsidRPr="00C61B18" w:rsidRDefault="00DB7B3A" w:rsidP="00DB7B3A">
      <w:pPr>
        <w:rPr>
          <w:rFonts w:ascii="Arial" w:hAnsi="Arial" w:cs="Arial"/>
          <w:sz w:val="22"/>
          <w:szCs w:val="22"/>
        </w:rPr>
      </w:pPr>
      <w:r w:rsidRPr="00C61B18">
        <w:rPr>
          <w:rFonts w:ascii="Arial" w:hAnsi="Arial" w:cs="Arial"/>
          <w:sz w:val="22"/>
          <w:szCs w:val="22"/>
        </w:rPr>
        <w:t>References</w:t>
      </w:r>
    </w:p>
    <w:p w14:paraId="4FBF0C2B" w14:textId="77777777" w:rsidR="00530E16" w:rsidRPr="00C61B18" w:rsidRDefault="00530E16" w:rsidP="00B16875">
      <w:pPr>
        <w:spacing w:line="276" w:lineRule="auto"/>
        <w:rPr>
          <w:rFonts w:ascii="Arial" w:eastAsia="Arial" w:hAnsi="Arial" w:cs="Arial"/>
          <w:sz w:val="22"/>
          <w:szCs w:val="22"/>
        </w:rPr>
      </w:pPr>
    </w:p>
    <w:p w14:paraId="6F42BCAA" w14:textId="77777777" w:rsidR="00530E16" w:rsidRPr="00C61B18" w:rsidRDefault="00530E16" w:rsidP="00B16875">
      <w:pPr>
        <w:spacing w:line="276" w:lineRule="auto"/>
        <w:rPr>
          <w:rFonts w:ascii="Arial" w:eastAsia="Arial" w:hAnsi="Arial" w:cs="Arial"/>
          <w:sz w:val="22"/>
          <w:szCs w:val="22"/>
        </w:rPr>
      </w:pPr>
    </w:p>
    <w:p w14:paraId="6E4CA6F0" w14:textId="77777777" w:rsidR="00530E16" w:rsidRPr="00C61B18" w:rsidRDefault="00530E16" w:rsidP="00B16875">
      <w:pPr>
        <w:spacing w:line="276" w:lineRule="auto"/>
        <w:rPr>
          <w:rFonts w:ascii="Arial" w:eastAsia="Arial" w:hAnsi="Arial" w:cs="Arial"/>
          <w:sz w:val="22"/>
          <w:szCs w:val="22"/>
        </w:rPr>
      </w:pPr>
    </w:p>
    <w:p w14:paraId="0DAD35A9" w14:textId="77777777" w:rsidR="00530E16" w:rsidRPr="00C61B18" w:rsidRDefault="00530E16" w:rsidP="00B16875">
      <w:pPr>
        <w:spacing w:line="276" w:lineRule="auto"/>
        <w:rPr>
          <w:rFonts w:ascii="Arial" w:eastAsia="Arial" w:hAnsi="Arial" w:cs="Arial"/>
          <w:sz w:val="22"/>
          <w:szCs w:val="22"/>
        </w:rPr>
      </w:pPr>
    </w:p>
    <w:p w14:paraId="48F03A3C" w14:textId="77777777" w:rsidR="00530E16" w:rsidRPr="00C61B18" w:rsidRDefault="00530E16" w:rsidP="00B16875">
      <w:pPr>
        <w:spacing w:line="276" w:lineRule="auto"/>
        <w:rPr>
          <w:rFonts w:ascii="Arial" w:eastAsia="Arial" w:hAnsi="Arial" w:cs="Arial"/>
          <w:sz w:val="22"/>
          <w:szCs w:val="22"/>
        </w:rPr>
      </w:pPr>
    </w:p>
    <w:p w14:paraId="42F6DF39" w14:textId="77777777" w:rsidR="00530E16" w:rsidRPr="00C61B18" w:rsidRDefault="00530E16" w:rsidP="00B16875">
      <w:pPr>
        <w:spacing w:line="276" w:lineRule="auto"/>
        <w:rPr>
          <w:rFonts w:ascii="Arial" w:eastAsia="Arial" w:hAnsi="Arial" w:cs="Arial"/>
          <w:sz w:val="22"/>
          <w:szCs w:val="22"/>
        </w:rPr>
      </w:pPr>
    </w:p>
    <w:p w14:paraId="13DE55DE" w14:textId="77777777" w:rsidR="00530E16" w:rsidRPr="00C61B18" w:rsidRDefault="00530E16" w:rsidP="00B16875">
      <w:pPr>
        <w:spacing w:line="276" w:lineRule="auto"/>
        <w:rPr>
          <w:rFonts w:ascii="Arial" w:eastAsia="Arial" w:hAnsi="Arial" w:cs="Arial"/>
          <w:sz w:val="22"/>
          <w:szCs w:val="22"/>
        </w:rPr>
      </w:pPr>
    </w:p>
    <w:p w14:paraId="5390D60D" w14:textId="77777777" w:rsidR="00530E16" w:rsidRPr="00C61B18" w:rsidRDefault="00530E16" w:rsidP="00B16875">
      <w:pPr>
        <w:spacing w:line="276" w:lineRule="auto"/>
        <w:rPr>
          <w:rFonts w:ascii="Arial" w:eastAsia="Arial" w:hAnsi="Arial" w:cs="Arial"/>
          <w:sz w:val="22"/>
          <w:szCs w:val="22"/>
        </w:rPr>
      </w:pPr>
    </w:p>
    <w:p w14:paraId="49B24AC9" w14:textId="77777777" w:rsidR="002A1842" w:rsidRPr="00C61B18" w:rsidRDefault="002A1842" w:rsidP="00B16875">
      <w:pPr>
        <w:spacing w:line="276" w:lineRule="auto"/>
        <w:rPr>
          <w:rFonts w:ascii="Arial" w:eastAsia="Arial" w:hAnsi="Arial" w:cs="Arial"/>
          <w:sz w:val="22"/>
          <w:szCs w:val="22"/>
        </w:rPr>
      </w:pPr>
    </w:p>
    <w:p w14:paraId="5874B17B" w14:textId="687E2084" w:rsidR="00DB7B3A" w:rsidRPr="00C61B18" w:rsidRDefault="00DB7B3A" w:rsidP="00B16875">
      <w:pPr>
        <w:spacing w:line="276" w:lineRule="auto"/>
        <w:rPr>
          <w:rFonts w:ascii="Arial" w:eastAsia="Arial" w:hAnsi="Arial" w:cs="Arial"/>
          <w:sz w:val="22"/>
          <w:szCs w:val="22"/>
        </w:rPr>
        <w:sectPr w:rsidR="00DB7B3A" w:rsidRPr="00C61B18">
          <w:footerReference w:type="default" r:id="rId9"/>
          <w:pgSz w:w="11906" w:h="16838"/>
          <w:pgMar w:top="1440" w:right="1440" w:bottom="1440" w:left="1440" w:header="708" w:footer="708" w:gutter="0"/>
          <w:pgNumType w:start="0"/>
          <w:cols w:space="720"/>
          <w:titlePg/>
        </w:sectPr>
      </w:pPr>
    </w:p>
    <w:p w14:paraId="0EC824D6" w14:textId="56B9044A" w:rsidR="00DB7B3A" w:rsidRPr="00C61B18" w:rsidRDefault="00773959" w:rsidP="00DB7B3A">
      <w:pPr>
        <w:pStyle w:val="NormalWeb"/>
        <w:jc w:val="center"/>
        <w:rPr>
          <w:rFonts w:ascii="Arial" w:hAnsi="Arial" w:cs="Arial"/>
          <w:i/>
          <w:iCs/>
          <w:sz w:val="22"/>
          <w:szCs w:val="22"/>
        </w:rPr>
      </w:pPr>
      <w:r w:rsidRPr="00C61B18">
        <w:rPr>
          <w:rFonts w:ascii="Arial" w:eastAsia="Arial" w:hAnsi="Arial" w:cs="Arial"/>
          <w:noProof/>
          <w:sz w:val="22"/>
          <w:szCs w:val="22"/>
        </w:rPr>
        <w:lastRenderedPageBreak/>
        <mc:AlternateContent>
          <mc:Choice Requires="wps">
            <w:drawing>
              <wp:anchor distT="45720" distB="45720" distL="114300" distR="114300" simplePos="0" relativeHeight="251670528" behindDoc="0" locked="0" layoutInCell="1" allowOverlap="1" wp14:anchorId="430120F7" wp14:editId="672FADA8">
                <wp:simplePos x="0" y="0"/>
                <wp:positionH relativeFrom="page">
                  <wp:posOffset>7834630</wp:posOffset>
                </wp:positionH>
                <wp:positionV relativeFrom="paragraph">
                  <wp:posOffset>387350</wp:posOffset>
                </wp:positionV>
                <wp:extent cx="2829560" cy="3575050"/>
                <wp:effectExtent l="0" t="0" r="279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9560" cy="3575050"/>
                        </a:xfrm>
                        <a:prstGeom prst="rect">
                          <a:avLst/>
                        </a:prstGeom>
                        <a:solidFill>
                          <a:srgbClr val="FFFFFF"/>
                        </a:solidFill>
                        <a:ln w="9525">
                          <a:solidFill>
                            <a:srgbClr val="000000"/>
                          </a:solidFill>
                          <a:miter lim="800000"/>
                          <a:headEnd/>
                          <a:tailEnd/>
                        </a:ln>
                      </wps:spPr>
                      <wps:txbx>
                        <w:txbxContent>
                          <w:p w14:paraId="7A1F8104" w14:textId="04A4BA65" w:rsidR="00773959" w:rsidRDefault="00773959">
                            <w:r>
                              <w:rPr>
                                <w:rFonts w:ascii="Arial" w:eastAsia="Arial" w:hAnsi="Arial" w:cs="Arial"/>
                                <w:noProof/>
                                <w:sz w:val="22"/>
                                <w:szCs w:val="22"/>
                              </w:rPr>
                              <w:drawing>
                                <wp:inline distT="0" distB="0" distL="0" distR="0" wp14:anchorId="5436F74F" wp14:editId="68F2F38B">
                                  <wp:extent cx="2637790" cy="3517437"/>
                                  <wp:effectExtent l="0" t="0" r="0"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10">
                                            <a:extLst>
                                              <a:ext uri="{28A0092B-C50C-407E-A947-70E740481C1C}">
                                                <a14:useLocalDpi xmlns:a14="http://schemas.microsoft.com/office/drawing/2010/main" val="0"/>
                                              </a:ext>
                                            </a:extLst>
                                          </a:blip>
                                          <a:stretch>
                                            <a:fillRect/>
                                          </a:stretch>
                                        </pic:blipFill>
                                        <pic:spPr>
                                          <a:xfrm>
                                            <a:off x="0" y="0"/>
                                            <a:ext cx="2637790" cy="351743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0120F7" id="_x0000_t202" coordsize="21600,21600" o:spt="202" path="m,l,21600r21600,l21600,xe">
                <v:stroke joinstyle="miter"/>
                <v:path gradientshapeok="t" o:connecttype="rect"/>
              </v:shapetype>
              <v:shape id="Text Box 2" o:spid="_x0000_s1057" type="#_x0000_t202" style="position:absolute;left:0;text-align:left;margin-left:616.9pt;margin-top:30.5pt;width:222.8pt;height:281.5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">
                <v:textbox>
                  <w:txbxContent>
                    <w:p w14:paraId="7A1F8104" w14:textId="04A4BA65" w:rsidR="00773959" w:rsidRDefault="00773959">
                      <w:r>
                        <w:rPr>
                          <w:rFonts w:ascii="Arial" w:eastAsia="Arial" w:hAnsi="Arial" w:cs="Arial"/>
                          <w:noProof/>
                          <w:sz w:val="22"/>
                          <w:szCs w:val="22"/>
                        </w:rPr>
                        <w:drawing>
                          <wp:inline distT="0" distB="0" distL="0" distR="0" wp14:anchorId="5436F74F" wp14:editId="68F2F38B">
                            <wp:extent cx="2637790" cy="3517437"/>
                            <wp:effectExtent l="0" t="0" r="0"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10">
                                      <a:extLst>
                                        <a:ext uri="{28A0092B-C50C-407E-A947-70E740481C1C}">
                                          <a14:useLocalDpi xmlns:a14="http://schemas.microsoft.com/office/drawing/2010/main" val="0"/>
                                        </a:ext>
                                      </a:extLst>
                                    </a:blip>
                                    <a:stretch>
                                      <a:fillRect/>
                                    </a:stretch>
                                  </pic:blipFill>
                                  <pic:spPr>
                                    <a:xfrm>
                                      <a:off x="0" y="0"/>
                                      <a:ext cx="2637790" cy="3517437"/>
                                    </a:xfrm>
                                    <a:prstGeom prst="rect">
                                      <a:avLst/>
                                    </a:prstGeom>
                                  </pic:spPr>
                                </pic:pic>
                              </a:graphicData>
                            </a:graphic>
                          </wp:inline>
                        </w:drawing>
                      </w:r>
                    </w:p>
                  </w:txbxContent>
                </v:textbox>
                <w10:wrap type="square" anchorx="page"/>
              </v:shape>
            </w:pict>
          </mc:Fallback>
        </mc:AlternateContent>
      </w:r>
      <w:r w:rsidRPr="00C61B18">
        <w:rPr>
          <w:rFonts w:ascii="Arial" w:hAnsi="Arial" w:cs="Arial"/>
          <w:noProof/>
          <w:sz w:val="22"/>
          <w:szCs w:val="22"/>
        </w:rPr>
        <mc:AlternateContent>
          <mc:Choice Requires="wpg">
            <w:drawing>
              <wp:anchor distT="0" distB="0" distL="228600" distR="228600" simplePos="0" relativeHeight="251662336" behindDoc="0" locked="0" layoutInCell="1" allowOverlap="1" wp14:anchorId="0F540A90" wp14:editId="0BCA43BE">
                <wp:simplePos x="0" y="0"/>
                <wp:positionH relativeFrom="page">
                  <wp:align>left</wp:align>
                </wp:positionH>
                <wp:positionV relativeFrom="page">
                  <wp:posOffset>1270000</wp:posOffset>
                </wp:positionV>
                <wp:extent cx="3218271" cy="2423395"/>
                <wp:effectExtent l="0" t="0" r="0" b="0"/>
                <wp:wrapSquare wrapText="bothSides"/>
                <wp:docPr id="173" name="Group 173"/>
                <wp:cNvGraphicFramePr/>
                <a:graphic xmlns:a="http://schemas.openxmlformats.org/drawingml/2006/main">
                  <a:graphicData uri="http://schemas.microsoft.com/office/word/2010/wordprocessingGroup">
                    <wpg:wgp>
                      <wpg:cNvGrpSpPr/>
                      <wpg:grpSpPr>
                        <a:xfrm>
                          <a:off x="0" y="0"/>
                          <a:ext cx="3218271" cy="2423395"/>
                          <a:chOff x="-3733947" y="-1472210"/>
                          <a:chExt cx="3218688" cy="2422115"/>
                        </a:xfrm>
                      </wpg:grpSpPr>
                      <wps:wsp>
                        <wps:cNvPr id="174" name="Rectangle 174"/>
                        <wps:cNvSpPr/>
                        <wps:spPr>
                          <a:xfrm>
                            <a:off x="-3733947" y="-1078861"/>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3733612" y="-1370777"/>
                            <a:ext cx="2386092" cy="1035184"/>
                            <a:chOff x="-2214943" y="-1710556"/>
                            <a:chExt cx="1561629" cy="1274072"/>
                          </a:xfrm>
                        </wpg:grpSpPr>
                        <wps:wsp>
                          <wps:cNvPr id="176" name="Rectangle 10"/>
                          <wps:cNvSpPr/>
                          <wps:spPr>
                            <a:xfrm>
                              <a:off x="-2119572" y="-1710556"/>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14943" y="-1460612"/>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3587923" y="-1472210"/>
                            <a:ext cx="2981076" cy="18646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F4EC6D" w14:textId="32BD487B" w:rsidR="00DB7B3A" w:rsidRPr="006A6BA7" w:rsidRDefault="00DB7B3A" w:rsidP="00DB7B3A">
                              <w:pPr>
                                <w:pStyle w:val="Heading2"/>
                                <w:rPr>
                                  <w:rFonts w:ascii="Arial" w:hAnsi="Arial" w:cs="Arial"/>
                                  <w:b/>
                                  <w:bCs/>
                                  <w:color w:val="auto"/>
                                  <w:sz w:val="22"/>
                                  <w:szCs w:val="22"/>
                                </w:rPr>
                              </w:pPr>
                              <w:r w:rsidRPr="006A6BA7">
                                <w:rPr>
                                  <w:rFonts w:ascii="Arial" w:hAnsi="Arial" w:cs="Arial"/>
                                  <w:b/>
                                  <w:bCs/>
                                  <w:color w:val="auto"/>
                                  <w:sz w:val="22"/>
                                  <w:szCs w:val="22"/>
                                </w:rPr>
                                <w:t>What are community pharmacy services?</w:t>
                              </w:r>
                            </w:p>
                            <w:p w14:paraId="5292499B" w14:textId="3B00E8FF" w:rsidR="00DB7B3A" w:rsidRPr="00773959" w:rsidRDefault="00DB7B3A" w:rsidP="00773959">
                              <w:pPr>
                                <w:pStyle w:val="NormalWeb"/>
                                <w:rPr>
                                  <w:rFonts w:ascii="Arial" w:hAnsi="Arial" w:cs="Arial"/>
                                  <w:sz w:val="22"/>
                                  <w:szCs w:val="22"/>
                                </w:rPr>
                              </w:pPr>
                              <w:r w:rsidRPr="00773959">
                                <w:rPr>
                                  <w:rFonts w:ascii="Arial" w:hAnsi="Arial" w:cs="Arial"/>
                                  <w:sz w:val="22"/>
                                  <w:szCs w:val="22"/>
                                </w:rPr>
                                <w:t>Community pharmacies are accessible primary healthcare providers that supply prescribed medicines, offer clinical advice and deliver NHS-funded services. Most are independent businesses contracted to provide services for the NHS rather than being directly owned by it (NHSBSA, 2025).</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F540A90" id="Group 173" o:spid="_x0000_s1058" style="position:absolute;left:0;text-align:left;margin-left:0;margin-top:100pt;width:253.4pt;height:190.8pt;z-index:251662336;mso-wrap-distance-left:18pt;mso-wrap-distance-right:18pt;mso-position-horizontal:left;mso-position-horizontal-relative:page;mso-position-vertical-relative:page;mso-width-relative:margin;mso-height-relative:margin" coordorigin="-37339,-14722" coordsize="32186,24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">
                <v:rect id="Rectangle 174" o:spid="_x0000_s1059" style="position:absolute;left:-37339;top:-10788;width:32187;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60" style="position:absolute;left:-37336;top:-13707;width:23861;height:10352" coordorigin="-22149,-17105" coordsize="15616,12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61" style="position:absolute;left:-21195;top:-17105;width:14662;height:10123;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1466258,0;1085979,274158;0,1012274;0,0" o:connectangles="0,0,0,0,0"/>
                  </v:shape>
                  <v:rect id="Rectangle 177" o:spid="_x0000_s1062" style="position:absolute;left:-22149;top:-14606;width:14722;height:10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2" o:title="" recolor="t" rotate="t" type="frame"/>
                  </v:rect>
                </v:group>
                <v:shape id="Text Box 178" o:spid="_x0000_s1063" type="#_x0000_t202" style="position:absolute;left:-35879;top:-14722;width:29811;height:186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" filled="f" stroked="f" strokeweight=".5pt">
                  <v:textbox style="mso-fit-shape-to-text:t" inset="3.6pt,7.2pt,0,0">
                    <w:txbxContent>
                      <w:p w14:paraId="3CF4EC6D" w14:textId="32BD487B" w:rsidR="00DB7B3A" w:rsidRPr="006A6BA7" w:rsidRDefault="00DB7B3A" w:rsidP="00DB7B3A">
                        <w:pPr>
                          <w:pStyle w:val="Heading2"/>
                          <w:rPr>
                            <w:rFonts w:ascii="Arial" w:hAnsi="Arial" w:cs="Arial"/>
                            <w:b/>
                            <w:bCs/>
                            <w:color w:val="auto"/>
                            <w:sz w:val="22"/>
                            <w:szCs w:val="22"/>
                          </w:rPr>
                        </w:pPr>
                        <w:r w:rsidRPr="006A6BA7">
                          <w:rPr>
                            <w:rFonts w:ascii="Arial" w:hAnsi="Arial" w:cs="Arial"/>
                            <w:b/>
                            <w:bCs/>
                            <w:color w:val="auto"/>
                            <w:sz w:val="22"/>
                            <w:szCs w:val="22"/>
                          </w:rPr>
                          <w:t>What are community pharmacy services?</w:t>
                        </w:r>
                      </w:p>
                      <w:p w14:paraId="5292499B" w14:textId="3B00E8FF" w:rsidR="00DB7B3A" w:rsidRPr="00773959" w:rsidRDefault="00DB7B3A" w:rsidP="00773959">
                        <w:pPr>
                          <w:pStyle w:val="NormalWeb"/>
                          <w:rPr>
                            <w:rFonts w:ascii="Arial" w:hAnsi="Arial" w:cs="Arial"/>
                            <w:sz w:val="22"/>
                            <w:szCs w:val="22"/>
                          </w:rPr>
                        </w:pPr>
                        <w:r w:rsidRPr="00773959">
                          <w:rPr>
                            <w:rFonts w:ascii="Arial" w:hAnsi="Arial" w:cs="Arial"/>
                            <w:sz w:val="22"/>
                            <w:szCs w:val="22"/>
                          </w:rPr>
                          <w:t>Community pharmacies are accessible primary healthcare providers that supply prescribed medicines, offer clinical advice and deliver NHS-funded services. Most are independent businesses contracted to provide services for the NHS rather than being directly owned by it (NHSBSA, 2025).</w:t>
                        </w:r>
                      </w:p>
                    </w:txbxContent>
                  </v:textbox>
                </v:shape>
                <w10:wrap type="square" anchorx="page" anchory="page"/>
              </v:group>
            </w:pict>
          </mc:Fallback>
        </mc:AlternateContent>
      </w:r>
      <w:r w:rsidRPr="00C61B18">
        <w:rPr>
          <w:rFonts w:ascii="Arial" w:eastAsia="Arial" w:hAnsi="Arial" w:cs="Arial"/>
          <w:noProof/>
          <w:sz w:val="22"/>
          <w:szCs w:val="22"/>
        </w:rPr>
        <mc:AlternateContent>
          <mc:Choice Requires="wpg">
            <w:drawing>
              <wp:anchor distT="0" distB="0" distL="228600" distR="228600" simplePos="0" relativeHeight="251668480" behindDoc="0" locked="0" layoutInCell="1" allowOverlap="1" wp14:anchorId="36F1EFF2" wp14:editId="35391817">
                <wp:simplePos x="0" y="0"/>
                <wp:positionH relativeFrom="page">
                  <wp:posOffset>4533900</wp:posOffset>
                </wp:positionH>
                <wp:positionV relativeFrom="page">
                  <wp:posOffset>1200150</wp:posOffset>
                </wp:positionV>
                <wp:extent cx="3218180" cy="6087745"/>
                <wp:effectExtent l="0" t="0" r="0" b="8255"/>
                <wp:wrapSquare wrapText="bothSides"/>
                <wp:docPr id="34" name="Group 34"/>
                <wp:cNvGraphicFramePr/>
                <a:graphic xmlns:a="http://schemas.openxmlformats.org/drawingml/2006/main">
                  <a:graphicData uri="http://schemas.microsoft.com/office/word/2010/wordprocessingGroup">
                    <wpg:wgp>
                      <wpg:cNvGrpSpPr/>
                      <wpg:grpSpPr>
                        <a:xfrm>
                          <a:off x="0" y="0"/>
                          <a:ext cx="3218180" cy="6087745"/>
                          <a:chOff x="0" y="-155290"/>
                          <a:chExt cx="3218688" cy="6084140"/>
                        </a:xfrm>
                      </wpg:grpSpPr>
                      <wps:wsp>
                        <wps:cNvPr id="36" name="Rectangle 36"/>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7" name="Group 37"/>
                        <wpg:cNvGrpSpPr/>
                        <wpg:grpSpPr>
                          <a:xfrm>
                            <a:off x="0" y="19050"/>
                            <a:ext cx="2249424" cy="832104"/>
                            <a:chOff x="228600" y="0"/>
                            <a:chExt cx="1472184" cy="1024128"/>
                          </a:xfrm>
                        </wpg:grpSpPr>
                        <wps:wsp>
                          <wps:cNvPr id="38"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Rectangle 39"/>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0" name="Text Box 40"/>
                        <wps:cNvSpPr txBox="1"/>
                        <wps:spPr>
                          <a:xfrm>
                            <a:off x="34860" y="-155290"/>
                            <a:ext cx="2979890" cy="6084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708CE" w14:textId="18B25E1F" w:rsidR="00773959" w:rsidRPr="006A6BA7" w:rsidRDefault="00773959" w:rsidP="00773959">
                              <w:pPr>
                                <w:pStyle w:val="Heading2"/>
                                <w:spacing w:line="240" w:lineRule="auto"/>
                                <w:rPr>
                                  <w:b/>
                                  <w:bCs/>
                                  <w:color w:val="auto"/>
                                  <w:sz w:val="22"/>
                                  <w:szCs w:val="22"/>
                                </w:rPr>
                              </w:pPr>
                              <w:r w:rsidRPr="006A6BA7">
                                <w:rPr>
                                  <w:b/>
                                  <w:bCs/>
                                  <w:color w:val="auto"/>
                                  <w:sz w:val="22"/>
                                  <w:szCs w:val="22"/>
                                </w:rPr>
                                <w:t>How did the service develop?</w:t>
                              </w:r>
                            </w:p>
                            <w:p w14:paraId="71198D44" w14:textId="77777777" w:rsidR="00773959" w:rsidRPr="00773959" w:rsidRDefault="00773959" w:rsidP="00773959">
                              <w:pPr>
                                <w:pStyle w:val="NormalWeb"/>
                                <w:rPr>
                                  <w:sz w:val="22"/>
                                  <w:szCs w:val="22"/>
                                </w:rPr>
                              </w:pPr>
                              <w:r w:rsidRPr="00773959">
                                <w:rPr>
                                  <w:rStyle w:val="Strong"/>
                                  <w:rFonts w:eastAsiaTheme="majorEastAsia"/>
                                  <w:sz w:val="22"/>
                                  <w:szCs w:val="22"/>
                                </w:rPr>
                                <w:t>1948 – The NHS was established</w:t>
                              </w:r>
                              <w:r w:rsidRPr="00773959">
                                <w:rPr>
                                  <w:sz w:val="22"/>
                                  <w:szCs w:val="22"/>
                                </w:rPr>
                                <w:br/>
                                <w:t>Access to NHS prescriptions significantly increased dispensing activity and transformed community pharmacies into an important part of the new health system (Anderson, 2007).</w:t>
                              </w:r>
                            </w:p>
                            <w:p w14:paraId="7C4D6003" w14:textId="77777777" w:rsidR="00773959" w:rsidRPr="00773959" w:rsidRDefault="00773959" w:rsidP="00773959">
                              <w:pPr>
                                <w:pStyle w:val="NormalWeb"/>
                                <w:rPr>
                                  <w:sz w:val="22"/>
                                  <w:szCs w:val="22"/>
                                </w:rPr>
                              </w:pPr>
                              <w:r w:rsidRPr="00773959">
                                <w:rPr>
                                  <w:rStyle w:val="Strong"/>
                                  <w:rFonts w:eastAsiaTheme="majorEastAsia"/>
                                  <w:sz w:val="22"/>
                                  <w:szCs w:val="22"/>
                                </w:rPr>
                                <w:t>1968 – Medicines Act</w:t>
                              </w:r>
                              <w:r w:rsidRPr="00773959">
                                <w:rPr>
                                  <w:sz w:val="22"/>
                                  <w:szCs w:val="22"/>
                                </w:rPr>
                                <w:br/>
                                <w:t>The Medicines Act 1968 introduced stronger controls over the manufacture, licensing, sale and supply of medicines, improving protection for patients (UK Parliament, 1968).</w:t>
                              </w:r>
                            </w:p>
                            <w:p w14:paraId="3F694C19" w14:textId="77777777" w:rsidR="00773959" w:rsidRPr="00773959" w:rsidRDefault="00773959" w:rsidP="00773959">
                              <w:pPr>
                                <w:pStyle w:val="NormalWeb"/>
                                <w:rPr>
                                  <w:sz w:val="22"/>
                                  <w:szCs w:val="22"/>
                                </w:rPr>
                              </w:pPr>
                              <w:r w:rsidRPr="00773959">
                                <w:rPr>
                                  <w:rStyle w:val="Strong"/>
                                  <w:rFonts w:eastAsiaTheme="majorEastAsia"/>
                                  <w:sz w:val="22"/>
                                  <w:szCs w:val="22"/>
                                </w:rPr>
                                <w:t>2005 – New contractual framework</w:t>
                              </w:r>
                              <w:r w:rsidRPr="00773959">
                                <w:rPr>
                                  <w:sz w:val="22"/>
                                  <w:szCs w:val="22"/>
                                </w:rPr>
                                <w:br/>
                                <w:t>The Community Pharmacy Contractual Framework formally divided provision into essential, advanced and enhanced services. This encouraged pharmacies to expand beyond traditional dispensing into clinical and public health activities (Community Pharmacy England, 2025).</w:t>
                              </w:r>
                            </w:p>
                            <w:p w14:paraId="45994268" w14:textId="77777777" w:rsidR="00773959" w:rsidRPr="00773959" w:rsidRDefault="00773959" w:rsidP="00773959">
                              <w:pPr>
                                <w:pStyle w:val="NormalWeb"/>
                                <w:rPr>
                                  <w:sz w:val="22"/>
                                  <w:szCs w:val="22"/>
                                </w:rPr>
                              </w:pPr>
                              <w:r w:rsidRPr="00773959">
                                <w:rPr>
                                  <w:rStyle w:val="Strong"/>
                                  <w:rFonts w:eastAsiaTheme="majorEastAsia"/>
                                  <w:sz w:val="22"/>
                                  <w:szCs w:val="22"/>
                                </w:rPr>
                                <w:t>2019 – Integration with primary care</w:t>
                              </w:r>
                              <w:r w:rsidRPr="00773959">
                                <w:rPr>
                                  <w:sz w:val="22"/>
                                  <w:szCs w:val="22"/>
                                </w:rPr>
                                <w:br/>
                                <w:t>A five-year framework promoted community pharmacy as the first point of contact for minor illness and health advice.</w:t>
                              </w:r>
                            </w:p>
                            <w:p w14:paraId="23957C21" w14:textId="77777777" w:rsidR="00773959" w:rsidRPr="00773959" w:rsidRDefault="00773959" w:rsidP="00773959">
                              <w:pPr>
                                <w:pStyle w:val="NormalWeb"/>
                                <w:rPr>
                                  <w:sz w:val="22"/>
                                  <w:szCs w:val="22"/>
                                </w:rPr>
                              </w:pPr>
                              <w:r w:rsidRPr="00773959">
                                <w:rPr>
                                  <w:rStyle w:val="Strong"/>
                                  <w:rFonts w:eastAsiaTheme="majorEastAsia"/>
                                  <w:sz w:val="22"/>
                                  <w:szCs w:val="22"/>
                                </w:rPr>
                                <w:t>2024 – Pharmacy First</w:t>
                              </w:r>
                              <w:r w:rsidRPr="00773959">
                                <w:rPr>
                                  <w:sz w:val="22"/>
                                  <w:szCs w:val="22"/>
                                </w:rPr>
                                <w:br/>
                                <w:t>Launched on 31 January 2024, Pharmacy First enabled pharmacists to assess and treat seven common conditions through NHS clinical pathways (NHS England, 2024).</w:t>
                              </w:r>
                            </w:p>
                            <w:p w14:paraId="70C8EBB5" w14:textId="195CD05E" w:rsidR="00DB7B3A" w:rsidRDefault="00DB7B3A">
                              <w:pPr>
                                <w:ind w:left="504"/>
                                <w:jc w:val="right"/>
                                <w:rPr>
                                  <w:smallCaps/>
                                  <w:color w:val="E97132" w:themeColor="accent2"/>
                                  <w:sz w:val="28"/>
                                </w:rPr>
                              </w:pPr>
                            </w:p>
                            <w:p w14:paraId="670775F6" w14:textId="178895FD" w:rsidR="00DB7B3A" w:rsidRDefault="00DB7B3A">
                              <w:pPr>
                                <w:pStyle w:val="NoSpacing"/>
                                <w:ind w:left="360"/>
                                <w:jc w:val="right"/>
                                <w:rPr>
                                  <w:color w:val="156082"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6F1EFF2" id="Group 34" o:spid="_x0000_s1064" style="position:absolute;left:0;text-align:left;margin-left:357pt;margin-top:94.5pt;width:253.4pt;height:479.35pt;z-index:251668480;mso-wrap-distance-left:18pt;mso-wrap-distance-right:18pt;mso-position-horizontal-relative:page;mso-position-vertical-relative:page;mso-width-relative:margin;mso-height-relative:margin" coordorigin=",-1552" coordsize="32186,608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">
                <v:rect id="Rectangle 36" o:spid="_x0000_s1065"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" fillcolor="white [3212]" stroked="f" strokeweight="1pt">
                  <v:fill opacity="0"/>
                </v:rect>
                <v:group id="Group 37" o:spid="_x0000_s1066"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shape id="Rectangle 10" o:spid="_x0000_s1067"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" path="m,l2240281,,1659256,222885,,822960,,xe" fillcolor="#156082 [3204]" stroked="f" strokeweight="1pt">
                    <v:stroke joinstyle="miter"/>
                    <v:path arrowok="t" o:connecttype="custom" o:connectlocs="0,0;1466258,0;1085979,274158;0,1012274;0,0" o:connectangles="0,0,0,0,0"/>
                  </v:shape>
                  <v:rect id="Rectangle 39" o:spid="_x0000_s1068"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" stroked="f" strokeweight="1pt">
                    <v:fill r:id="rId12" o:title="" recolor="t" rotate="t" type="frame"/>
                  </v:rect>
                </v:group>
                <v:shape id="Text Box 40" o:spid="_x0000_s1069" type="#_x0000_t202" style="position:absolute;left:348;top:-1552;width:29799;height:60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" filled="f" stroked="f" strokeweight=".5pt">
                  <v:textbox style="mso-fit-shape-to-text:t" inset="3.6pt,7.2pt,0,0">
                    <w:txbxContent>
                      <w:p w14:paraId="05F708CE" w14:textId="18B25E1F" w:rsidR="00773959" w:rsidRPr="006A6BA7" w:rsidRDefault="00773959" w:rsidP="00773959">
                        <w:pPr>
                          <w:pStyle w:val="Heading2"/>
                          <w:spacing w:line="240" w:lineRule="auto"/>
                          <w:rPr>
                            <w:b/>
                            <w:bCs/>
                            <w:color w:val="auto"/>
                            <w:sz w:val="22"/>
                            <w:szCs w:val="22"/>
                          </w:rPr>
                        </w:pPr>
                        <w:r w:rsidRPr="006A6BA7">
                          <w:rPr>
                            <w:b/>
                            <w:bCs/>
                            <w:color w:val="auto"/>
                            <w:sz w:val="22"/>
                            <w:szCs w:val="22"/>
                          </w:rPr>
                          <w:t>How did the service develop?</w:t>
                        </w:r>
                      </w:p>
                      <w:p w14:paraId="71198D44" w14:textId="77777777" w:rsidR="00773959" w:rsidRPr="00773959" w:rsidRDefault="00773959" w:rsidP="00773959">
                        <w:pPr>
                          <w:pStyle w:val="NormalWeb"/>
                          <w:rPr>
                            <w:sz w:val="22"/>
                            <w:szCs w:val="22"/>
                          </w:rPr>
                        </w:pPr>
                        <w:r w:rsidRPr="00773959">
                          <w:rPr>
                            <w:rStyle w:val="Strong"/>
                            <w:rFonts w:eastAsiaTheme="majorEastAsia"/>
                            <w:sz w:val="22"/>
                            <w:szCs w:val="22"/>
                          </w:rPr>
                          <w:t>1948 – The NHS was established</w:t>
                        </w:r>
                        <w:r w:rsidRPr="00773959">
                          <w:rPr>
                            <w:sz w:val="22"/>
                            <w:szCs w:val="22"/>
                          </w:rPr>
                          <w:br/>
                          <w:t>Access to NHS prescriptions significantly increased dispensing activity and transformed community pharmacies into an important part of the new health system (Anderson, 2007).</w:t>
                        </w:r>
                      </w:p>
                      <w:p w14:paraId="7C4D6003" w14:textId="77777777" w:rsidR="00773959" w:rsidRPr="00773959" w:rsidRDefault="00773959" w:rsidP="00773959">
                        <w:pPr>
                          <w:pStyle w:val="NormalWeb"/>
                          <w:rPr>
                            <w:sz w:val="22"/>
                            <w:szCs w:val="22"/>
                          </w:rPr>
                        </w:pPr>
                        <w:r w:rsidRPr="00773959">
                          <w:rPr>
                            <w:rStyle w:val="Strong"/>
                            <w:rFonts w:eastAsiaTheme="majorEastAsia"/>
                            <w:sz w:val="22"/>
                            <w:szCs w:val="22"/>
                          </w:rPr>
                          <w:t>1968 – Medicines Act</w:t>
                        </w:r>
                        <w:r w:rsidRPr="00773959">
                          <w:rPr>
                            <w:sz w:val="22"/>
                            <w:szCs w:val="22"/>
                          </w:rPr>
                          <w:br/>
                          <w:t>The Medicines Act 1968 introduced stronger controls over the manufacture, licensing, sale and supply of medicines, improving protection for patients (UK Parliament, 1968).</w:t>
                        </w:r>
                      </w:p>
                      <w:p w14:paraId="3F694C19" w14:textId="77777777" w:rsidR="00773959" w:rsidRPr="00773959" w:rsidRDefault="00773959" w:rsidP="00773959">
                        <w:pPr>
                          <w:pStyle w:val="NormalWeb"/>
                          <w:rPr>
                            <w:sz w:val="22"/>
                            <w:szCs w:val="22"/>
                          </w:rPr>
                        </w:pPr>
                        <w:r w:rsidRPr="00773959">
                          <w:rPr>
                            <w:rStyle w:val="Strong"/>
                            <w:rFonts w:eastAsiaTheme="majorEastAsia"/>
                            <w:sz w:val="22"/>
                            <w:szCs w:val="22"/>
                          </w:rPr>
                          <w:t>2005 – New contractual framework</w:t>
                        </w:r>
                        <w:r w:rsidRPr="00773959">
                          <w:rPr>
                            <w:sz w:val="22"/>
                            <w:szCs w:val="22"/>
                          </w:rPr>
                          <w:br/>
                          <w:t>The Community Pharmacy Contractual Framework formally divided provision into essential, advanced and enhanced services. This encouraged pharmacies to expand beyond traditional dispensing into clinical and public health activities (Community Pharmacy England, 2025).</w:t>
                        </w:r>
                      </w:p>
                      <w:p w14:paraId="45994268" w14:textId="77777777" w:rsidR="00773959" w:rsidRPr="00773959" w:rsidRDefault="00773959" w:rsidP="00773959">
                        <w:pPr>
                          <w:pStyle w:val="NormalWeb"/>
                          <w:rPr>
                            <w:sz w:val="22"/>
                            <w:szCs w:val="22"/>
                          </w:rPr>
                        </w:pPr>
                        <w:r w:rsidRPr="00773959">
                          <w:rPr>
                            <w:rStyle w:val="Strong"/>
                            <w:rFonts w:eastAsiaTheme="majorEastAsia"/>
                            <w:sz w:val="22"/>
                            <w:szCs w:val="22"/>
                          </w:rPr>
                          <w:t>2019 – Integration with primary care</w:t>
                        </w:r>
                        <w:r w:rsidRPr="00773959">
                          <w:rPr>
                            <w:sz w:val="22"/>
                            <w:szCs w:val="22"/>
                          </w:rPr>
                          <w:br/>
                          <w:t>A five-year framework promoted community pharmacy as the first point of contact for minor illness and health advice.</w:t>
                        </w:r>
                      </w:p>
                      <w:p w14:paraId="23957C21" w14:textId="77777777" w:rsidR="00773959" w:rsidRPr="00773959" w:rsidRDefault="00773959" w:rsidP="00773959">
                        <w:pPr>
                          <w:pStyle w:val="NormalWeb"/>
                          <w:rPr>
                            <w:sz w:val="22"/>
                            <w:szCs w:val="22"/>
                          </w:rPr>
                        </w:pPr>
                        <w:r w:rsidRPr="00773959">
                          <w:rPr>
                            <w:rStyle w:val="Strong"/>
                            <w:rFonts w:eastAsiaTheme="majorEastAsia"/>
                            <w:sz w:val="22"/>
                            <w:szCs w:val="22"/>
                          </w:rPr>
                          <w:t>2024 – Pharmacy First</w:t>
                        </w:r>
                        <w:r w:rsidRPr="00773959">
                          <w:rPr>
                            <w:sz w:val="22"/>
                            <w:szCs w:val="22"/>
                          </w:rPr>
                          <w:br/>
                          <w:t>Launched on 31 January 2024, Pharmacy First enabled pharmacists to assess and treat seven common conditions through NHS clinical pathways (NHS England, 2024).</w:t>
                        </w:r>
                      </w:p>
                      <w:p w14:paraId="70C8EBB5" w14:textId="195CD05E" w:rsidR="00DB7B3A" w:rsidRDefault="00DB7B3A">
                        <w:pPr>
                          <w:ind w:left="504"/>
                          <w:jc w:val="right"/>
                          <w:rPr>
                            <w:smallCaps/>
                            <w:color w:val="E97132" w:themeColor="accent2"/>
                            <w:sz w:val="28"/>
                          </w:rPr>
                        </w:pPr>
                      </w:p>
                      <w:p w14:paraId="670775F6" w14:textId="178895FD" w:rsidR="00DB7B3A" w:rsidRDefault="00DB7B3A">
                        <w:pPr>
                          <w:pStyle w:val="NoSpacing"/>
                          <w:ind w:left="360"/>
                          <w:jc w:val="right"/>
                          <w:rPr>
                            <w:color w:val="156082" w:themeColor="accent1"/>
                            <w:sz w:val="20"/>
                            <w:szCs w:val="20"/>
                          </w:rPr>
                        </w:pPr>
                      </w:p>
                    </w:txbxContent>
                  </v:textbox>
                </v:shape>
                <w10:wrap type="square" anchorx="page" anchory="page"/>
              </v:group>
            </w:pict>
          </mc:Fallback>
        </mc:AlternateContent>
      </w:r>
      <w:r w:rsidR="00DB7B3A" w:rsidRPr="00C61B18">
        <w:rPr>
          <w:rStyle w:val="Strong"/>
          <w:rFonts w:ascii="Arial" w:eastAsiaTheme="majorEastAsia" w:hAnsi="Arial" w:cs="Arial"/>
          <w:sz w:val="22"/>
          <w:szCs w:val="22"/>
        </w:rPr>
        <w:t>COMMUNITY PHARMACY SERVICES IN ENGLAND</w:t>
      </w:r>
      <w:r w:rsidR="00DB7B3A" w:rsidRPr="00C61B18">
        <w:rPr>
          <w:rStyle w:val="Strong"/>
          <w:rFonts w:ascii="Arial" w:hAnsi="Arial" w:cs="Arial"/>
          <w:sz w:val="22"/>
          <w:szCs w:val="22"/>
        </w:rPr>
        <w:t>-</w:t>
      </w:r>
      <w:r w:rsidR="00DB7B3A" w:rsidRPr="00C61B18">
        <w:rPr>
          <w:rFonts w:ascii="Arial" w:hAnsi="Arial" w:cs="Arial"/>
          <w:i/>
          <w:iCs/>
          <w:sz w:val="22"/>
          <w:szCs w:val="22"/>
        </w:rPr>
        <w:t>The accessible front door to NHS care</w:t>
      </w:r>
    </w:p>
    <w:p w14:paraId="548480D4" w14:textId="43229A9E" w:rsidR="00DB7B3A" w:rsidRPr="00C61B18" w:rsidRDefault="00DB7B3A" w:rsidP="00DB7B3A">
      <w:pPr>
        <w:pStyle w:val="NormalWeb"/>
        <w:rPr>
          <w:rFonts w:ascii="Arial" w:hAnsi="Arial" w:cs="Arial"/>
          <w:sz w:val="22"/>
          <w:szCs w:val="22"/>
        </w:rPr>
      </w:pPr>
    </w:p>
    <w:p w14:paraId="1D79CA9A" w14:textId="497206A9" w:rsidR="00530E16" w:rsidRPr="00C61B18" w:rsidRDefault="00530E16" w:rsidP="00DB7B3A">
      <w:pPr>
        <w:spacing w:line="276" w:lineRule="auto"/>
        <w:jc w:val="center"/>
        <w:rPr>
          <w:rFonts w:ascii="Arial" w:eastAsia="Arial" w:hAnsi="Arial" w:cs="Arial"/>
          <w:sz w:val="22"/>
          <w:szCs w:val="22"/>
        </w:rPr>
      </w:pPr>
    </w:p>
    <w:p w14:paraId="293E51F4" w14:textId="1192799F" w:rsidR="00DB7B3A" w:rsidRPr="00C61B18" w:rsidRDefault="00DB7B3A" w:rsidP="00B16875">
      <w:pPr>
        <w:spacing w:line="276" w:lineRule="auto"/>
        <w:rPr>
          <w:rFonts w:ascii="Arial" w:eastAsia="Arial" w:hAnsi="Arial" w:cs="Arial"/>
          <w:sz w:val="22"/>
          <w:szCs w:val="22"/>
        </w:rPr>
      </w:pPr>
    </w:p>
    <w:p w14:paraId="24A05A53" w14:textId="7DEBA091" w:rsidR="00DB7B3A" w:rsidRPr="00C61B18" w:rsidRDefault="00DB7B3A" w:rsidP="00B16875">
      <w:pPr>
        <w:spacing w:line="276" w:lineRule="auto"/>
        <w:rPr>
          <w:rFonts w:ascii="Arial" w:eastAsia="Arial" w:hAnsi="Arial" w:cs="Arial"/>
          <w:sz w:val="22"/>
          <w:szCs w:val="22"/>
        </w:rPr>
      </w:pPr>
    </w:p>
    <w:p w14:paraId="798F0A9F" w14:textId="3201013F" w:rsidR="00DB7B3A" w:rsidRPr="00C61B18" w:rsidRDefault="00DB7B3A" w:rsidP="00B16875">
      <w:pPr>
        <w:spacing w:line="276" w:lineRule="auto"/>
        <w:rPr>
          <w:rFonts w:ascii="Arial" w:eastAsia="Arial" w:hAnsi="Arial" w:cs="Arial"/>
          <w:sz w:val="22"/>
          <w:szCs w:val="22"/>
        </w:rPr>
      </w:pPr>
    </w:p>
    <w:p w14:paraId="6FFFDD33" w14:textId="12507A98" w:rsidR="00DB7B3A" w:rsidRPr="00C61B18" w:rsidRDefault="00773959" w:rsidP="00B16875">
      <w:pPr>
        <w:spacing w:line="276" w:lineRule="auto"/>
        <w:rPr>
          <w:rFonts w:ascii="Arial" w:eastAsia="Arial" w:hAnsi="Arial" w:cs="Arial"/>
          <w:sz w:val="22"/>
          <w:szCs w:val="22"/>
        </w:rPr>
      </w:pPr>
      <w:r w:rsidRPr="00C61B18">
        <w:rPr>
          <w:rFonts w:ascii="Arial" w:eastAsia="Arial" w:hAnsi="Arial" w:cs="Arial"/>
          <w:noProof/>
          <w:sz w:val="22"/>
          <w:szCs w:val="22"/>
        </w:rPr>
        <mc:AlternateContent>
          <mc:Choice Requires="wpg">
            <w:drawing>
              <wp:anchor distT="45720" distB="45720" distL="182880" distR="182880" simplePos="0" relativeHeight="251664384" behindDoc="0" locked="0" layoutInCell="1" allowOverlap="1" wp14:anchorId="76338165" wp14:editId="0C153E17">
                <wp:simplePos x="0" y="0"/>
                <wp:positionH relativeFrom="margin">
                  <wp:posOffset>-850900</wp:posOffset>
                </wp:positionH>
                <wp:positionV relativeFrom="margin">
                  <wp:posOffset>2106930</wp:posOffset>
                </wp:positionV>
                <wp:extent cx="3566160" cy="1754519"/>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1754519"/>
                          <a:chOff x="0" y="0"/>
                          <a:chExt cx="3567448" cy="175415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4425A1" w14:textId="77777777" w:rsidR="00DB7B3A" w:rsidRDefault="00DB7B3A">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0"/>
                            <a:ext cx="3567448" cy="1501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CCAED2" w14:textId="18B0B286" w:rsidR="00DB7B3A" w:rsidRPr="00773959" w:rsidRDefault="00DB7B3A">
                              <w:pPr>
                                <w:rPr>
                                  <w:caps/>
                                  <w:color w:val="156082" w:themeColor="accent1"/>
                                  <w:sz w:val="22"/>
                                  <w:szCs w:val="22"/>
                                </w:rPr>
                              </w:pPr>
                              <w:r w:rsidRPr="00773959">
                                <w:rPr>
                                  <w:sz w:val="22"/>
                                  <w:szCs w:val="22"/>
                                </w:rPr>
                                <w:t>Pharmacists are regulated healthcare professionals with specialist knowledge of medicines. They check prescriptions, identify interactions, explain correct medicine use and recognise symptoms that require referral to a GP, NHS 111 or emergency care. Their walk-in availability makes pharmacies particularly valuable for people who may experience difficulty obtaining a GP appointment.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6338165" id="Group 198" o:spid="_x0000_s1070" style="position:absolute;margin-left:-67pt;margin-top:165.9pt;width:280.8pt;height:138.15pt;z-index:251664384;mso-wrap-distance-left:14.4pt;mso-wrap-distance-top:3.6pt;mso-wrap-distance-right:14.4pt;mso-wrap-distance-bottom:3.6pt;mso-position-horizontal-relative:margin;mso-position-vertical-relative:margin;mso-width-relative:margin;mso-height-relative:margin" coordsize="35674,17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">
                <v:rect id="Rectangle 199" o:spid="_x0000_s1071"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204425A1" w14:textId="77777777" w:rsidR="00DB7B3A" w:rsidRDefault="00DB7B3A">
                        <w:pPr>
                          <w:jc w:val="center"/>
                          <w:rPr>
                            <w:rFonts w:asciiTheme="majorHAnsi" w:eastAsiaTheme="majorEastAsia" w:hAnsiTheme="majorHAnsi" w:cstheme="majorBidi"/>
                            <w:color w:val="FFFFFF" w:themeColor="background1"/>
                            <w:szCs w:val="28"/>
                          </w:rPr>
                        </w:pPr>
                      </w:p>
                    </w:txbxContent>
                  </v:textbox>
                </v:rect>
                <v:shape id="Text Box 200" o:spid="_x0000_s1072" type="#_x0000_t202" style="position:absolute;top:2526;width:35674;height:150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33CCAED2" w14:textId="18B0B286" w:rsidR="00DB7B3A" w:rsidRPr="00773959" w:rsidRDefault="00DB7B3A">
                        <w:pPr>
                          <w:rPr>
                            <w:caps/>
                            <w:color w:val="156082" w:themeColor="accent1"/>
                            <w:sz w:val="22"/>
                            <w:szCs w:val="22"/>
                          </w:rPr>
                        </w:pPr>
                        <w:r w:rsidRPr="00773959">
                          <w:rPr>
                            <w:sz w:val="22"/>
                            <w:szCs w:val="22"/>
                          </w:rPr>
                          <w:t>Pharmacists are regulated healthcare professionals with specialist knowledge of medicines. They check prescriptions, identify interactions, explain correct medicine use and recognise symptoms that require referral to a GP, NHS 111 or emergency care. Their walk-in availability makes pharmacies particularly valuable for people who may experience difficulty obtaining a GP appointment.</w:t>
                        </w:r>
                      </w:p>
                    </w:txbxContent>
                  </v:textbox>
                </v:shape>
                <w10:wrap type="square" anchorx="margin" anchory="margin"/>
              </v:group>
            </w:pict>
          </mc:Fallback>
        </mc:AlternateContent>
      </w:r>
    </w:p>
    <w:p w14:paraId="39A980B8" w14:textId="43D009DE" w:rsidR="00DB7B3A" w:rsidRPr="00C61B18" w:rsidRDefault="00DB7B3A" w:rsidP="00B16875">
      <w:pPr>
        <w:spacing w:line="276" w:lineRule="auto"/>
        <w:rPr>
          <w:rFonts w:ascii="Arial" w:eastAsia="Arial" w:hAnsi="Arial" w:cs="Arial"/>
          <w:sz w:val="22"/>
          <w:szCs w:val="22"/>
        </w:rPr>
      </w:pPr>
    </w:p>
    <w:p w14:paraId="5F858900" w14:textId="215AE127" w:rsidR="00DB7B3A" w:rsidRPr="00C61B18" w:rsidRDefault="00DB7B3A" w:rsidP="00B16875">
      <w:pPr>
        <w:spacing w:line="276" w:lineRule="auto"/>
        <w:rPr>
          <w:rFonts w:ascii="Arial" w:eastAsia="Arial" w:hAnsi="Arial" w:cs="Arial"/>
          <w:sz w:val="22"/>
          <w:szCs w:val="22"/>
        </w:rPr>
      </w:pPr>
    </w:p>
    <w:p w14:paraId="2430CE19" w14:textId="4AAEFE72" w:rsidR="00DB7B3A" w:rsidRPr="00C61B18" w:rsidRDefault="00DB7B3A" w:rsidP="00B16875">
      <w:pPr>
        <w:spacing w:line="276" w:lineRule="auto"/>
        <w:rPr>
          <w:rFonts w:ascii="Arial" w:eastAsia="Arial" w:hAnsi="Arial" w:cs="Arial"/>
          <w:sz w:val="22"/>
          <w:szCs w:val="22"/>
        </w:rPr>
      </w:pPr>
    </w:p>
    <w:p w14:paraId="08D66070" w14:textId="233E6D19" w:rsidR="00DB7B3A" w:rsidRPr="00C61B18" w:rsidRDefault="00DB7B3A" w:rsidP="00B16875">
      <w:pPr>
        <w:spacing w:line="276" w:lineRule="auto"/>
        <w:rPr>
          <w:rFonts w:ascii="Arial" w:eastAsia="Arial" w:hAnsi="Arial" w:cs="Arial"/>
          <w:sz w:val="22"/>
          <w:szCs w:val="22"/>
        </w:rPr>
      </w:pPr>
    </w:p>
    <w:p w14:paraId="2CEC2BB4" w14:textId="3FA0328D" w:rsidR="00DB7B3A" w:rsidRPr="00C61B18" w:rsidRDefault="00DB7B3A" w:rsidP="00B16875">
      <w:pPr>
        <w:spacing w:line="276" w:lineRule="auto"/>
        <w:rPr>
          <w:rFonts w:ascii="Arial" w:eastAsia="Arial" w:hAnsi="Arial" w:cs="Arial"/>
          <w:sz w:val="22"/>
          <w:szCs w:val="22"/>
        </w:rPr>
      </w:pPr>
    </w:p>
    <w:p w14:paraId="1662A640" w14:textId="54225CD2" w:rsidR="00DB7B3A" w:rsidRPr="00C61B18" w:rsidRDefault="00773959" w:rsidP="00B16875">
      <w:pPr>
        <w:spacing w:line="276" w:lineRule="auto"/>
        <w:rPr>
          <w:rFonts w:ascii="Arial" w:eastAsia="Arial" w:hAnsi="Arial" w:cs="Arial"/>
          <w:sz w:val="22"/>
          <w:szCs w:val="22"/>
        </w:rPr>
      </w:pPr>
      <w:r w:rsidRPr="00C61B18">
        <w:rPr>
          <w:rFonts w:ascii="Arial" w:eastAsia="Arial" w:hAnsi="Arial" w:cs="Arial"/>
          <w:noProof/>
          <w:sz w:val="22"/>
          <w:szCs w:val="22"/>
        </w:rPr>
        <mc:AlternateContent>
          <mc:Choice Requires="wpg">
            <w:drawing>
              <wp:anchor distT="45720" distB="45720" distL="182880" distR="182880" simplePos="0" relativeHeight="251666432" behindDoc="0" locked="0" layoutInCell="1" allowOverlap="1" wp14:anchorId="7F9C755B" wp14:editId="1E6BF31A">
                <wp:simplePos x="0" y="0"/>
                <wp:positionH relativeFrom="margin">
                  <wp:posOffset>-882650</wp:posOffset>
                </wp:positionH>
                <wp:positionV relativeFrom="margin">
                  <wp:posOffset>3898900</wp:posOffset>
                </wp:positionV>
                <wp:extent cx="3585210" cy="2228215"/>
                <wp:effectExtent l="0" t="0" r="0" b="635"/>
                <wp:wrapSquare wrapText="bothSides"/>
                <wp:docPr id="4" name="Group 4"/>
                <wp:cNvGraphicFramePr/>
                <a:graphic xmlns:a="http://schemas.openxmlformats.org/drawingml/2006/main">
                  <a:graphicData uri="http://schemas.microsoft.com/office/word/2010/wordprocessingGroup">
                    <wpg:wgp>
                      <wpg:cNvGrpSpPr/>
                      <wpg:grpSpPr>
                        <a:xfrm>
                          <a:off x="0" y="0"/>
                          <a:ext cx="3585210" cy="2228215"/>
                          <a:chOff x="-44466" y="-641215"/>
                          <a:chExt cx="3586505" cy="2227756"/>
                        </a:xfrm>
                      </wpg:grpSpPr>
                      <wps:wsp>
                        <wps:cNvPr id="31" name="Rectangle 31"/>
                        <wps:cNvSpPr/>
                        <wps:spPr>
                          <a:xfrm>
                            <a:off x="-25409" y="-641215"/>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6A83DD" w14:textId="77777777" w:rsidR="00DB7B3A" w:rsidRDefault="00DB7B3A">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Text Box 32"/>
                        <wps:cNvSpPr txBox="1"/>
                        <wps:spPr>
                          <a:xfrm>
                            <a:off x="-44466" y="-439318"/>
                            <a:ext cx="3567448" cy="20258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C4AE3" w14:textId="77777777" w:rsidR="00DB7B3A" w:rsidRPr="00773959" w:rsidRDefault="00DB7B3A" w:rsidP="00DB7B3A">
                              <w:pPr>
                                <w:pStyle w:val="Heading3"/>
                                <w:rPr>
                                  <w:sz w:val="22"/>
                                  <w:szCs w:val="22"/>
                                </w:rPr>
                              </w:pPr>
                              <w:r w:rsidRPr="00773959">
                                <w:rPr>
                                  <w:sz w:val="22"/>
                                  <w:szCs w:val="22"/>
                                </w:rPr>
                                <w:t>Why are they important?</w:t>
                              </w:r>
                            </w:p>
                            <w:p w14:paraId="6471EDA2"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Convenient access without an appointment </w:t>
                              </w:r>
                            </w:p>
                            <w:p w14:paraId="01B653C5"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Safe and effective use of medicines </w:t>
                              </w:r>
                            </w:p>
                            <w:p w14:paraId="4AB85FF8"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Early identification of health problems </w:t>
                              </w:r>
                            </w:p>
                            <w:p w14:paraId="1E4677CD"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Reduced pressure on GPs and urgent care </w:t>
                              </w:r>
                            </w:p>
                            <w:p w14:paraId="106EC1A0"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Support for prevention and self-care </w:t>
                              </w:r>
                            </w:p>
                            <w:p w14:paraId="0406DBEA"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Care delivered close to patients’ homes</w:t>
                              </w:r>
                            </w:p>
                            <w:p w14:paraId="0786EFEB" w14:textId="0AE48704" w:rsidR="00DB7B3A" w:rsidRDefault="00DB7B3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F9C755B" id="Group 4" o:spid="_x0000_s1073" style="position:absolute;margin-left:-69.5pt;margin-top:307pt;width:282.3pt;height:175.45pt;z-index:251666432;mso-wrap-distance-left:14.4pt;mso-wrap-distance-top:3.6pt;mso-wrap-distance-right:14.4pt;mso-wrap-distance-bottom:3.6pt;mso-position-horizontal-relative:margin;mso-position-vertical-relative:margin;mso-width-relative:margin;mso-height-relative:margin" coordorigin="-444,-6412" coordsize="35865,222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">
                <v:rect id="Rectangle 31" o:spid="_x0000_s1074" style="position:absolute;left:-254;top:-641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" fillcolor="#156082 [3204]" stroked="f" strokeweight="1pt">
                  <v:textbox>
                    <w:txbxContent>
                      <w:p w14:paraId="796A83DD" w14:textId="77777777" w:rsidR="00DB7B3A" w:rsidRDefault="00DB7B3A">
                        <w:pPr>
                          <w:jc w:val="center"/>
                          <w:rPr>
                            <w:rFonts w:asciiTheme="majorHAnsi" w:eastAsiaTheme="majorEastAsia" w:hAnsiTheme="majorHAnsi" w:cstheme="majorBidi"/>
                            <w:color w:val="FFFFFF" w:themeColor="background1"/>
                            <w:szCs w:val="28"/>
                          </w:rPr>
                        </w:pPr>
                      </w:p>
                    </w:txbxContent>
                  </v:textbox>
                </v:rect>
                <v:shape id="Text Box 32" o:spid="_x0000_s1075" type="#_x0000_t202" style="position:absolute;left:-444;top:-4393;width:35673;height:20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" filled="f" stroked="f" strokeweight=".5pt">
                  <v:textbox style="mso-fit-shape-to-text:t" inset=",7.2pt,,0">
                    <w:txbxContent>
                      <w:p w14:paraId="7C1C4AE3" w14:textId="77777777" w:rsidR="00DB7B3A" w:rsidRPr="00773959" w:rsidRDefault="00DB7B3A" w:rsidP="00DB7B3A">
                        <w:pPr>
                          <w:pStyle w:val="Heading3"/>
                          <w:rPr>
                            <w:sz w:val="22"/>
                            <w:szCs w:val="22"/>
                          </w:rPr>
                        </w:pPr>
                        <w:r w:rsidRPr="00773959">
                          <w:rPr>
                            <w:sz w:val="22"/>
                            <w:szCs w:val="22"/>
                          </w:rPr>
                          <w:t>Why are they important?</w:t>
                        </w:r>
                      </w:p>
                      <w:p w14:paraId="6471EDA2"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Convenient access without an appointment </w:t>
                        </w:r>
                      </w:p>
                      <w:p w14:paraId="01B653C5"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Safe and effective use of medicines </w:t>
                        </w:r>
                      </w:p>
                      <w:p w14:paraId="4AB85FF8"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Early identification of health problems </w:t>
                        </w:r>
                      </w:p>
                      <w:p w14:paraId="1E4677CD"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Reduced pressure on GPs and urgent care </w:t>
                        </w:r>
                      </w:p>
                      <w:p w14:paraId="106EC1A0"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 xml:space="preserve">Support for prevention and self-care </w:t>
                        </w:r>
                      </w:p>
                      <w:p w14:paraId="0406DBEA" w14:textId="77777777" w:rsidR="00DB7B3A" w:rsidRPr="00773959" w:rsidRDefault="00DB7B3A" w:rsidP="00DB7B3A">
                        <w:pPr>
                          <w:numPr>
                            <w:ilvl w:val="0"/>
                            <w:numId w:val="9"/>
                          </w:numPr>
                          <w:spacing w:before="100" w:beforeAutospacing="1" w:after="100" w:afterAutospacing="1" w:line="240" w:lineRule="auto"/>
                          <w:rPr>
                            <w:sz w:val="22"/>
                            <w:szCs w:val="22"/>
                          </w:rPr>
                        </w:pPr>
                        <w:r w:rsidRPr="00773959">
                          <w:rPr>
                            <w:sz w:val="22"/>
                            <w:szCs w:val="22"/>
                          </w:rPr>
                          <w:t>Care delivered close to patients’ homes</w:t>
                        </w:r>
                      </w:p>
                      <w:p w14:paraId="0786EFEB" w14:textId="0AE48704" w:rsidR="00DB7B3A" w:rsidRDefault="00DB7B3A">
                        <w:pPr>
                          <w:rPr>
                            <w:caps/>
                            <w:color w:val="156082" w:themeColor="accent1"/>
                            <w:sz w:val="26"/>
                            <w:szCs w:val="26"/>
                          </w:rPr>
                        </w:pPr>
                      </w:p>
                    </w:txbxContent>
                  </v:textbox>
                </v:shape>
                <w10:wrap type="square" anchorx="margin" anchory="margin"/>
              </v:group>
            </w:pict>
          </mc:Fallback>
        </mc:AlternateContent>
      </w:r>
    </w:p>
    <w:p w14:paraId="029EF07D" w14:textId="454FB8A9" w:rsidR="00DB7B3A" w:rsidRPr="00C61B18" w:rsidRDefault="00773959" w:rsidP="00B16875">
      <w:pPr>
        <w:spacing w:line="276" w:lineRule="auto"/>
        <w:rPr>
          <w:rFonts w:ascii="Arial" w:eastAsia="Arial" w:hAnsi="Arial" w:cs="Arial"/>
          <w:sz w:val="22"/>
          <w:szCs w:val="22"/>
        </w:rPr>
      </w:pPr>
      <w:r w:rsidRPr="00C61B18">
        <w:rPr>
          <w:rFonts w:ascii="Arial" w:hAnsi="Arial" w:cs="Arial"/>
          <w:i/>
          <w:iCs/>
          <w:noProof/>
          <w:sz w:val="22"/>
          <w:szCs w:val="22"/>
        </w:rPr>
        <mc:AlternateContent>
          <mc:Choice Requires="wpg">
            <w:drawing>
              <wp:anchor distT="45720" distB="45720" distL="182880" distR="182880" simplePos="0" relativeHeight="251672576" behindDoc="0" locked="0" layoutInCell="1" allowOverlap="1" wp14:anchorId="5CE78369" wp14:editId="0E580592">
                <wp:simplePos x="0" y="0"/>
                <wp:positionH relativeFrom="margin">
                  <wp:posOffset>6737350</wp:posOffset>
                </wp:positionH>
                <wp:positionV relativeFrom="margin">
                  <wp:posOffset>3956050</wp:posOffset>
                </wp:positionV>
                <wp:extent cx="3026410" cy="1968500"/>
                <wp:effectExtent l="0" t="0" r="2540" b="12700"/>
                <wp:wrapSquare wrapText="bothSides"/>
                <wp:docPr id="42" name="Group 42"/>
                <wp:cNvGraphicFramePr/>
                <a:graphic xmlns:a="http://schemas.openxmlformats.org/drawingml/2006/main">
                  <a:graphicData uri="http://schemas.microsoft.com/office/word/2010/wordprocessingGroup">
                    <wpg:wgp>
                      <wpg:cNvGrpSpPr/>
                      <wpg:grpSpPr>
                        <a:xfrm>
                          <a:off x="0" y="0"/>
                          <a:ext cx="3026410" cy="1968500"/>
                          <a:chOff x="-666597" y="67670"/>
                          <a:chExt cx="3651730" cy="2118970"/>
                        </a:xfrm>
                      </wpg:grpSpPr>
                      <wps:wsp>
                        <wps:cNvPr id="43" name="Rectangle 43"/>
                        <wps:cNvSpPr/>
                        <wps:spPr>
                          <a:xfrm>
                            <a:off x="-582315" y="6767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187386" w14:textId="77777777" w:rsidR="00773959" w:rsidRDefault="00773959">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Text Box 44"/>
                        <wps:cNvSpPr txBox="1"/>
                        <wps:spPr>
                          <a:xfrm>
                            <a:off x="-666597" y="252695"/>
                            <a:ext cx="3567448" cy="1933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9D8C4B" w14:textId="03BFFD3D" w:rsidR="00773959" w:rsidRDefault="00773959" w:rsidP="00773959">
                              <w:pPr>
                                <w:pStyle w:val="Heading3"/>
                              </w:pPr>
                              <w:r>
                                <w:t>Pharmacy in numbers</w:t>
                              </w:r>
                            </w:p>
                            <w:p w14:paraId="641BE5F9" w14:textId="77777777" w:rsidR="00773959" w:rsidRDefault="00773959" w:rsidP="00773959">
                              <w:pPr>
                                <w:pStyle w:val="NormalWeb"/>
                              </w:pPr>
                              <w:r>
                                <w:rPr>
                                  <w:rStyle w:val="Strong"/>
                                  <w:rFonts w:eastAsiaTheme="majorEastAsia"/>
                                </w:rPr>
                                <w:t>10,407 community pharmacies were open in England on 31 March 2025. Approximately 1.16 billion prescription items were dispensed during 2024/25</w:t>
                              </w:r>
                              <w:r>
                                <w:t xml:space="preserve"> (NHSBSA, 2025).</w:t>
                              </w:r>
                            </w:p>
                            <w:p w14:paraId="73A34603" w14:textId="11F51F57" w:rsidR="00773959" w:rsidRDefault="00773959">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E78369" id="Group 42" o:spid="_x0000_s1076" style="position:absolute;margin-left:530.5pt;margin-top:311.5pt;width:238.3pt;height:155pt;z-index:251672576;mso-wrap-distance-left:14.4pt;mso-wrap-distance-top:3.6pt;mso-wrap-distance-right:14.4pt;mso-wrap-distance-bottom:3.6pt;mso-position-horizontal-relative:margin;mso-position-vertical-relative:margin;mso-width-relative:margin;mso-height-relative:margin" coordorigin="-6665,676" coordsize="36517,21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">
                <v:rect id="Rectangle 43" o:spid="_x0000_s1077" style="position:absolute;left:-5823;top:676;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" fillcolor="#156082 [3204]" stroked="f" strokeweight="1pt">
                  <v:textbox>
                    <w:txbxContent>
                      <w:p w14:paraId="68187386" w14:textId="77777777" w:rsidR="00773959" w:rsidRDefault="00773959">
                        <w:pPr>
                          <w:jc w:val="center"/>
                          <w:rPr>
                            <w:rFonts w:asciiTheme="majorHAnsi" w:eastAsiaTheme="majorEastAsia" w:hAnsiTheme="majorHAnsi" w:cstheme="majorBidi"/>
                            <w:color w:val="FFFFFF" w:themeColor="background1"/>
                            <w:szCs w:val="28"/>
                          </w:rPr>
                        </w:pPr>
                      </w:p>
                    </w:txbxContent>
                  </v:textbox>
                </v:rect>
                <v:shape id="Text Box 44" o:spid="_x0000_s1078" type="#_x0000_t202" style="position:absolute;left:-6665;top:2526;width:35673;height:19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" filled="f" stroked="f" strokeweight=".5pt">
                  <v:textbox inset=",7.2pt,,0">
                    <w:txbxContent>
                      <w:p w14:paraId="119D8C4B" w14:textId="03BFFD3D" w:rsidR="00773959" w:rsidRDefault="00773959" w:rsidP="00773959">
                        <w:pPr>
                          <w:pStyle w:val="Heading3"/>
                        </w:pPr>
                        <w:r>
                          <w:t>Pharmacy in numbers</w:t>
                        </w:r>
                      </w:p>
                      <w:p w14:paraId="641BE5F9" w14:textId="77777777" w:rsidR="00773959" w:rsidRDefault="00773959" w:rsidP="00773959">
                        <w:pPr>
                          <w:pStyle w:val="NormalWeb"/>
                        </w:pPr>
                        <w:r>
                          <w:rPr>
                            <w:rStyle w:val="Strong"/>
                            <w:rFonts w:eastAsiaTheme="majorEastAsia"/>
                          </w:rPr>
                          <w:t>10,407 community pharmacies were open in England on 31 March 2025. Approximately 1.16 billion prescription items were dispensed during 2024/25</w:t>
                        </w:r>
                        <w:r>
                          <w:t xml:space="preserve"> (NHSBSA, 2025).</w:t>
                        </w:r>
                      </w:p>
                      <w:p w14:paraId="73A34603" w14:textId="11F51F57" w:rsidR="00773959" w:rsidRDefault="00773959">
                        <w:pPr>
                          <w:rPr>
                            <w:caps/>
                            <w:color w:val="156082" w:themeColor="accent1"/>
                            <w:sz w:val="26"/>
                            <w:szCs w:val="26"/>
                          </w:rPr>
                        </w:pPr>
                      </w:p>
                    </w:txbxContent>
                  </v:textbox>
                </v:shape>
                <w10:wrap type="square" anchorx="margin" anchory="margin"/>
              </v:group>
            </w:pict>
          </mc:Fallback>
        </mc:AlternateContent>
      </w:r>
    </w:p>
    <w:p w14:paraId="15EDFBE2" w14:textId="7D82D0AC" w:rsidR="00DB7B3A" w:rsidRPr="00C61B18" w:rsidRDefault="00DB7B3A" w:rsidP="00B16875">
      <w:pPr>
        <w:spacing w:line="276" w:lineRule="auto"/>
        <w:rPr>
          <w:rFonts w:ascii="Arial" w:eastAsia="Arial" w:hAnsi="Arial" w:cs="Arial"/>
          <w:sz w:val="22"/>
          <w:szCs w:val="22"/>
        </w:rPr>
      </w:pPr>
    </w:p>
    <w:p w14:paraId="15E1C6BD" w14:textId="7671DE91" w:rsidR="00DB7B3A" w:rsidRPr="00C61B18" w:rsidRDefault="00DB7B3A" w:rsidP="00B16875">
      <w:pPr>
        <w:spacing w:line="276" w:lineRule="auto"/>
        <w:rPr>
          <w:rFonts w:ascii="Arial" w:eastAsia="Arial" w:hAnsi="Arial" w:cs="Arial"/>
          <w:sz w:val="22"/>
          <w:szCs w:val="22"/>
        </w:rPr>
      </w:pPr>
    </w:p>
    <w:p w14:paraId="2A047539" w14:textId="7218437E" w:rsidR="00DB7B3A" w:rsidRPr="00C61B18" w:rsidRDefault="00DB7B3A" w:rsidP="00B16875">
      <w:pPr>
        <w:spacing w:line="276" w:lineRule="auto"/>
        <w:rPr>
          <w:rFonts w:ascii="Arial" w:eastAsia="Arial" w:hAnsi="Arial" w:cs="Arial"/>
          <w:sz w:val="22"/>
          <w:szCs w:val="22"/>
        </w:rPr>
      </w:pPr>
    </w:p>
    <w:p w14:paraId="2C72D927" w14:textId="61DA5CBF" w:rsidR="00DB7B3A" w:rsidRPr="00C61B18" w:rsidRDefault="00DB7B3A" w:rsidP="00B16875">
      <w:pPr>
        <w:spacing w:line="276" w:lineRule="auto"/>
        <w:rPr>
          <w:rFonts w:ascii="Arial" w:eastAsia="Arial" w:hAnsi="Arial" w:cs="Arial"/>
          <w:sz w:val="22"/>
          <w:szCs w:val="22"/>
        </w:rPr>
      </w:pPr>
    </w:p>
    <w:p w14:paraId="6C63425E" w14:textId="77777777" w:rsidR="006A6BA7" w:rsidRPr="00C61B18" w:rsidRDefault="006A6BA7">
      <w:pPr>
        <w:rPr>
          <w:rFonts w:ascii="Arial" w:eastAsia="Arial" w:hAnsi="Arial" w:cs="Arial"/>
          <w:sz w:val="22"/>
          <w:szCs w:val="22"/>
        </w:rPr>
      </w:pPr>
      <w:r w:rsidRPr="00C61B18">
        <w:rPr>
          <w:rFonts w:ascii="Arial" w:eastAsia="Arial" w:hAnsi="Arial" w:cs="Arial"/>
          <w:sz w:val="22"/>
          <w:szCs w:val="22"/>
        </w:rPr>
        <w:br w:type="page"/>
      </w:r>
    </w:p>
    <w:p w14:paraId="44144C27" w14:textId="7933FD3A" w:rsidR="00773959" w:rsidRPr="00C61B18" w:rsidRDefault="006A6BA7" w:rsidP="00B16875">
      <w:pPr>
        <w:spacing w:line="276" w:lineRule="auto"/>
        <w:rPr>
          <w:rFonts w:ascii="Arial" w:eastAsia="Arial" w:hAnsi="Arial" w:cs="Arial"/>
          <w:sz w:val="22"/>
          <w:szCs w:val="22"/>
        </w:rPr>
      </w:pPr>
      <w:r w:rsidRPr="00C61B18">
        <w:rPr>
          <w:rFonts w:ascii="Arial" w:eastAsia="Arial" w:hAnsi="Arial" w:cs="Arial"/>
          <w:noProof/>
          <w:sz w:val="22"/>
          <w:szCs w:val="22"/>
        </w:rPr>
        <w:lastRenderedPageBreak/>
        <mc:AlternateContent>
          <mc:Choice Requires="wps">
            <w:drawing>
              <wp:anchor distT="45720" distB="45720" distL="114300" distR="114300" simplePos="0" relativeHeight="251680768" behindDoc="0" locked="0" layoutInCell="1" allowOverlap="1" wp14:anchorId="7C87A375" wp14:editId="7BBC4D49">
                <wp:simplePos x="0" y="0"/>
                <wp:positionH relativeFrom="column">
                  <wp:posOffset>2851150</wp:posOffset>
                </wp:positionH>
                <wp:positionV relativeFrom="paragraph">
                  <wp:posOffset>3289300</wp:posOffset>
                </wp:positionV>
                <wp:extent cx="3340100" cy="2101850"/>
                <wp:effectExtent l="0" t="0" r="12700" b="12700"/>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0100" cy="2101850"/>
                        </a:xfrm>
                        <a:prstGeom prst="rect">
                          <a:avLst/>
                        </a:prstGeom>
                        <a:solidFill>
                          <a:srgbClr val="FFFFFF"/>
                        </a:solidFill>
                        <a:ln w="9525">
                          <a:solidFill>
                            <a:srgbClr val="000000"/>
                          </a:solidFill>
                          <a:miter lim="800000"/>
                          <a:headEnd/>
                          <a:tailEnd/>
                        </a:ln>
                      </wps:spPr>
                      <wps:txbx>
                        <w:txbxContent>
                          <w:p w14:paraId="563BF4A8" w14:textId="612E490B" w:rsidR="006A6BA7" w:rsidRDefault="006A6BA7">
                            <w:r>
                              <w:rPr>
                                <w:noProof/>
                              </w:rPr>
                              <w:drawing>
                                <wp:inline distT="0" distB="0" distL="0" distR="0" wp14:anchorId="47B50D60" wp14:editId="1AD9F2C1">
                                  <wp:extent cx="3148330" cy="168402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48330" cy="168402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87A375" id="_x0000_s1079" type="#_x0000_t202" style="position:absolute;margin-left:224.5pt;margin-top:259pt;width:263pt;height:165.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">
                <v:textbox>
                  <w:txbxContent>
                    <w:p w14:paraId="563BF4A8" w14:textId="612E490B" w:rsidR="006A6BA7" w:rsidRDefault="006A6BA7">
                      <w:r>
                        <w:rPr>
                          <w:noProof/>
                        </w:rPr>
                        <w:drawing>
                          <wp:inline distT="0" distB="0" distL="0" distR="0" wp14:anchorId="47B50D60" wp14:editId="1AD9F2C1">
                            <wp:extent cx="3148330" cy="168402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48330" cy="1684020"/>
                                    </a:xfrm>
                                    <a:prstGeom prst="rect">
                                      <a:avLst/>
                                    </a:prstGeom>
                                  </pic:spPr>
                                </pic:pic>
                              </a:graphicData>
                            </a:graphic>
                          </wp:inline>
                        </w:drawing>
                      </w:r>
                    </w:p>
                  </w:txbxContent>
                </v:textbox>
                <w10:wrap type="square"/>
              </v:shape>
            </w:pict>
          </mc:Fallback>
        </mc:AlternateContent>
      </w:r>
      <w:r w:rsidRPr="00C61B18">
        <w:rPr>
          <w:rFonts w:ascii="Arial" w:eastAsia="Arial" w:hAnsi="Arial" w:cs="Arial"/>
          <w:noProof/>
          <w:sz w:val="22"/>
          <w:szCs w:val="22"/>
        </w:rPr>
        <mc:AlternateContent>
          <mc:Choice Requires="wps">
            <w:drawing>
              <wp:anchor distT="45720" distB="45720" distL="114300" distR="114300" simplePos="0" relativeHeight="251678720" behindDoc="0" locked="0" layoutInCell="1" allowOverlap="1" wp14:anchorId="3E85D6E3" wp14:editId="162E3C26">
                <wp:simplePos x="0" y="0"/>
                <wp:positionH relativeFrom="column">
                  <wp:posOffset>2889250</wp:posOffset>
                </wp:positionH>
                <wp:positionV relativeFrom="paragraph">
                  <wp:posOffset>0</wp:posOffset>
                </wp:positionV>
                <wp:extent cx="3281045" cy="1404620"/>
                <wp:effectExtent l="0" t="0" r="14605" b="1460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1045" cy="1404620"/>
                        </a:xfrm>
                        <a:prstGeom prst="rect">
                          <a:avLst/>
                        </a:prstGeom>
                        <a:solidFill>
                          <a:srgbClr val="FFFFFF"/>
                        </a:solidFill>
                        <a:ln w="9525">
                          <a:solidFill>
                            <a:srgbClr val="000000"/>
                          </a:solidFill>
                          <a:miter lim="800000"/>
                          <a:headEnd/>
                          <a:tailEnd/>
                        </a:ln>
                      </wps:spPr>
                      <wps:txbx>
                        <w:txbxContent>
                          <w:p w14:paraId="62EDD485" w14:textId="70439EF9" w:rsidR="006A6BA7" w:rsidRDefault="006A6BA7">
                            <w:r>
                              <w:rPr>
                                <w:noProof/>
                              </w:rPr>
                              <w:drawing>
                                <wp:inline distT="0" distB="0" distL="0" distR="0" wp14:anchorId="31AEDAF4" wp14:editId="6E232784">
                                  <wp:extent cx="3089275" cy="3063240"/>
                                  <wp:effectExtent l="0" t="0" r="0" b="3810"/>
                                  <wp:docPr id="58" name="Picture 58" descr="Pharmacists in Public Health: Scope in Home and Ab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harmacists in Public Health: Scope in Home and Abroa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9275" cy="306324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85D6E3" id="_x0000_s1080" type="#_x0000_t202" style="position:absolute;margin-left:227.5pt;margin-top:0;width:258.3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">
                <v:textbox style="mso-fit-shape-to-text:t">
                  <w:txbxContent>
                    <w:p w14:paraId="62EDD485" w14:textId="70439EF9" w:rsidR="006A6BA7" w:rsidRDefault="006A6BA7">
                      <w:r>
                        <w:rPr>
                          <w:noProof/>
                        </w:rPr>
                        <w:drawing>
                          <wp:inline distT="0" distB="0" distL="0" distR="0" wp14:anchorId="31AEDAF4" wp14:editId="6E232784">
                            <wp:extent cx="3089275" cy="3063240"/>
                            <wp:effectExtent l="0" t="0" r="0" b="3810"/>
                            <wp:docPr id="58" name="Picture 58" descr="Pharmacists in Public Health: Scope in Home and Ab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harmacists in Public Health: Scope in Home and Abroa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9275" cy="3063240"/>
                                    </a:xfrm>
                                    <a:prstGeom prst="rect">
                                      <a:avLst/>
                                    </a:prstGeom>
                                    <a:noFill/>
                                    <a:ln>
                                      <a:noFill/>
                                    </a:ln>
                                  </pic:spPr>
                                </pic:pic>
                              </a:graphicData>
                            </a:graphic>
                          </wp:inline>
                        </w:drawing>
                      </w:r>
                    </w:p>
                  </w:txbxContent>
                </v:textbox>
                <w10:wrap type="square"/>
              </v:shape>
            </w:pict>
          </mc:Fallback>
        </mc:AlternateContent>
      </w:r>
      <w:r w:rsidR="00773959" w:rsidRPr="00C61B18">
        <w:rPr>
          <w:rFonts w:ascii="Arial" w:eastAsia="Arial" w:hAnsi="Arial" w:cs="Arial"/>
          <w:noProof/>
          <w:sz w:val="22"/>
          <w:szCs w:val="22"/>
        </w:rPr>
        <mc:AlternateContent>
          <mc:Choice Requires="wpg">
            <w:drawing>
              <wp:anchor distT="0" distB="0" distL="228600" distR="228600" simplePos="0" relativeHeight="251676672" behindDoc="1" locked="0" layoutInCell="1" allowOverlap="1" wp14:anchorId="00EFF9D5" wp14:editId="693C3496">
                <wp:simplePos x="0" y="0"/>
                <wp:positionH relativeFrom="margin">
                  <wp:posOffset>6191250</wp:posOffset>
                </wp:positionH>
                <wp:positionV relativeFrom="margin">
                  <wp:posOffset>-787400</wp:posOffset>
                </wp:positionV>
                <wp:extent cx="3536315" cy="6172200"/>
                <wp:effectExtent l="0" t="0" r="6985" b="0"/>
                <wp:wrapSquare wrapText="bothSides"/>
                <wp:docPr id="45" name="Group 45"/>
                <wp:cNvGraphicFramePr/>
                <a:graphic xmlns:a="http://schemas.openxmlformats.org/drawingml/2006/main">
                  <a:graphicData uri="http://schemas.microsoft.com/office/word/2010/wordprocessingGroup">
                    <wpg:wgp>
                      <wpg:cNvGrpSpPr/>
                      <wpg:grpSpPr>
                        <a:xfrm>
                          <a:off x="0" y="0"/>
                          <a:ext cx="3536315" cy="6172200"/>
                          <a:chOff x="0" y="0"/>
                          <a:chExt cx="1828800" cy="8151039"/>
                        </a:xfrm>
                      </wpg:grpSpPr>
                      <wps:wsp>
                        <wps:cNvPr id="46" name="Rectangle 46"/>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Rectangle 47"/>
                        <wps:cNvSpPr/>
                        <wps:spPr>
                          <a:xfrm>
                            <a:off x="0" y="927279"/>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CA9584" w14:textId="77777777" w:rsidR="00773959" w:rsidRPr="00773959" w:rsidRDefault="00773959" w:rsidP="00773959">
                              <w:pPr>
                                <w:spacing w:after="0" w:line="240" w:lineRule="auto"/>
                                <w:rPr>
                                  <w:rFonts w:ascii="Times New Roman" w:eastAsia="Times New Roman" w:hAnsi="Times New Roman" w:cs="Times New Roman"/>
                                </w:rPr>
                              </w:pPr>
                              <w:r w:rsidRPr="00773959">
                                <w:rPr>
                                  <w:rFonts w:ascii="Times New Roman" w:eastAsia="Times New Roman" w:hAnsi="Times New Roman" w:cs="Times New Roman"/>
                                </w:rPr>
                                <w:t>The community pharmacy has changed from being just a dispensing service to becoming an increasingly clinical and preventive part of primary care. Its main features are accessibility, professional experience in drugs and the capacity to offer prompt support without need for a GP appointment. The delivery of almost 2.4 million Pharmacy First consultations by May 2025 illustrates pharmacies’ potential to improve access and relieve some burden on general practice (NHS England, 2025).</w:t>
                              </w:r>
                              <w:r w:rsidRPr="00773959">
                                <w:rPr>
                                  <w:rFonts w:ascii="Times New Roman" w:eastAsia="Times New Roman" w:hAnsi="Times New Roman" w:cs="Times New Roman"/>
                                </w:rPr>
                                <w:br/>
                              </w:r>
                              <w:r w:rsidRPr="00773959">
                                <w:rPr>
                                  <w:rFonts w:ascii="Times New Roman" w:eastAsia="Times New Roman" w:hAnsi="Times New Roman" w:cs="Times New Roman"/>
                                </w:rPr>
                                <w:br/>
                                <w:t xml:space="preserve">But more activity does not necessarily mean a sustainable or equitable service. Health and Social Care Committee (2024) found that impoverished </w:t>
                              </w:r>
                              <w:proofErr w:type="spellStart"/>
                              <w:r w:rsidRPr="00773959">
                                <w:rPr>
                                  <w:rFonts w:ascii="Times New Roman" w:eastAsia="Times New Roman" w:hAnsi="Times New Roman" w:cs="Times New Roman"/>
                                </w:rPr>
                                <w:t>neighborhoods</w:t>
                              </w:r>
                              <w:proofErr w:type="spellEnd"/>
                              <w:r w:rsidRPr="00773959">
                                <w:rPr>
                                  <w:rFonts w:ascii="Times New Roman" w:eastAsia="Times New Roman" w:hAnsi="Times New Roman" w:cs="Times New Roman"/>
                                </w:rPr>
                                <w:t xml:space="preserve"> are disproportionately affected by pharmacy closures and that the risk of staff burnout is increased by workforce shortages and increased workloads which could limit time for consultations. Expanding the clinical roles of pharmacists without enough financing, staffing, training and consultation facilities could put pressure on already overburdened pharmacies instead of GPs.</w:t>
                              </w:r>
                              <w:r w:rsidRPr="00773959">
                                <w:rPr>
                                  <w:rFonts w:ascii="Times New Roman" w:eastAsia="Times New Roman" w:hAnsi="Times New Roman" w:cs="Times New Roman"/>
                                </w:rPr>
                                <w:br/>
                              </w:r>
                              <w:r w:rsidRPr="00773959">
                                <w:rPr>
                                  <w:rFonts w:ascii="Times New Roman" w:eastAsia="Times New Roman" w:hAnsi="Times New Roman" w:cs="Times New Roman"/>
                                </w:rPr>
                                <w:br/>
                                <w:t>Community pharmacy is crucial to a more accessible and prevention-focused NHS. But its long-term effectiveness will depend on consistent investment, workforce development, reliable supplies of medicines and better integration with GPs and other health services.</w:t>
                              </w:r>
                            </w:p>
                            <w:p w14:paraId="30843FED" w14:textId="3976F3E9" w:rsidR="00773959" w:rsidRDefault="00773959" w:rsidP="00773959">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48" name="Text Box 48"/>
                        <wps:cNvSpPr txBox="1"/>
                        <wps:spPr>
                          <a:xfrm>
                            <a:off x="0" y="231820"/>
                            <a:ext cx="1828800" cy="6858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CA4ECCB" w14:textId="33F2B349" w:rsidR="00773959" w:rsidRDefault="00773959" w:rsidP="00773959">
                              <w:pPr>
                                <w:pStyle w:val="Heading2"/>
                              </w:pPr>
                              <w:r>
                                <w:t xml:space="preserve">             </w:t>
                              </w:r>
                              <w:r>
                                <w:t>Overall evaluation</w:t>
                              </w:r>
                            </w:p>
                            <w:p w14:paraId="6182100B" w14:textId="073EBB52" w:rsidR="00773959" w:rsidRDefault="00773959">
                              <w:pPr>
                                <w:pStyle w:val="NoSpacing"/>
                                <w:jc w:val="center"/>
                                <w:rPr>
                                  <w:rFonts w:asciiTheme="majorHAnsi" w:eastAsiaTheme="majorEastAsia" w:hAnsiTheme="majorHAnsi" w:cstheme="majorBidi"/>
                                  <w:caps/>
                                  <w:color w:val="156082" w:themeColor="accent1"/>
                                  <w:sz w:val="28"/>
                                  <w:szCs w:val="28"/>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EFF9D5" id="Group 45" o:spid="_x0000_s1081" style="position:absolute;margin-left:487.5pt;margin-top:-62pt;width:278.45pt;height:486pt;z-index:-251639808;mso-wrap-distance-left:18pt;mso-wrap-distance-right:18pt;mso-position-horizontal-relative:margin;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">
                <v:rect id="Rectangle 46" o:spid="_x0000_s1082"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" fillcolor="#156082 [3204]" stroked="f" strokeweight="1pt"/>
                <v:rect id="Rectangle 47" o:spid="_x0000_s1083"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" fillcolor="#156082 [3204]" stroked="f" strokeweight="1pt">
                  <v:textbox inset=",14.4pt,8.64pt,18pt">
                    <w:txbxContent>
                      <w:p w14:paraId="6CCA9584" w14:textId="77777777" w:rsidR="00773959" w:rsidRPr="00773959" w:rsidRDefault="00773959" w:rsidP="00773959">
                        <w:pPr>
                          <w:spacing w:after="0" w:line="240" w:lineRule="auto"/>
                          <w:rPr>
                            <w:rFonts w:ascii="Times New Roman" w:eastAsia="Times New Roman" w:hAnsi="Times New Roman" w:cs="Times New Roman"/>
                          </w:rPr>
                        </w:pPr>
                        <w:r w:rsidRPr="00773959">
                          <w:rPr>
                            <w:rFonts w:ascii="Times New Roman" w:eastAsia="Times New Roman" w:hAnsi="Times New Roman" w:cs="Times New Roman"/>
                          </w:rPr>
                          <w:t>The community pharmacy has changed from being just a dispensing service to becoming an increasingly clinical and preventive part of primary care. Its main features are accessibility, professional experience in drugs and the capacity to offer prompt support without need for a GP appointment. The delivery of almost 2.4 million Pharmacy First consultations by May 2025 illustrates pharmacies’ potential to improve access and relieve some burden on general practice (NHS England, 2025).</w:t>
                        </w:r>
                        <w:r w:rsidRPr="00773959">
                          <w:rPr>
                            <w:rFonts w:ascii="Times New Roman" w:eastAsia="Times New Roman" w:hAnsi="Times New Roman" w:cs="Times New Roman"/>
                          </w:rPr>
                          <w:br/>
                        </w:r>
                        <w:r w:rsidRPr="00773959">
                          <w:rPr>
                            <w:rFonts w:ascii="Times New Roman" w:eastAsia="Times New Roman" w:hAnsi="Times New Roman" w:cs="Times New Roman"/>
                          </w:rPr>
                          <w:br/>
                          <w:t xml:space="preserve">But more activity does not necessarily mean a sustainable or equitable service. Health and Social Care Committee (2024) found that impoverished </w:t>
                        </w:r>
                        <w:proofErr w:type="spellStart"/>
                        <w:r w:rsidRPr="00773959">
                          <w:rPr>
                            <w:rFonts w:ascii="Times New Roman" w:eastAsia="Times New Roman" w:hAnsi="Times New Roman" w:cs="Times New Roman"/>
                          </w:rPr>
                          <w:t>neighborhoods</w:t>
                        </w:r>
                        <w:proofErr w:type="spellEnd"/>
                        <w:r w:rsidRPr="00773959">
                          <w:rPr>
                            <w:rFonts w:ascii="Times New Roman" w:eastAsia="Times New Roman" w:hAnsi="Times New Roman" w:cs="Times New Roman"/>
                          </w:rPr>
                          <w:t xml:space="preserve"> are disproportionately affected by pharmacy closures and that the risk of staff burnout is increased by workforce shortages and increased workloads which could limit time for consultations. Expanding the clinical roles of pharmacists without enough financing, staffing, training and consultation facilities could put pressure on already overburdened pharmacies instead of GPs.</w:t>
                        </w:r>
                        <w:r w:rsidRPr="00773959">
                          <w:rPr>
                            <w:rFonts w:ascii="Times New Roman" w:eastAsia="Times New Roman" w:hAnsi="Times New Roman" w:cs="Times New Roman"/>
                          </w:rPr>
                          <w:br/>
                        </w:r>
                        <w:r w:rsidRPr="00773959">
                          <w:rPr>
                            <w:rFonts w:ascii="Times New Roman" w:eastAsia="Times New Roman" w:hAnsi="Times New Roman" w:cs="Times New Roman"/>
                          </w:rPr>
                          <w:br/>
                          <w:t>Community pharmacy is crucial to a more accessible and prevention-focused NHS. But its long-term effectiveness will depend on consistent investment, workforce development, reliable supplies of medicines and better integration with GPs and other health services.</w:t>
                        </w:r>
                      </w:p>
                      <w:p w14:paraId="30843FED" w14:textId="3976F3E9" w:rsidR="00773959" w:rsidRDefault="00773959" w:rsidP="00773959">
                        <w:pPr>
                          <w:rPr>
                            <w:color w:val="FFFFFF" w:themeColor="background1"/>
                          </w:rPr>
                        </w:pPr>
                      </w:p>
                    </w:txbxContent>
                  </v:textbox>
                </v:rect>
                <v:shape id="Text Box 48" o:spid="_x0000_s1084" type="#_x0000_t202" style="position:absolute;top:2318;width:18288;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" fillcolor="white [3212]" stroked="f" strokeweight=".5pt">
                  <v:textbox inset=",7.2pt,,7.2pt">
                    <w:txbxContent>
                      <w:p w14:paraId="0CA4ECCB" w14:textId="33F2B349" w:rsidR="00773959" w:rsidRDefault="00773959" w:rsidP="00773959">
                        <w:pPr>
                          <w:pStyle w:val="Heading2"/>
                        </w:pPr>
                        <w:r>
                          <w:t xml:space="preserve">             </w:t>
                        </w:r>
                        <w:r>
                          <w:t>Overall evaluation</w:t>
                        </w:r>
                      </w:p>
                      <w:p w14:paraId="6182100B" w14:textId="073EBB52" w:rsidR="00773959" w:rsidRDefault="00773959">
                        <w:pPr>
                          <w:pStyle w:val="NoSpacing"/>
                          <w:jc w:val="center"/>
                          <w:rPr>
                            <w:rFonts w:asciiTheme="majorHAnsi" w:eastAsiaTheme="majorEastAsia" w:hAnsiTheme="majorHAnsi" w:cstheme="majorBidi"/>
                            <w:caps/>
                            <w:color w:val="156082" w:themeColor="accent1"/>
                            <w:sz w:val="28"/>
                            <w:szCs w:val="28"/>
                          </w:rPr>
                        </w:pPr>
                      </w:p>
                    </w:txbxContent>
                  </v:textbox>
                </v:shape>
                <w10:wrap type="square" anchorx="margin" anchory="margin"/>
              </v:group>
            </w:pict>
          </mc:Fallback>
        </mc:AlternateContent>
      </w:r>
      <w:r w:rsidR="00773959" w:rsidRPr="00C61B18">
        <w:rPr>
          <w:rFonts w:ascii="Arial" w:eastAsia="Arial" w:hAnsi="Arial" w:cs="Arial"/>
          <w:noProof/>
          <w:sz w:val="22"/>
          <w:szCs w:val="22"/>
        </w:rPr>
        <mc:AlternateContent>
          <mc:Choice Requires="wpg">
            <w:drawing>
              <wp:anchor distT="0" distB="0" distL="228600" distR="228600" simplePos="0" relativeHeight="251674624" behindDoc="1" locked="0" layoutInCell="1" allowOverlap="1" wp14:anchorId="310CFC30" wp14:editId="7799565E">
                <wp:simplePos x="0" y="0"/>
                <wp:positionH relativeFrom="margin">
                  <wp:posOffset>-901700</wp:posOffset>
                </wp:positionH>
                <wp:positionV relativeFrom="margin">
                  <wp:posOffset>-1073150</wp:posOffset>
                </wp:positionV>
                <wp:extent cx="3784600" cy="6337300"/>
                <wp:effectExtent l="0" t="0" r="6350" b="6350"/>
                <wp:wrapSquare wrapText="bothSides"/>
                <wp:docPr id="201" name="Group 201"/>
                <wp:cNvGraphicFramePr/>
                <a:graphic xmlns:a="http://schemas.openxmlformats.org/drawingml/2006/main">
                  <a:graphicData uri="http://schemas.microsoft.com/office/word/2010/wordprocessingGroup">
                    <wpg:wgp>
                      <wpg:cNvGrpSpPr/>
                      <wpg:grpSpPr>
                        <a:xfrm>
                          <a:off x="0" y="0"/>
                          <a:ext cx="3784600" cy="6337300"/>
                          <a:chOff x="0" y="0"/>
                          <a:chExt cx="2422144" cy="6893845"/>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79"/>
                            <a:ext cx="2422144" cy="596656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20A63E" w14:textId="77777777" w:rsidR="00773959" w:rsidRPr="00773959" w:rsidRDefault="00773959" w:rsidP="00773959">
                              <w:pPr>
                                <w:pStyle w:val="Heading3"/>
                                <w:rPr>
                                  <w:rFonts w:ascii="Arial" w:hAnsi="Arial" w:cs="Arial"/>
                                  <w:sz w:val="22"/>
                                  <w:szCs w:val="22"/>
                                </w:rPr>
                              </w:pPr>
                              <w:r w:rsidRPr="00773959">
                                <w:rPr>
                                  <w:rFonts w:ascii="Arial" w:hAnsi="Arial" w:cs="Arial"/>
                                  <w:sz w:val="22"/>
                                  <w:szCs w:val="22"/>
                                </w:rPr>
                                <w:t>Challenge 1: Financial pressure and pharmacy closures</w:t>
                              </w:r>
                            </w:p>
                            <w:p w14:paraId="6CA18AE8" w14:textId="77777777" w:rsidR="00773959" w:rsidRPr="00773959" w:rsidRDefault="00773959" w:rsidP="00773959">
                              <w:pPr>
                                <w:spacing w:after="0" w:line="240" w:lineRule="auto"/>
                                <w:rPr>
                                  <w:rFonts w:ascii="Times New Roman" w:eastAsia="Times New Roman" w:hAnsi="Times New Roman" w:cs="Times New Roman"/>
                                </w:rPr>
                              </w:pPr>
                              <w:r w:rsidRPr="00773959">
                                <w:rPr>
                                  <w:rFonts w:ascii="Times New Roman" w:eastAsia="Times New Roman" w:hAnsi="Times New Roman" w:cs="Times New Roman"/>
                                </w:rPr>
                                <w:t>Community pharmacy must acquire drugs, employ qualified staff and maintain premises, all within the context of the nationally defined NHS funding procedures. While the contractual budget allotment grew to £3.073 billion for 2025/26, there is concern as to whether financing reflects rising running expenses and workload (DHSC, NHS England and Community Pharmacy England, 2025).</w:t>
                              </w:r>
                              <w:r w:rsidRPr="00773959">
                                <w:rPr>
                                  <w:rFonts w:ascii="Times New Roman" w:eastAsia="Times New Roman" w:hAnsi="Times New Roman" w:cs="Times New Roman"/>
                                </w:rPr>
                                <w:br/>
                                <w:t>Closures can worsen health disparities. Between 2015 and February 2024, 34.9% of pharmacy closures happened in the 20% most impoverished neighbourhoods in England (Health and Social Care Committee, 2024).</w:t>
                              </w:r>
                            </w:p>
                            <w:p w14:paraId="138022A2" w14:textId="77777777" w:rsidR="00773959" w:rsidRPr="00773959" w:rsidRDefault="00773959" w:rsidP="00773959">
                              <w:pPr>
                                <w:pStyle w:val="Heading3"/>
                                <w:rPr>
                                  <w:rFonts w:ascii="Arial" w:hAnsi="Arial" w:cs="Arial"/>
                                  <w:sz w:val="22"/>
                                  <w:szCs w:val="22"/>
                                </w:rPr>
                              </w:pPr>
                              <w:r w:rsidRPr="00773959">
                                <w:rPr>
                                  <w:rFonts w:ascii="Arial" w:hAnsi="Arial" w:cs="Arial"/>
                                  <w:sz w:val="22"/>
                                  <w:szCs w:val="22"/>
                                </w:rPr>
                                <w:t>Challenge 2: Workforce capacity and increasing workload</w:t>
                              </w:r>
                            </w:p>
                            <w:p w14:paraId="554BCCE3" w14:textId="77777777" w:rsidR="00773959" w:rsidRPr="00773959" w:rsidRDefault="00773959" w:rsidP="00773959">
                              <w:pPr>
                                <w:spacing w:after="0" w:line="240" w:lineRule="auto"/>
                                <w:rPr>
                                  <w:rFonts w:ascii="Times New Roman" w:eastAsia="Times New Roman" w:hAnsi="Times New Roman" w:cs="Times New Roman"/>
                                </w:rPr>
                              </w:pPr>
                              <w:r w:rsidRPr="00773959">
                                <w:rPr>
                                  <w:rFonts w:ascii="Times New Roman" w:eastAsia="Times New Roman" w:hAnsi="Times New Roman" w:cs="Times New Roman"/>
                                </w:rPr>
                                <w:t xml:space="preserve">Pharmacists are expected to combine high-volume dispensing with patient consultations, vaccines, public health activities and problems with pharmaceutical supplies. Staffing shortages were rampant and a Health and Social Care Committee review (2024) revealed 86% of the pharmacy workforce was at risk of burnout. </w:t>
                              </w:r>
                              <w:r w:rsidRPr="00773959">
                                <w:rPr>
                                  <w:rFonts w:ascii="Times New Roman" w:eastAsia="Times New Roman" w:hAnsi="Times New Roman" w:cs="Times New Roman"/>
                                </w:rPr>
                                <w:br/>
                                <w:t>Pharmacy First can relieve strain elsewhere in the NHS but moving greater clinical responsibility without sufficient staff, consultation space and protected time may just transfer pressure from GPs to pharmacies. So sustainable expansion will require personnel development, adequate funding and strong digital communication with other services.</w:t>
                              </w:r>
                            </w:p>
                            <w:p w14:paraId="627AF618" w14:textId="6757D907" w:rsidR="00773959" w:rsidRDefault="00773959">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6858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57B8C43" w14:textId="46222CF1" w:rsidR="00773959" w:rsidRDefault="00773959">
                              <w:pPr>
                                <w:pStyle w:val="NoSpacing"/>
                                <w:jc w:val="center"/>
                                <w:rPr>
                                  <w:rFonts w:asciiTheme="majorHAnsi" w:eastAsiaTheme="majorEastAsia" w:hAnsiTheme="majorHAnsi" w:cstheme="majorBidi"/>
                                  <w:caps/>
                                  <w:color w:val="156082" w:themeColor="accent1"/>
                                  <w:sz w:val="28"/>
                                  <w:szCs w:val="28"/>
                                </w:rPr>
                              </w:pPr>
                              <w:r w:rsidRPr="00773959">
                                <w:rPr>
                                  <w:rFonts w:asciiTheme="majorHAnsi" w:eastAsiaTheme="majorEastAsia" w:hAnsiTheme="majorHAnsi" w:cstheme="majorBidi"/>
                                  <w:color w:val="0F4761" w:themeColor="accent1" w:themeShade="BF"/>
                                  <w:sz w:val="32"/>
                                  <w:szCs w:val="32"/>
                                </w:rPr>
                                <w:t>Two major challenges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0CFC30" id="Group 201" o:spid="_x0000_s1085" style="position:absolute;margin-left:-71pt;margin-top:-84.5pt;width:298pt;height:499pt;z-index:-251641856;mso-wrap-distance-left:18pt;mso-wrap-distance-right:18pt;mso-position-horizontal-relative:margin;mso-position-vertical-relative:margin;mso-width-relative:margin;mso-height-relative:margin" coordsize="24221,689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">
                <v:rect id="Rectangle 202" o:spid="_x0000_s1086"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156082 [3204]" stroked="f" strokeweight="1pt"/>
                <v:rect id="Rectangle 203" o:spid="_x0000_s1087" style="position:absolute;top:9272;width:24221;height:59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156082 [3204]" stroked="f" strokeweight="1pt">
                  <v:textbox inset=",14.4pt,8.64pt,18pt">
                    <w:txbxContent>
                      <w:p w14:paraId="6920A63E" w14:textId="77777777" w:rsidR="00773959" w:rsidRPr="00773959" w:rsidRDefault="00773959" w:rsidP="00773959">
                        <w:pPr>
                          <w:pStyle w:val="Heading3"/>
                          <w:rPr>
                            <w:rFonts w:ascii="Arial" w:hAnsi="Arial" w:cs="Arial"/>
                            <w:sz w:val="22"/>
                            <w:szCs w:val="22"/>
                          </w:rPr>
                        </w:pPr>
                        <w:r w:rsidRPr="00773959">
                          <w:rPr>
                            <w:rFonts w:ascii="Arial" w:hAnsi="Arial" w:cs="Arial"/>
                            <w:sz w:val="22"/>
                            <w:szCs w:val="22"/>
                          </w:rPr>
                          <w:t>Challenge 1: Financial pressure and pharmacy closures</w:t>
                        </w:r>
                      </w:p>
                      <w:p w14:paraId="6CA18AE8" w14:textId="77777777" w:rsidR="00773959" w:rsidRPr="00773959" w:rsidRDefault="00773959" w:rsidP="00773959">
                        <w:pPr>
                          <w:spacing w:after="0" w:line="240" w:lineRule="auto"/>
                          <w:rPr>
                            <w:rFonts w:ascii="Times New Roman" w:eastAsia="Times New Roman" w:hAnsi="Times New Roman" w:cs="Times New Roman"/>
                          </w:rPr>
                        </w:pPr>
                        <w:r w:rsidRPr="00773959">
                          <w:rPr>
                            <w:rFonts w:ascii="Times New Roman" w:eastAsia="Times New Roman" w:hAnsi="Times New Roman" w:cs="Times New Roman"/>
                          </w:rPr>
                          <w:t>Community pharmacy must acquire drugs, employ qualified staff and maintain premises, all within the context of the nationally defined NHS funding procedures. While the contractual budget allotment grew to £3.073 billion for 2025/26, there is concern as to whether financing reflects rising running expenses and workload (DHSC, NHS England and Community Pharmacy England, 2025).</w:t>
                        </w:r>
                        <w:r w:rsidRPr="00773959">
                          <w:rPr>
                            <w:rFonts w:ascii="Times New Roman" w:eastAsia="Times New Roman" w:hAnsi="Times New Roman" w:cs="Times New Roman"/>
                          </w:rPr>
                          <w:br/>
                          <w:t>Closures can worsen health disparities. Between 2015 and February 2024, 34.9% of pharmacy closures happened in the 20% most impoverished neighbourhoods in England (Health and Social Care Committee, 2024).</w:t>
                        </w:r>
                      </w:p>
                      <w:p w14:paraId="138022A2" w14:textId="77777777" w:rsidR="00773959" w:rsidRPr="00773959" w:rsidRDefault="00773959" w:rsidP="00773959">
                        <w:pPr>
                          <w:pStyle w:val="Heading3"/>
                          <w:rPr>
                            <w:rFonts w:ascii="Arial" w:hAnsi="Arial" w:cs="Arial"/>
                            <w:sz w:val="22"/>
                            <w:szCs w:val="22"/>
                          </w:rPr>
                        </w:pPr>
                        <w:r w:rsidRPr="00773959">
                          <w:rPr>
                            <w:rFonts w:ascii="Arial" w:hAnsi="Arial" w:cs="Arial"/>
                            <w:sz w:val="22"/>
                            <w:szCs w:val="22"/>
                          </w:rPr>
                          <w:t>Challenge 2: Workforce capacity and increasing workload</w:t>
                        </w:r>
                      </w:p>
                      <w:p w14:paraId="554BCCE3" w14:textId="77777777" w:rsidR="00773959" w:rsidRPr="00773959" w:rsidRDefault="00773959" w:rsidP="00773959">
                        <w:pPr>
                          <w:spacing w:after="0" w:line="240" w:lineRule="auto"/>
                          <w:rPr>
                            <w:rFonts w:ascii="Times New Roman" w:eastAsia="Times New Roman" w:hAnsi="Times New Roman" w:cs="Times New Roman"/>
                          </w:rPr>
                        </w:pPr>
                        <w:r w:rsidRPr="00773959">
                          <w:rPr>
                            <w:rFonts w:ascii="Times New Roman" w:eastAsia="Times New Roman" w:hAnsi="Times New Roman" w:cs="Times New Roman"/>
                          </w:rPr>
                          <w:t xml:space="preserve">Pharmacists are expected to combine high-volume dispensing with patient consultations, vaccines, public health activities and problems with pharmaceutical supplies. Staffing shortages were rampant and a Health and Social Care Committee review (2024) revealed 86% of the pharmacy workforce was at risk of burnout. </w:t>
                        </w:r>
                        <w:r w:rsidRPr="00773959">
                          <w:rPr>
                            <w:rFonts w:ascii="Times New Roman" w:eastAsia="Times New Roman" w:hAnsi="Times New Roman" w:cs="Times New Roman"/>
                          </w:rPr>
                          <w:br/>
                          <w:t>Pharmacy First can relieve strain elsewhere in the NHS but moving greater clinical responsibility without sufficient staff, consultation space and protected time may just transfer pressure from GPs to pharmacies. So sustainable expansion will require personnel development, adequate funding and strong digital communication with other services.</w:t>
                        </w:r>
                      </w:p>
                      <w:p w14:paraId="627AF618" w14:textId="6757D907" w:rsidR="00773959" w:rsidRDefault="00773959">
                        <w:pPr>
                          <w:rPr>
                            <w:color w:val="FFFFFF" w:themeColor="background1"/>
                          </w:rPr>
                        </w:pPr>
                      </w:p>
                    </w:txbxContent>
                  </v:textbox>
                </v:rect>
                <v:shape id="Text Box 204" o:spid="_x0000_s1088" type="#_x0000_t202" style="position:absolute;top:2318;width:18288;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057B8C43" w14:textId="46222CF1" w:rsidR="00773959" w:rsidRDefault="00773959">
                        <w:pPr>
                          <w:pStyle w:val="NoSpacing"/>
                          <w:jc w:val="center"/>
                          <w:rPr>
                            <w:rFonts w:asciiTheme="majorHAnsi" w:eastAsiaTheme="majorEastAsia" w:hAnsiTheme="majorHAnsi" w:cstheme="majorBidi"/>
                            <w:caps/>
                            <w:color w:val="156082" w:themeColor="accent1"/>
                            <w:sz w:val="28"/>
                            <w:szCs w:val="28"/>
                          </w:rPr>
                        </w:pPr>
                        <w:r w:rsidRPr="00773959">
                          <w:rPr>
                            <w:rFonts w:asciiTheme="majorHAnsi" w:eastAsiaTheme="majorEastAsia" w:hAnsiTheme="majorHAnsi" w:cstheme="majorBidi"/>
                            <w:color w:val="0F4761" w:themeColor="accent1" w:themeShade="BF"/>
                            <w:sz w:val="32"/>
                            <w:szCs w:val="32"/>
                          </w:rPr>
                          <w:t>Two major challenges</w:t>
                        </w:r>
                      </w:p>
                    </w:txbxContent>
                  </v:textbox>
                </v:shape>
                <w10:wrap type="square" anchorx="margin" anchory="margin"/>
              </v:group>
            </w:pict>
          </mc:Fallback>
        </mc:AlternateContent>
      </w:r>
    </w:p>
    <w:p w14:paraId="35E179FE" w14:textId="2611D958" w:rsidR="006A6BA7" w:rsidRPr="00C61B18" w:rsidRDefault="006A6BA7" w:rsidP="00B16875">
      <w:pPr>
        <w:spacing w:line="276" w:lineRule="auto"/>
        <w:rPr>
          <w:rFonts w:ascii="Arial" w:eastAsia="Arial" w:hAnsi="Arial" w:cs="Arial"/>
          <w:sz w:val="22"/>
          <w:szCs w:val="22"/>
        </w:rPr>
      </w:pPr>
    </w:p>
    <w:p w14:paraId="15CBD72B" w14:textId="483A531A" w:rsidR="006A6BA7" w:rsidRPr="00C61B18" w:rsidRDefault="006A6BA7" w:rsidP="00B16875">
      <w:pPr>
        <w:spacing w:line="276" w:lineRule="auto"/>
        <w:rPr>
          <w:rFonts w:ascii="Arial" w:hAnsi="Arial" w:cs="Arial"/>
          <w:sz w:val="22"/>
          <w:szCs w:val="22"/>
        </w:rPr>
      </w:pPr>
      <w:r w:rsidRPr="00C61B18">
        <w:rPr>
          <w:rFonts w:ascii="Arial" w:hAnsi="Arial" w:cs="Arial"/>
          <w:sz w:val="22"/>
          <w:szCs w:val="22"/>
        </w:rPr>
        <w:lastRenderedPageBreak/>
        <w:t>Task 2: Domiciliary Care Services within the Community</w:t>
      </w:r>
    </w:p>
    <w:p w14:paraId="0092E564" w14:textId="1E76D1BF" w:rsidR="006A6BA7" w:rsidRPr="00C61B18" w:rsidRDefault="006A6BA7" w:rsidP="00B16875">
      <w:pPr>
        <w:spacing w:line="276" w:lineRule="auto"/>
        <w:rPr>
          <w:rFonts w:ascii="Arial" w:hAnsi="Arial" w:cs="Arial"/>
          <w:sz w:val="22"/>
          <w:szCs w:val="22"/>
        </w:rPr>
      </w:pPr>
    </w:p>
    <w:p w14:paraId="64C21D36" w14:textId="77777777" w:rsidR="006A6BA7" w:rsidRPr="006A6BA7" w:rsidRDefault="006A6BA7" w:rsidP="006A6BA7">
      <w:pPr>
        <w:spacing w:after="0" w:line="240" w:lineRule="auto"/>
        <w:rPr>
          <w:rFonts w:ascii="Arial" w:eastAsia="Times New Roman" w:hAnsi="Arial" w:cs="Arial"/>
          <w:sz w:val="22"/>
          <w:szCs w:val="22"/>
        </w:rPr>
      </w:pPr>
      <w:r w:rsidRPr="006A6BA7">
        <w:rPr>
          <w:rFonts w:ascii="Arial" w:eastAsia="Times New Roman" w:hAnsi="Arial" w:cs="Arial"/>
          <w:sz w:val="22"/>
          <w:szCs w:val="22"/>
        </w:rPr>
        <w:t>Domiciliary care is often known as homecare. It provides practical and personal support to people in their own homes. Its primary users are elderly persons, folks with disabilities and people recuperating from sickness who require support but do not necessarily need residential care. Services may include assistance with washing, dressing, eating, mobility, medication, shopping and social activities. Its major aim is to help people to live safely and independently in their own homes.</w:t>
      </w:r>
      <w:r w:rsidRPr="006A6BA7">
        <w:rPr>
          <w:rFonts w:ascii="Arial" w:eastAsia="Times New Roman" w:hAnsi="Arial" w:cs="Arial"/>
          <w:sz w:val="22"/>
          <w:szCs w:val="22"/>
        </w:rPr>
        <w:br/>
      </w:r>
      <w:r w:rsidRPr="006A6BA7">
        <w:rPr>
          <w:rFonts w:ascii="Arial" w:eastAsia="Times New Roman" w:hAnsi="Arial" w:cs="Arial"/>
          <w:sz w:val="22"/>
          <w:szCs w:val="22"/>
        </w:rPr>
        <w:br/>
        <w:t>Domiciliary care origins stem from the gradual withdrawal from institutional provision. The National Assistance Act 1948 originally prioritized local-authority residential accommodation but later amendments increasingly advocated community help. The National Assistance Act 1948 (Amendment) Act 1962 encouraged local authorities to develop services to enable older and disabled people to remain in their own homes, and the Health Services and Public Health Act 1968 extended powers to provide domestic assistance, visiting services and home adaptations (Thane, 2009). This was a reflection of shifting attitudes on institutionalisation and greater recognition that many people wanted to stay in their communities.</w:t>
      </w:r>
      <w:r w:rsidRPr="006A6BA7">
        <w:rPr>
          <w:rFonts w:ascii="Arial" w:eastAsia="Times New Roman" w:hAnsi="Arial" w:cs="Arial"/>
          <w:sz w:val="22"/>
          <w:szCs w:val="22"/>
        </w:rPr>
        <w:br/>
      </w:r>
      <w:r w:rsidRPr="006A6BA7">
        <w:rPr>
          <w:rFonts w:ascii="Arial" w:eastAsia="Times New Roman" w:hAnsi="Arial" w:cs="Arial"/>
          <w:sz w:val="22"/>
          <w:szCs w:val="22"/>
        </w:rPr>
        <w:br/>
        <w:t xml:space="preserve">This was reinforced by the NHS and Community Care Act 1990, which put local authorities in charge of assessing requirements and arranging community care. It also stimulated the development of independent and voluntary sector providers (UK Parliament, 1990). The Care Act 2014 then set up a more consistent legislative framework </w:t>
      </w:r>
      <w:proofErr w:type="spellStart"/>
      <w:r w:rsidRPr="006A6BA7">
        <w:rPr>
          <w:rFonts w:ascii="Arial" w:eastAsia="Times New Roman" w:hAnsi="Arial" w:cs="Arial"/>
          <w:sz w:val="22"/>
          <w:szCs w:val="22"/>
        </w:rPr>
        <w:t>centered</w:t>
      </w:r>
      <w:proofErr w:type="spellEnd"/>
      <w:r w:rsidRPr="006A6BA7">
        <w:rPr>
          <w:rFonts w:ascii="Arial" w:eastAsia="Times New Roman" w:hAnsi="Arial" w:cs="Arial"/>
          <w:sz w:val="22"/>
          <w:szCs w:val="22"/>
        </w:rPr>
        <w:t xml:space="preserve"> on wellbeing, prevention, personal choice and control. Local authorities need to examine adults who may have care and support needs and to consider outcomes that are meaningful to the individual rather than merely allocating conventional services (Department of Health and Social Care, 2025).</w:t>
      </w:r>
      <w:r w:rsidRPr="006A6BA7">
        <w:rPr>
          <w:rFonts w:ascii="Arial" w:eastAsia="Times New Roman" w:hAnsi="Arial" w:cs="Arial"/>
          <w:sz w:val="22"/>
          <w:szCs w:val="22"/>
        </w:rPr>
        <w:br/>
      </w:r>
      <w:r w:rsidRPr="006A6BA7">
        <w:rPr>
          <w:rFonts w:ascii="Arial" w:eastAsia="Times New Roman" w:hAnsi="Arial" w:cs="Arial"/>
          <w:sz w:val="22"/>
          <w:szCs w:val="22"/>
        </w:rPr>
        <w:br/>
        <w:t xml:space="preserve">A person may seek a free needs assessment from their local authorities. A social worker or occupational therapist will examine the person’s ability to do things such as washing, dressing, cooking and moving around securely in the house (NHS, 2022a). If eligible needs are found, a care and support plan </w:t>
      </w:r>
      <w:proofErr w:type="gramStart"/>
      <w:r w:rsidRPr="006A6BA7">
        <w:rPr>
          <w:rFonts w:ascii="Arial" w:eastAsia="Times New Roman" w:hAnsi="Arial" w:cs="Arial"/>
          <w:sz w:val="22"/>
          <w:szCs w:val="22"/>
        </w:rPr>
        <w:t>outlines</w:t>
      </w:r>
      <w:proofErr w:type="gramEnd"/>
      <w:r w:rsidRPr="006A6BA7">
        <w:rPr>
          <w:rFonts w:ascii="Arial" w:eastAsia="Times New Roman" w:hAnsi="Arial" w:cs="Arial"/>
          <w:sz w:val="22"/>
          <w:szCs w:val="22"/>
        </w:rPr>
        <w:t xml:space="preserve"> the help that is required. After a financial assessment, care may be financed by the council, partly funded or self-funded. Those on public support may also have a personal budget or direct payment to give them more influence over their care options (NHS, 2022b).</w:t>
      </w:r>
      <w:r w:rsidRPr="006A6BA7">
        <w:rPr>
          <w:rFonts w:ascii="Arial" w:eastAsia="Times New Roman" w:hAnsi="Arial" w:cs="Arial"/>
          <w:sz w:val="22"/>
          <w:szCs w:val="22"/>
        </w:rPr>
        <w:br/>
      </w:r>
      <w:r w:rsidRPr="006A6BA7">
        <w:rPr>
          <w:rFonts w:ascii="Arial" w:eastAsia="Times New Roman" w:hAnsi="Arial" w:cs="Arial"/>
          <w:sz w:val="22"/>
          <w:szCs w:val="22"/>
        </w:rPr>
        <w:br/>
        <w:t>Homecare agencies usually employ and oversee care professionals who attend service users’ homes according to specified timetables. In England, personal care services must be registered with the Care Quality Commission, and adhere to requirements relating to safety, effectiveness, responsiveness, leadership and compassionate care (CQC, 2026). There is accountability in this regulatory regime but inspection alone does not ensure care is consistent every time a visit is made.</w:t>
      </w:r>
      <w:r w:rsidRPr="006A6BA7">
        <w:rPr>
          <w:rFonts w:ascii="Arial" w:eastAsia="Times New Roman" w:hAnsi="Arial" w:cs="Arial"/>
          <w:sz w:val="22"/>
          <w:szCs w:val="22"/>
        </w:rPr>
        <w:br/>
      </w:r>
      <w:r w:rsidRPr="006A6BA7">
        <w:rPr>
          <w:rFonts w:ascii="Arial" w:eastAsia="Times New Roman" w:hAnsi="Arial" w:cs="Arial"/>
          <w:sz w:val="22"/>
          <w:szCs w:val="22"/>
        </w:rPr>
        <w:br/>
        <w:t xml:space="preserve">The service has a lot of strengths. Staying at home can maintain familiar habits, relationships, identity and connection with the local community. The right support can prevent avoidable hospital admission, hold off on admission into residential care and ease some of the burden on unpaid family carers. But these benefits depend on the quality and continuity of provision. High quality homecare is significantly connected with trusting </w:t>
      </w:r>
      <w:r w:rsidRPr="006A6BA7">
        <w:rPr>
          <w:rFonts w:ascii="Arial" w:eastAsia="Times New Roman" w:hAnsi="Arial" w:cs="Arial"/>
          <w:sz w:val="22"/>
          <w:szCs w:val="22"/>
        </w:rPr>
        <w:lastRenderedPageBreak/>
        <w:t>relationships, continuity of care, customized support and effective organisational arrangements (Hall et al., 2025). So frequent changes of care worker or hasty visits can undermine dignity and make care appear task-focused rather than person-centred.</w:t>
      </w:r>
      <w:r w:rsidRPr="006A6BA7">
        <w:rPr>
          <w:rFonts w:ascii="Arial" w:eastAsia="Times New Roman" w:hAnsi="Arial" w:cs="Arial"/>
          <w:sz w:val="22"/>
          <w:szCs w:val="22"/>
        </w:rPr>
        <w:br/>
      </w:r>
      <w:r w:rsidRPr="006A6BA7">
        <w:rPr>
          <w:rFonts w:ascii="Arial" w:eastAsia="Times New Roman" w:hAnsi="Arial" w:cs="Arial"/>
          <w:sz w:val="22"/>
          <w:szCs w:val="22"/>
        </w:rPr>
        <w:br/>
        <w:t>Another constraint is with the workforce pressures. Adult social care continues to have significant recruitment, retention and management issues, however there has been some recent improvement related with foreign recruitment (Skills for Care, 2025). Shortages of staff might lead to shorter or delayed visits and less continuity. Furthermore, means-tested funding causes unequal access. People with savings over £23,250 will usually pay the whole cost of their care in England; others may still need to contribute depending on income (NHS, 2022c).</w:t>
      </w:r>
      <w:r w:rsidRPr="006A6BA7">
        <w:rPr>
          <w:rFonts w:ascii="Arial" w:eastAsia="Times New Roman" w:hAnsi="Arial" w:cs="Arial"/>
          <w:sz w:val="22"/>
          <w:szCs w:val="22"/>
        </w:rPr>
        <w:br/>
      </w:r>
      <w:r w:rsidRPr="006A6BA7">
        <w:rPr>
          <w:rFonts w:ascii="Arial" w:eastAsia="Times New Roman" w:hAnsi="Arial" w:cs="Arial"/>
          <w:sz w:val="22"/>
          <w:szCs w:val="22"/>
        </w:rPr>
        <w:br/>
        <w:t>Overall, domiciliary care can improve quality of life by promoting autonomy, dignity, safety and community participation. But success is not just about getting practical jobs done. It is also about reliable staffing, sufficient visit time, consistent finance and care that is built around the person. Without these prerequisites the policy goal of independent living may be attained only at the superficial level.</w:t>
      </w:r>
    </w:p>
    <w:p w14:paraId="4F594A81" w14:textId="5DF41A99" w:rsidR="006A6BA7" w:rsidRPr="00C61B18" w:rsidRDefault="006A6BA7" w:rsidP="00B16875">
      <w:pPr>
        <w:spacing w:line="276" w:lineRule="auto"/>
        <w:rPr>
          <w:rFonts w:ascii="Arial" w:eastAsia="Arial" w:hAnsi="Arial" w:cs="Arial"/>
          <w:sz w:val="22"/>
          <w:szCs w:val="22"/>
        </w:rPr>
      </w:pPr>
    </w:p>
    <w:p w14:paraId="78AD4A6D" w14:textId="2B0D388D" w:rsidR="006A6BA7" w:rsidRPr="00C61B18" w:rsidRDefault="006A6BA7" w:rsidP="00B16875">
      <w:pPr>
        <w:spacing w:line="276" w:lineRule="auto"/>
        <w:rPr>
          <w:rFonts w:ascii="Arial" w:eastAsia="Arial" w:hAnsi="Arial" w:cs="Arial"/>
          <w:sz w:val="22"/>
          <w:szCs w:val="22"/>
        </w:rPr>
      </w:pPr>
    </w:p>
    <w:p w14:paraId="353F43ED" w14:textId="44FDFAAD" w:rsidR="006A6BA7" w:rsidRPr="00C61B18" w:rsidRDefault="006A6BA7" w:rsidP="00B16875">
      <w:pPr>
        <w:spacing w:line="276" w:lineRule="auto"/>
        <w:rPr>
          <w:rFonts w:ascii="Arial" w:eastAsia="Arial" w:hAnsi="Arial" w:cs="Arial"/>
          <w:sz w:val="22"/>
          <w:szCs w:val="22"/>
        </w:rPr>
      </w:pPr>
      <w:r w:rsidRPr="00C61B18">
        <w:rPr>
          <w:rFonts w:ascii="Arial" w:eastAsia="Arial" w:hAnsi="Arial" w:cs="Arial"/>
          <w:sz w:val="22"/>
          <w:szCs w:val="22"/>
        </w:rPr>
        <w:t>References</w:t>
      </w:r>
    </w:p>
    <w:p w14:paraId="12E32E3F" w14:textId="4EF9E61D"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Anderson, S. (2007) ‘Community pharmacy and public health in Great Britain, 1936–2006: how a phoenix rose from the ashes’, </w:t>
      </w:r>
      <w:r w:rsidRPr="00C61B18">
        <w:rPr>
          <w:rStyle w:val="Emphasis"/>
          <w:rFonts w:ascii="Arial" w:eastAsiaTheme="majorEastAsia" w:hAnsi="Arial" w:cs="Arial"/>
          <w:sz w:val="22"/>
          <w:szCs w:val="22"/>
        </w:rPr>
        <w:t>Journal of Epidemiology and Community Health</w:t>
      </w:r>
      <w:r w:rsidRPr="00C61B18">
        <w:rPr>
          <w:rFonts w:ascii="Arial" w:hAnsi="Arial" w:cs="Arial"/>
          <w:sz w:val="22"/>
          <w:szCs w:val="22"/>
        </w:rPr>
        <w:t xml:space="preserve">, 61(10), pp. 844–848. Available at: https://doi.org/10.1136/jech.2006.055442 (Accessed: </w:t>
      </w:r>
      <w:r w:rsidR="00C62A88" w:rsidRPr="00C61B18">
        <w:rPr>
          <w:rFonts w:ascii="Arial" w:hAnsi="Arial" w:cs="Arial"/>
          <w:sz w:val="22"/>
          <w:szCs w:val="22"/>
        </w:rPr>
        <w:t>15</w:t>
      </w:r>
      <w:r w:rsidRPr="00C61B18">
        <w:rPr>
          <w:rFonts w:ascii="Arial" w:hAnsi="Arial" w:cs="Arial"/>
          <w:sz w:val="22"/>
          <w:szCs w:val="22"/>
        </w:rPr>
        <w:t xml:space="preserve"> July 2026).</w:t>
      </w:r>
    </w:p>
    <w:p w14:paraId="3071CF93" w14:textId="7A0B5E3C"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Care Quality Commission (CQC) (2026) </w:t>
      </w:r>
      <w:r w:rsidRPr="00C61B18">
        <w:rPr>
          <w:rStyle w:val="Emphasis"/>
          <w:rFonts w:ascii="Arial" w:eastAsiaTheme="majorEastAsia" w:hAnsi="Arial" w:cs="Arial"/>
          <w:sz w:val="22"/>
          <w:szCs w:val="22"/>
        </w:rPr>
        <w:t>Personal care</w:t>
      </w:r>
      <w:r w:rsidRPr="00C61B18">
        <w:rPr>
          <w:rFonts w:ascii="Arial" w:hAnsi="Arial" w:cs="Arial"/>
          <w:sz w:val="22"/>
          <w:szCs w:val="22"/>
        </w:rPr>
        <w:t xml:space="preserve">. Available at: </w:t>
      </w:r>
      <w:hyperlink r:id="rId15" w:tgtFrame="_new" w:history="1">
        <w:r w:rsidRPr="00C61B18">
          <w:rPr>
            <w:rStyle w:val="Hyperlink"/>
            <w:rFonts w:ascii="Arial" w:eastAsiaTheme="majorEastAsia" w:hAnsi="Arial" w:cs="Arial"/>
            <w:sz w:val="22"/>
            <w:szCs w:val="22"/>
          </w:rPr>
          <w:t>https://www.cqc.org.uk/guidance-regulation/providers/registration/scope-registration/regulated-activities/personal-care</w:t>
        </w:r>
      </w:hyperlink>
      <w:r w:rsidRPr="00C61B18">
        <w:rPr>
          <w:rFonts w:ascii="Arial" w:hAnsi="Arial" w:cs="Arial"/>
          <w:sz w:val="22"/>
          <w:szCs w:val="22"/>
        </w:rPr>
        <w:t xml:space="preserve"> (Accessed: </w:t>
      </w:r>
      <w:r w:rsidR="00C62A88" w:rsidRPr="00C61B18">
        <w:rPr>
          <w:rFonts w:ascii="Arial" w:hAnsi="Arial" w:cs="Arial"/>
          <w:sz w:val="22"/>
          <w:szCs w:val="22"/>
        </w:rPr>
        <w:t>14</w:t>
      </w:r>
      <w:r w:rsidRPr="00C61B18">
        <w:rPr>
          <w:rFonts w:ascii="Arial" w:hAnsi="Arial" w:cs="Arial"/>
          <w:sz w:val="22"/>
          <w:szCs w:val="22"/>
        </w:rPr>
        <w:t xml:space="preserve"> July 2026).</w:t>
      </w:r>
    </w:p>
    <w:p w14:paraId="19350615" w14:textId="5AD24575"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Community Pharmacy England (2025) </w:t>
      </w:r>
      <w:r w:rsidRPr="00C61B18">
        <w:rPr>
          <w:rStyle w:val="Emphasis"/>
          <w:rFonts w:ascii="Arial" w:eastAsiaTheme="majorEastAsia" w:hAnsi="Arial" w:cs="Arial"/>
          <w:sz w:val="22"/>
          <w:szCs w:val="22"/>
        </w:rPr>
        <w:t>Community Pharmacy England’s brief guide to the Community Pharmacy Contractual Framework and funding</w:t>
      </w:r>
      <w:r w:rsidRPr="00C61B18">
        <w:rPr>
          <w:rFonts w:ascii="Arial" w:hAnsi="Arial" w:cs="Arial"/>
          <w:sz w:val="22"/>
          <w:szCs w:val="22"/>
        </w:rPr>
        <w:t xml:space="preserve">. Available at: </w:t>
      </w:r>
      <w:hyperlink r:id="rId16" w:tgtFrame="_new" w:history="1">
        <w:r w:rsidRPr="00C61B18">
          <w:rPr>
            <w:rStyle w:val="Hyperlink"/>
            <w:rFonts w:ascii="Arial" w:eastAsiaTheme="majorEastAsia" w:hAnsi="Arial" w:cs="Arial"/>
            <w:sz w:val="22"/>
            <w:szCs w:val="22"/>
          </w:rPr>
          <w:t>https://cpe.org.uk/wp-content/uploads/2025/05/Brief-guide-to-the-CPCF-and-funding-May-2025.pdf</w:t>
        </w:r>
      </w:hyperlink>
      <w:r w:rsidRPr="00C61B18">
        <w:rPr>
          <w:rFonts w:ascii="Arial" w:hAnsi="Arial" w:cs="Arial"/>
          <w:sz w:val="22"/>
          <w:szCs w:val="22"/>
        </w:rPr>
        <w:t xml:space="preserve"> (Accessed: </w:t>
      </w:r>
      <w:r w:rsidR="00C62A88" w:rsidRPr="00C61B18">
        <w:rPr>
          <w:rFonts w:ascii="Arial" w:hAnsi="Arial" w:cs="Arial"/>
          <w:sz w:val="22"/>
          <w:szCs w:val="22"/>
        </w:rPr>
        <w:t>14</w:t>
      </w:r>
      <w:r w:rsidRPr="00C61B18">
        <w:rPr>
          <w:rFonts w:ascii="Arial" w:hAnsi="Arial" w:cs="Arial"/>
          <w:sz w:val="22"/>
          <w:szCs w:val="22"/>
        </w:rPr>
        <w:t xml:space="preserve"> July 2026).</w:t>
      </w:r>
    </w:p>
    <w:p w14:paraId="223718A4" w14:textId="06815DF2"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Department of Health and Social Care (2025) </w:t>
      </w:r>
      <w:r w:rsidRPr="00C61B18">
        <w:rPr>
          <w:rStyle w:val="Emphasis"/>
          <w:rFonts w:ascii="Arial" w:eastAsiaTheme="majorEastAsia" w:hAnsi="Arial" w:cs="Arial"/>
          <w:sz w:val="22"/>
          <w:szCs w:val="22"/>
        </w:rPr>
        <w:t>Care and support statutory guidance</w:t>
      </w:r>
      <w:r w:rsidRPr="00C61B18">
        <w:rPr>
          <w:rFonts w:ascii="Arial" w:hAnsi="Arial" w:cs="Arial"/>
          <w:sz w:val="22"/>
          <w:szCs w:val="22"/>
        </w:rPr>
        <w:t xml:space="preserve">. Available at: </w:t>
      </w:r>
      <w:hyperlink r:id="rId17" w:tgtFrame="_new" w:history="1">
        <w:r w:rsidRPr="00C61B18">
          <w:rPr>
            <w:rStyle w:val="Hyperlink"/>
            <w:rFonts w:ascii="Arial" w:eastAsiaTheme="majorEastAsia" w:hAnsi="Arial" w:cs="Arial"/>
            <w:sz w:val="22"/>
            <w:szCs w:val="22"/>
          </w:rPr>
          <w:t>https://www.gov.uk/government/publications/care-act-statutory-guidance/care-and-support-statutory-guidance</w:t>
        </w:r>
      </w:hyperlink>
      <w:r w:rsidRPr="00C61B18">
        <w:rPr>
          <w:rFonts w:ascii="Arial" w:hAnsi="Arial" w:cs="Arial"/>
          <w:sz w:val="22"/>
          <w:szCs w:val="22"/>
        </w:rPr>
        <w:t xml:space="preserve"> (Accessed: </w:t>
      </w:r>
      <w:r w:rsidR="00C62A88" w:rsidRPr="00C61B18">
        <w:rPr>
          <w:rFonts w:ascii="Arial" w:hAnsi="Arial" w:cs="Arial"/>
          <w:sz w:val="22"/>
          <w:szCs w:val="22"/>
        </w:rPr>
        <w:t>15</w:t>
      </w:r>
      <w:r w:rsidRPr="00C61B18">
        <w:rPr>
          <w:rFonts w:ascii="Arial" w:hAnsi="Arial" w:cs="Arial"/>
          <w:sz w:val="22"/>
          <w:szCs w:val="22"/>
        </w:rPr>
        <w:t xml:space="preserve"> July 2026).</w:t>
      </w:r>
    </w:p>
    <w:p w14:paraId="36B90A38" w14:textId="412E52F8"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Department of Health and Social Care, NHS England and Community Pharmacy England (2025) </w:t>
      </w:r>
      <w:r w:rsidRPr="00C61B18">
        <w:rPr>
          <w:rStyle w:val="Emphasis"/>
          <w:rFonts w:ascii="Arial" w:eastAsiaTheme="majorEastAsia" w:hAnsi="Arial" w:cs="Arial"/>
          <w:sz w:val="22"/>
          <w:szCs w:val="22"/>
        </w:rPr>
        <w:t>Community Pharmacy Contractual Framework: 2024 to 2025 and 2025 to 2026</w:t>
      </w:r>
      <w:r w:rsidRPr="00C61B18">
        <w:rPr>
          <w:rFonts w:ascii="Arial" w:hAnsi="Arial" w:cs="Arial"/>
          <w:sz w:val="22"/>
          <w:szCs w:val="22"/>
        </w:rPr>
        <w:t xml:space="preserve">. Available at: </w:t>
      </w:r>
      <w:hyperlink r:id="rId18" w:tgtFrame="_new" w:history="1">
        <w:r w:rsidRPr="00C61B18">
          <w:rPr>
            <w:rStyle w:val="Hyperlink"/>
            <w:rFonts w:ascii="Arial" w:eastAsiaTheme="majorEastAsia" w:hAnsi="Arial" w:cs="Arial"/>
            <w:sz w:val="22"/>
            <w:szCs w:val="22"/>
          </w:rPr>
          <w:t>https://www.gov.uk/government/publications/community-pharmacy-contractual-framework-2024-to-2025-and-2025-to-2026</w:t>
        </w:r>
      </w:hyperlink>
      <w:r w:rsidRPr="00C61B18">
        <w:rPr>
          <w:rFonts w:ascii="Arial" w:hAnsi="Arial" w:cs="Arial"/>
          <w:sz w:val="22"/>
          <w:szCs w:val="22"/>
        </w:rPr>
        <w:t xml:space="preserve"> (Accessed: </w:t>
      </w:r>
      <w:r w:rsidR="00C62A88" w:rsidRPr="00C61B18">
        <w:rPr>
          <w:rFonts w:ascii="Arial" w:hAnsi="Arial" w:cs="Arial"/>
          <w:sz w:val="22"/>
          <w:szCs w:val="22"/>
        </w:rPr>
        <w:t>15</w:t>
      </w:r>
      <w:r w:rsidRPr="00C61B18">
        <w:rPr>
          <w:rFonts w:ascii="Arial" w:hAnsi="Arial" w:cs="Arial"/>
          <w:sz w:val="22"/>
          <w:szCs w:val="22"/>
        </w:rPr>
        <w:t xml:space="preserve"> July 2026).</w:t>
      </w:r>
    </w:p>
    <w:p w14:paraId="73C9DA7C" w14:textId="42F62A60" w:rsidR="006A6BA7" w:rsidRPr="00C61B18" w:rsidRDefault="006A6BA7" w:rsidP="006A6BA7">
      <w:pPr>
        <w:pStyle w:val="NormalWeb"/>
        <w:rPr>
          <w:rFonts w:ascii="Arial" w:hAnsi="Arial" w:cs="Arial"/>
          <w:sz w:val="22"/>
          <w:szCs w:val="22"/>
        </w:rPr>
      </w:pPr>
      <w:r w:rsidRPr="00C61B18">
        <w:rPr>
          <w:rFonts w:ascii="Arial" w:hAnsi="Arial" w:cs="Arial"/>
          <w:sz w:val="22"/>
          <w:szCs w:val="22"/>
        </w:rPr>
        <w:lastRenderedPageBreak/>
        <w:t xml:space="preserve">Hall, A., Davey, V., McGarrigle, L., Astbury, J., </w:t>
      </w:r>
      <w:proofErr w:type="spellStart"/>
      <w:r w:rsidRPr="00C61B18">
        <w:rPr>
          <w:rFonts w:ascii="Arial" w:hAnsi="Arial" w:cs="Arial"/>
          <w:sz w:val="22"/>
          <w:szCs w:val="22"/>
        </w:rPr>
        <w:t>Lazo</w:t>
      </w:r>
      <w:proofErr w:type="spellEnd"/>
      <w:r w:rsidRPr="00C61B18">
        <w:rPr>
          <w:rFonts w:ascii="Arial" w:hAnsi="Arial" w:cs="Arial"/>
          <w:sz w:val="22"/>
          <w:szCs w:val="22"/>
        </w:rPr>
        <w:t xml:space="preserve"> Green, K., Ahmed, N., Williams, O., Beyer, F., Hanratty, B. and Price, D. (2025) ‘The meaning of “quality” of homecare for older people: a scoping review’, </w:t>
      </w:r>
      <w:r w:rsidRPr="00C61B18">
        <w:rPr>
          <w:rStyle w:val="Emphasis"/>
          <w:rFonts w:ascii="Arial" w:eastAsiaTheme="majorEastAsia" w:hAnsi="Arial" w:cs="Arial"/>
          <w:sz w:val="22"/>
          <w:szCs w:val="22"/>
        </w:rPr>
        <w:t>BMC Health Services Research</w:t>
      </w:r>
      <w:r w:rsidRPr="00C61B18">
        <w:rPr>
          <w:rFonts w:ascii="Arial" w:hAnsi="Arial" w:cs="Arial"/>
          <w:sz w:val="22"/>
          <w:szCs w:val="22"/>
        </w:rPr>
        <w:t xml:space="preserve">, 25, article 1009. Available at: https://doi.org/10.1186/s12913-025-13057-1 (Accessed: </w:t>
      </w:r>
      <w:r w:rsidR="00C62A88" w:rsidRPr="00C61B18">
        <w:rPr>
          <w:rFonts w:ascii="Arial" w:hAnsi="Arial" w:cs="Arial"/>
          <w:sz w:val="22"/>
          <w:szCs w:val="22"/>
        </w:rPr>
        <w:t>16</w:t>
      </w:r>
      <w:r w:rsidRPr="00C61B18">
        <w:rPr>
          <w:rFonts w:ascii="Arial" w:hAnsi="Arial" w:cs="Arial"/>
          <w:sz w:val="22"/>
          <w:szCs w:val="22"/>
        </w:rPr>
        <w:t xml:space="preserve"> July 2026).</w:t>
      </w:r>
    </w:p>
    <w:p w14:paraId="21CFC694" w14:textId="2FAB39F7"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Health and Social Care Committee (2024) </w:t>
      </w:r>
      <w:r w:rsidRPr="00C61B18">
        <w:rPr>
          <w:rStyle w:val="Emphasis"/>
          <w:rFonts w:ascii="Arial" w:eastAsiaTheme="majorEastAsia" w:hAnsi="Arial" w:cs="Arial"/>
          <w:sz w:val="22"/>
          <w:szCs w:val="22"/>
        </w:rPr>
        <w:t>Pharmacy: Third Report of Session 2023–24</w:t>
      </w:r>
      <w:r w:rsidRPr="00C61B18">
        <w:rPr>
          <w:rFonts w:ascii="Arial" w:hAnsi="Arial" w:cs="Arial"/>
          <w:sz w:val="22"/>
          <w:szCs w:val="22"/>
        </w:rPr>
        <w:t xml:space="preserve">. HC 140. London: House of Commons. Available at: </w:t>
      </w:r>
      <w:hyperlink r:id="rId19" w:tgtFrame="_new" w:history="1">
        <w:r w:rsidRPr="00C61B18">
          <w:rPr>
            <w:rStyle w:val="Hyperlink"/>
            <w:rFonts w:ascii="Arial" w:eastAsiaTheme="majorEastAsia" w:hAnsi="Arial" w:cs="Arial"/>
            <w:sz w:val="22"/>
            <w:szCs w:val="22"/>
          </w:rPr>
          <w:t>https://publications.parliament.uk/pa/cm5804/cmselect/cmhealth/140/report.html</w:t>
        </w:r>
      </w:hyperlink>
      <w:r w:rsidRPr="00C61B18">
        <w:rPr>
          <w:rFonts w:ascii="Arial" w:hAnsi="Arial" w:cs="Arial"/>
          <w:sz w:val="22"/>
          <w:szCs w:val="22"/>
        </w:rPr>
        <w:t xml:space="preserve"> (Accessed: </w:t>
      </w:r>
      <w:r w:rsidR="00C62A88" w:rsidRPr="00C61B18">
        <w:rPr>
          <w:rFonts w:ascii="Arial" w:hAnsi="Arial" w:cs="Arial"/>
          <w:sz w:val="22"/>
          <w:szCs w:val="22"/>
        </w:rPr>
        <w:t>15</w:t>
      </w:r>
      <w:r w:rsidRPr="00C61B18">
        <w:rPr>
          <w:rFonts w:ascii="Arial" w:hAnsi="Arial" w:cs="Arial"/>
          <w:sz w:val="22"/>
          <w:szCs w:val="22"/>
        </w:rPr>
        <w:t xml:space="preserve"> July 2026).</w:t>
      </w:r>
    </w:p>
    <w:p w14:paraId="3B01D53C" w14:textId="38B17193"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NHS (2022a) </w:t>
      </w:r>
      <w:r w:rsidRPr="00C61B18">
        <w:rPr>
          <w:rStyle w:val="Emphasis"/>
          <w:rFonts w:ascii="Arial" w:eastAsiaTheme="majorEastAsia" w:hAnsi="Arial" w:cs="Arial"/>
          <w:sz w:val="22"/>
          <w:szCs w:val="22"/>
        </w:rPr>
        <w:t>Financial assessment (means test) for social care</w:t>
      </w:r>
      <w:r w:rsidRPr="00C61B18">
        <w:rPr>
          <w:rFonts w:ascii="Arial" w:hAnsi="Arial" w:cs="Arial"/>
          <w:sz w:val="22"/>
          <w:szCs w:val="22"/>
        </w:rPr>
        <w:t xml:space="preserve">. Available at: </w:t>
      </w:r>
      <w:hyperlink r:id="rId20" w:tgtFrame="_new" w:history="1">
        <w:r w:rsidRPr="00C61B18">
          <w:rPr>
            <w:rStyle w:val="Hyperlink"/>
            <w:rFonts w:ascii="Arial" w:eastAsiaTheme="majorEastAsia" w:hAnsi="Arial" w:cs="Arial"/>
            <w:sz w:val="22"/>
            <w:szCs w:val="22"/>
          </w:rPr>
          <w:t>https://www.nhs.uk/social-care-and-support/help-from-social-services-and-charities/financial-assessment-means-test/</w:t>
        </w:r>
      </w:hyperlink>
      <w:r w:rsidRPr="00C61B18">
        <w:rPr>
          <w:rFonts w:ascii="Arial" w:hAnsi="Arial" w:cs="Arial"/>
          <w:sz w:val="22"/>
          <w:szCs w:val="22"/>
        </w:rPr>
        <w:t xml:space="preserve"> (Accessed: </w:t>
      </w:r>
      <w:r w:rsidR="00C62A88" w:rsidRPr="00C61B18">
        <w:rPr>
          <w:rFonts w:ascii="Arial" w:hAnsi="Arial" w:cs="Arial"/>
          <w:sz w:val="22"/>
          <w:szCs w:val="22"/>
        </w:rPr>
        <w:t>16</w:t>
      </w:r>
      <w:r w:rsidRPr="00C61B18">
        <w:rPr>
          <w:rFonts w:ascii="Arial" w:hAnsi="Arial" w:cs="Arial"/>
          <w:sz w:val="22"/>
          <w:szCs w:val="22"/>
        </w:rPr>
        <w:t xml:space="preserve"> July 2026).</w:t>
      </w:r>
    </w:p>
    <w:p w14:paraId="505E44D9" w14:textId="6CE4A066"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NHS (2022b) </w:t>
      </w:r>
      <w:r w:rsidRPr="00C61B18">
        <w:rPr>
          <w:rStyle w:val="Emphasis"/>
          <w:rFonts w:ascii="Arial" w:eastAsiaTheme="majorEastAsia" w:hAnsi="Arial" w:cs="Arial"/>
          <w:sz w:val="22"/>
          <w:szCs w:val="22"/>
        </w:rPr>
        <w:t>Getting a care needs assessment</w:t>
      </w:r>
      <w:r w:rsidRPr="00C61B18">
        <w:rPr>
          <w:rFonts w:ascii="Arial" w:hAnsi="Arial" w:cs="Arial"/>
          <w:sz w:val="22"/>
          <w:szCs w:val="22"/>
        </w:rPr>
        <w:t xml:space="preserve">. Available at: </w:t>
      </w:r>
      <w:hyperlink r:id="rId21" w:tgtFrame="_new" w:history="1">
        <w:r w:rsidRPr="00C61B18">
          <w:rPr>
            <w:rStyle w:val="Hyperlink"/>
            <w:rFonts w:ascii="Arial" w:eastAsiaTheme="majorEastAsia" w:hAnsi="Arial" w:cs="Arial"/>
            <w:sz w:val="22"/>
            <w:szCs w:val="22"/>
          </w:rPr>
          <w:t>https://www.nhs.uk/social-care-and-support/help-from-social-services-and-charities/getting-a-needs-assessment/</w:t>
        </w:r>
      </w:hyperlink>
      <w:r w:rsidRPr="00C61B18">
        <w:rPr>
          <w:rFonts w:ascii="Arial" w:hAnsi="Arial" w:cs="Arial"/>
          <w:sz w:val="22"/>
          <w:szCs w:val="22"/>
        </w:rPr>
        <w:t xml:space="preserve"> (Accessed: </w:t>
      </w:r>
      <w:r w:rsidR="00C62A88" w:rsidRPr="00C61B18">
        <w:rPr>
          <w:rFonts w:ascii="Arial" w:hAnsi="Arial" w:cs="Arial"/>
          <w:sz w:val="22"/>
          <w:szCs w:val="22"/>
        </w:rPr>
        <w:t>16</w:t>
      </w:r>
      <w:r w:rsidRPr="00C61B18">
        <w:rPr>
          <w:rFonts w:ascii="Arial" w:hAnsi="Arial" w:cs="Arial"/>
          <w:sz w:val="22"/>
          <w:szCs w:val="22"/>
        </w:rPr>
        <w:t xml:space="preserve"> July 2026).</w:t>
      </w:r>
    </w:p>
    <w:p w14:paraId="4B8421CE" w14:textId="505F8372"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NHS (2022c) </w:t>
      </w:r>
      <w:r w:rsidRPr="00C61B18">
        <w:rPr>
          <w:rStyle w:val="Emphasis"/>
          <w:rFonts w:ascii="Arial" w:eastAsiaTheme="majorEastAsia" w:hAnsi="Arial" w:cs="Arial"/>
          <w:sz w:val="22"/>
          <w:szCs w:val="22"/>
        </w:rPr>
        <w:t>Personal budgets and direct payments</w:t>
      </w:r>
      <w:r w:rsidRPr="00C61B18">
        <w:rPr>
          <w:rFonts w:ascii="Arial" w:hAnsi="Arial" w:cs="Arial"/>
          <w:sz w:val="22"/>
          <w:szCs w:val="22"/>
        </w:rPr>
        <w:t xml:space="preserve">. Available at: </w:t>
      </w:r>
      <w:hyperlink r:id="rId22" w:tgtFrame="_new" w:history="1">
        <w:r w:rsidRPr="00C61B18">
          <w:rPr>
            <w:rStyle w:val="Hyperlink"/>
            <w:rFonts w:ascii="Arial" w:eastAsiaTheme="majorEastAsia" w:hAnsi="Arial" w:cs="Arial"/>
            <w:sz w:val="22"/>
            <w:szCs w:val="22"/>
          </w:rPr>
          <w:t>https://www.nhs.uk/social-care-and-support/money-work-and-benefits/personal-budgets/</w:t>
        </w:r>
      </w:hyperlink>
      <w:r w:rsidRPr="00C61B18">
        <w:rPr>
          <w:rFonts w:ascii="Arial" w:hAnsi="Arial" w:cs="Arial"/>
          <w:sz w:val="22"/>
          <w:szCs w:val="22"/>
        </w:rPr>
        <w:t xml:space="preserve"> (Accessed: </w:t>
      </w:r>
      <w:r w:rsidR="00C62A88" w:rsidRPr="00C61B18">
        <w:rPr>
          <w:rFonts w:ascii="Arial" w:hAnsi="Arial" w:cs="Arial"/>
          <w:sz w:val="22"/>
          <w:szCs w:val="22"/>
        </w:rPr>
        <w:t>14</w:t>
      </w:r>
      <w:r w:rsidRPr="00C61B18">
        <w:rPr>
          <w:rFonts w:ascii="Arial" w:hAnsi="Arial" w:cs="Arial"/>
          <w:sz w:val="22"/>
          <w:szCs w:val="22"/>
        </w:rPr>
        <w:t xml:space="preserve"> July 2026).</w:t>
      </w:r>
    </w:p>
    <w:p w14:paraId="2711C809" w14:textId="6E1AF8C1"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NHS Business Services Authority (NHSBSA) (2025) </w:t>
      </w:r>
      <w:r w:rsidRPr="00C61B18">
        <w:rPr>
          <w:rStyle w:val="Emphasis"/>
          <w:rFonts w:ascii="Arial" w:eastAsiaTheme="majorEastAsia" w:hAnsi="Arial" w:cs="Arial"/>
          <w:sz w:val="22"/>
          <w:szCs w:val="22"/>
        </w:rPr>
        <w:t>General Pharmaceutical Services in England 2015/16–2024/25</w:t>
      </w:r>
      <w:r w:rsidRPr="00C61B18">
        <w:rPr>
          <w:rFonts w:ascii="Arial" w:hAnsi="Arial" w:cs="Arial"/>
          <w:sz w:val="22"/>
          <w:szCs w:val="22"/>
        </w:rPr>
        <w:t xml:space="preserve">. Available at: </w:t>
      </w:r>
      <w:hyperlink r:id="rId23" w:tgtFrame="_new" w:history="1">
        <w:r w:rsidRPr="00C61B18">
          <w:rPr>
            <w:rStyle w:val="Hyperlink"/>
            <w:rFonts w:ascii="Arial" w:eastAsiaTheme="majorEastAsia" w:hAnsi="Arial" w:cs="Arial"/>
            <w:sz w:val="22"/>
            <w:szCs w:val="22"/>
          </w:rPr>
          <w:t>https://www.nhsbsa.nhs.uk/statistical-collections/general-pharmaceutical-services-england/general-pharmaceutical-services-england-201516-202425</w:t>
        </w:r>
      </w:hyperlink>
      <w:r w:rsidRPr="00C61B18">
        <w:rPr>
          <w:rFonts w:ascii="Arial" w:hAnsi="Arial" w:cs="Arial"/>
          <w:sz w:val="22"/>
          <w:szCs w:val="22"/>
        </w:rPr>
        <w:t xml:space="preserve"> (Accessed: </w:t>
      </w:r>
      <w:r w:rsidRPr="00C61B18">
        <w:rPr>
          <w:rFonts w:ascii="Arial" w:hAnsi="Arial" w:cs="Arial"/>
          <w:sz w:val="22"/>
          <w:szCs w:val="22"/>
        </w:rPr>
        <w:t>14</w:t>
      </w:r>
      <w:r w:rsidRPr="00C61B18">
        <w:rPr>
          <w:rFonts w:ascii="Arial" w:hAnsi="Arial" w:cs="Arial"/>
          <w:sz w:val="22"/>
          <w:szCs w:val="22"/>
        </w:rPr>
        <w:t xml:space="preserve"> July 2026).</w:t>
      </w:r>
    </w:p>
    <w:p w14:paraId="7033BFD5" w14:textId="6517FB08"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NHS England (2024) </w:t>
      </w:r>
      <w:r w:rsidRPr="00C61B18">
        <w:rPr>
          <w:rStyle w:val="Emphasis"/>
          <w:rFonts w:ascii="Arial" w:eastAsiaTheme="majorEastAsia" w:hAnsi="Arial" w:cs="Arial"/>
          <w:sz w:val="22"/>
          <w:szCs w:val="22"/>
        </w:rPr>
        <w:t>Pharmacy First</w:t>
      </w:r>
      <w:r w:rsidRPr="00C61B18">
        <w:rPr>
          <w:rFonts w:ascii="Arial" w:hAnsi="Arial" w:cs="Arial"/>
          <w:sz w:val="22"/>
          <w:szCs w:val="22"/>
        </w:rPr>
        <w:t xml:space="preserve">. Available at: </w:t>
      </w:r>
      <w:hyperlink r:id="rId24" w:tgtFrame="_new" w:history="1">
        <w:r w:rsidRPr="00C61B18">
          <w:rPr>
            <w:rStyle w:val="Hyperlink"/>
            <w:rFonts w:ascii="Arial" w:eastAsiaTheme="majorEastAsia" w:hAnsi="Arial" w:cs="Arial"/>
            <w:sz w:val="22"/>
            <w:szCs w:val="22"/>
          </w:rPr>
          <w:t>https://www.england.nhs.uk/primary-care/pharmacy/pharmacy-services/pharmacy-first/</w:t>
        </w:r>
      </w:hyperlink>
      <w:r w:rsidRPr="00C61B18">
        <w:rPr>
          <w:rFonts w:ascii="Arial" w:hAnsi="Arial" w:cs="Arial"/>
          <w:sz w:val="22"/>
          <w:szCs w:val="22"/>
        </w:rPr>
        <w:t xml:space="preserve"> (Accessed: </w:t>
      </w:r>
      <w:r w:rsidRPr="00C61B18">
        <w:rPr>
          <w:rFonts w:ascii="Arial" w:hAnsi="Arial" w:cs="Arial"/>
          <w:sz w:val="22"/>
          <w:szCs w:val="22"/>
        </w:rPr>
        <w:t>15</w:t>
      </w:r>
      <w:r w:rsidRPr="00C61B18">
        <w:rPr>
          <w:rFonts w:ascii="Arial" w:hAnsi="Arial" w:cs="Arial"/>
          <w:sz w:val="22"/>
          <w:szCs w:val="22"/>
        </w:rPr>
        <w:t xml:space="preserve"> July 2026).</w:t>
      </w:r>
    </w:p>
    <w:p w14:paraId="0C5341EC" w14:textId="337EB770"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NHS England (2025) </w:t>
      </w:r>
      <w:r w:rsidRPr="00C61B18">
        <w:rPr>
          <w:rStyle w:val="Emphasis"/>
          <w:rFonts w:ascii="Arial" w:eastAsiaTheme="majorEastAsia" w:hAnsi="Arial" w:cs="Arial"/>
          <w:sz w:val="22"/>
          <w:szCs w:val="22"/>
        </w:rPr>
        <w:t>Millions receive help from NHS high street pharmacies</w:t>
      </w:r>
      <w:r w:rsidRPr="00C61B18">
        <w:rPr>
          <w:rFonts w:ascii="Arial" w:hAnsi="Arial" w:cs="Arial"/>
          <w:sz w:val="22"/>
          <w:szCs w:val="22"/>
        </w:rPr>
        <w:t xml:space="preserve">. Available at: </w:t>
      </w:r>
      <w:hyperlink r:id="rId25" w:tgtFrame="_new" w:history="1">
        <w:r w:rsidRPr="00C61B18">
          <w:rPr>
            <w:rStyle w:val="Hyperlink"/>
            <w:rFonts w:ascii="Arial" w:eastAsiaTheme="majorEastAsia" w:hAnsi="Arial" w:cs="Arial"/>
            <w:sz w:val="22"/>
            <w:szCs w:val="22"/>
          </w:rPr>
          <w:t>https://www.england.nhs.uk/2025/05/millions-receive-help-from-nhs-high-street-pharmacies/</w:t>
        </w:r>
      </w:hyperlink>
      <w:r w:rsidRPr="00C61B18">
        <w:rPr>
          <w:rFonts w:ascii="Arial" w:hAnsi="Arial" w:cs="Arial"/>
          <w:sz w:val="22"/>
          <w:szCs w:val="22"/>
        </w:rPr>
        <w:t xml:space="preserve"> (Accessed: </w:t>
      </w:r>
      <w:r w:rsidRPr="00C61B18">
        <w:rPr>
          <w:rFonts w:ascii="Arial" w:hAnsi="Arial" w:cs="Arial"/>
          <w:sz w:val="22"/>
          <w:szCs w:val="22"/>
        </w:rPr>
        <w:t>14</w:t>
      </w:r>
      <w:r w:rsidRPr="00C61B18">
        <w:rPr>
          <w:rFonts w:ascii="Arial" w:hAnsi="Arial" w:cs="Arial"/>
          <w:sz w:val="22"/>
          <w:szCs w:val="22"/>
        </w:rPr>
        <w:t xml:space="preserve"> July 2026).</w:t>
      </w:r>
    </w:p>
    <w:p w14:paraId="7114B1CE" w14:textId="6E2A45F7"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Skills for Care (2025) </w:t>
      </w:r>
      <w:r w:rsidRPr="00C61B18">
        <w:rPr>
          <w:rStyle w:val="Emphasis"/>
          <w:rFonts w:ascii="Arial" w:eastAsiaTheme="majorEastAsia" w:hAnsi="Arial" w:cs="Arial"/>
          <w:sz w:val="22"/>
          <w:szCs w:val="22"/>
        </w:rPr>
        <w:t>The state of the adult social care sector and workforce in England</w:t>
      </w:r>
      <w:r w:rsidRPr="00C61B18">
        <w:rPr>
          <w:rFonts w:ascii="Arial" w:hAnsi="Arial" w:cs="Arial"/>
          <w:sz w:val="22"/>
          <w:szCs w:val="22"/>
        </w:rPr>
        <w:t xml:space="preserve">. Available at: </w:t>
      </w:r>
      <w:hyperlink r:id="rId26" w:tgtFrame="_new" w:history="1">
        <w:r w:rsidRPr="00C61B18">
          <w:rPr>
            <w:rStyle w:val="Hyperlink"/>
            <w:rFonts w:ascii="Arial" w:eastAsiaTheme="majorEastAsia" w:hAnsi="Arial" w:cs="Arial"/>
            <w:sz w:val="22"/>
            <w:szCs w:val="22"/>
          </w:rPr>
          <w:t>https://www.skillsforcare.org.uk/Adult-Social-Care-Workforce-Data/workforceintelligence/Reports-and-visualisations/National-information/The-State-of-report.aspx</w:t>
        </w:r>
      </w:hyperlink>
      <w:r w:rsidRPr="00C61B18">
        <w:rPr>
          <w:rFonts w:ascii="Arial" w:hAnsi="Arial" w:cs="Arial"/>
          <w:sz w:val="22"/>
          <w:szCs w:val="22"/>
        </w:rPr>
        <w:t xml:space="preserve"> (Accessed: </w:t>
      </w:r>
      <w:r w:rsidRPr="00C61B18">
        <w:rPr>
          <w:rFonts w:ascii="Arial" w:hAnsi="Arial" w:cs="Arial"/>
          <w:sz w:val="22"/>
          <w:szCs w:val="22"/>
        </w:rPr>
        <w:t xml:space="preserve">16 </w:t>
      </w:r>
      <w:r w:rsidRPr="00C61B18">
        <w:rPr>
          <w:rFonts w:ascii="Arial" w:hAnsi="Arial" w:cs="Arial"/>
          <w:sz w:val="22"/>
          <w:szCs w:val="22"/>
        </w:rPr>
        <w:t xml:space="preserve"> July 2026).</w:t>
      </w:r>
    </w:p>
    <w:p w14:paraId="41F61915" w14:textId="2D6FFD14"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Thane, P. (2009) </w:t>
      </w:r>
      <w:r w:rsidRPr="00C61B18">
        <w:rPr>
          <w:rStyle w:val="Emphasis"/>
          <w:rFonts w:ascii="Arial" w:eastAsiaTheme="majorEastAsia" w:hAnsi="Arial" w:cs="Arial"/>
          <w:sz w:val="22"/>
          <w:szCs w:val="22"/>
        </w:rPr>
        <w:t>Social care</w:t>
      </w:r>
      <w:r w:rsidRPr="00C61B18">
        <w:rPr>
          <w:rFonts w:ascii="Arial" w:hAnsi="Arial" w:cs="Arial"/>
          <w:sz w:val="22"/>
          <w:szCs w:val="22"/>
        </w:rPr>
        <w:t xml:space="preserve">. London: History &amp; Policy. Available at: </w:t>
      </w:r>
      <w:hyperlink r:id="rId27" w:tgtFrame="_new" w:history="1">
        <w:r w:rsidRPr="00C61B18">
          <w:rPr>
            <w:rStyle w:val="Hyperlink"/>
            <w:rFonts w:ascii="Arial" w:eastAsiaTheme="majorEastAsia" w:hAnsi="Arial" w:cs="Arial"/>
            <w:sz w:val="22"/>
            <w:szCs w:val="22"/>
          </w:rPr>
          <w:t>https://historyandpolicy.org/wp-content/uploads/original/img/news/uploads/thane_social_care.pdf</w:t>
        </w:r>
      </w:hyperlink>
      <w:r w:rsidRPr="00C61B18">
        <w:rPr>
          <w:rFonts w:ascii="Arial" w:hAnsi="Arial" w:cs="Arial"/>
          <w:sz w:val="22"/>
          <w:szCs w:val="22"/>
        </w:rPr>
        <w:t xml:space="preserve"> (Accessed: </w:t>
      </w:r>
      <w:r w:rsidRPr="00C61B18">
        <w:rPr>
          <w:rFonts w:ascii="Arial" w:hAnsi="Arial" w:cs="Arial"/>
          <w:sz w:val="22"/>
          <w:szCs w:val="22"/>
        </w:rPr>
        <w:t>16</w:t>
      </w:r>
      <w:r w:rsidRPr="00C61B18">
        <w:rPr>
          <w:rFonts w:ascii="Arial" w:hAnsi="Arial" w:cs="Arial"/>
          <w:sz w:val="22"/>
          <w:szCs w:val="22"/>
        </w:rPr>
        <w:t xml:space="preserve"> July 2026).</w:t>
      </w:r>
    </w:p>
    <w:p w14:paraId="192D0E2D" w14:textId="58051076" w:rsidR="006A6BA7" w:rsidRPr="00C61B18" w:rsidRDefault="006A6BA7" w:rsidP="006A6BA7">
      <w:pPr>
        <w:pStyle w:val="NormalWeb"/>
        <w:rPr>
          <w:rFonts w:ascii="Arial" w:hAnsi="Arial" w:cs="Arial"/>
          <w:sz w:val="22"/>
          <w:szCs w:val="22"/>
        </w:rPr>
      </w:pPr>
      <w:r w:rsidRPr="00C61B18">
        <w:rPr>
          <w:rFonts w:ascii="Arial" w:hAnsi="Arial" w:cs="Arial"/>
          <w:sz w:val="22"/>
          <w:szCs w:val="22"/>
        </w:rPr>
        <w:lastRenderedPageBreak/>
        <w:t xml:space="preserve">UK Parliament (1968) </w:t>
      </w:r>
      <w:r w:rsidRPr="00C61B18">
        <w:rPr>
          <w:rStyle w:val="Emphasis"/>
          <w:rFonts w:ascii="Arial" w:eastAsiaTheme="majorEastAsia" w:hAnsi="Arial" w:cs="Arial"/>
          <w:sz w:val="22"/>
          <w:szCs w:val="22"/>
        </w:rPr>
        <w:t>Medicines Act 1968</w:t>
      </w:r>
      <w:r w:rsidRPr="00C61B18">
        <w:rPr>
          <w:rFonts w:ascii="Arial" w:hAnsi="Arial" w:cs="Arial"/>
          <w:sz w:val="22"/>
          <w:szCs w:val="22"/>
        </w:rPr>
        <w:t xml:space="preserve">. London: The Stationery Office. Available at: </w:t>
      </w:r>
      <w:hyperlink r:id="rId28" w:tgtFrame="_new" w:history="1">
        <w:r w:rsidRPr="00C61B18">
          <w:rPr>
            <w:rStyle w:val="Hyperlink"/>
            <w:rFonts w:ascii="Arial" w:eastAsiaTheme="majorEastAsia" w:hAnsi="Arial" w:cs="Arial"/>
            <w:sz w:val="22"/>
            <w:szCs w:val="22"/>
          </w:rPr>
          <w:t>https://www.legislation.gov.uk/ukpga/1968/67</w:t>
        </w:r>
      </w:hyperlink>
      <w:r w:rsidRPr="00C61B18">
        <w:rPr>
          <w:rFonts w:ascii="Arial" w:hAnsi="Arial" w:cs="Arial"/>
          <w:sz w:val="22"/>
          <w:szCs w:val="22"/>
        </w:rPr>
        <w:t xml:space="preserve"> (Accessed: </w:t>
      </w:r>
      <w:r w:rsidRPr="00C61B18">
        <w:rPr>
          <w:rFonts w:ascii="Arial" w:hAnsi="Arial" w:cs="Arial"/>
          <w:sz w:val="22"/>
          <w:szCs w:val="22"/>
        </w:rPr>
        <w:t>14</w:t>
      </w:r>
      <w:r w:rsidRPr="00C61B18">
        <w:rPr>
          <w:rFonts w:ascii="Arial" w:hAnsi="Arial" w:cs="Arial"/>
          <w:sz w:val="22"/>
          <w:szCs w:val="22"/>
        </w:rPr>
        <w:t xml:space="preserve"> July 2026).</w:t>
      </w:r>
    </w:p>
    <w:p w14:paraId="70859C20" w14:textId="618BA818"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UK Parliament (1990) </w:t>
      </w:r>
      <w:r w:rsidRPr="00C61B18">
        <w:rPr>
          <w:rStyle w:val="Emphasis"/>
          <w:rFonts w:ascii="Arial" w:eastAsiaTheme="majorEastAsia" w:hAnsi="Arial" w:cs="Arial"/>
          <w:sz w:val="22"/>
          <w:szCs w:val="22"/>
        </w:rPr>
        <w:t>National Health Service and Community Care Act 1990</w:t>
      </w:r>
      <w:r w:rsidRPr="00C61B18">
        <w:rPr>
          <w:rFonts w:ascii="Arial" w:hAnsi="Arial" w:cs="Arial"/>
          <w:sz w:val="22"/>
          <w:szCs w:val="22"/>
        </w:rPr>
        <w:t xml:space="preserve">. London: The Stationery Office. Available at: </w:t>
      </w:r>
      <w:hyperlink r:id="rId29" w:tgtFrame="_new" w:history="1">
        <w:r w:rsidRPr="00C61B18">
          <w:rPr>
            <w:rStyle w:val="Hyperlink"/>
            <w:rFonts w:ascii="Arial" w:eastAsiaTheme="majorEastAsia" w:hAnsi="Arial" w:cs="Arial"/>
            <w:sz w:val="22"/>
            <w:szCs w:val="22"/>
          </w:rPr>
          <w:t>https://www.legislation.gov.uk/ukpga/1990/19</w:t>
        </w:r>
      </w:hyperlink>
      <w:r w:rsidRPr="00C61B18">
        <w:rPr>
          <w:rFonts w:ascii="Arial" w:hAnsi="Arial" w:cs="Arial"/>
          <w:sz w:val="22"/>
          <w:szCs w:val="22"/>
        </w:rPr>
        <w:t xml:space="preserve"> (Accessed: </w:t>
      </w:r>
      <w:r w:rsidRPr="00C61B18">
        <w:rPr>
          <w:rFonts w:ascii="Arial" w:hAnsi="Arial" w:cs="Arial"/>
          <w:sz w:val="22"/>
          <w:szCs w:val="22"/>
        </w:rPr>
        <w:t xml:space="preserve">14 </w:t>
      </w:r>
      <w:r w:rsidRPr="00C61B18">
        <w:rPr>
          <w:rFonts w:ascii="Arial" w:hAnsi="Arial" w:cs="Arial"/>
          <w:sz w:val="22"/>
          <w:szCs w:val="22"/>
        </w:rPr>
        <w:t>July 2026).</w:t>
      </w:r>
    </w:p>
    <w:p w14:paraId="50C37847" w14:textId="422EC1CC" w:rsidR="006A6BA7" w:rsidRPr="00C61B18" w:rsidRDefault="006A6BA7" w:rsidP="006A6BA7">
      <w:pPr>
        <w:pStyle w:val="NormalWeb"/>
        <w:rPr>
          <w:rFonts w:ascii="Arial" w:hAnsi="Arial" w:cs="Arial"/>
          <w:sz w:val="22"/>
          <w:szCs w:val="22"/>
        </w:rPr>
      </w:pPr>
      <w:r w:rsidRPr="00C61B18">
        <w:rPr>
          <w:rFonts w:ascii="Arial" w:hAnsi="Arial" w:cs="Arial"/>
          <w:sz w:val="22"/>
          <w:szCs w:val="22"/>
        </w:rPr>
        <w:t xml:space="preserve">UK Parliament (2014) </w:t>
      </w:r>
      <w:r w:rsidRPr="00C61B18">
        <w:rPr>
          <w:rStyle w:val="Emphasis"/>
          <w:rFonts w:ascii="Arial" w:eastAsiaTheme="majorEastAsia" w:hAnsi="Arial" w:cs="Arial"/>
          <w:sz w:val="22"/>
          <w:szCs w:val="22"/>
        </w:rPr>
        <w:t>Care Act 2014</w:t>
      </w:r>
      <w:r w:rsidRPr="00C61B18">
        <w:rPr>
          <w:rFonts w:ascii="Arial" w:hAnsi="Arial" w:cs="Arial"/>
          <w:sz w:val="22"/>
          <w:szCs w:val="22"/>
        </w:rPr>
        <w:t xml:space="preserve">. London: The Stationery Office. Available at: </w:t>
      </w:r>
      <w:hyperlink r:id="rId30" w:tgtFrame="_new" w:history="1">
        <w:r w:rsidRPr="00C61B18">
          <w:rPr>
            <w:rStyle w:val="Hyperlink"/>
            <w:rFonts w:ascii="Arial" w:eastAsiaTheme="majorEastAsia" w:hAnsi="Arial" w:cs="Arial"/>
            <w:sz w:val="22"/>
            <w:szCs w:val="22"/>
          </w:rPr>
          <w:t>https://www.legislation.gov.uk/ukpga/2014/23</w:t>
        </w:r>
      </w:hyperlink>
      <w:r w:rsidRPr="00C61B18">
        <w:rPr>
          <w:rFonts w:ascii="Arial" w:hAnsi="Arial" w:cs="Arial"/>
          <w:sz w:val="22"/>
          <w:szCs w:val="22"/>
        </w:rPr>
        <w:t xml:space="preserve"> (Accessed: </w:t>
      </w:r>
      <w:r w:rsidRPr="00C61B18">
        <w:rPr>
          <w:rFonts w:ascii="Arial" w:hAnsi="Arial" w:cs="Arial"/>
          <w:sz w:val="22"/>
          <w:szCs w:val="22"/>
        </w:rPr>
        <w:t xml:space="preserve">14 </w:t>
      </w:r>
      <w:r w:rsidRPr="00C61B18">
        <w:rPr>
          <w:rFonts w:ascii="Arial" w:hAnsi="Arial" w:cs="Arial"/>
          <w:sz w:val="22"/>
          <w:szCs w:val="22"/>
        </w:rPr>
        <w:t>July 2026).</w:t>
      </w:r>
    </w:p>
    <w:p w14:paraId="5E869158" w14:textId="77777777" w:rsidR="006A6BA7" w:rsidRPr="00C61B18" w:rsidRDefault="006A6BA7" w:rsidP="00B16875">
      <w:pPr>
        <w:spacing w:line="276" w:lineRule="auto"/>
        <w:rPr>
          <w:rFonts w:ascii="Arial" w:eastAsia="Arial" w:hAnsi="Arial" w:cs="Arial"/>
          <w:sz w:val="22"/>
          <w:szCs w:val="22"/>
        </w:rPr>
      </w:pPr>
    </w:p>
    <w:sectPr w:rsidR="006A6BA7" w:rsidRPr="00C61B18" w:rsidSect="00DB7B3A">
      <w:footerReference w:type="first" r:id="rId31"/>
      <w:pgSz w:w="16838" w:h="11906" w:orient="landscape"/>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915C4" w14:textId="77777777" w:rsidR="00647BD5" w:rsidRDefault="00647BD5" w:rsidP="002A1842">
      <w:pPr>
        <w:spacing w:after="0" w:line="240" w:lineRule="auto"/>
      </w:pPr>
      <w:r>
        <w:separator/>
      </w:r>
    </w:p>
  </w:endnote>
  <w:endnote w:type="continuationSeparator" w:id="0">
    <w:p w14:paraId="62FF3FE9" w14:textId="77777777" w:rsidR="00647BD5" w:rsidRDefault="00647BD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02F2F43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D8F2E8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1A4707F9"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209909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A5359" w14:textId="77777777" w:rsidR="00647BD5" w:rsidRDefault="00647BD5" w:rsidP="002A1842">
      <w:pPr>
        <w:spacing w:after="0" w:line="240" w:lineRule="auto"/>
      </w:pPr>
      <w:r>
        <w:separator/>
      </w:r>
    </w:p>
  </w:footnote>
  <w:footnote w:type="continuationSeparator" w:id="0">
    <w:p w14:paraId="6F750084" w14:textId="77777777" w:rsidR="00647BD5" w:rsidRDefault="00647BD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FFF47F6"/>
    <w:multiLevelType w:val="multilevel"/>
    <w:tmpl w:val="FAB20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4"/>
  </w:num>
  <w:num w:numId="3">
    <w:abstractNumId w:val="2"/>
  </w:num>
  <w:num w:numId="4">
    <w:abstractNumId w:val="1"/>
  </w:num>
  <w:num w:numId="5">
    <w:abstractNumId w:val="5"/>
  </w:num>
  <w:num w:numId="6">
    <w:abstractNumId w:val="0"/>
  </w:num>
  <w:num w:numId="7">
    <w:abstractNumId w:val="8"/>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E0AF6"/>
    <w:rsid w:val="002A1842"/>
    <w:rsid w:val="002B7AAF"/>
    <w:rsid w:val="00432D05"/>
    <w:rsid w:val="004468F8"/>
    <w:rsid w:val="00530E16"/>
    <w:rsid w:val="00575E73"/>
    <w:rsid w:val="00647BD5"/>
    <w:rsid w:val="006A6BA7"/>
    <w:rsid w:val="00722EFE"/>
    <w:rsid w:val="007637E9"/>
    <w:rsid w:val="00773959"/>
    <w:rsid w:val="007E18E2"/>
    <w:rsid w:val="008E7834"/>
    <w:rsid w:val="009F60D1"/>
    <w:rsid w:val="00A75B15"/>
    <w:rsid w:val="00AE06EA"/>
    <w:rsid w:val="00B16875"/>
    <w:rsid w:val="00B65ED6"/>
    <w:rsid w:val="00BA0043"/>
    <w:rsid w:val="00C61B18"/>
    <w:rsid w:val="00C62A88"/>
    <w:rsid w:val="00CF650B"/>
    <w:rsid w:val="00D62A9C"/>
    <w:rsid w:val="00DB181C"/>
    <w:rsid w:val="00DB7B3A"/>
    <w:rsid w:val="00EA04EC"/>
    <w:rsid w:val="00F618F2"/>
    <w:rsid w:val="00F9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93BA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BA7"/>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B16875"/>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5805">
      <w:bodyDiv w:val="1"/>
      <w:marLeft w:val="0"/>
      <w:marRight w:val="0"/>
      <w:marTop w:val="0"/>
      <w:marBottom w:val="0"/>
      <w:divBdr>
        <w:top w:val="none" w:sz="0" w:space="0" w:color="auto"/>
        <w:left w:val="none" w:sz="0" w:space="0" w:color="auto"/>
        <w:bottom w:val="none" w:sz="0" w:space="0" w:color="auto"/>
        <w:right w:val="none" w:sz="0" w:space="0" w:color="auto"/>
      </w:divBdr>
    </w:div>
    <w:div w:id="120878907">
      <w:bodyDiv w:val="1"/>
      <w:marLeft w:val="0"/>
      <w:marRight w:val="0"/>
      <w:marTop w:val="0"/>
      <w:marBottom w:val="0"/>
      <w:divBdr>
        <w:top w:val="none" w:sz="0" w:space="0" w:color="auto"/>
        <w:left w:val="none" w:sz="0" w:space="0" w:color="auto"/>
        <w:bottom w:val="none" w:sz="0" w:space="0" w:color="auto"/>
        <w:right w:val="none" w:sz="0" w:space="0" w:color="auto"/>
      </w:divBdr>
    </w:div>
    <w:div w:id="157230215">
      <w:bodyDiv w:val="1"/>
      <w:marLeft w:val="0"/>
      <w:marRight w:val="0"/>
      <w:marTop w:val="0"/>
      <w:marBottom w:val="0"/>
      <w:divBdr>
        <w:top w:val="none" w:sz="0" w:space="0" w:color="auto"/>
        <w:left w:val="none" w:sz="0" w:space="0" w:color="auto"/>
        <w:bottom w:val="none" w:sz="0" w:space="0" w:color="auto"/>
        <w:right w:val="none" w:sz="0" w:space="0" w:color="auto"/>
      </w:divBdr>
    </w:div>
    <w:div w:id="260186970">
      <w:bodyDiv w:val="1"/>
      <w:marLeft w:val="0"/>
      <w:marRight w:val="0"/>
      <w:marTop w:val="0"/>
      <w:marBottom w:val="0"/>
      <w:divBdr>
        <w:top w:val="none" w:sz="0" w:space="0" w:color="auto"/>
        <w:left w:val="none" w:sz="0" w:space="0" w:color="auto"/>
        <w:bottom w:val="none" w:sz="0" w:space="0" w:color="auto"/>
        <w:right w:val="none" w:sz="0" w:space="0" w:color="auto"/>
      </w:divBdr>
    </w:div>
    <w:div w:id="317537651">
      <w:bodyDiv w:val="1"/>
      <w:marLeft w:val="0"/>
      <w:marRight w:val="0"/>
      <w:marTop w:val="0"/>
      <w:marBottom w:val="0"/>
      <w:divBdr>
        <w:top w:val="none" w:sz="0" w:space="0" w:color="auto"/>
        <w:left w:val="none" w:sz="0" w:space="0" w:color="auto"/>
        <w:bottom w:val="none" w:sz="0" w:space="0" w:color="auto"/>
        <w:right w:val="none" w:sz="0" w:space="0" w:color="auto"/>
      </w:divBdr>
      <w:divsChild>
        <w:div w:id="6932637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38146265">
      <w:bodyDiv w:val="1"/>
      <w:marLeft w:val="0"/>
      <w:marRight w:val="0"/>
      <w:marTop w:val="0"/>
      <w:marBottom w:val="0"/>
      <w:divBdr>
        <w:top w:val="none" w:sz="0" w:space="0" w:color="auto"/>
        <w:left w:val="none" w:sz="0" w:space="0" w:color="auto"/>
        <w:bottom w:val="none" w:sz="0" w:space="0" w:color="auto"/>
        <w:right w:val="none" w:sz="0" w:space="0" w:color="auto"/>
      </w:divBdr>
    </w:div>
    <w:div w:id="648482146">
      <w:bodyDiv w:val="1"/>
      <w:marLeft w:val="0"/>
      <w:marRight w:val="0"/>
      <w:marTop w:val="0"/>
      <w:marBottom w:val="0"/>
      <w:divBdr>
        <w:top w:val="none" w:sz="0" w:space="0" w:color="auto"/>
        <w:left w:val="none" w:sz="0" w:space="0" w:color="auto"/>
        <w:bottom w:val="none" w:sz="0" w:space="0" w:color="auto"/>
        <w:right w:val="none" w:sz="0" w:space="0" w:color="auto"/>
      </w:divBdr>
    </w:div>
    <w:div w:id="660236905">
      <w:bodyDiv w:val="1"/>
      <w:marLeft w:val="0"/>
      <w:marRight w:val="0"/>
      <w:marTop w:val="0"/>
      <w:marBottom w:val="0"/>
      <w:divBdr>
        <w:top w:val="none" w:sz="0" w:space="0" w:color="auto"/>
        <w:left w:val="none" w:sz="0" w:space="0" w:color="auto"/>
        <w:bottom w:val="none" w:sz="0" w:space="0" w:color="auto"/>
        <w:right w:val="none" w:sz="0" w:space="0" w:color="auto"/>
      </w:divBdr>
    </w:div>
    <w:div w:id="737171478">
      <w:bodyDiv w:val="1"/>
      <w:marLeft w:val="0"/>
      <w:marRight w:val="0"/>
      <w:marTop w:val="0"/>
      <w:marBottom w:val="0"/>
      <w:divBdr>
        <w:top w:val="none" w:sz="0" w:space="0" w:color="auto"/>
        <w:left w:val="none" w:sz="0" w:space="0" w:color="auto"/>
        <w:bottom w:val="none" w:sz="0" w:space="0" w:color="auto"/>
        <w:right w:val="none" w:sz="0" w:space="0" w:color="auto"/>
      </w:divBdr>
    </w:div>
    <w:div w:id="780151541">
      <w:bodyDiv w:val="1"/>
      <w:marLeft w:val="0"/>
      <w:marRight w:val="0"/>
      <w:marTop w:val="0"/>
      <w:marBottom w:val="0"/>
      <w:divBdr>
        <w:top w:val="none" w:sz="0" w:space="0" w:color="auto"/>
        <w:left w:val="none" w:sz="0" w:space="0" w:color="auto"/>
        <w:bottom w:val="none" w:sz="0" w:space="0" w:color="auto"/>
        <w:right w:val="none" w:sz="0" w:space="0" w:color="auto"/>
      </w:divBdr>
    </w:div>
    <w:div w:id="953756674">
      <w:bodyDiv w:val="1"/>
      <w:marLeft w:val="0"/>
      <w:marRight w:val="0"/>
      <w:marTop w:val="0"/>
      <w:marBottom w:val="0"/>
      <w:divBdr>
        <w:top w:val="none" w:sz="0" w:space="0" w:color="auto"/>
        <w:left w:val="none" w:sz="0" w:space="0" w:color="auto"/>
        <w:bottom w:val="none" w:sz="0" w:space="0" w:color="auto"/>
        <w:right w:val="none" w:sz="0" w:space="0" w:color="auto"/>
      </w:divBdr>
    </w:div>
    <w:div w:id="1059746740">
      <w:bodyDiv w:val="1"/>
      <w:marLeft w:val="0"/>
      <w:marRight w:val="0"/>
      <w:marTop w:val="0"/>
      <w:marBottom w:val="0"/>
      <w:divBdr>
        <w:top w:val="none" w:sz="0" w:space="0" w:color="auto"/>
        <w:left w:val="none" w:sz="0" w:space="0" w:color="auto"/>
        <w:bottom w:val="none" w:sz="0" w:space="0" w:color="auto"/>
        <w:right w:val="none" w:sz="0" w:space="0" w:color="auto"/>
      </w:divBdr>
    </w:div>
    <w:div w:id="1167667869">
      <w:bodyDiv w:val="1"/>
      <w:marLeft w:val="0"/>
      <w:marRight w:val="0"/>
      <w:marTop w:val="0"/>
      <w:marBottom w:val="0"/>
      <w:divBdr>
        <w:top w:val="none" w:sz="0" w:space="0" w:color="auto"/>
        <w:left w:val="none" w:sz="0" w:space="0" w:color="auto"/>
        <w:bottom w:val="none" w:sz="0" w:space="0" w:color="auto"/>
        <w:right w:val="none" w:sz="0" w:space="0" w:color="auto"/>
      </w:divBdr>
    </w:div>
    <w:div w:id="1311254746">
      <w:bodyDiv w:val="1"/>
      <w:marLeft w:val="0"/>
      <w:marRight w:val="0"/>
      <w:marTop w:val="0"/>
      <w:marBottom w:val="0"/>
      <w:divBdr>
        <w:top w:val="none" w:sz="0" w:space="0" w:color="auto"/>
        <w:left w:val="none" w:sz="0" w:space="0" w:color="auto"/>
        <w:bottom w:val="none" w:sz="0" w:space="0" w:color="auto"/>
        <w:right w:val="none" w:sz="0" w:space="0" w:color="auto"/>
      </w:divBdr>
    </w:div>
    <w:div w:id="1323003354">
      <w:bodyDiv w:val="1"/>
      <w:marLeft w:val="0"/>
      <w:marRight w:val="0"/>
      <w:marTop w:val="0"/>
      <w:marBottom w:val="0"/>
      <w:divBdr>
        <w:top w:val="none" w:sz="0" w:space="0" w:color="auto"/>
        <w:left w:val="none" w:sz="0" w:space="0" w:color="auto"/>
        <w:bottom w:val="none" w:sz="0" w:space="0" w:color="auto"/>
        <w:right w:val="none" w:sz="0" w:space="0" w:color="auto"/>
      </w:divBdr>
    </w:div>
    <w:div w:id="1328440918">
      <w:bodyDiv w:val="1"/>
      <w:marLeft w:val="0"/>
      <w:marRight w:val="0"/>
      <w:marTop w:val="0"/>
      <w:marBottom w:val="0"/>
      <w:divBdr>
        <w:top w:val="none" w:sz="0" w:space="0" w:color="auto"/>
        <w:left w:val="none" w:sz="0" w:space="0" w:color="auto"/>
        <w:bottom w:val="none" w:sz="0" w:space="0" w:color="auto"/>
        <w:right w:val="none" w:sz="0" w:space="0" w:color="auto"/>
      </w:divBdr>
    </w:div>
    <w:div w:id="1352488752">
      <w:bodyDiv w:val="1"/>
      <w:marLeft w:val="0"/>
      <w:marRight w:val="0"/>
      <w:marTop w:val="0"/>
      <w:marBottom w:val="0"/>
      <w:divBdr>
        <w:top w:val="none" w:sz="0" w:space="0" w:color="auto"/>
        <w:left w:val="none" w:sz="0" w:space="0" w:color="auto"/>
        <w:bottom w:val="none" w:sz="0" w:space="0" w:color="auto"/>
        <w:right w:val="none" w:sz="0" w:space="0" w:color="auto"/>
      </w:divBdr>
    </w:div>
    <w:div w:id="1691755396">
      <w:bodyDiv w:val="1"/>
      <w:marLeft w:val="0"/>
      <w:marRight w:val="0"/>
      <w:marTop w:val="0"/>
      <w:marBottom w:val="0"/>
      <w:divBdr>
        <w:top w:val="none" w:sz="0" w:space="0" w:color="auto"/>
        <w:left w:val="none" w:sz="0" w:space="0" w:color="auto"/>
        <w:bottom w:val="none" w:sz="0" w:space="0" w:color="auto"/>
        <w:right w:val="none" w:sz="0" w:space="0" w:color="auto"/>
      </w:divBdr>
    </w:div>
    <w:div w:id="1729065402">
      <w:bodyDiv w:val="1"/>
      <w:marLeft w:val="0"/>
      <w:marRight w:val="0"/>
      <w:marTop w:val="0"/>
      <w:marBottom w:val="0"/>
      <w:divBdr>
        <w:top w:val="none" w:sz="0" w:space="0" w:color="auto"/>
        <w:left w:val="none" w:sz="0" w:space="0" w:color="auto"/>
        <w:bottom w:val="none" w:sz="0" w:space="0" w:color="auto"/>
        <w:right w:val="none" w:sz="0" w:space="0" w:color="auto"/>
      </w:divBdr>
    </w:div>
    <w:div w:id="1744448445">
      <w:bodyDiv w:val="1"/>
      <w:marLeft w:val="0"/>
      <w:marRight w:val="0"/>
      <w:marTop w:val="0"/>
      <w:marBottom w:val="0"/>
      <w:divBdr>
        <w:top w:val="none" w:sz="0" w:space="0" w:color="auto"/>
        <w:left w:val="none" w:sz="0" w:space="0" w:color="auto"/>
        <w:bottom w:val="none" w:sz="0" w:space="0" w:color="auto"/>
        <w:right w:val="none" w:sz="0" w:space="0" w:color="auto"/>
      </w:divBdr>
    </w:div>
    <w:div w:id="20965838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gov.uk/government/publications/community-pharmacy-contractual-framework-2024-to-2025-and-2025-to-2026?utm_source=chatgpt.com" TargetMode="External"/><Relationship Id="rId26" Type="http://schemas.openxmlformats.org/officeDocument/2006/relationships/hyperlink" Target="https://www.skillsforcare.org.uk/Adult-Social-Care-Workforce-Data/workforceintelligence/Reports-and-visualisations/National-information/The-State-of-report.aspx?utm_source=chatgpt.com" TargetMode="External"/><Relationship Id="rId3" Type="http://schemas.openxmlformats.org/officeDocument/2006/relationships/numbering" Target="numbering.xml"/><Relationship Id="rId21" Type="http://schemas.openxmlformats.org/officeDocument/2006/relationships/hyperlink" Target="https://www.nhs.uk/social-care-and-support/help-from-social-services-and-charities/getting-a-needs-assessment/?utm_source=chatgpt.com"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gov.uk/government/publications/care-act-statutory-guidance/care-and-support-statutory-guidance?utm_source=chatgpt.com" TargetMode="External"/><Relationship Id="rId25" Type="http://schemas.openxmlformats.org/officeDocument/2006/relationships/hyperlink" Target="https://www.england.nhs.uk/2025/05/millions-receive-help-from-nhs-high-street-pharmacies/?utm_source=chatgpt.co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pe.org.uk/wp-content/uploads/2025/05/Brief-guide-to-the-CPCF-and-funding-May-2025.pdf?utm_source=chatgpt.com" TargetMode="External"/><Relationship Id="rId20" Type="http://schemas.openxmlformats.org/officeDocument/2006/relationships/hyperlink" Target="https://www.nhs.uk/social-care-and-support/help-from-social-services-and-charities/financial-assessment-means-test/?utm_source=chatgpt.com" TargetMode="External"/><Relationship Id="rId29" Type="http://schemas.openxmlformats.org/officeDocument/2006/relationships/hyperlink" Target="https://www.legislation.gov.uk/ukpga/1990/1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england.nhs.uk/primary-care/pharmacy/pharmacy-services/pharmacy-first/?utm_source=chatgpt.co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qc.org.uk/guidance-regulation/providers/registration/scope-registration/regulated-activities/personal-care?utm_source=chatgpt.com" TargetMode="External"/><Relationship Id="rId23" Type="http://schemas.openxmlformats.org/officeDocument/2006/relationships/hyperlink" Target="https://www.nhsbsa.nhs.uk/statistical-collections/general-pharmaceutical-services-england/general-pharmaceutical-services-england-201516-202425?utm_source=chatgpt.com" TargetMode="External"/><Relationship Id="rId28" Type="http://schemas.openxmlformats.org/officeDocument/2006/relationships/hyperlink" Target="https://www.legislation.gov.uk/ukpga/1968/67?utm_source=chatgpt.com" TargetMode="External"/><Relationship Id="rId10" Type="http://schemas.openxmlformats.org/officeDocument/2006/relationships/image" Target="media/image1.png"/><Relationship Id="rId19" Type="http://schemas.openxmlformats.org/officeDocument/2006/relationships/hyperlink" Target="https://publications.parliament.uk/pa/cm5804/cmselect/cmhealth/140/report.html?utm_source=chatgpt.com"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gif"/><Relationship Id="rId22" Type="http://schemas.openxmlformats.org/officeDocument/2006/relationships/hyperlink" Target="https://www.nhs.uk/social-care-and-support/money-work-and-benefits/personal-budgets/?utm_source=chatgpt.com" TargetMode="External"/><Relationship Id="rId27" Type="http://schemas.openxmlformats.org/officeDocument/2006/relationships/hyperlink" Target="https://historyandpolicy.org/wp-content/uploads/original/img/news/uploads/thane_social_care.pdf?utm_source=chatgpt.com" TargetMode="External"/><Relationship Id="rId30" Type="http://schemas.openxmlformats.org/officeDocument/2006/relationships/hyperlink" Target="https://www.legislation.gov.uk/ukpga/2014/23?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1676</Words>
  <Characters>9556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balan bianca</cp:lastModifiedBy>
  <cp:revision>4</cp:revision>
  <dcterms:created xsi:type="dcterms:W3CDTF">2026-07-20T21:02:00Z</dcterms:created>
  <dcterms:modified xsi:type="dcterms:W3CDTF">2026-07-20T21:16:00Z</dcterms:modified>
</cp:coreProperties>
</file>