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AB116B" w14:textId="1DC625FC" w:rsidR="0014642B" w:rsidRPr="00094BA4" w:rsidRDefault="00094BA4" w:rsidP="00094BA4">
      <w:pPr>
        <w:jc w:val="center"/>
        <w:rPr>
          <w:rFonts w:ascii="Arial" w:hAnsi="Arial" w:cs="Arial"/>
          <w:b/>
          <w:bCs/>
        </w:rPr>
      </w:pPr>
      <w:r w:rsidRPr="00094BA4">
        <w:rPr>
          <w:rFonts w:ascii="Arial" w:hAnsi="Arial" w:cs="Arial"/>
          <w:b/>
          <w:bCs/>
        </w:rPr>
        <w:t>Critical evaluation and self-reflective report on your counselling practice.</w:t>
      </w:r>
    </w:p>
    <w:p w14:paraId="78FE7F1C" w14:textId="77777777" w:rsidR="00094BA4" w:rsidRDefault="00094BA4" w:rsidP="00094BA4">
      <w:pPr>
        <w:jc w:val="center"/>
        <w:rPr>
          <w:rFonts w:ascii="Arial" w:hAnsi="Arial" w:cs="Arial"/>
        </w:rPr>
      </w:pPr>
    </w:p>
    <w:p w14:paraId="4B2D8E0E" w14:textId="029E63C3" w:rsidR="00C7685E" w:rsidRDefault="00094BA4" w:rsidP="000154D4">
      <w:pPr>
        <w:spacing w:after="0" w:line="480" w:lineRule="auto"/>
        <w:rPr>
          <w:rFonts w:ascii="Arial" w:eastAsia="Calibri" w:hAnsi="Arial" w:cs="Arial"/>
          <w:b/>
          <w:color w:val="000000"/>
          <w:lang w:eastAsia="en-GB"/>
        </w:rPr>
      </w:pPr>
      <w:bookmarkStart w:id="0" w:name="_Hlk183707817"/>
      <w:r>
        <w:rPr>
          <w:rFonts w:ascii="Arial" w:eastAsia="Calibri" w:hAnsi="Arial" w:cs="Arial"/>
          <w:b/>
          <w:color w:val="000000"/>
          <w:lang w:eastAsia="en-GB"/>
        </w:rPr>
        <w:t>Introduction.</w:t>
      </w:r>
    </w:p>
    <w:p w14:paraId="39F07A84" w14:textId="6B8DECC5" w:rsidR="000154D4" w:rsidRPr="000154D4" w:rsidRDefault="000154D4" w:rsidP="000154D4">
      <w:pPr>
        <w:pStyle w:val="NormalWeb"/>
        <w:spacing w:line="480" w:lineRule="auto"/>
        <w:ind w:firstLine="360"/>
        <w:rPr>
          <w:rFonts w:ascii="Arial" w:hAnsi="Arial" w:cs="Arial"/>
        </w:rPr>
      </w:pPr>
      <w:r w:rsidRPr="000154D4">
        <w:rPr>
          <w:rFonts w:ascii="Arial" w:hAnsi="Arial" w:cs="Arial"/>
        </w:rPr>
        <w:t xml:space="preserve">Reflective practice is a vital skill for counsellors, fostering self-awareness, professional growth, and the ability to provide ethical and effective care. By examining their thoughts, emotions, and responses during sessions, practitioners can identify biases, strengths, and areas for improvement. This enhances the therapeutic relationship by ensuring interventions are responsive to the client's needs. Reflection also supports continuous learning, allowing counsellors to integrate new insights and techniques, adapt practices, and maintain a client-centred approach. Furthermore, it promotes professional development by encouraging critical analysis and identifying opportunities for further training or supervision. For </w:t>
      </w:r>
      <w:r w:rsidRPr="00C539E9">
        <w:rPr>
          <w:rFonts w:ascii="Arial" w:hAnsi="Arial" w:cs="Arial"/>
        </w:rPr>
        <w:t xml:space="preserve">this reflection, I will analyse my recording from 22:45 to 42:50 using Schön’s reflective model </w:t>
      </w:r>
      <w:r w:rsidR="00C539E9" w:rsidRPr="00C539E9">
        <w:rPr>
          <w:rFonts w:ascii="Arial" w:hAnsi="Arial" w:cs="Arial"/>
        </w:rPr>
        <w:fldChar w:fldCharType="begin"/>
      </w:r>
      <w:r w:rsidR="00BC1B97">
        <w:rPr>
          <w:rFonts w:ascii="Arial" w:hAnsi="Arial" w:cs="Arial"/>
        </w:rPr>
        <w:instrText xml:space="preserve"> ADDIN ZOTERO_ITEM CSL_CITATION {"citationID":"SFXp6lpL","properties":{"formattedCitation":"(Sch\\uc0\\u246{}n, 1991)","plainCitation":"(Schön, 1991)","dontUpdate":true,"noteIndex":0},"citationItems":[{"id":1313,"uris":["http://zotero.org/users/15461753/items/MNSMBJT7"],"itemData":{"id":1313,"type":"book","abstract":"A leading M.I.T. social scientist and consultant examines five professions - engineering, architecture, management, psychotherapy, and town planning - to show how professionals really go about solving problems. The best professionals, Donald SchÃ¶n maintains, know more than they can put into words. To meet the challenges of their work, they rely less on formulas learned in graduate school than on the kind of improvisation learned in practice. This unarticulated, largely unexamined process is the subject of SchÃ¶n's provocatively original book, an effort to show precisely how 'reflection-in-action' works and how this vital creativity might be fostered in future professionals.","edition":"1st edition","event-place":"Farnham","ISBN":"978-1-85742-319-8","language":"English","number-of-pages":"384","publisher":"Routledge","publisher-place":"Farnham","source":"Amazon","title":"The Reflective Practitioner: How Professionals Think in Action","title-short":"The Reflective Practitioner","author":[{"family":"Schön","given":"Donald A."}],"issued":{"date-parts":[["1991",8,22]]}}}],"schema":"https://github.com/citation-style-language/schema/raw/master/csl-citation.json"} </w:instrText>
      </w:r>
      <w:r w:rsidR="00C539E9" w:rsidRPr="00C539E9">
        <w:rPr>
          <w:rFonts w:ascii="Arial" w:hAnsi="Arial" w:cs="Arial"/>
        </w:rPr>
        <w:fldChar w:fldCharType="separate"/>
      </w:r>
      <w:r w:rsidR="00C539E9" w:rsidRPr="00C539E9">
        <w:rPr>
          <w:rFonts w:ascii="Arial" w:hAnsi="Arial" w:cs="Arial"/>
        </w:rPr>
        <w:t>(1991)</w:t>
      </w:r>
      <w:r w:rsidR="00C539E9" w:rsidRPr="00C539E9">
        <w:rPr>
          <w:rFonts w:ascii="Arial" w:hAnsi="Arial" w:cs="Arial"/>
        </w:rPr>
        <w:fldChar w:fldCharType="end"/>
      </w:r>
      <w:r w:rsidRPr="000154D4">
        <w:rPr>
          <w:rFonts w:ascii="Arial" w:hAnsi="Arial" w:cs="Arial"/>
        </w:rPr>
        <w:t>, focusing on both reflection-in-action and reflection-on-action</w:t>
      </w:r>
      <w:r>
        <w:rPr>
          <w:rFonts w:ascii="Arial" w:hAnsi="Arial" w:cs="Arial"/>
        </w:rPr>
        <w:t>.</w:t>
      </w:r>
    </w:p>
    <w:p w14:paraId="1807099B" w14:textId="77777777" w:rsidR="003C6C26" w:rsidRDefault="00094BA4" w:rsidP="003C6C26">
      <w:pPr>
        <w:spacing w:after="0" w:line="456" w:lineRule="auto"/>
        <w:rPr>
          <w:rFonts w:ascii="Arial" w:eastAsia="Calibri" w:hAnsi="Arial" w:cs="Arial"/>
          <w:color w:val="000000"/>
          <w:lang w:eastAsia="en-GB"/>
        </w:rPr>
      </w:pPr>
      <w:r w:rsidRPr="003C6C26">
        <w:rPr>
          <w:rFonts w:ascii="Arial" w:eastAsia="Calibri" w:hAnsi="Arial" w:cs="Arial"/>
          <w:b/>
          <w:color w:val="000000"/>
          <w:lang w:eastAsia="en-GB"/>
        </w:rPr>
        <w:t>Reflection-in-action</w:t>
      </w:r>
      <w:r w:rsidR="003C6C26">
        <w:rPr>
          <w:rFonts w:ascii="Arial" w:eastAsia="Calibri" w:hAnsi="Arial" w:cs="Arial"/>
          <w:color w:val="000000"/>
          <w:lang w:eastAsia="en-GB"/>
        </w:rPr>
        <w:t>.</w:t>
      </w:r>
    </w:p>
    <w:p w14:paraId="027724D6" w14:textId="00EACDCA" w:rsidR="002865F3" w:rsidRPr="002865F3" w:rsidRDefault="002865F3" w:rsidP="005C2350">
      <w:pPr>
        <w:pStyle w:val="NormalWeb"/>
        <w:spacing w:line="480" w:lineRule="auto"/>
        <w:ind w:firstLine="720"/>
        <w:rPr>
          <w:rFonts w:ascii="Arial" w:hAnsi="Arial" w:cs="Arial"/>
        </w:rPr>
      </w:pPr>
      <w:r w:rsidRPr="002865F3">
        <w:rPr>
          <w:rFonts w:ascii="Arial" w:hAnsi="Arial" w:cs="Arial"/>
        </w:rPr>
        <w:t>During the session, I employed various counselling techniques to facilitate the client’s exploration of their feelings and experiences. Grounding strategies were used to help the client remain present and engaged, particularly when addressing feelings of burnout and frustration over situations that felt beyond their control</w:t>
      </w:r>
      <w:r w:rsidR="00374261">
        <w:rPr>
          <w:rFonts w:ascii="Arial" w:hAnsi="Arial" w:cs="Arial"/>
        </w:rPr>
        <w:t xml:space="preserve"> </w:t>
      </w:r>
      <w:r w:rsidR="00374261" w:rsidRPr="00C539E9">
        <w:rPr>
          <w:rFonts w:ascii="Arial" w:hAnsi="Arial" w:cs="Arial"/>
        </w:rPr>
        <w:fldChar w:fldCharType="begin"/>
      </w:r>
      <w:r w:rsidR="00374261" w:rsidRPr="00C539E9">
        <w:rPr>
          <w:rFonts w:ascii="Arial" w:hAnsi="Arial" w:cs="Arial"/>
        </w:rPr>
        <w:instrText xml:space="preserve"> ADDIN ZOTERO_ITEM CSL_CITATION {"citationID":"sBCOJ0p8","properties":{"formattedCitation":"(Koniver, 2023)","plainCitation":"(Koniver, 2023)","noteIndex":0},"citationItems":[{"id":1318,"uris":["http://zotero.org/users/15461753/items/NNEXBPFA"],"itemData":{"id":1318,"type":"article-journal","abstract":"An ever expanding body of research over the past several decades suggest that directly touching the earth, a practice known as grounding, puts the body into a healing state. The natural universe conducts an energy current known as a direct current (DC). This DC circuit of energy flows through everything on our planet, including plants, animals, human beings, and the surface of our entire globe, creating a global electrical circuit. DC energy is also what the living human body uses to function, as everything from the beating of our heart to the movement of our muscles to our brain's ability to think operates using DC energy. The earth's DC energy flows continuously across the earth's crust, and anything conductive that touches the earth becomes part of this natural circuit. Our human bodies, which are highly conductive, join this global electrical circuit whenever we make direct contact with the earth, a practice known as grounding. Medical studies are revealing that by becoming a part of the global electrical circuit, through grounding, the human body enters a profound healing state. As our understanding of the health benefits of grounding continue to deepen, we can begin to use grounding as an intentional healing tool in clinical medicine. Grounding may play a role in not only improving the body's natural ability to function, but may also play a role in the healing of disease and the prevention of disease development in the first place. Studies so far suggest that becoming a part of the earth's global DC circuit enhances our conductive health, which has far reaching implications to all our organ systems that utilize DC energy and conductivity to work, including but not limited to: our central and peripheral nervous system, our musculoskeletal system, and our cardiovascular system. Further research into the healing properties of grounding will help clinicians tailor suggestions for specific health issues, and will help us understand the role of our body's conductivity in the presence of our global electrical circuit.","container-title":"Biomedical Journal","DOI":"10.1016/j.bj.2022.12.001","ISSN":"2319-4170","issue":"1","journalAbbreviation":"Biomedical Journal","page":"41-47","source":"ScienceDirect","title":"Practical applications of grounding to support health","volume":"46","author":[{"family":"Koniver","given":"Laura"}],"issued":{"date-parts":[["2023",2,1]]}}}],"schema":"https://github.com/citation-style-language/schema/raw/master/csl-citation.json"} </w:instrText>
      </w:r>
      <w:r w:rsidR="00374261" w:rsidRPr="00C539E9">
        <w:rPr>
          <w:rFonts w:ascii="Arial" w:hAnsi="Arial" w:cs="Arial"/>
        </w:rPr>
        <w:fldChar w:fldCharType="separate"/>
      </w:r>
      <w:r w:rsidR="00374261" w:rsidRPr="00C539E9">
        <w:rPr>
          <w:rFonts w:ascii="Arial" w:hAnsi="Arial" w:cs="Arial"/>
        </w:rPr>
        <w:t>(Koniver, 2023)</w:t>
      </w:r>
      <w:r w:rsidR="00374261" w:rsidRPr="00C539E9">
        <w:rPr>
          <w:rFonts w:ascii="Arial" w:hAnsi="Arial" w:cs="Arial"/>
        </w:rPr>
        <w:fldChar w:fldCharType="end"/>
      </w:r>
      <w:r w:rsidRPr="002865F3">
        <w:rPr>
          <w:rFonts w:ascii="Arial" w:hAnsi="Arial" w:cs="Arial"/>
        </w:rPr>
        <w:t xml:space="preserve">. These strategies reflect </w:t>
      </w:r>
      <w:r w:rsidRPr="005C2350">
        <w:rPr>
          <w:rStyle w:val="Strong"/>
          <w:rFonts w:ascii="Arial" w:eastAsiaTheme="majorEastAsia" w:hAnsi="Arial" w:cs="Arial"/>
          <w:b w:val="0"/>
          <w:bCs w:val="0"/>
        </w:rPr>
        <w:t>Trauma-Informed Care</w:t>
      </w:r>
      <w:r w:rsidRPr="002865F3">
        <w:rPr>
          <w:rFonts w:ascii="Arial" w:hAnsi="Arial" w:cs="Arial"/>
        </w:rPr>
        <w:t xml:space="preserve"> principles, emphasizing safety and pacing interventions to avoid overwhelming the client. This approach also aligns with Bowlby’s attachment </w:t>
      </w:r>
      <w:r w:rsidRPr="00C539E9">
        <w:rPr>
          <w:rFonts w:ascii="Arial" w:hAnsi="Arial" w:cs="Arial"/>
        </w:rPr>
        <w:t xml:space="preserve">theory </w:t>
      </w:r>
      <w:r w:rsidR="00BC1B97">
        <w:rPr>
          <w:rFonts w:ascii="Arial" w:hAnsi="Arial" w:cs="Arial"/>
        </w:rPr>
        <w:fldChar w:fldCharType="begin"/>
      </w:r>
      <w:r w:rsidR="00BC1B97">
        <w:rPr>
          <w:rFonts w:ascii="Arial" w:hAnsi="Arial" w:cs="Arial"/>
        </w:rPr>
        <w:instrText xml:space="preserve"> ADDIN ZOTERO_ITEM CSL_CITATION {"citationID":"jJttdTAH","properties":{"formattedCitation":"(Fearon &amp; Roisman, 2017)","plainCitation":"(Fearon &amp; Roisman, 2017)","noteIndex":0},"citationItems":[{"id":189,"uris":["http://zotero.org/users/15461753/items/Z5NNWZAX"],"itemData":{"id":189,"type":"article-journal","abstract":"Byline: R.M. Pasco Fearon (1), Glenn I Roisman (2) * Attachment measures need to be improved; dimensional measures may be superior. * Attachment is influenced by the environment but the determinants remain elusive. * Attachment is transmitted between generations more weakly than previously thought. * Attachment in children is not highly stable; change is the norm not the exception. * Attachment is linked to outcomes, but not strongly; effects vary by type and domain. Author Affiliation: (1) Research Department of Clinical, Educational and Health Psychology, University College London, Gower Street, London WC1E 6BT, UK (2) University of Minnesota, United States","container-title":"Current opinion in psychology","DOI":"10.1016/j.copsyc.2017.03.002","ISSN":"2352-250X","language":"eng","note":"publisher: Elsevier B.V","page":"131–136","source":"librarysearch.uwtsd.ac.uk","title":"Attachment theory: progress and future directions","title-short":"Attachment theory","volume":"15","author":[{"family":"Fearon","given":"RM Pasco"},{"family":"Roisman","given":"Glenn I."}],"issued":{"date-parts":[["2017"]]}}}],"schema":"https://github.com/citation-style-language/schema/raw/master/csl-citation.json"} </w:instrText>
      </w:r>
      <w:r w:rsidR="00BC1B97">
        <w:rPr>
          <w:rFonts w:ascii="Arial" w:hAnsi="Arial" w:cs="Arial"/>
        </w:rPr>
        <w:fldChar w:fldCharType="separate"/>
      </w:r>
      <w:r w:rsidR="00BC1B97" w:rsidRPr="00BC1B97">
        <w:rPr>
          <w:rFonts w:ascii="Arial" w:hAnsi="Arial" w:cs="Arial"/>
        </w:rPr>
        <w:t>(Fearon &amp; Roisman, 2017)</w:t>
      </w:r>
      <w:r w:rsidR="00BC1B97">
        <w:rPr>
          <w:rFonts w:ascii="Arial" w:hAnsi="Arial" w:cs="Arial"/>
        </w:rPr>
        <w:fldChar w:fldCharType="end"/>
      </w:r>
      <w:r w:rsidRPr="00C539E9">
        <w:rPr>
          <w:rFonts w:ascii="Arial" w:hAnsi="Arial" w:cs="Arial"/>
        </w:rPr>
        <w:t xml:space="preserve">, </w:t>
      </w:r>
      <w:r w:rsidRPr="002865F3">
        <w:rPr>
          <w:rFonts w:ascii="Arial" w:hAnsi="Arial" w:cs="Arial"/>
        </w:rPr>
        <w:t>which highlights the importance of a secure base in fostering emotional processing.</w:t>
      </w:r>
      <w:r w:rsidR="005C2350">
        <w:rPr>
          <w:rFonts w:ascii="Arial" w:hAnsi="Arial" w:cs="Arial"/>
        </w:rPr>
        <w:t xml:space="preserve"> </w:t>
      </w:r>
      <w:r w:rsidRPr="002865F3">
        <w:rPr>
          <w:rFonts w:ascii="Arial" w:hAnsi="Arial" w:cs="Arial"/>
        </w:rPr>
        <w:t xml:space="preserve">I acknowledged and validated the client’s emotions, including their expressed feelings </w:t>
      </w:r>
      <w:r w:rsidRPr="002865F3">
        <w:rPr>
          <w:rFonts w:ascii="Arial" w:hAnsi="Arial" w:cs="Arial"/>
        </w:rPr>
        <w:lastRenderedPageBreak/>
        <w:t xml:space="preserve">of being </w:t>
      </w:r>
      <w:r w:rsidR="00BC1B97">
        <w:rPr>
          <w:rFonts w:ascii="Arial" w:hAnsi="Arial" w:cs="Arial"/>
        </w:rPr>
        <w:t>‘</w:t>
      </w:r>
      <w:r w:rsidRPr="002865F3">
        <w:rPr>
          <w:rFonts w:ascii="Arial" w:hAnsi="Arial" w:cs="Arial"/>
        </w:rPr>
        <w:t>lost</w:t>
      </w:r>
      <w:r w:rsidR="00BC1B97">
        <w:rPr>
          <w:rFonts w:ascii="Arial" w:hAnsi="Arial" w:cs="Arial"/>
        </w:rPr>
        <w:t>’</w:t>
      </w:r>
      <w:r w:rsidRPr="002865F3">
        <w:rPr>
          <w:rFonts w:ascii="Arial" w:hAnsi="Arial" w:cs="Arial"/>
        </w:rPr>
        <w:t xml:space="preserve"> and </w:t>
      </w:r>
      <w:r w:rsidR="00BC1B97">
        <w:rPr>
          <w:rFonts w:ascii="Arial" w:hAnsi="Arial" w:cs="Arial"/>
        </w:rPr>
        <w:t>‘</w:t>
      </w:r>
      <w:r w:rsidRPr="002865F3">
        <w:rPr>
          <w:rFonts w:ascii="Arial" w:hAnsi="Arial" w:cs="Arial"/>
        </w:rPr>
        <w:t>vulnerable</w:t>
      </w:r>
      <w:r w:rsidR="00BC1B97">
        <w:rPr>
          <w:rFonts w:ascii="Arial" w:hAnsi="Arial" w:cs="Arial"/>
        </w:rPr>
        <w:t>’.</w:t>
      </w:r>
      <w:r w:rsidRPr="002865F3">
        <w:rPr>
          <w:rFonts w:ascii="Arial" w:hAnsi="Arial" w:cs="Arial"/>
        </w:rPr>
        <w:t xml:space="preserve"> By referencing their recurring mention of burnout and inviting clarification on their description of a </w:t>
      </w:r>
      <w:r w:rsidR="00BC1B97">
        <w:rPr>
          <w:rFonts w:ascii="Arial" w:hAnsi="Arial" w:cs="Arial"/>
        </w:rPr>
        <w:t>‘</w:t>
      </w:r>
      <w:r w:rsidRPr="002865F3">
        <w:rPr>
          <w:rFonts w:ascii="Arial" w:hAnsi="Arial" w:cs="Arial"/>
        </w:rPr>
        <w:t>low impact point</w:t>
      </w:r>
      <w:r w:rsidR="00BC1B97">
        <w:rPr>
          <w:rFonts w:ascii="Arial" w:hAnsi="Arial" w:cs="Arial"/>
        </w:rPr>
        <w:t>’,</w:t>
      </w:r>
      <w:r w:rsidRPr="002865F3">
        <w:rPr>
          <w:rFonts w:ascii="Arial" w:hAnsi="Arial" w:cs="Arial"/>
        </w:rPr>
        <w:t xml:space="preserve"> I aimed to deepen their emotional exploration. This approach is consistent with </w:t>
      </w:r>
      <w:r w:rsidRPr="005C2350">
        <w:rPr>
          <w:rStyle w:val="Strong"/>
          <w:rFonts w:ascii="Arial" w:eastAsiaTheme="majorEastAsia" w:hAnsi="Arial" w:cs="Arial"/>
          <w:b w:val="0"/>
          <w:bCs w:val="0"/>
        </w:rPr>
        <w:t>Emotion-Focused Therapy (EFT)</w:t>
      </w:r>
      <w:r w:rsidRPr="005C2350">
        <w:rPr>
          <w:rFonts w:ascii="Arial" w:hAnsi="Arial" w:cs="Arial"/>
          <w:b/>
          <w:bCs/>
        </w:rPr>
        <w:t>,</w:t>
      </w:r>
      <w:r w:rsidRPr="002865F3">
        <w:rPr>
          <w:rFonts w:ascii="Arial" w:hAnsi="Arial" w:cs="Arial"/>
        </w:rPr>
        <w:t xml:space="preserve"> which emphasizes attending to key emotional markers to enhance self-awareness and processing.</w:t>
      </w:r>
    </w:p>
    <w:p w14:paraId="2FCCD2ED" w14:textId="00C57B16" w:rsidR="002865F3" w:rsidRPr="002865F3" w:rsidRDefault="002865F3" w:rsidP="002865F3">
      <w:pPr>
        <w:pStyle w:val="NormalWeb"/>
        <w:spacing w:line="480" w:lineRule="auto"/>
        <w:ind w:firstLine="720"/>
        <w:rPr>
          <w:rFonts w:ascii="Arial" w:hAnsi="Arial" w:cs="Arial"/>
        </w:rPr>
      </w:pPr>
      <w:r w:rsidRPr="002865F3">
        <w:rPr>
          <w:rFonts w:ascii="Arial" w:hAnsi="Arial" w:cs="Arial"/>
        </w:rPr>
        <w:t>A significant moment in the session arose from the client’s use of metaphor</w:t>
      </w:r>
      <w:r w:rsidR="00646FEA">
        <w:rPr>
          <w:rFonts w:ascii="Arial" w:hAnsi="Arial" w:cs="Arial"/>
        </w:rPr>
        <w:t xml:space="preserve"> </w:t>
      </w:r>
      <w:r w:rsidRPr="002865F3">
        <w:rPr>
          <w:rFonts w:ascii="Arial" w:hAnsi="Arial" w:cs="Arial"/>
        </w:rPr>
        <w:t xml:space="preserve">describing their emotions as a </w:t>
      </w:r>
      <w:r w:rsidR="00BC1B97">
        <w:rPr>
          <w:rFonts w:ascii="Arial" w:hAnsi="Arial" w:cs="Arial"/>
        </w:rPr>
        <w:t>‘</w:t>
      </w:r>
      <w:r w:rsidRPr="002865F3">
        <w:rPr>
          <w:rFonts w:ascii="Arial" w:hAnsi="Arial" w:cs="Arial"/>
        </w:rPr>
        <w:t>crushed-up ball of paper</w:t>
      </w:r>
      <w:r w:rsidR="00BC1B97">
        <w:rPr>
          <w:rFonts w:ascii="Arial" w:hAnsi="Arial" w:cs="Arial"/>
        </w:rPr>
        <w:t>’.</w:t>
      </w:r>
      <w:r w:rsidRPr="002865F3">
        <w:rPr>
          <w:rFonts w:ascii="Arial" w:hAnsi="Arial" w:cs="Arial"/>
        </w:rPr>
        <w:t xml:space="preserve"> Metaphors often symbolize inner experiences, and their exploration can lead to deeper </w:t>
      </w:r>
      <w:r w:rsidRPr="00C539E9">
        <w:rPr>
          <w:rFonts w:ascii="Arial" w:hAnsi="Arial" w:cs="Arial"/>
        </w:rPr>
        <w:t>insight</w:t>
      </w:r>
      <w:r w:rsidR="00374261" w:rsidRPr="00C539E9">
        <w:rPr>
          <w:rFonts w:ascii="Arial" w:hAnsi="Arial" w:cs="Arial"/>
        </w:rPr>
        <w:t xml:space="preserve"> </w:t>
      </w:r>
      <w:r w:rsidR="00374261" w:rsidRPr="00C539E9">
        <w:rPr>
          <w:rFonts w:ascii="Arial" w:hAnsi="Arial" w:cs="Arial"/>
        </w:rPr>
        <w:fldChar w:fldCharType="begin"/>
      </w:r>
      <w:r w:rsidR="00374261" w:rsidRPr="00C539E9">
        <w:rPr>
          <w:rFonts w:ascii="Arial" w:hAnsi="Arial" w:cs="Arial"/>
        </w:rPr>
        <w:instrText xml:space="preserve"> ADDIN ZOTERO_ITEM CSL_CITATION {"citationID":"jLnxy7sb","properties":{"formattedCitation":"(Malkomsen et al., 2021)","plainCitation":"(Malkomsen et al., 2021)","noteIndex":0},"citationItems":[{"id":1321,"uris":["http://zotero.org/users/15461753/items/LGZL9YV4"],"itemData":{"id":1321,"type":"article-journal","abstract":"Background\nIn the present study, we wanted to explore which metaphors patients suffering from major depressive disorder (MDD) use to explain their experience of being in therapy and their improvement from depression.\n\nMethods\nPatients with MDD (N = 22) received either psychodynamic therapy (PDT) or cognitive behavioral therapy (CBT). They were interviewed with semi-structured qualitative interviews after ending therapy. The transcripts were analyzed using a method based on metaphor-led discourse analysis.\n\nResults\nMetaphors were organized into three different categories concerning the process of therapy, the therapeutic relationship and of improvement from depression. Most frequent were the metaphorical concepts of surface and depth, being open and closed, chemistry, tools, improvement as a journey from darkness to light and depression as a disease or opponent.\n\nConclusions\nPatient metaphors concerning the therapeutic experience may provide clinicians and researchers valuable information about the process of therapy. Metaphors offer an opportunity for patients to communicate nuances about their therapeutic experience that are difficult to express in literal language. However, if not sufficiently explored and understood, metaphors may be misinterpreted and become a barrier for therapeutic change.\n\nTrial registration\nClinical Trial gov. Identifier: NCT03022071. Date of registration: 16/01/2017.","container-title":"BMC Psychiatry","DOI":"10.1186/s12888-021-03551-1","ISSN":"1471-244X","journalAbbreviation":"BMC Psychiatry","note":"PMID: 34706691\nPMCID: PMC8555134","page":"533","source":"PubMed Central","title":"Digging down or scratching the surface: how patients use metaphors to describe their experiences of psychotherapy","title-short":"Digging down or scratching the surface","volume":"21","author":[{"family":"Malkomsen","given":"A."},{"family":"Røssberg","given":"J. I."},{"family":"Dammen","given":"T."},{"family":"Wilberg","given":"T."},{"family":"Løvgren","given":"A."},{"family":"Ulberg","given":"R."},{"family":"Evensen","given":"J."}],"issued":{"date-parts":[["2021",10,27]]}}}],"schema":"https://github.com/citation-style-language/schema/raw/master/csl-citation.json"} </w:instrText>
      </w:r>
      <w:r w:rsidR="00374261" w:rsidRPr="00C539E9">
        <w:rPr>
          <w:rFonts w:ascii="Arial" w:hAnsi="Arial" w:cs="Arial"/>
        </w:rPr>
        <w:fldChar w:fldCharType="separate"/>
      </w:r>
      <w:r w:rsidR="00374261" w:rsidRPr="00C539E9">
        <w:rPr>
          <w:rFonts w:ascii="Arial" w:hAnsi="Arial" w:cs="Arial"/>
        </w:rPr>
        <w:t>(Malkomsen et al., 2021)</w:t>
      </w:r>
      <w:r w:rsidR="00374261" w:rsidRPr="00C539E9">
        <w:rPr>
          <w:rFonts w:ascii="Arial" w:hAnsi="Arial" w:cs="Arial"/>
        </w:rPr>
        <w:fldChar w:fldCharType="end"/>
      </w:r>
      <w:r w:rsidRPr="00C539E9">
        <w:rPr>
          <w:rFonts w:ascii="Arial" w:hAnsi="Arial" w:cs="Arial"/>
        </w:rPr>
        <w:t>. When I suggested the possibility of discarding t</w:t>
      </w:r>
      <w:r w:rsidRPr="002865F3">
        <w:rPr>
          <w:rFonts w:ascii="Arial" w:hAnsi="Arial" w:cs="Arial"/>
        </w:rPr>
        <w:t xml:space="preserve">he </w:t>
      </w:r>
      <w:r w:rsidR="00BC1B97">
        <w:rPr>
          <w:rFonts w:ascii="Arial" w:hAnsi="Arial" w:cs="Arial"/>
        </w:rPr>
        <w:t>‘</w:t>
      </w:r>
      <w:r w:rsidRPr="002865F3">
        <w:rPr>
          <w:rFonts w:ascii="Arial" w:hAnsi="Arial" w:cs="Arial"/>
        </w:rPr>
        <w:t>ball</w:t>
      </w:r>
      <w:r w:rsidR="00BC1B97">
        <w:rPr>
          <w:rFonts w:ascii="Arial" w:hAnsi="Arial" w:cs="Arial"/>
        </w:rPr>
        <w:t>’</w:t>
      </w:r>
      <w:r w:rsidRPr="002865F3">
        <w:rPr>
          <w:rFonts w:ascii="Arial" w:hAnsi="Arial" w:cs="Arial"/>
        </w:rPr>
        <w:t xml:space="preserve">, the client expressed discomfort, indicating that letting go felt overwhelming. Instead, they preferred </w:t>
      </w:r>
      <w:r w:rsidR="00BC1B97">
        <w:rPr>
          <w:rFonts w:ascii="Arial" w:hAnsi="Arial" w:cs="Arial"/>
        </w:rPr>
        <w:t>‘</w:t>
      </w:r>
      <w:r w:rsidRPr="002865F3">
        <w:rPr>
          <w:rFonts w:ascii="Arial" w:hAnsi="Arial" w:cs="Arial"/>
        </w:rPr>
        <w:t>unlocking</w:t>
      </w:r>
      <w:r w:rsidR="00BC1B97">
        <w:rPr>
          <w:rFonts w:ascii="Arial" w:hAnsi="Arial" w:cs="Arial"/>
        </w:rPr>
        <w:t>’</w:t>
      </w:r>
      <w:r w:rsidRPr="002865F3">
        <w:rPr>
          <w:rFonts w:ascii="Arial" w:hAnsi="Arial" w:cs="Arial"/>
        </w:rPr>
        <w:t xml:space="preserve"> and </w:t>
      </w:r>
      <w:r w:rsidR="00BC1B97">
        <w:rPr>
          <w:rFonts w:ascii="Arial" w:hAnsi="Arial" w:cs="Arial"/>
        </w:rPr>
        <w:t>‘</w:t>
      </w:r>
      <w:r w:rsidRPr="002865F3">
        <w:rPr>
          <w:rFonts w:ascii="Arial" w:hAnsi="Arial" w:cs="Arial"/>
        </w:rPr>
        <w:t>acknowledging</w:t>
      </w:r>
      <w:r w:rsidR="00BC1B97">
        <w:rPr>
          <w:rFonts w:ascii="Arial" w:hAnsi="Arial" w:cs="Arial"/>
        </w:rPr>
        <w:t>’</w:t>
      </w:r>
      <w:r w:rsidRPr="002865F3">
        <w:rPr>
          <w:rFonts w:ascii="Arial" w:hAnsi="Arial" w:cs="Arial"/>
        </w:rPr>
        <w:t xml:space="preserve"> the emotions symbolized by the ball. This adjustment mirrors </w:t>
      </w:r>
      <w:r w:rsidRPr="005C2350">
        <w:rPr>
          <w:rStyle w:val="Strong"/>
          <w:rFonts w:ascii="Arial" w:eastAsiaTheme="majorEastAsia" w:hAnsi="Arial" w:cs="Arial"/>
          <w:b w:val="0"/>
          <w:bCs w:val="0"/>
        </w:rPr>
        <w:t>Gestalt Therapy’s</w:t>
      </w:r>
      <w:r w:rsidRPr="005C2350">
        <w:rPr>
          <w:rFonts w:ascii="Arial" w:hAnsi="Arial" w:cs="Arial"/>
        </w:rPr>
        <w:t xml:space="preserve"> emphasis</w:t>
      </w:r>
      <w:r w:rsidRPr="002865F3">
        <w:rPr>
          <w:rFonts w:ascii="Arial" w:hAnsi="Arial" w:cs="Arial"/>
        </w:rPr>
        <w:t xml:space="preserve"> on meeting clients where they are and respecting their boundaries. By validating the client’s preference for </w:t>
      </w:r>
      <w:r w:rsidR="00BC1B97">
        <w:rPr>
          <w:rFonts w:ascii="Arial" w:hAnsi="Arial" w:cs="Arial"/>
        </w:rPr>
        <w:t>‘</w:t>
      </w:r>
      <w:r w:rsidRPr="002865F3">
        <w:rPr>
          <w:rFonts w:ascii="Arial" w:hAnsi="Arial" w:cs="Arial"/>
        </w:rPr>
        <w:t>unlocking</w:t>
      </w:r>
      <w:r w:rsidR="00BC1B97">
        <w:rPr>
          <w:rFonts w:ascii="Arial" w:hAnsi="Arial" w:cs="Arial"/>
        </w:rPr>
        <w:t>’,</w:t>
      </w:r>
      <w:r w:rsidRPr="002865F3">
        <w:rPr>
          <w:rFonts w:ascii="Arial" w:hAnsi="Arial" w:cs="Arial"/>
        </w:rPr>
        <w:t xml:space="preserve"> I supported a gentler approach to emotional exploration that aligned with their capacity at the time.</w:t>
      </w:r>
    </w:p>
    <w:p w14:paraId="5FC495E1" w14:textId="176A2875" w:rsidR="002865F3" w:rsidRPr="002865F3" w:rsidRDefault="002865F3" w:rsidP="002865F3">
      <w:pPr>
        <w:pStyle w:val="NormalWeb"/>
        <w:spacing w:line="480" w:lineRule="auto"/>
        <w:ind w:firstLine="720"/>
        <w:rPr>
          <w:rFonts w:ascii="Arial" w:hAnsi="Arial" w:cs="Arial"/>
        </w:rPr>
      </w:pPr>
      <w:r w:rsidRPr="002865F3">
        <w:rPr>
          <w:rFonts w:ascii="Arial" w:hAnsi="Arial" w:cs="Arial"/>
        </w:rPr>
        <w:t xml:space="preserve">To encourage future-oriented thinking, I introduced the </w:t>
      </w:r>
      <w:r w:rsidR="00BC1B97">
        <w:rPr>
          <w:rFonts w:ascii="Arial" w:hAnsi="Arial" w:cs="Arial"/>
        </w:rPr>
        <w:t>‘</w:t>
      </w:r>
      <w:r w:rsidRPr="002865F3">
        <w:rPr>
          <w:rFonts w:ascii="Arial" w:hAnsi="Arial" w:cs="Arial"/>
        </w:rPr>
        <w:t>magic wand</w:t>
      </w:r>
      <w:r w:rsidR="00BC1B97">
        <w:rPr>
          <w:rFonts w:ascii="Arial" w:hAnsi="Arial" w:cs="Arial"/>
        </w:rPr>
        <w:t>’</w:t>
      </w:r>
      <w:r w:rsidRPr="002865F3">
        <w:rPr>
          <w:rFonts w:ascii="Arial" w:hAnsi="Arial" w:cs="Arial"/>
        </w:rPr>
        <w:t xml:space="preserve"> scenario, a tool from </w:t>
      </w:r>
      <w:r w:rsidRPr="005C2350">
        <w:rPr>
          <w:rStyle w:val="Strong"/>
          <w:rFonts w:ascii="Arial" w:eastAsiaTheme="majorEastAsia" w:hAnsi="Arial" w:cs="Arial"/>
          <w:b w:val="0"/>
          <w:bCs w:val="0"/>
        </w:rPr>
        <w:t xml:space="preserve">Solution-Focused Brief Therapy </w:t>
      </w:r>
      <w:r w:rsidRPr="00374261">
        <w:rPr>
          <w:rStyle w:val="Strong"/>
          <w:rFonts w:ascii="Arial" w:eastAsiaTheme="majorEastAsia" w:hAnsi="Arial" w:cs="Arial"/>
          <w:b w:val="0"/>
          <w:bCs w:val="0"/>
        </w:rPr>
        <w:t>(SFBT)</w:t>
      </w:r>
      <w:r w:rsidRPr="00374261">
        <w:rPr>
          <w:rFonts w:ascii="Arial" w:hAnsi="Arial" w:cs="Arial"/>
        </w:rPr>
        <w:t xml:space="preserve"> </w:t>
      </w:r>
      <w:r w:rsidRPr="002865F3">
        <w:rPr>
          <w:rFonts w:ascii="Arial" w:hAnsi="Arial" w:cs="Arial"/>
        </w:rPr>
        <w:t xml:space="preserve">designed to help clients envision ideal outcomes and actionable </w:t>
      </w:r>
      <w:r w:rsidRPr="00C539E9">
        <w:rPr>
          <w:rFonts w:ascii="Arial" w:hAnsi="Arial" w:cs="Arial"/>
        </w:rPr>
        <w:t>goals</w:t>
      </w:r>
      <w:r w:rsidR="00374261" w:rsidRPr="00C539E9">
        <w:rPr>
          <w:rFonts w:ascii="Arial" w:hAnsi="Arial" w:cs="Arial"/>
        </w:rPr>
        <w:t xml:space="preserve"> </w:t>
      </w:r>
      <w:r w:rsidR="00374261" w:rsidRPr="00C539E9">
        <w:rPr>
          <w:rFonts w:ascii="Arial" w:hAnsi="Arial" w:cs="Arial"/>
        </w:rPr>
        <w:fldChar w:fldCharType="begin"/>
      </w:r>
      <w:r w:rsidR="00374261" w:rsidRPr="00C539E9">
        <w:rPr>
          <w:rFonts w:ascii="Arial" w:hAnsi="Arial" w:cs="Arial"/>
        </w:rPr>
        <w:instrText xml:space="preserve"> ADDIN ZOTERO_ITEM CSL_CITATION {"citationID":"ujuYIn3g","properties":{"formattedCitation":"(Jerome et al., 2023)","plainCitation":"(Jerome et al., 2023)","noteIndex":0},"citationItems":[{"id":1324,"uris":["http://zotero.org/users/15461753/items/NTRTSM54"],"itemData":{"id":1324,"type":"article-journal","abstract":"Solution-focused approaches are one approach to treatment used in a wide variety of settings in modern mental healthcare services. As yet, there has been no overall synthesis of how this approach is understood in the adult mental health literature. This conceptual review aimed to synthesize the ways that solution-focused approaches have been conceptualized and understood, within the adult mental health literature, in the five decades since their conception. A systematic search followed by multiple techniques from the narrative synthesis approach were used to develop a conceptual framework of the extracted data. Fifty-six papers published between 1993 and 2019 were included in the review. These papers spanned a variety of clinical contexts and countries, but despite this the underlying key principles and concepts of solution-focused approaches were remarkably similar over time and setting. Thematic analysis of extracted data outlined five key themes relevant to the conceptualization of this approach. This conceptual framework will help support clinicians using solution-focused techniques or therapies by giving them a coherent understanding of such approaches, by what mechanisms they work, and how key principles of this approach can be utilized in adult mental health settings.","container-title":"Frontiers in Psychiatry","DOI":"10.3389/fpsyt.2023.1068006","ISSN":"1664-0640","journalAbbreviation":"Front Psychiatry","note":"PMID: 37065885\nPMCID: PMC10098109","page":"1068006","source":"PubMed Central","title":"Solution-focused approaches in adult mental health research: A conceptual literature review and narrative synthesis","title-short":"Solution-focused approaches in adult mental health research","volume":"14","author":[{"family":"Jerome","given":"Lauren"},{"family":"McNamee","given":"Philip"},{"family":"Abdel-Halim","given":"Nadia"},{"family":"Elliot","given":"Kathryn"},{"family":"Woods","given":"Jonathan"}],"issued":{"date-parts":[["2023",3,30]]}}}],"schema":"https://github.com/citation-style-language/schema/raw/master/csl-citation.json"} </w:instrText>
      </w:r>
      <w:r w:rsidR="00374261" w:rsidRPr="00C539E9">
        <w:rPr>
          <w:rFonts w:ascii="Arial" w:hAnsi="Arial" w:cs="Arial"/>
        </w:rPr>
        <w:fldChar w:fldCharType="separate"/>
      </w:r>
      <w:r w:rsidR="00374261" w:rsidRPr="00C539E9">
        <w:rPr>
          <w:rFonts w:ascii="Arial" w:hAnsi="Arial" w:cs="Arial"/>
        </w:rPr>
        <w:t>(Jerome et al., 2023)</w:t>
      </w:r>
      <w:r w:rsidR="00374261" w:rsidRPr="00C539E9">
        <w:rPr>
          <w:rFonts w:ascii="Arial" w:hAnsi="Arial" w:cs="Arial"/>
        </w:rPr>
        <w:fldChar w:fldCharType="end"/>
      </w:r>
      <w:r w:rsidRPr="00C539E9">
        <w:rPr>
          <w:rFonts w:ascii="Arial" w:hAnsi="Arial" w:cs="Arial"/>
        </w:rPr>
        <w:t xml:space="preserve">. </w:t>
      </w:r>
      <w:r w:rsidRPr="002865F3">
        <w:rPr>
          <w:rFonts w:ascii="Arial" w:hAnsi="Arial" w:cs="Arial"/>
        </w:rPr>
        <w:t xml:space="preserve">While effective in promoting reflection, this exercise brought up the unexpected topic of children. I hesitated to explore this further, uncertain if the client was ready for such a sensitive discussion. </w:t>
      </w:r>
      <w:r w:rsidRPr="00BC1B97">
        <w:rPr>
          <w:rFonts w:ascii="Arial" w:hAnsi="Arial" w:cs="Arial"/>
        </w:rPr>
        <w:t xml:space="preserve">This moment </w:t>
      </w:r>
      <w:r w:rsidR="00BC1B97" w:rsidRPr="00BC1B97">
        <w:rPr>
          <w:rFonts w:ascii="Arial" w:hAnsi="Arial" w:cs="Arial"/>
        </w:rPr>
        <w:t>revealed an opportunity for growth to enhance my confidence and sensitivity in managing session dynamics while addressing emerging themes.</w:t>
      </w:r>
    </w:p>
    <w:p w14:paraId="09ECCA6A" w14:textId="260DBFD5" w:rsidR="002865F3" w:rsidRDefault="002865F3" w:rsidP="002865F3">
      <w:pPr>
        <w:pStyle w:val="NormalWeb"/>
        <w:spacing w:line="480" w:lineRule="auto"/>
        <w:ind w:firstLine="720"/>
        <w:rPr>
          <w:rFonts w:ascii="Arial" w:hAnsi="Arial" w:cs="Arial"/>
        </w:rPr>
      </w:pPr>
      <w:r w:rsidRPr="002865F3">
        <w:rPr>
          <w:rFonts w:ascii="Arial" w:hAnsi="Arial" w:cs="Arial"/>
        </w:rPr>
        <w:lastRenderedPageBreak/>
        <w:t xml:space="preserve">Additionally, the client mentioned feeling overwhelmed by </w:t>
      </w:r>
      <w:r w:rsidR="00BC1B97">
        <w:rPr>
          <w:rFonts w:ascii="Arial" w:hAnsi="Arial" w:cs="Arial"/>
        </w:rPr>
        <w:t>‘</w:t>
      </w:r>
      <w:r w:rsidRPr="002865F3">
        <w:rPr>
          <w:rFonts w:ascii="Arial" w:hAnsi="Arial" w:cs="Arial"/>
        </w:rPr>
        <w:t>lots of questions</w:t>
      </w:r>
      <w:r w:rsidR="00BC1B97">
        <w:rPr>
          <w:rFonts w:ascii="Arial" w:hAnsi="Arial" w:cs="Arial"/>
        </w:rPr>
        <w:t>’,</w:t>
      </w:r>
      <w:r w:rsidRPr="002865F3">
        <w:rPr>
          <w:rFonts w:ascii="Arial" w:hAnsi="Arial" w:cs="Arial"/>
        </w:rPr>
        <w:t xml:space="preserve"> which I could have explored further. Understanding whether this discomfort was specific to our session or a broader interpersonal challenge would have provided valuable insights. This aligns with </w:t>
      </w:r>
      <w:r w:rsidRPr="005C2350">
        <w:rPr>
          <w:rStyle w:val="Strong"/>
          <w:rFonts w:ascii="Arial" w:eastAsiaTheme="majorEastAsia" w:hAnsi="Arial" w:cs="Arial"/>
          <w:b w:val="0"/>
          <w:bCs w:val="0"/>
        </w:rPr>
        <w:t>Interpersonal Therapy (IPT)</w:t>
      </w:r>
      <w:r w:rsidRPr="005C2350">
        <w:rPr>
          <w:rFonts w:ascii="Arial" w:hAnsi="Arial" w:cs="Arial"/>
          <w:b/>
          <w:bCs/>
        </w:rPr>
        <w:t>,</w:t>
      </w:r>
      <w:r w:rsidRPr="002865F3">
        <w:rPr>
          <w:rFonts w:ascii="Arial" w:hAnsi="Arial" w:cs="Arial"/>
        </w:rPr>
        <w:t xml:space="preserve"> which examines the impact of social interactions on emotional well</w:t>
      </w:r>
      <w:r w:rsidR="00374261">
        <w:rPr>
          <w:rFonts w:ascii="Arial" w:hAnsi="Arial" w:cs="Arial"/>
        </w:rPr>
        <w:t>-</w:t>
      </w:r>
      <w:r w:rsidRPr="002865F3">
        <w:rPr>
          <w:rFonts w:ascii="Arial" w:hAnsi="Arial" w:cs="Arial"/>
        </w:rPr>
        <w:t>being.</w:t>
      </w:r>
      <w:r>
        <w:rPr>
          <w:rFonts w:ascii="Arial" w:hAnsi="Arial" w:cs="Arial"/>
        </w:rPr>
        <w:t xml:space="preserve"> </w:t>
      </w:r>
    </w:p>
    <w:p w14:paraId="75A257FA" w14:textId="7B770555" w:rsidR="002865F3" w:rsidRDefault="002865F3" w:rsidP="002865F3">
      <w:pPr>
        <w:pStyle w:val="NormalWeb"/>
        <w:spacing w:line="480" w:lineRule="auto"/>
        <w:ind w:firstLine="720"/>
        <w:rPr>
          <w:rFonts w:ascii="Arial" w:hAnsi="Arial" w:cs="Arial"/>
        </w:rPr>
      </w:pPr>
      <w:r w:rsidRPr="002865F3">
        <w:rPr>
          <w:rFonts w:ascii="Arial" w:hAnsi="Arial" w:cs="Arial"/>
        </w:rPr>
        <w:t>Upon reviewing the session, I recogni</w:t>
      </w:r>
      <w:r w:rsidR="00646FEA">
        <w:rPr>
          <w:rFonts w:ascii="Arial" w:hAnsi="Arial" w:cs="Arial"/>
        </w:rPr>
        <w:t>s</w:t>
      </w:r>
      <w:r w:rsidRPr="002865F3">
        <w:rPr>
          <w:rFonts w:ascii="Arial" w:hAnsi="Arial" w:cs="Arial"/>
        </w:rPr>
        <w:t xml:space="preserve">ed the importance of balancing encouragement for emotional exploration with sensitivity to the client’s readiness. For example, the suggestion to discard the metaphorical ball, while well-intentioned, felt premature for the client. Adjusting interventions to align with the client’s pace reflects the principles of </w:t>
      </w:r>
      <w:r w:rsidRPr="005C2350">
        <w:rPr>
          <w:rStyle w:val="Strong"/>
          <w:rFonts w:ascii="Arial" w:eastAsiaTheme="majorEastAsia" w:hAnsi="Arial" w:cs="Arial"/>
          <w:b w:val="0"/>
          <w:bCs w:val="0"/>
        </w:rPr>
        <w:t>Person-Centred Therapy</w:t>
      </w:r>
      <w:r w:rsidRPr="002865F3">
        <w:rPr>
          <w:rFonts w:ascii="Arial" w:hAnsi="Arial" w:cs="Arial"/>
        </w:rPr>
        <w:t>, which prioritizes the client’s autonomy in directing their therapeutic process.</w:t>
      </w:r>
      <w:r>
        <w:rPr>
          <w:rFonts w:ascii="Arial" w:hAnsi="Arial" w:cs="Arial"/>
        </w:rPr>
        <w:t xml:space="preserve"> </w:t>
      </w:r>
    </w:p>
    <w:p w14:paraId="547AE57B" w14:textId="77777777" w:rsidR="00374261" w:rsidRDefault="00094BA4" w:rsidP="00374261">
      <w:pPr>
        <w:pStyle w:val="NormalWeb"/>
        <w:spacing w:line="480" w:lineRule="auto"/>
        <w:rPr>
          <w:rFonts w:ascii="Arial" w:eastAsia="Calibri" w:hAnsi="Arial" w:cs="Arial"/>
          <w:color w:val="000000"/>
        </w:rPr>
      </w:pPr>
      <w:r w:rsidRPr="000154D4">
        <w:rPr>
          <w:rFonts w:ascii="Arial" w:eastAsia="Calibri" w:hAnsi="Arial" w:cs="Arial"/>
          <w:b/>
          <w:color w:val="000000"/>
        </w:rPr>
        <w:t>R</w:t>
      </w:r>
      <w:r w:rsidRPr="00094BA4">
        <w:rPr>
          <w:rFonts w:ascii="Arial" w:eastAsia="Calibri" w:hAnsi="Arial" w:cs="Arial"/>
          <w:b/>
          <w:color w:val="000000"/>
        </w:rPr>
        <w:t>eflection-on-action</w:t>
      </w:r>
      <w:r w:rsidR="000154D4">
        <w:rPr>
          <w:rFonts w:ascii="Arial" w:eastAsia="Calibri" w:hAnsi="Arial" w:cs="Arial"/>
          <w:color w:val="000000"/>
        </w:rPr>
        <w:t>.</w:t>
      </w:r>
      <w:r w:rsidR="00374261">
        <w:rPr>
          <w:rFonts w:ascii="Arial" w:eastAsia="Calibri" w:hAnsi="Arial" w:cs="Arial"/>
          <w:color w:val="000000"/>
        </w:rPr>
        <w:t xml:space="preserve"> </w:t>
      </w:r>
    </w:p>
    <w:p w14:paraId="4FEB3844" w14:textId="4FA59CF6" w:rsidR="00390EA6" w:rsidRDefault="004819C4" w:rsidP="00374261">
      <w:pPr>
        <w:pStyle w:val="NormalWeb"/>
        <w:spacing w:line="480" w:lineRule="auto"/>
        <w:ind w:firstLine="720"/>
        <w:rPr>
          <w:rFonts w:ascii="Arial" w:hAnsi="Arial" w:cs="Arial"/>
        </w:rPr>
      </w:pPr>
      <w:r w:rsidRPr="00BC1B97">
        <w:rPr>
          <w:rFonts w:ascii="Arial" w:hAnsi="Arial" w:cs="Arial"/>
        </w:rPr>
        <w:t xml:space="preserve">In </w:t>
      </w:r>
      <w:r w:rsidR="00BC1B97" w:rsidRPr="00BC1B97">
        <w:rPr>
          <w:rFonts w:ascii="Arial" w:hAnsi="Arial" w:cs="Arial"/>
        </w:rPr>
        <w:t xml:space="preserve">completing </w:t>
      </w:r>
      <w:r w:rsidRPr="00BC1B97">
        <w:rPr>
          <w:rFonts w:ascii="Arial" w:hAnsi="Arial" w:cs="Arial"/>
        </w:rPr>
        <w:t xml:space="preserve">the reflective </w:t>
      </w:r>
      <w:r w:rsidR="00BC1B97">
        <w:rPr>
          <w:rFonts w:ascii="Arial" w:hAnsi="Arial" w:cs="Arial"/>
        </w:rPr>
        <w:t xml:space="preserve">drawing </w:t>
      </w:r>
      <w:r w:rsidRPr="00BC1B97">
        <w:rPr>
          <w:rFonts w:ascii="Arial" w:hAnsi="Arial" w:cs="Arial"/>
        </w:rPr>
        <w:t xml:space="preserve">exercise, </w:t>
      </w:r>
      <w:r w:rsidR="00BC1B97" w:rsidRPr="00BC1B97">
        <w:rPr>
          <w:rFonts w:ascii="Arial" w:hAnsi="Arial" w:cs="Arial"/>
        </w:rPr>
        <w:t>I</w:t>
      </w:r>
      <w:r w:rsidR="00BC1B97">
        <w:rPr>
          <w:rFonts w:ascii="Arial" w:hAnsi="Arial" w:cs="Arial"/>
        </w:rPr>
        <w:t xml:space="preserve"> </w:t>
      </w:r>
      <w:r w:rsidRPr="004819C4">
        <w:rPr>
          <w:rFonts w:ascii="Arial" w:hAnsi="Arial" w:cs="Arial"/>
        </w:rPr>
        <w:t>use</w:t>
      </w:r>
      <w:r w:rsidR="00BC1B97">
        <w:rPr>
          <w:rFonts w:ascii="Arial" w:hAnsi="Arial" w:cs="Arial"/>
        </w:rPr>
        <w:t>d</w:t>
      </w:r>
      <w:r w:rsidRPr="004819C4">
        <w:rPr>
          <w:rFonts w:ascii="Arial" w:hAnsi="Arial" w:cs="Arial"/>
        </w:rPr>
        <w:t xml:space="preserve"> imagery such as the </w:t>
      </w:r>
      <w:r w:rsidR="00BC1B97">
        <w:rPr>
          <w:rFonts w:ascii="Arial" w:hAnsi="Arial" w:cs="Arial"/>
        </w:rPr>
        <w:t>‘</w:t>
      </w:r>
      <w:r w:rsidRPr="004819C4">
        <w:rPr>
          <w:rFonts w:ascii="Arial" w:hAnsi="Arial" w:cs="Arial"/>
        </w:rPr>
        <w:t>opening of the box</w:t>
      </w:r>
      <w:r w:rsidR="00BC1B97">
        <w:rPr>
          <w:rFonts w:ascii="Arial" w:hAnsi="Arial" w:cs="Arial"/>
        </w:rPr>
        <w:t>’,</w:t>
      </w:r>
      <w:r w:rsidRPr="004819C4">
        <w:rPr>
          <w:rFonts w:ascii="Arial" w:hAnsi="Arial" w:cs="Arial"/>
        </w:rPr>
        <w:t xml:space="preserve"> </w:t>
      </w:r>
      <w:r w:rsidR="00BC1B97">
        <w:rPr>
          <w:rFonts w:ascii="Arial" w:hAnsi="Arial" w:cs="Arial"/>
        </w:rPr>
        <w:t>‘</w:t>
      </w:r>
      <w:r w:rsidRPr="004819C4">
        <w:rPr>
          <w:rFonts w:ascii="Arial" w:hAnsi="Arial" w:cs="Arial"/>
        </w:rPr>
        <w:t>symmetrical stages</w:t>
      </w:r>
      <w:r w:rsidR="00BC1B97">
        <w:rPr>
          <w:rFonts w:ascii="Arial" w:hAnsi="Arial" w:cs="Arial"/>
        </w:rPr>
        <w:t>’,</w:t>
      </w:r>
      <w:r w:rsidRPr="004819C4">
        <w:rPr>
          <w:rFonts w:ascii="Arial" w:hAnsi="Arial" w:cs="Arial"/>
        </w:rPr>
        <w:t xml:space="preserve"> and </w:t>
      </w:r>
      <w:r w:rsidR="00BC1B97">
        <w:rPr>
          <w:rFonts w:ascii="Arial" w:hAnsi="Arial" w:cs="Arial"/>
        </w:rPr>
        <w:t>‘</w:t>
      </w:r>
      <w:r w:rsidRPr="004819C4">
        <w:rPr>
          <w:rFonts w:ascii="Arial" w:hAnsi="Arial" w:cs="Arial"/>
        </w:rPr>
        <w:t>pouring jugs</w:t>
      </w:r>
      <w:r w:rsidR="00BC1B97">
        <w:rPr>
          <w:rFonts w:ascii="Arial" w:hAnsi="Arial" w:cs="Arial"/>
        </w:rPr>
        <w:t>’</w:t>
      </w:r>
      <w:r w:rsidRPr="004819C4">
        <w:rPr>
          <w:rFonts w:ascii="Arial" w:hAnsi="Arial" w:cs="Arial"/>
        </w:rPr>
        <w:t xml:space="preserve"> </w:t>
      </w:r>
      <w:r w:rsidR="00BC1B97">
        <w:rPr>
          <w:rFonts w:ascii="Arial" w:hAnsi="Arial" w:cs="Arial"/>
        </w:rPr>
        <w:t xml:space="preserve">to </w:t>
      </w:r>
      <w:r w:rsidRPr="004819C4">
        <w:rPr>
          <w:rFonts w:ascii="Arial" w:hAnsi="Arial" w:cs="Arial"/>
        </w:rPr>
        <w:t>metaphorically represented key elements of the counselling process.</w:t>
      </w:r>
      <w:r w:rsidR="003C6C26" w:rsidRPr="003C6C26">
        <w:rPr>
          <w:rFonts w:ascii="Arial" w:hAnsi="Arial" w:cs="Arial"/>
        </w:rPr>
        <w:t xml:space="preserve"> </w:t>
      </w:r>
      <w:r w:rsidR="003C6C26" w:rsidRPr="004819C4">
        <w:rPr>
          <w:rFonts w:ascii="Arial" w:hAnsi="Arial" w:cs="Arial"/>
        </w:rPr>
        <w:t xml:space="preserve">The metaphor of the </w:t>
      </w:r>
      <w:r w:rsidR="00BC1B97">
        <w:rPr>
          <w:rFonts w:ascii="Arial" w:hAnsi="Arial" w:cs="Arial"/>
        </w:rPr>
        <w:t>‘</w:t>
      </w:r>
      <w:r w:rsidR="003C6C26" w:rsidRPr="004819C4">
        <w:rPr>
          <w:rFonts w:ascii="Arial" w:hAnsi="Arial" w:cs="Arial"/>
        </w:rPr>
        <w:t>box</w:t>
      </w:r>
      <w:r w:rsidR="00BC1B97">
        <w:rPr>
          <w:rFonts w:ascii="Arial" w:hAnsi="Arial" w:cs="Arial"/>
        </w:rPr>
        <w:t>’</w:t>
      </w:r>
      <w:r w:rsidR="003C6C26" w:rsidRPr="004819C4">
        <w:rPr>
          <w:rFonts w:ascii="Arial" w:hAnsi="Arial" w:cs="Arial"/>
        </w:rPr>
        <w:t xml:space="preserve"> also reflects </w:t>
      </w:r>
      <w:r w:rsidR="003C6C26" w:rsidRPr="00CB130D">
        <w:rPr>
          <w:rFonts w:ascii="Arial" w:hAnsi="Arial" w:cs="Arial"/>
        </w:rPr>
        <w:t>Gestalt Therapy’s</w:t>
      </w:r>
      <w:r w:rsidR="003C6C26" w:rsidRPr="004819C4">
        <w:rPr>
          <w:rFonts w:ascii="Arial" w:hAnsi="Arial" w:cs="Arial"/>
          <w:b/>
          <w:bCs/>
        </w:rPr>
        <w:t xml:space="preserve"> </w:t>
      </w:r>
      <w:r w:rsidR="003C6C26">
        <w:rPr>
          <w:rFonts w:ascii="Arial" w:hAnsi="Arial" w:cs="Arial"/>
          <w:b/>
          <w:bCs/>
        </w:rPr>
        <w:fldChar w:fldCharType="begin"/>
      </w:r>
      <w:r w:rsidR="003C6C26">
        <w:rPr>
          <w:rFonts w:ascii="Arial" w:hAnsi="Arial" w:cs="Arial"/>
          <w:b/>
          <w:bCs/>
        </w:rPr>
        <w:instrText xml:space="preserve"> ADDIN ZOTERO_ITEM CSL_CITATION {"citationID":"qdh6rwp9","properties":{"formattedCitation":"(Bourgault du Coudray, 2022)","plainCitation":"(Bourgault du Coudray, 2022)","noteIndex":0},"citationItems":[{"id":721,"uris":["http://zotero.org/users/15461753/items/JS8695FD"],"itemData":{"id":721,"type":"article-journal","abstract":"Humanistic psychology is grounded in dialogic communication and existentialist phenomenology, involving a relational philosophy and experientialist methodology. Its relative neglect within listening research is canvased before exploring the praxis of Gestalt therapy - a humanistic psychotherapy - which models integration of philosophy, theory, and practice relevant to listening. While listening research is increasingly attuned to relational aspects of communication and elements of humanistic therapies, it remains shaped by a metaphysics of atomization, compromising its capacity for integrated praxis. The value of conceptualizing listening as a praxis similar to that of Gestalt therapy is therefore elucidated, with particular reference to listening pedagogy in higher education.","container-title":"International journal of listening","DOI":"10.1080/10904018.2020.1803747","ISSN":"1090-4018","issue":"1","language":"eng","note":"publisher: Routledge","page":"31–43","source":"librarysearch.uwtsd.ac.uk","title":"Listening as a Relational and Experientialist Praxis: Insights from Gestalt Therapy","title-short":"Listening as a Relational and Experientialist Praxis","volume":"36","author":[{"family":"Bourgault du Coudray","given":"Chantal"}],"issued":{"date-parts":[["2022"]]}}}],"schema":"https://github.com/citation-style-language/schema/raw/master/csl-citation.json"} </w:instrText>
      </w:r>
      <w:r w:rsidR="003C6C26">
        <w:rPr>
          <w:rFonts w:ascii="Arial" w:hAnsi="Arial" w:cs="Arial"/>
          <w:b/>
          <w:bCs/>
        </w:rPr>
        <w:fldChar w:fldCharType="separate"/>
      </w:r>
      <w:r w:rsidR="003C6C26" w:rsidRPr="00C539E9">
        <w:rPr>
          <w:rFonts w:ascii="Arial" w:hAnsi="Arial" w:cs="Arial"/>
        </w:rPr>
        <w:t>(Bourgault du Coudray, 2022</w:t>
      </w:r>
      <w:r w:rsidR="003C6C26" w:rsidRPr="004819C4">
        <w:rPr>
          <w:rFonts w:ascii="Arial" w:hAnsi="Arial" w:cs="Arial"/>
        </w:rPr>
        <w:t>)</w:t>
      </w:r>
      <w:r w:rsidR="003C6C26">
        <w:rPr>
          <w:rFonts w:ascii="Arial" w:hAnsi="Arial" w:cs="Arial"/>
          <w:b/>
          <w:bCs/>
        </w:rPr>
        <w:fldChar w:fldCharType="end"/>
      </w:r>
      <w:r w:rsidR="003C6C26">
        <w:rPr>
          <w:rFonts w:ascii="Arial" w:hAnsi="Arial" w:cs="Arial"/>
          <w:b/>
          <w:bCs/>
        </w:rPr>
        <w:t xml:space="preserve"> </w:t>
      </w:r>
      <w:r w:rsidR="003C6C26" w:rsidRPr="00CB130D">
        <w:rPr>
          <w:rFonts w:ascii="Arial" w:hAnsi="Arial" w:cs="Arial"/>
        </w:rPr>
        <w:t>concept of the here-and-now</w:t>
      </w:r>
      <w:r w:rsidR="003C6C26" w:rsidRPr="004819C4">
        <w:rPr>
          <w:rFonts w:ascii="Arial" w:hAnsi="Arial" w:cs="Arial"/>
        </w:rPr>
        <w:t xml:space="preserve">, where the opening of a box corresponds to raising awareness of emotions in the present moment. However, this also required sensitivity to the client’s readiness and boundaries, reflecting </w:t>
      </w:r>
      <w:r w:rsidR="00BC1B97" w:rsidRPr="00BC1B97">
        <w:rPr>
          <w:rFonts w:ascii="Arial" w:hAnsi="Arial" w:cs="Arial"/>
        </w:rPr>
        <w:t xml:space="preserve">an </w:t>
      </w:r>
      <w:r w:rsidR="003C6C26" w:rsidRPr="00BC1B97">
        <w:rPr>
          <w:rFonts w:ascii="Arial" w:hAnsi="Arial" w:cs="Arial"/>
        </w:rPr>
        <w:t>emphasis</w:t>
      </w:r>
      <w:r w:rsidR="003C6C26" w:rsidRPr="00C539E9">
        <w:rPr>
          <w:rFonts w:ascii="Arial" w:hAnsi="Arial" w:cs="Arial"/>
        </w:rPr>
        <w:t xml:space="preserve"> </w:t>
      </w:r>
      <w:r w:rsidR="003C6C26" w:rsidRPr="00CB130D">
        <w:rPr>
          <w:rFonts w:ascii="Arial" w:hAnsi="Arial" w:cs="Arial"/>
        </w:rPr>
        <w:t>on empowerment</w:t>
      </w:r>
      <w:r w:rsidR="00BC1B97">
        <w:rPr>
          <w:rFonts w:ascii="Arial" w:hAnsi="Arial" w:cs="Arial"/>
        </w:rPr>
        <w:t xml:space="preserve">, </w:t>
      </w:r>
      <w:r w:rsidR="003C6C26" w:rsidRPr="004819C4">
        <w:rPr>
          <w:rFonts w:ascii="Arial" w:hAnsi="Arial" w:cs="Arial"/>
        </w:rPr>
        <w:t>the need to respect the client’s autonomy in choosing how much to reveal and explore.</w:t>
      </w:r>
      <w:r w:rsidRPr="004819C4">
        <w:rPr>
          <w:rFonts w:ascii="Arial" w:hAnsi="Arial" w:cs="Arial"/>
        </w:rPr>
        <w:t xml:space="preserve"> The box symboli</w:t>
      </w:r>
      <w:r w:rsidR="00374261">
        <w:rPr>
          <w:rFonts w:ascii="Arial" w:hAnsi="Arial" w:cs="Arial"/>
        </w:rPr>
        <w:t>ses</w:t>
      </w:r>
      <w:r w:rsidRPr="004819C4">
        <w:rPr>
          <w:rFonts w:ascii="Arial" w:hAnsi="Arial" w:cs="Arial"/>
        </w:rPr>
        <w:t xml:space="preserve"> the client's emotions and anxieties, highlighting the need for a </w:t>
      </w:r>
      <w:r w:rsidRPr="00CB130D">
        <w:rPr>
          <w:rFonts w:ascii="Arial" w:hAnsi="Arial" w:cs="Arial"/>
        </w:rPr>
        <w:t>safe therapeutic environment</w:t>
      </w:r>
      <w:r w:rsidRPr="004819C4">
        <w:rPr>
          <w:rFonts w:ascii="Arial" w:hAnsi="Arial" w:cs="Arial"/>
        </w:rPr>
        <w:t xml:space="preserve"> where clients feel secure enough to process their experiences at their own pace. This aligns with</w:t>
      </w:r>
      <w:r w:rsidRPr="00CB130D">
        <w:rPr>
          <w:rFonts w:ascii="Arial" w:hAnsi="Arial" w:cs="Arial"/>
        </w:rPr>
        <w:t xml:space="preserve"> Carl Rogers' core conditions </w:t>
      </w:r>
      <w:r w:rsidRPr="00C539E9">
        <w:rPr>
          <w:rFonts w:ascii="Arial" w:hAnsi="Arial" w:cs="Arial"/>
          <w:b/>
          <w:bCs/>
        </w:rPr>
        <w:fldChar w:fldCharType="begin"/>
      </w:r>
      <w:r w:rsidRPr="00C539E9">
        <w:rPr>
          <w:rFonts w:ascii="Arial" w:hAnsi="Arial" w:cs="Arial"/>
          <w:b/>
          <w:bCs/>
        </w:rPr>
        <w:instrText xml:space="preserve"> ADDIN ZOTERO_ITEM CSL_CITATION {"citationID":"OP8KNI1f","properties":{"formattedCitation":"(Rogers, 1992)","plainCitation":"(Rogers, 1992)","noteIndex":0},"citationItems":[{"id":1190,"uris":["http://zotero.org/users/15461753/items/RFR9FIJX"],"itemData":{"id":1190,"type":"article-journal","abstract":"Presents reprint of original work published in 1957 in \"Journal of Consulting Psychology\" in which Carl Rogers takes one small segment of theory of psychotherapy, of personality, and of interpersonal relationships; spells it out more completely; and explores its meaning and usefulness. Rogers examines psychological conditions necessary and sufficient to bring about constructive personality change. (NB)","container-title":"Journal of consulting and clinical psychology","DOI":"10.1037/0022-006X.60.6.827","ISSN":"0022-006X","issue":"6","language":"eng","note":"publisher-place: Arlington\npublisher: American Psychological Association","page":"827–832","source":"librarysearch.uwtsd.ac.uk","title":"The Necessary and Sufficient Conditions of Therapeutic Personality Change","volume":"60","author":[{"family":"Rogers","given":"Carl R."}],"issued":{"date-parts":[["1992"]]}}}],"schema":"https://github.com/citation-style-language/schema/raw/master/csl-citation.json"} </w:instrText>
      </w:r>
      <w:r w:rsidRPr="00C539E9">
        <w:rPr>
          <w:rFonts w:ascii="Arial" w:hAnsi="Arial" w:cs="Arial"/>
          <w:b/>
          <w:bCs/>
        </w:rPr>
        <w:fldChar w:fldCharType="separate"/>
      </w:r>
      <w:r w:rsidRPr="00C539E9">
        <w:rPr>
          <w:rFonts w:ascii="Arial" w:hAnsi="Arial" w:cs="Arial"/>
        </w:rPr>
        <w:t>(Rogers, 1992)</w:t>
      </w:r>
      <w:r w:rsidRPr="00C539E9">
        <w:rPr>
          <w:rFonts w:ascii="Arial" w:hAnsi="Arial" w:cs="Arial"/>
          <w:b/>
          <w:bCs/>
        </w:rPr>
        <w:fldChar w:fldCharType="end"/>
      </w:r>
      <w:r w:rsidRPr="00C539E9">
        <w:rPr>
          <w:rFonts w:ascii="Arial" w:hAnsi="Arial" w:cs="Arial"/>
        </w:rPr>
        <w:t xml:space="preserve"> </w:t>
      </w:r>
      <w:r w:rsidRPr="00CB130D">
        <w:rPr>
          <w:rFonts w:ascii="Arial" w:hAnsi="Arial" w:cs="Arial"/>
        </w:rPr>
        <w:t>of empathy, congruence, and unconditional positive regard,</w:t>
      </w:r>
      <w:r w:rsidRPr="004819C4">
        <w:rPr>
          <w:rFonts w:ascii="Arial" w:hAnsi="Arial" w:cs="Arial"/>
        </w:rPr>
        <w:t xml:space="preserve"> which emphasize creating a space </w:t>
      </w:r>
      <w:r w:rsidRPr="004819C4">
        <w:rPr>
          <w:rFonts w:ascii="Arial" w:hAnsi="Arial" w:cs="Arial"/>
        </w:rPr>
        <w:lastRenderedPageBreak/>
        <w:t>conducive to trust and emotional exploration.</w:t>
      </w:r>
      <w:r w:rsidR="000154D4">
        <w:rPr>
          <w:rFonts w:ascii="Arial" w:eastAsia="Calibri" w:hAnsi="Arial" w:cs="Arial"/>
          <w:bCs/>
          <w:color w:val="000000"/>
        </w:rPr>
        <w:t xml:space="preserve"> </w:t>
      </w:r>
      <w:r w:rsidRPr="004819C4">
        <w:rPr>
          <w:rFonts w:ascii="Arial" w:hAnsi="Arial" w:cs="Arial"/>
        </w:rPr>
        <w:t>The symmetry in my drawing symboli</w:t>
      </w:r>
      <w:r w:rsidR="00646FEA">
        <w:rPr>
          <w:rFonts w:ascii="Arial" w:hAnsi="Arial" w:cs="Arial"/>
        </w:rPr>
        <w:t>s</w:t>
      </w:r>
      <w:r w:rsidRPr="004819C4">
        <w:rPr>
          <w:rFonts w:ascii="Arial" w:hAnsi="Arial" w:cs="Arial"/>
        </w:rPr>
        <w:t xml:space="preserve">ed the stages of counselling and the mutual journey of client and counsellor. This idea resonates with the concept of </w:t>
      </w:r>
      <w:r w:rsidR="00BC1B97">
        <w:rPr>
          <w:rFonts w:ascii="Arial" w:hAnsi="Arial" w:cs="Arial"/>
        </w:rPr>
        <w:t>connection</w:t>
      </w:r>
      <w:r w:rsidRPr="00CB130D">
        <w:rPr>
          <w:rFonts w:ascii="Arial" w:hAnsi="Arial" w:cs="Arial"/>
        </w:rPr>
        <w:t xml:space="preserve"> from relational therapy</w:t>
      </w:r>
      <w:r w:rsidRPr="004819C4">
        <w:rPr>
          <w:rFonts w:ascii="Arial" w:hAnsi="Arial" w:cs="Arial"/>
        </w:rPr>
        <w:t>, where the counsellor matches the client’s emotional and developmental stage</w:t>
      </w:r>
      <w:r w:rsidR="00374261">
        <w:rPr>
          <w:rFonts w:ascii="Arial" w:hAnsi="Arial" w:cs="Arial"/>
        </w:rPr>
        <w:t>s</w:t>
      </w:r>
      <w:r w:rsidRPr="004819C4">
        <w:rPr>
          <w:rFonts w:ascii="Arial" w:hAnsi="Arial" w:cs="Arial"/>
        </w:rPr>
        <w:t xml:space="preserve">. The image of pouring jugs suggested a dynamic flow in the therapeutic relationship, signifying both the exchange and containment of emotions. Retrospectively, this could also represent the </w:t>
      </w:r>
      <w:r w:rsidRPr="00CB130D">
        <w:rPr>
          <w:rFonts w:ascii="Arial" w:hAnsi="Arial" w:cs="Arial"/>
        </w:rPr>
        <w:t>therapeutic alliance</w:t>
      </w:r>
      <w:r w:rsidRPr="004819C4">
        <w:rPr>
          <w:rFonts w:ascii="Arial" w:hAnsi="Arial" w:cs="Arial"/>
        </w:rPr>
        <w:t xml:space="preserve">, a collaborative process as described by </w:t>
      </w:r>
      <w:r w:rsidR="00C539E9">
        <w:rPr>
          <w:rFonts w:ascii="Arial" w:hAnsi="Arial" w:cs="Arial"/>
        </w:rPr>
        <w:fldChar w:fldCharType="begin"/>
      </w:r>
      <w:r w:rsidR="00BC1B97">
        <w:rPr>
          <w:rFonts w:ascii="Arial" w:hAnsi="Arial" w:cs="Arial"/>
        </w:rPr>
        <w:instrText xml:space="preserve"> ADDIN ZOTERO_ITEM CSL_CITATION {"citationID":"5jcQT7DT","properties":{"formattedCitation":"(Bordin, 1979)","plainCitation":"(Bordin, 1979)","dontUpdate":true,"noteIndex":0},"citationItems":[{"id":1333,"uris":["http://zotero.org/users/15461753/items/CZP6Q25Z"],"itemData":{"id":1333,"type":"article-journal","abstract":"Reviews and elaborates the psychoanalytic concept of the working alliance. It is argued that various modes of psychotherapy can be meaningfully differentiated in terms of the kinds of working alliances (WA) embedded in them. Moreover, the strength, rather than the kind of WA, will prove to be the major factor in change achieved through psychotherapy. Strength of alliance will be a function of the goodness of fit of the respective personalities of patient and therapist to the demands of the WA. The WA includes 3 features: agreement on goals, assignment of tasks, and the development of bonds. (36 ref) (PsycINFO Database Record (c) 2016 APA, all rights reserved)","container-title":"Psychotherapy: Theory, Research &amp; Practice","DOI":"10.1037/h0085885","ISSN":"0033-3204","issue":"3","note":"publisher-place: US\npublisher: Division of Psychotherapy (29), American Psychological Association","page":"252-260","source":"APA PsycNet","title":"The generalizability of the psychoanalytic concept of the working alliance","volume":"16","author":[{"family":"Bordin","given":"Edward S."}],"issued":{"date-parts":[["1979"]]}}}],"schema":"https://github.com/citation-style-language/schema/raw/master/csl-citation.json"} </w:instrText>
      </w:r>
      <w:r w:rsidR="00C539E9">
        <w:rPr>
          <w:rFonts w:ascii="Arial" w:hAnsi="Arial" w:cs="Arial"/>
        </w:rPr>
        <w:fldChar w:fldCharType="separate"/>
      </w:r>
      <w:r w:rsidR="00C539E9" w:rsidRPr="00C539E9">
        <w:rPr>
          <w:rFonts w:ascii="Arial" w:hAnsi="Arial" w:cs="Arial"/>
        </w:rPr>
        <w:t xml:space="preserve">Bordin, </w:t>
      </w:r>
      <w:r w:rsidR="00C539E9">
        <w:rPr>
          <w:rFonts w:ascii="Arial" w:hAnsi="Arial" w:cs="Arial"/>
        </w:rPr>
        <w:t>(</w:t>
      </w:r>
      <w:r w:rsidR="00C539E9" w:rsidRPr="00C539E9">
        <w:rPr>
          <w:rFonts w:ascii="Arial" w:hAnsi="Arial" w:cs="Arial"/>
        </w:rPr>
        <w:t>1979)</w:t>
      </w:r>
      <w:r w:rsidR="00C539E9">
        <w:rPr>
          <w:rFonts w:ascii="Arial" w:hAnsi="Arial" w:cs="Arial"/>
        </w:rPr>
        <w:fldChar w:fldCharType="end"/>
      </w:r>
      <w:r w:rsidRPr="00CB130D">
        <w:rPr>
          <w:rFonts w:ascii="Arial" w:hAnsi="Arial" w:cs="Arial"/>
        </w:rPr>
        <w:t>,</w:t>
      </w:r>
      <w:r w:rsidRPr="004819C4">
        <w:rPr>
          <w:rFonts w:ascii="Arial" w:hAnsi="Arial" w:cs="Arial"/>
        </w:rPr>
        <w:t xml:space="preserve"> wherein both client and counsellor actively contribute to the progress of therapy</w:t>
      </w:r>
      <w:r w:rsidR="00390EA6">
        <w:rPr>
          <w:rFonts w:ascii="Arial" w:hAnsi="Arial" w:cs="Arial"/>
        </w:rPr>
        <w:t>.</w:t>
      </w:r>
    </w:p>
    <w:p w14:paraId="37672F97" w14:textId="1454027F" w:rsidR="00374261" w:rsidRDefault="00374261" w:rsidP="00374261">
      <w:pPr>
        <w:pStyle w:val="NormalWeb"/>
        <w:spacing w:line="480" w:lineRule="auto"/>
        <w:ind w:firstLine="720"/>
        <w:rPr>
          <w:rFonts w:ascii="Arial" w:hAnsi="Arial" w:cs="Arial"/>
        </w:rPr>
      </w:pPr>
      <w:r w:rsidRPr="00374261">
        <w:rPr>
          <w:rFonts w:ascii="Arial" w:hAnsi="Arial" w:cs="Arial"/>
        </w:rPr>
        <w:t xml:space="preserve">Peer feedback highlighted strengths such as active listening, empathy, and congruence, but also pointed out areas for improvement. For example, I missed opportunities to explore the client’s body language more deeply, which could have offered additional insights into their emotional state. This observation aligns with </w:t>
      </w:r>
      <w:r w:rsidRPr="00374261">
        <w:rPr>
          <w:rStyle w:val="Strong"/>
          <w:rFonts w:ascii="Arial" w:eastAsiaTheme="majorEastAsia" w:hAnsi="Arial" w:cs="Arial"/>
          <w:b w:val="0"/>
          <w:bCs w:val="0"/>
        </w:rPr>
        <w:t>Interpersonal Process Recall (IPR)</w:t>
      </w:r>
      <w:r w:rsidRPr="00374261">
        <w:rPr>
          <w:rFonts w:ascii="Arial" w:hAnsi="Arial" w:cs="Arial"/>
        </w:rPr>
        <w:t xml:space="preserve"> </w:t>
      </w:r>
      <w:r w:rsidR="00BC1B97">
        <w:rPr>
          <w:rFonts w:ascii="Arial" w:hAnsi="Arial" w:cs="Arial"/>
        </w:rPr>
        <w:fldChar w:fldCharType="begin"/>
      </w:r>
      <w:r w:rsidR="00BC1B97">
        <w:rPr>
          <w:rFonts w:ascii="Arial" w:hAnsi="Arial" w:cs="Arial"/>
        </w:rPr>
        <w:instrText xml:space="preserve"> ADDIN ZOTERO_ITEM CSL_CITATION {"citationID":"YyMk1Dxe","properties":{"formattedCitation":"(Kagan et al., 1969)","plainCitation":"(Kagan et al., 1969)","noteIndex":0},"citationItems":[{"id":700,"uris":["http://zotero.org/users/15461753/items/6UDLWP4U"],"itemData":{"id":700,"type":"article-journal","abstract":"The interpersonal process recall (IPR) method uses stimulated recall of videotaped interactions to facilitate therapy and counselor training. Recall sessions are conducted by a clinical “interrogator” who helps the client examine the underlying dynamics of his interaction with the counselor. The development, role and training of this “interrogator” are described.\n          The value of the IPR method in accelerating client progress in counseling and basic considerations in regard to its application are discussed.","container-title":"The Journal of Nervous and Mental Disease","ISSN":"0022-3018","issue":"4","language":"en-US","page":"365","source":"journals.lww.com","title":"INTERPERSONAL PROCESS RECALL","volume":"148","author":[{"family":"Kagan","given":"Norman"},{"family":"Schauble","given":"Paul"},{"family":"Resnikoff","given":"Arthur"},{"family":"Danish","given":"Steven J."},{"family":"Krathwohl","given":"David R."}],"issued":{"date-parts":[["1969",4]]}}}],"schema":"https://github.com/citation-style-language/schema/raw/master/csl-citation.json"} </w:instrText>
      </w:r>
      <w:r w:rsidR="00BC1B97">
        <w:rPr>
          <w:rFonts w:ascii="Arial" w:hAnsi="Arial" w:cs="Arial"/>
        </w:rPr>
        <w:fldChar w:fldCharType="separate"/>
      </w:r>
      <w:r w:rsidR="00BC1B97" w:rsidRPr="00BC1B97">
        <w:rPr>
          <w:rFonts w:ascii="Arial" w:hAnsi="Arial" w:cs="Arial"/>
        </w:rPr>
        <w:t>(Kagan et al., 1969)</w:t>
      </w:r>
      <w:r w:rsidR="00BC1B97">
        <w:rPr>
          <w:rFonts w:ascii="Arial" w:hAnsi="Arial" w:cs="Arial"/>
        </w:rPr>
        <w:fldChar w:fldCharType="end"/>
      </w:r>
      <w:r w:rsidRPr="00C539E9">
        <w:rPr>
          <w:rFonts w:ascii="Arial" w:hAnsi="Arial" w:cs="Arial"/>
        </w:rPr>
        <w:t xml:space="preserve">, </w:t>
      </w:r>
      <w:r w:rsidRPr="00374261">
        <w:rPr>
          <w:rFonts w:ascii="Arial" w:hAnsi="Arial" w:cs="Arial"/>
        </w:rPr>
        <w:t>which emphasizes the importance of analy</w:t>
      </w:r>
      <w:r>
        <w:rPr>
          <w:rFonts w:ascii="Arial" w:hAnsi="Arial" w:cs="Arial"/>
        </w:rPr>
        <w:t>s</w:t>
      </w:r>
      <w:r w:rsidRPr="00374261">
        <w:rPr>
          <w:rFonts w:ascii="Arial" w:hAnsi="Arial" w:cs="Arial"/>
        </w:rPr>
        <w:t xml:space="preserve">ing both verbal and nonverbal communication. </w:t>
      </w:r>
    </w:p>
    <w:p w14:paraId="52BDC592" w14:textId="55FB8E27" w:rsidR="00DB6DB2" w:rsidRDefault="000154D4" w:rsidP="00374261">
      <w:pPr>
        <w:pStyle w:val="NormalWeb"/>
        <w:spacing w:line="480" w:lineRule="auto"/>
        <w:ind w:firstLine="720"/>
        <w:rPr>
          <w:rFonts w:ascii="Arial" w:hAnsi="Arial" w:cs="Arial"/>
        </w:rPr>
      </w:pPr>
      <w:r w:rsidRPr="000154D4">
        <w:rPr>
          <w:rFonts w:ascii="Arial" w:hAnsi="Arial" w:cs="Arial"/>
        </w:rPr>
        <w:t>Through this reflective process, I identified several areas for professional growth that can enhance my practice and deepen the therapeutic relationship</w:t>
      </w:r>
      <w:r w:rsidR="00DB6DB2">
        <w:rPr>
          <w:rFonts w:ascii="Arial" w:hAnsi="Arial" w:cs="Arial"/>
        </w:rPr>
        <w:t>. Observing body language by p</w:t>
      </w:r>
      <w:r w:rsidRPr="000154D4">
        <w:rPr>
          <w:rFonts w:ascii="Arial" w:hAnsi="Arial" w:cs="Arial"/>
        </w:rPr>
        <w:t xml:space="preserve">aying greater attention to nonverbal cues would improve my ability to attune to the client’s emotional state. </w:t>
      </w:r>
      <w:r w:rsidR="00390EA6" w:rsidRPr="00CB130D">
        <w:rPr>
          <w:rStyle w:val="Strong"/>
          <w:rFonts w:ascii="Arial" w:eastAsiaTheme="majorEastAsia" w:hAnsi="Arial" w:cs="Arial"/>
          <w:b w:val="0"/>
          <w:bCs w:val="0"/>
        </w:rPr>
        <w:t>Polyvagal Theory</w:t>
      </w:r>
      <w:r w:rsidR="00390EA6" w:rsidRPr="000154D4">
        <w:rPr>
          <w:rFonts w:ascii="Arial" w:hAnsi="Arial" w:cs="Arial"/>
        </w:rPr>
        <w:t xml:space="preserve">, developed by </w:t>
      </w:r>
      <w:proofErr w:type="spellStart"/>
      <w:r w:rsidR="00390EA6" w:rsidRPr="00CB130D">
        <w:rPr>
          <w:rStyle w:val="Strong"/>
          <w:rFonts w:ascii="Arial" w:eastAsiaTheme="majorEastAsia" w:hAnsi="Arial" w:cs="Arial"/>
          <w:b w:val="0"/>
          <w:bCs w:val="0"/>
        </w:rPr>
        <w:t>Dr.</w:t>
      </w:r>
      <w:proofErr w:type="spellEnd"/>
      <w:r w:rsidR="00390EA6" w:rsidRPr="00CB130D">
        <w:rPr>
          <w:rStyle w:val="Strong"/>
          <w:rFonts w:ascii="Arial" w:eastAsiaTheme="majorEastAsia" w:hAnsi="Arial" w:cs="Arial"/>
          <w:b w:val="0"/>
          <w:bCs w:val="0"/>
        </w:rPr>
        <w:t xml:space="preserve"> Stephen Porges</w:t>
      </w:r>
      <w:r w:rsidR="00390EA6" w:rsidRPr="000154D4">
        <w:rPr>
          <w:rFonts w:ascii="Arial" w:hAnsi="Arial" w:cs="Arial"/>
        </w:rPr>
        <w:t xml:space="preserve"> </w:t>
      </w:r>
      <w:r w:rsidR="00374261" w:rsidRPr="00C539E9">
        <w:rPr>
          <w:rFonts w:ascii="Arial" w:hAnsi="Arial" w:cs="Arial"/>
        </w:rPr>
        <w:fldChar w:fldCharType="begin"/>
      </w:r>
      <w:r w:rsidR="00374261" w:rsidRPr="00C539E9">
        <w:rPr>
          <w:rFonts w:ascii="Arial" w:hAnsi="Arial" w:cs="Arial"/>
        </w:rPr>
        <w:instrText xml:space="preserve"> ADDIN ZOTERO_ITEM CSL_CITATION {"citationID":"uSFGZ6Nf","properties":{"formattedCitation":"(Porges, 2022)","plainCitation":"(Porges, 2022)","noteIndex":0},"citationItems":[{"id":1327,"uris":["http://zotero.org/users/15461753/items/VFLVFF33"],"itemData":{"id":1327,"type":"article-journal","abstract":"&lt;p&gt;Contemporary strategies for health and wellbeing fail our biological needs by not acknowledging that feelings of safety emerge from internal physiological states regulated by the autonomic nervous system. The study of feelings of safety has been an elusive construct that has historically been dependent upon subjectivity. Acknowledging that feelings of safety have a measurable underlying neurophysiological substrate would shift investigations of feelings of safety from a subjective to an objective science. Polyvagal Theory provides an innovative scientific perspective to study feelings of safety that incorporates an understanding of neuroanatomy and neurophysiology. This perspective identifies neural circuits that downregulate neural regulation of threat reactions and functionally neutralize defensive strategies via neural circuits communicating cues of safety that enable feelings of safety to support interpersonal accessibility and homeostatic functions. Basically, when humans feel safe, their nervous systems support the homeostatic functions of health, growth, and restoration, while they simultaneously become accessible to others without feeling or expressing threat and vulnerability. Feelings of safety reflect a core fundamental process that has enabled humans to survive through the opportunistic features of trusting social engagements that have co-regulatory capacities to mitigate metabolically costly defense reactions. Through the study of neural development and phylogeny, we can extract foundational principles and their underlying mechanisms through which the autonomic nervous system leads to feelings of safety and opportunities to co-regulate. Several principles highlight the validity of a science of safety that when implemented in societal institutions, ranging from healthcare to education, would enhance health, sociality, and lead to greater productivity, creativity, and a sense of wellbeing. By respecting our need to feel safe as a biological imperative linked to survival, we respect our phylogenetic heritage and elevate sociality as a neuromodulator that functionally provides the scientific validation for a societal focus on promoting opportunities to experience feelings of safety and co-regulation.&lt;/p&gt;","container-title":"Frontiers in Integrative Neuroscience","DOI":"10.3389/fnint.2022.871227","ISSN":"1662-5145","journalAbbreviation":"Front. Integr. Neurosci.","language":"English","note":"publisher: Frontiers","source":"Frontiers","title":"Polyvagal Theory: A Science of Safety","title-short":"Polyvagal Theory","URL":"https://www.frontiersin.org/journals/integrative-neuroscience/articles/10.3389/fnint.2022.871227/full","volume":"16","author":[{"family":"Porges","given":"Stephen W."}],"accessed":{"date-parts":[["2024",11,29]]},"issued":{"date-parts":[["2022",5,10]]}}}],"schema":"https://github.com/citation-style-language/schema/raw/master/csl-citation.json"} </w:instrText>
      </w:r>
      <w:r w:rsidR="00374261" w:rsidRPr="00C539E9">
        <w:rPr>
          <w:rFonts w:ascii="Arial" w:hAnsi="Arial" w:cs="Arial"/>
        </w:rPr>
        <w:fldChar w:fldCharType="separate"/>
      </w:r>
      <w:r w:rsidR="00374261" w:rsidRPr="00C539E9">
        <w:rPr>
          <w:rFonts w:ascii="Arial" w:hAnsi="Arial" w:cs="Arial"/>
        </w:rPr>
        <w:t>(Porges, 2022)</w:t>
      </w:r>
      <w:r w:rsidR="00374261" w:rsidRPr="00C539E9">
        <w:rPr>
          <w:rFonts w:ascii="Arial" w:hAnsi="Arial" w:cs="Arial"/>
        </w:rPr>
        <w:fldChar w:fldCharType="end"/>
      </w:r>
      <w:r w:rsidR="00390EA6" w:rsidRPr="00C539E9">
        <w:rPr>
          <w:rFonts w:ascii="Arial" w:hAnsi="Arial" w:cs="Arial"/>
        </w:rPr>
        <w:t xml:space="preserve"> </w:t>
      </w:r>
      <w:r w:rsidR="00390EA6" w:rsidRPr="000154D4">
        <w:rPr>
          <w:rFonts w:ascii="Arial" w:hAnsi="Arial" w:cs="Arial"/>
        </w:rPr>
        <w:t xml:space="preserve">provides a biological framework for understanding how the nervous system responds to stress, safety, and social interaction. This theory highlights the role of the </w:t>
      </w:r>
      <w:proofErr w:type="spellStart"/>
      <w:r w:rsidR="00390EA6" w:rsidRPr="00CB130D">
        <w:rPr>
          <w:rStyle w:val="Strong"/>
          <w:rFonts w:ascii="Arial" w:eastAsiaTheme="majorEastAsia" w:hAnsi="Arial" w:cs="Arial"/>
          <w:b w:val="0"/>
          <w:bCs w:val="0"/>
        </w:rPr>
        <w:t>vagus</w:t>
      </w:r>
      <w:proofErr w:type="spellEnd"/>
      <w:r w:rsidR="00390EA6" w:rsidRPr="00CB130D">
        <w:rPr>
          <w:rStyle w:val="Strong"/>
          <w:rFonts w:ascii="Arial" w:eastAsiaTheme="majorEastAsia" w:hAnsi="Arial" w:cs="Arial"/>
          <w:b w:val="0"/>
          <w:bCs w:val="0"/>
        </w:rPr>
        <w:t xml:space="preserve"> nerve</w:t>
      </w:r>
      <w:r w:rsidR="00390EA6" w:rsidRPr="00CB130D">
        <w:rPr>
          <w:rFonts w:ascii="Arial" w:hAnsi="Arial" w:cs="Arial"/>
          <w:b/>
          <w:bCs/>
        </w:rPr>
        <w:t xml:space="preserve"> </w:t>
      </w:r>
      <w:r w:rsidR="00390EA6" w:rsidRPr="000154D4">
        <w:rPr>
          <w:rFonts w:ascii="Arial" w:hAnsi="Arial" w:cs="Arial"/>
        </w:rPr>
        <w:t>in regulating emotional states and behavio</w:t>
      </w:r>
      <w:r w:rsidR="00390EA6">
        <w:rPr>
          <w:rFonts w:ascii="Arial" w:hAnsi="Arial" w:cs="Arial"/>
        </w:rPr>
        <w:t>u</w:t>
      </w:r>
      <w:r w:rsidR="00390EA6" w:rsidRPr="000154D4">
        <w:rPr>
          <w:rFonts w:ascii="Arial" w:hAnsi="Arial" w:cs="Arial"/>
        </w:rPr>
        <w:t xml:space="preserve">r, emphasizing the critical importance of safety and connection within the therapeutic process. An awareness of polyvagal theory equips therapists </w:t>
      </w:r>
      <w:r w:rsidR="00390EA6" w:rsidRPr="000154D4">
        <w:rPr>
          <w:rFonts w:ascii="Arial" w:hAnsi="Arial" w:cs="Arial"/>
        </w:rPr>
        <w:lastRenderedPageBreak/>
        <w:t>with insights into the physiological underpinnings of trauma responses and emotional dysregulation. This understanding allows for the implementation of interventions that are not only attuned to the client’s emotional state but also biologically informed, which is particularly beneficial for clients with trauma histories</w:t>
      </w:r>
      <w:r w:rsidR="00390EA6">
        <w:rPr>
          <w:rFonts w:ascii="Arial" w:hAnsi="Arial" w:cs="Arial"/>
        </w:rPr>
        <w:t>.</w:t>
      </w:r>
      <w:r w:rsidR="00DB6DB2">
        <w:rPr>
          <w:rFonts w:ascii="Arial" w:hAnsi="Arial" w:cs="Arial"/>
        </w:rPr>
        <w:t xml:space="preserve"> </w:t>
      </w:r>
    </w:p>
    <w:p w14:paraId="491B3D40" w14:textId="4637D14A" w:rsidR="00DB6DB2" w:rsidRDefault="000154D4" w:rsidP="00DB6DB2">
      <w:pPr>
        <w:spacing w:before="100" w:beforeAutospacing="1" w:after="100" w:afterAutospacing="1" w:line="480" w:lineRule="auto"/>
        <w:ind w:firstLine="720"/>
        <w:rPr>
          <w:rFonts w:ascii="Arial" w:eastAsia="Times New Roman" w:hAnsi="Arial" w:cs="Arial"/>
          <w:kern w:val="0"/>
          <w:lang w:eastAsia="en-GB"/>
          <w14:ligatures w14:val="none"/>
        </w:rPr>
      </w:pPr>
      <w:r w:rsidRPr="00DB6DB2">
        <w:rPr>
          <w:rFonts w:ascii="Arial" w:eastAsia="Times New Roman" w:hAnsi="Arial" w:cs="Arial"/>
          <w:kern w:val="0"/>
          <w:lang w:eastAsia="en-GB"/>
          <w14:ligatures w14:val="none"/>
        </w:rPr>
        <w:t xml:space="preserve">Staying with </w:t>
      </w:r>
      <w:r w:rsidR="00646FEA">
        <w:rPr>
          <w:rFonts w:ascii="Arial" w:eastAsia="Times New Roman" w:hAnsi="Arial" w:cs="Arial"/>
          <w:kern w:val="0"/>
          <w:lang w:eastAsia="en-GB"/>
          <w14:ligatures w14:val="none"/>
        </w:rPr>
        <w:t>e</w:t>
      </w:r>
      <w:r w:rsidRPr="00DB6DB2">
        <w:rPr>
          <w:rFonts w:ascii="Arial" w:eastAsia="Times New Roman" w:hAnsi="Arial" w:cs="Arial"/>
          <w:kern w:val="0"/>
          <w:lang w:eastAsia="en-GB"/>
          <w14:ligatures w14:val="none"/>
        </w:rPr>
        <w:t>motions</w:t>
      </w:r>
      <w:r w:rsidR="00DB6DB2">
        <w:rPr>
          <w:rFonts w:ascii="Arial" w:eastAsia="Times New Roman" w:hAnsi="Arial" w:cs="Arial"/>
          <w:kern w:val="0"/>
          <w:lang w:eastAsia="en-GB"/>
          <w14:ligatures w14:val="none"/>
        </w:rPr>
        <w:t xml:space="preserve"> a</w:t>
      </w:r>
      <w:r w:rsidRPr="000154D4">
        <w:rPr>
          <w:rFonts w:ascii="Arial" w:eastAsia="Times New Roman" w:hAnsi="Arial" w:cs="Arial"/>
          <w:kern w:val="0"/>
          <w:lang w:eastAsia="en-GB"/>
          <w14:ligatures w14:val="none"/>
        </w:rPr>
        <w:t>llow</w:t>
      </w:r>
      <w:r w:rsidR="00DB6DB2">
        <w:rPr>
          <w:rFonts w:ascii="Arial" w:eastAsia="Times New Roman" w:hAnsi="Arial" w:cs="Arial"/>
          <w:kern w:val="0"/>
          <w:lang w:eastAsia="en-GB"/>
          <w14:ligatures w14:val="none"/>
        </w:rPr>
        <w:t>s the client</w:t>
      </w:r>
      <w:r w:rsidRPr="000154D4">
        <w:rPr>
          <w:rFonts w:ascii="Arial" w:eastAsia="Times New Roman" w:hAnsi="Arial" w:cs="Arial"/>
          <w:kern w:val="0"/>
          <w:lang w:eastAsia="en-GB"/>
          <w14:ligatures w14:val="none"/>
        </w:rPr>
        <w:t xml:space="preserve"> more time</w:t>
      </w:r>
      <w:r w:rsidR="00DB6DB2">
        <w:rPr>
          <w:rFonts w:ascii="Arial" w:eastAsia="Times New Roman" w:hAnsi="Arial" w:cs="Arial"/>
          <w:kern w:val="0"/>
          <w:lang w:eastAsia="en-GB"/>
          <w14:ligatures w14:val="none"/>
        </w:rPr>
        <w:t xml:space="preserve"> </w:t>
      </w:r>
      <w:r w:rsidRPr="000154D4">
        <w:rPr>
          <w:rFonts w:ascii="Arial" w:eastAsia="Times New Roman" w:hAnsi="Arial" w:cs="Arial"/>
          <w:kern w:val="0"/>
          <w:lang w:eastAsia="en-GB"/>
          <w14:ligatures w14:val="none"/>
        </w:rPr>
        <w:t xml:space="preserve">to explore their emotions </w:t>
      </w:r>
      <w:r w:rsidR="00646FEA">
        <w:rPr>
          <w:rFonts w:ascii="Arial" w:eastAsia="Times New Roman" w:hAnsi="Arial" w:cs="Arial"/>
          <w:kern w:val="0"/>
          <w:lang w:eastAsia="en-GB"/>
          <w14:ligatures w14:val="none"/>
        </w:rPr>
        <w:t xml:space="preserve">and </w:t>
      </w:r>
      <w:r w:rsidRPr="000154D4">
        <w:rPr>
          <w:rFonts w:ascii="Arial" w:eastAsia="Times New Roman" w:hAnsi="Arial" w:cs="Arial"/>
          <w:kern w:val="0"/>
          <w:lang w:eastAsia="en-GB"/>
          <w14:ligatures w14:val="none"/>
        </w:rPr>
        <w:t xml:space="preserve">aligns with </w:t>
      </w:r>
      <w:r w:rsidRPr="00CB130D">
        <w:rPr>
          <w:rFonts w:ascii="Arial" w:eastAsia="Times New Roman" w:hAnsi="Arial" w:cs="Arial"/>
          <w:kern w:val="0"/>
          <w:lang w:eastAsia="en-GB"/>
          <w14:ligatures w14:val="none"/>
        </w:rPr>
        <w:t xml:space="preserve">Emotion-Focused Therapy (EFT), </w:t>
      </w:r>
      <w:r w:rsidRPr="000154D4">
        <w:rPr>
          <w:rFonts w:ascii="Arial" w:eastAsia="Times New Roman" w:hAnsi="Arial" w:cs="Arial"/>
          <w:kern w:val="0"/>
          <w:lang w:eastAsia="en-GB"/>
          <w14:ligatures w14:val="none"/>
        </w:rPr>
        <w:t>which emphasizes the integration of emotional experiences as a path to healing. I recogni</w:t>
      </w:r>
      <w:r w:rsidR="00646FEA">
        <w:rPr>
          <w:rFonts w:ascii="Arial" w:eastAsia="Times New Roman" w:hAnsi="Arial" w:cs="Arial"/>
          <w:kern w:val="0"/>
          <w:lang w:eastAsia="en-GB"/>
          <w14:ligatures w14:val="none"/>
        </w:rPr>
        <w:t>s</w:t>
      </w:r>
      <w:r w:rsidRPr="000154D4">
        <w:rPr>
          <w:rFonts w:ascii="Arial" w:eastAsia="Times New Roman" w:hAnsi="Arial" w:cs="Arial"/>
          <w:kern w:val="0"/>
          <w:lang w:eastAsia="en-GB"/>
          <w14:ligatures w14:val="none"/>
        </w:rPr>
        <w:t xml:space="preserve">ed the potential value of tolerating silence, viewing it as a facilitative space rather than an absence of progress, consistent with </w:t>
      </w:r>
      <w:r w:rsidRPr="00CB130D">
        <w:rPr>
          <w:rFonts w:ascii="Arial" w:eastAsia="Times New Roman" w:hAnsi="Arial" w:cs="Arial"/>
          <w:kern w:val="0"/>
          <w:lang w:eastAsia="en-GB"/>
          <w14:ligatures w14:val="none"/>
        </w:rPr>
        <w:t>Rogers’ non-directive approach.</w:t>
      </w:r>
      <w:r w:rsidR="00DB6DB2">
        <w:rPr>
          <w:rFonts w:ascii="Arial" w:eastAsia="Times New Roman" w:hAnsi="Arial" w:cs="Arial"/>
          <w:kern w:val="0"/>
          <w:lang w:eastAsia="en-GB"/>
          <w14:ligatures w14:val="none"/>
        </w:rPr>
        <w:t xml:space="preserve"> </w:t>
      </w:r>
      <w:r w:rsidRPr="000154D4">
        <w:rPr>
          <w:rFonts w:ascii="Arial" w:eastAsia="Times New Roman" w:hAnsi="Arial" w:cs="Arial"/>
          <w:kern w:val="0"/>
          <w:lang w:eastAsia="en-GB"/>
          <w14:ligatures w14:val="none"/>
        </w:rPr>
        <w:t>Determining when to delve deeper into emotions or when to hold back is a critical skill</w:t>
      </w:r>
      <w:r w:rsidRPr="00CB130D">
        <w:rPr>
          <w:rFonts w:ascii="Arial" w:eastAsia="Times New Roman" w:hAnsi="Arial" w:cs="Arial"/>
          <w:kern w:val="0"/>
          <w:lang w:eastAsia="en-GB"/>
          <w14:ligatures w14:val="none"/>
        </w:rPr>
        <w:t>. Winnicott’s concept of the holding environment</w:t>
      </w:r>
      <w:r w:rsidRPr="000154D4">
        <w:rPr>
          <w:rFonts w:ascii="Arial" w:eastAsia="Times New Roman" w:hAnsi="Arial" w:cs="Arial"/>
          <w:kern w:val="0"/>
          <w:lang w:eastAsia="en-GB"/>
          <w14:ligatures w14:val="none"/>
        </w:rPr>
        <w:t xml:space="preserve"> </w:t>
      </w:r>
      <w:r w:rsidR="00C539E9">
        <w:rPr>
          <w:rFonts w:ascii="Arial" w:eastAsia="Times New Roman" w:hAnsi="Arial" w:cs="Arial"/>
          <w:kern w:val="0"/>
          <w:lang w:eastAsia="en-GB"/>
          <w14:ligatures w14:val="none"/>
        </w:rPr>
        <w:fldChar w:fldCharType="begin"/>
      </w:r>
      <w:r w:rsidR="00C539E9">
        <w:rPr>
          <w:rFonts w:ascii="Arial" w:eastAsia="Times New Roman" w:hAnsi="Arial" w:cs="Arial"/>
          <w:kern w:val="0"/>
          <w:lang w:eastAsia="en-GB"/>
          <w14:ligatures w14:val="none"/>
        </w:rPr>
        <w:instrText xml:space="preserve"> ADDIN ZOTERO_ITEM CSL_CITATION {"citationID":"Vu2V2pDd","properties":{"formattedCitation":"(Bahn, 2022)","plainCitation":"(Bahn, 2022)","noteIndex":0},"citationItems":[{"id":1315,"uris":["http://zotero.org/users/15461753/items/77LGSPVC"],"itemData":{"id":1315,"type":"article-journal","abstract":"Personal life and achievements are the process and result of a person’s past, present, and future interacting with each other. In this regard, if one fully understands the life and background of the person who developed the theory of psychoanalysis, one can understand and use the theory more appropriately. The holding environment theory developed by Donald Woods Winnicott is useful for understanding the process by which infants grow healthy under the care of a mother who is good enough. In this paper, the background of the birth of the holding environment theory is reviewed based on Winnicott’s developmental background and marital life. He grew up with a holding environment from good enough ‘multiple mothers’. Born with excellent athletic ability and musical talent, he was more curious than anyone else and particularly active in discovering new things. After the unhappy first marriage, Claire Britton’s second marriage was happy academically and personally. Claire was a fellow paediatric psychoanalyst who published Winnicott’s research and theories after his death. Psychoanalysis or psychotherapy itself can be a holding environment, and the holding environment theory can be applied to various fields in the digital era.","container-title":"Journal of the Korean Academy of Child and Adolescent Psychiatry","DOI":"10.5765/jkacap.220022","ISSN":"1225-729X","issue":"4","journalAbbreviation":"Soa Chongsonyon Chongsin Uihak","note":"PMID: 36203884\nPMCID: PMC9513407","page":"84-90","source":"PubMed Central","title":"Understanding of Holding Environment Through the Trajectory of Donald Woods Winnicott","volume":"33","author":[{"family":"Bahn","given":"Geon Ho"}],"issued":{"date-parts":[["2022",10,1]]}}}],"schema":"https://github.com/citation-style-language/schema/raw/master/csl-citation.json"} </w:instrText>
      </w:r>
      <w:r w:rsidR="00C539E9">
        <w:rPr>
          <w:rFonts w:ascii="Arial" w:eastAsia="Times New Roman" w:hAnsi="Arial" w:cs="Arial"/>
          <w:kern w:val="0"/>
          <w:lang w:eastAsia="en-GB"/>
          <w14:ligatures w14:val="none"/>
        </w:rPr>
        <w:fldChar w:fldCharType="separate"/>
      </w:r>
      <w:r w:rsidR="00C539E9" w:rsidRPr="00C539E9">
        <w:rPr>
          <w:rFonts w:ascii="Arial" w:hAnsi="Arial" w:cs="Arial"/>
        </w:rPr>
        <w:t>(Bahn, 2022)</w:t>
      </w:r>
      <w:r w:rsidR="00C539E9">
        <w:rPr>
          <w:rFonts w:ascii="Arial" w:eastAsia="Times New Roman" w:hAnsi="Arial" w:cs="Arial"/>
          <w:kern w:val="0"/>
          <w:lang w:eastAsia="en-GB"/>
          <w14:ligatures w14:val="none"/>
        </w:rPr>
        <w:fldChar w:fldCharType="end"/>
      </w:r>
      <w:r w:rsidR="00BC1B97">
        <w:rPr>
          <w:rFonts w:ascii="Arial" w:eastAsia="Times New Roman" w:hAnsi="Arial" w:cs="Arial"/>
          <w:kern w:val="0"/>
          <w:lang w:eastAsia="en-GB"/>
          <w14:ligatures w14:val="none"/>
        </w:rPr>
        <w:t xml:space="preserve"> </w:t>
      </w:r>
      <w:r w:rsidRPr="000154D4">
        <w:rPr>
          <w:rFonts w:ascii="Arial" w:eastAsia="Times New Roman" w:hAnsi="Arial" w:cs="Arial"/>
          <w:kern w:val="0"/>
          <w:lang w:eastAsia="en-GB"/>
          <w14:ligatures w14:val="none"/>
        </w:rPr>
        <w:t>underscores the importance of boundaries in creating a safe space for clients to explore their feelings without fear of intrusion or abandonment.</w:t>
      </w:r>
      <w:r w:rsidR="00DB6DB2">
        <w:rPr>
          <w:rFonts w:ascii="Arial" w:eastAsia="Times New Roman" w:hAnsi="Arial" w:cs="Arial"/>
          <w:kern w:val="0"/>
          <w:lang w:eastAsia="en-GB"/>
          <w14:ligatures w14:val="none"/>
        </w:rPr>
        <w:t xml:space="preserve"> </w:t>
      </w:r>
      <w:r w:rsidRPr="000154D4">
        <w:rPr>
          <w:rFonts w:ascii="Arial" w:eastAsia="Times New Roman" w:hAnsi="Arial" w:cs="Arial"/>
          <w:kern w:val="0"/>
          <w:lang w:eastAsia="en-GB"/>
          <w14:ligatures w14:val="none"/>
        </w:rPr>
        <w:t xml:space="preserve">I acknowledged a need for greater self-awareness and professional resilience in handling unexpected emotional disclosures. Drawing on </w:t>
      </w:r>
      <w:r w:rsidRPr="00CB130D">
        <w:rPr>
          <w:rFonts w:ascii="Arial" w:eastAsia="Times New Roman" w:hAnsi="Arial" w:cs="Arial"/>
          <w:kern w:val="0"/>
          <w:lang w:eastAsia="en-GB"/>
          <w14:ligatures w14:val="none"/>
        </w:rPr>
        <w:t>relational therapy’s self-reflexivity</w:t>
      </w:r>
      <w:r w:rsidRPr="000154D4">
        <w:rPr>
          <w:rFonts w:ascii="Arial" w:eastAsia="Times New Roman" w:hAnsi="Arial" w:cs="Arial"/>
          <w:kern w:val="0"/>
          <w:lang w:eastAsia="en-GB"/>
          <w14:ligatures w14:val="none"/>
        </w:rPr>
        <w:t>, I aim to better prepare for clients’ emotions while monitoring my emotional responses.</w:t>
      </w:r>
      <w:r w:rsidR="00DB6DB2">
        <w:rPr>
          <w:rFonts w:ascii="Arial" w:eastAsia="Times New Roman" w:hAnsi="Arial" w:cs="Arial"/>
          <w:kern w:val="0"/>
          <w:lang w:eastAsia="en-GB"/>
          <w14:ligatures w14:val="none"/>
        </w:rPr>
        <w:t xml:space="preserve"> </w:t>
      </w:r>
    </w:p>
    <w:p w14:paraId="095B39E2" w14:textId="496B4B4B" w:rsidR="00DB6DB2" w:rsidRDefault="000154D4" w:rsidP="00DB6DB2">
      <w:pPr>
        <w:spacing w:before="100" w:beforeAutospacing="1" w:after="100" w:afterAutospacing="1" w:line="480" w:lineRule="auto"/>
        <w:ind w:firstLine="720"/>
        <w:rPr>
          <w:rFonts w:ascii="Arial" w:eastAsia="Times New Roman" w:hAnsi="Arial" w:cs="Arial"/>
          <w:kern w:val="0"/>
          <w:lang w:eastAsia="en-GB"/>
          <w14:ligatures w14:val="none"/>
        </w:rPr>
      </w:pPr>
      <w:r w:rsidRPr="000154D4">
        <w:rPr>
          <w:rFonts w:ascii="Arial" w:eastAsia="Times New Roman" w:hAnsi="Arial" w:cs="Arial"/>
          <w:kern w:val="0"/>
          <w:lang w:eastAsia="en-GB"/>
          <w14:ligatures w14:val="none"/>
        </w:rPr>
        <w:t>Additionally, I identified specific opportunities to refine my practice</w:t>
      </w:r>
      <w:r w:rsidR="00DB6DB2">
        <w:rPr>
          <w:rFonts w:ascii="Arial" w:eastAsia="Times New Roman" w:hAnsi="Arial" w:cs="Arial"/>
          <w:kern w:val="0"/>
          <w:lang w:eastAsia="en-GB"/>
          <w14:ligatures w14:val="none"/>
        </w:rPr>
        <w:t>.</w:t>
      </w:r>
      <w:r w:rsidR="00DB6DB2">
        <w:rPr>
          <w:rFonts w:ascii="Arial" w:eastAsia="Times New Roman" w:hAnsi="Arial" w:cs="Arial"/>
          <w:b/>
          <w:bCs/>
          <w:kern w:val="0"/>
          <w:lang w:eastAsia="en-GB"/>
          <w14:ligatures w14:val="none"/>
        </w:rPr>
        <w:t xml:space="preserve"> </w:t>
      </w:r>
      <w:r w:rsidR="00DB6DB2" w:rsidRPr="00CB130D">
        <w:rPr>
          <w:rFonts w:ascii="Arial" w:eastAsia="Times New Roman" w:hAnsi="Arial" w:cs="Arial"/>
          <w:kern w:val="0"/>
          <w:lang w:eastAsia="en-GB"/>
          <w14:ligatures w14:val="none"/>
        </w:rPr>
        <w:t xml:space="preserve">The </w:t>
      </w:r>
      <w:r w:rsidR="00DB6DB2">
        <w:rPr>
          <w:rFonts w:ascii="Arial" w:eastAsia="Times New Roman" w:hAnsi="Arial" w:cs="Arial"/>
          <w:kern w:val="0"/>
          <w:lang w:eastAsia="en-GB"/>
          <w14:ligatures w14:val="none"/>
        </w:rPr>
        <w:t>c</w:t>
      </w:r>
      <w:r w:rsidRPr="000154D4">
        <w:rPr>
          <w:rFonts w:ascii="Arial" w:eastAsia="Times New Roman" w:hAnsi="Arial" w:cs="Arial"/>
          <w:kern w:val="0"/>
          <w:lang w:eastAsia="en-GB"/>
          <w14:ligatures w14:val="none"/>
        </w:rPr>
        <w:t xml:space="preserve">lients' use of metaphorical language, such as the </w:t>
      </w:r>
      <w:r w:rsidR="00BC1B97">
        <w:rPr>
          <w:rFonts w:ascii="Arial" w:eastAsia="Times New Roman" w:hAnsi="Arial" w:cs="Arial"/>
          <w:kern w:val="0"/>
          <w:lang w:eastAsia="en-GB"/>
          <w14:ligatures w14:val="none"/>
        </w:rPr>
        <w:t>‘</w:t>
      </w:r>
      <w:r w:rsidRPr="000154D4">
        <w:rPr>
          <w:rFonts w:ascii="Arial" w:eastAsia="Times New Roman" w:hAnsi="Arial" w:cs="Arial"/>
          <w:kern w:val="0"/>
          <w:lang w:eastAsia="en-GB"/>
          <w14:ligatures w14:val="none"/>
        </w:rPr>
        <w:t>crushed-up ball of paper</w:t>
      </w:r>
      <w:r w:rsidR="00BC1B97">
        <w:rPr>
          <w:rFonts w:ascii="Arial" w:eastAsia="Times New Roman" w:hAnsi="Arial" w:cs="Arial"/>
          <w:kern w:val="0"/>
          <w:lang w:eastAsia="en-GB"/>
          <w14:ligatures w14:val="none"/>
        </w:rPr>
        <w:t>’,</w:t>
      </w:r>
      <w:r w:rsidRPr="000154D4">
        <w:rPr>
          <w:rFonts w:ascii="Arial" w:eastAsia="Times New Roman" w:hAnsi="Arial" w:cs="Arial"/>
          <w:kern w:val="0"/>
          <w:lang w:eastAsia="en-GB"/>
          <w14:ligatures w14:val="none"/>
        </w:rPr>
        <w:t xml:space="preserve"> </w:t>
      </w:r>
      <w:r w:rsidRPr="00374261">
        <w:rPr>
          <w:rFonts w:ascii="Arial" w:eastAsia="Times New Roman" w:hAnsi="Arial" w:cs="Arial"/>
          <w:kern w:val="0"/>
          <w:lang w:eastAsia="en-GB"/>
          <w14:ligatures w14:val="none"/>
        </w:rPr>
        <w:t xml:space="preserve">provides rich insight into their internal experiences. By incorporating techniques from Narrative Therapy, </w:t>
      </w:r>
      <w:r w:rsidRPr="000154D4">
        <w:rPr>
          <w:rFonts w:ascii="Arial" w:eastAsia="Times New Roman" w:hAnsi="Arial" w:cs="Arial"/>
          <w:kern w:val="0"/>
          <w:lang w:eastAsia="en-GB"/>
          <w14:ligatures w14:val="none"/>
        </w:rPr>
        <w:t>I could help clients reframe such metaphors to develop new perspectives</w:t>
      </w:r>
      <w:r w:rsidR="00374261">
        <w:rPr>
          <w:rFonts w:ascii="Arial" w:eastAsia="Times New Roman" w:hAnsi="Arial" w:cs="Arial"/>
          <w:kern w:val="0"/>
          <w:lang w:eastAsia="en-GB"/>
          <w14:ligatures w14:val="none"/>
        </w:rPr>
        <w:t xml:space="preserve"> </w:t>
      </w:r>
      <w:r w:rsidR="00374261" w:rsidRPr="00C539E9">
        <w:rPr>
          <w:rFonts w:ascii="Arial" w:eastAsia="Times New Roman" w:hAnsi="Arial" w:cs="Arial"/>
          <w:kern w:val="0"/>
          <w:lang w:eastAsia="en-GB"/>
          <w14:ligatures w14:val="none"/>
        </w:rPr>
        <w:fldChar w:fldCharType="begin"/>
      </w:r>
      <w:r w:rsidR="00374261" w:rsidRPr="00C539E9">
        <w:rPr>
          <w:rFonts w:ascii="Arial" w:eastAsia="Times New Roman" w:hAnsi="Arial" w:cs="Arial"/>
          <w:kern w:val="0"/>
          <w:lang w:eastAsia="en-GB"/>
          <w14:ligatures w14:val="none"/>
        </w:rPr>
        <w:instrText xml:space="preserve"> ADDIN ZOTERO_ITEM CSL_CITATION {"citationID":"qh0343oe","properties":{"formattedCitation":"(Ghavibazou et al., 2022)","plainCitation":"(Ghavibazou et al., 2022)","noteIndex":0},"citationItems":[{"id":1331,"uris":["http://zotero.org/users/15461753/items/6N3J74YQ"],"itemData":{"id":1331,"type":"article","abstract":"Introduction: Narrative therapy (NT) has a post-modern approach and assumes people as experts that construct their narratives. Aim: This study aims to provide a review of relevant literature from 1995 to 2021 on studies using narrative therapy, considering how to use it, the application of this approach, and its outcomes. Method: This study is a systematic review. According to this method, Web of Science and Scopus depositories was selected because they are acknowledged to contain high quality and high impact studies. Results: Results of this study show that some studies have not clarified how narrative therapy techniques were used and even have conventional outcomes. The others use one or both essential techniques, including externalizing and unique outcomes. Besides, some studies focus on meaning-making and changing discourses. Conclusion: As a result of this review study, studies that have used the essential techniques have increased the efficacy of this approach, including externalizing, unique outcomes, meaning-making, and changing discourses (focusing on language and construction).","DOI":"10.2139/ssrn.4119920","event-place":"Rochester, NY","genre":"SSRN Scholarly Paper","language":"en","number":"4119920","publisher":"Social Science Research Network","publisher-place":"Rochester, NY","source":"papers.ssrn.com","title":"Narrative therapy, Applications, and Outcomes: A Systematic Review","title-short":"Narrative therapy, Applications, and Outcomes","URL":"https://papers.ssrn.com/abstract=4119920","author":[{"family":"Ghavibazou","given":"Effat"},{"family":"Hosseinian","given":"Simin"},{"family":"Ghamari kivi","given":"Hossein"},{"family":"Ale Ebrahim","given":"Nader"}],"accessed":{"date-parts":[["2024",11,29]]},"issued":{"date-parts":[["2022",5,25]]}}}],"schema":"https://github.com/citation-style-language/schema/raw/master/csl-citation.json"} </w:instrText>
      </w:r>
      <w:r w:rsidR="00374261" w:rsidRPr="00C539E9">
        <w:rPr>
          <w:rFonts w:ascii="Arial" w:eastAsia="Times New Roman" w:hAnsi="Arial" w:cs="Arial"/>
          <w:kern w:val="0"/>
          <w:lang w:eastAsia="en-GB"/>
          <w14:ligatures w14:val="none"/>
        </w:rPr>
        <w:fldChar w:fldCharType="separate"/>
      </w:r>
      <w:r w:rsidR="00374261" w:rsidRPr="00C539E9">
        <w:rPr>
          <w:rFonts w:ascii="Arial" w:hAnsi="Arial" w:cs="Arial"/>
        </w:rPr>
        <w:t>(Ghavibazou et al., 2022)</w:t>
      </w:r>
      <w:r w:rsidR="00374261" w:rsidRPr="00C539E9">
        <w:rPr>
          <w:rFonts w:ascii="Arial" w:eastAsia="Times New Roman" w:hAnsi="Arial" w:cs="Arial"/>
          <w:kern w:val="0"/>
          <w:lang w:eastAsia="en-GB"/>
          <w14:ligatures w14:val="none"/>
        </w:rPr>
        <w:fldChar w:fldCharType="end"/>
      </w:r>
      <w:r w:rsidRPr="00C539E9">
        <w:rPr>
          <w:rFonts w:ascii="Arial" w:eastAsia="Times New Roman" w:hAnsi="Arial" w:cs="Arial"/>
          <w:kern w:val="0"/>
          <w:lang w:eastAsia="en-GB"/>
          <w14:ligatures w14:val="none"/>
        </w:rPr>
        <w:t>.</w:t>
      </w:r>
      <w:r w:rsidR="00390EA6" w:rsidRPr="00C539E9">
        <w:rPr>
          <w:rFonts w:ascii="Arial" w:eastAsia="Times New Roman" w:hAnsi="Arial" w:cs="Arial"/>
          <w:kern w:val="0"/>
          <w:lang w:eastAsia="en-GB"/>
          <w14:ligatures w14:val="none"/>
        </w:rPr>
        <w:t xml:space="preserve"> </w:t>
      </w:r>
      <w:r w:rsidR="00390EA6" w:rsidRPr="000154D4">
        <w:rPr>
          <w:rFonts w:ascii="Arial" w:hAnsi="Arial" w:cs="Arial"/>
        </w:rPr>
        <w:t xml:space="preserve">The decision of when to guide a client toward confronting an emotion they may not be ready to explore is nuanced and grounded in key principles from therapeutic theories, particularly </w:t>
      </w:r>
      <w:r w:rsidR="00390EA6" w:rsidRPr="00CB130D">
        <w:rPr>
          <w:rStyle w:val="Strong"/>
          <w:rFonts w:ascii="Arial" w:eastAsiaTheme="majorEastAsia" w:hAnsi="Arial" w:cs="Arial"/>
          <w:b w:val="0"/>
          <w:bCs w:val="0"/>
        </w:rPr>
        <w:t>person-centred therapy</w:t>
      </w:r>
      <w:r w:rsidR="00390EA6" w:rsidRPr="00CB130D">
        <w:rPr>
          <w:rFonts w:ascii="Arial" w:hAnsi="Arial" w:cs="Arial"/>
          <w:b/>
          <w:bCs/>
        </w:rPr>
        <w:t xml:space="preserve">, </w:t>
      </w:r>
      <w:r w:rsidR="00390EA6" w:rsidRPr="00CB130D">
        <w:rPr>
          <w:rStyle w:val="Strong"/>
          <w:rFonts w:ascii="Arial" w:eastAsiaTheme="majorEastAsia" w:hAnsi="Arial" w:cs="Arial"/>
          <w:b w:val="0"/>
          <w:bCs w:val="0"/>
        </w:rPr>
        <w:t>psychodynamic therapy</w:t>
      </w:r>
      <w:r w:rsidR="00390EA6" w:rsidRPr="000154D4">
        <w:rPr>
          <w:rFonts w:ascii="Arial" w:hAnsi="Arial" w:cs="Arial"/>
        </w:rPr>
        <w:t xml:space="preserve">, and </w:t>
      </w:r>
      <w:r w:rsidR="00390EA6" w:rsidRPr="00CB130D">
        <w:rPr>
          <w:rStyle w:val="Strong"/>
          <w:rFonts w:ascii="Arial" w:eastAsiaTheme="majorEastAsia" w:hAnsi="Arial" w:cs="Arial"/>
          <w:b w:val="0"/>
          <w:bCs w:val="0"/>
        </w:rPr>
        <w:t>trauma-informed care</w:t>
      </w:r>
      <w:r w:rsidR="00390EA6" w:rsidRPr="00CB130D">
        <w:rPr>
          <w:rFonts w:ascii="Arial" w:hAnsi="Arial" w:cs="Arial"/>
          <w:b/>
          <w:bCs/>
        </w:rPr>
        <w:t>.</w:t>
      </w:r>
      <w:r w:rsidR="00390EA6" w:rsidRPr="000154D4">
        <w:rPr>
          <w:rFonts w:ascii="Arial" w:hAnsi="Arial" w:cs="Arial"/>
        </w:rPr>
        <w:t xml:space="preserve"> According to </w:t>
      </w:r>
      <w:r w:rsidR="00390EA6" w:rsidRPr="00CB130D">
        <w:rPr>
          <w:rStyle w:val="Strong"/>
          <w:rFonts w:ascii="Arial" w:eastAsiaTheme="majorEastAsia" w:hAnsi="Arial" w:cs="Arial"/>
          <w:b w:val="0"/>
          <w:bCs w:val="0"/>
        </w:rPr>
        <w:lastRenderedPageBreak/>
        <w:t>attachment theory</w:t>
      </w:r>
      <w:r w:rsidR="00390EA6" w:rsidRPr="000154D4">
        <w:rPr>
          <w:rFonts w:ascii="Arial" w:hAnsi="Arial" w:cs="Arial"/>
        </w:rPr>
        <w:t xml:space="preserve"> and trauma-informed approaches, establishing a strong therapeutic alliance built on trust is foundational. Prematurely encouraging a client to engage with painful emotions can jeopardi</w:t>
      </w:r>
      <w:r w:rsidR="00646FEA">
        <w:rPr>
          <w:rFonts w:ascii="Arial" w:hAnsi="Arial" w:cs="Arial"/>
        </w:rPr>
        <w:t>s</w:t>
      </w:r>
      <w:r w:rsidR="00390EA6" w:rsidRPr="000154D4">
        <w:rPr>
          <w:rFonts w:ascii="Arial" w:hAnsi="Arial" w:cs="Arial"/>
        </w:rPr>
        <w:t>e this alliance, potentially leading to withdrawal or re-traumati</w:t>
      </w:r>
      <w:r w:rsidR="00646FEA">
        <w:rPr>
          <w:rFonts w:ascii="Arial" w:hAnsi="Arial" w:cs="Arial"/>
        </w:rPr>
        <w:t>s</w:t>
      </w:r>
      <w:r w:rsidR="00390EA6" w:rsidRPr="000154D4">
        <w:rPr>
          <w:rFonts w:ascii="Arial" w:hAnsi="Arial" w:cs="Arial"/>
        </w:rPr>
        <w:t>ation. Therapists must carefully assess the client’s capacity for emotional vulnerability, ensuring that exploration occurs at a pace that fosters safety and avoids overwhelming the client</w:t>
      </w:r>
      <w:r w:rsidR="00DB6DB2">
        <w:rPr>
          <w:rFonts w:ascii="Arial" w:hAnsi="Arial" w:cs="Arial"/>
        </w:rPr>
        <w:t xml:space="preserve">. </w:t>
      </w:r>
      <w:r w:rsidRPr="000154D4">
        <w:rPr>
          <w:rFonts w:ascii="Arial" w:eastAsia="Times New Roman" w:hAnsi="Arial" w:cs="Arial"/>
          <w:kern w:val="0"/>
          <w:lang w:eastAsia="en-GB"/>
          <w14:ligatures w14:val="none"/>
        </w:rPr>
        <w:t>When clients introduce ambiguous themes, such as feeling overwhelmed by questions, developing a habit of gently seeking clarification can deepen the therapeutic dialogue.</w:t>
      </w:r>
      <w:r w:rsidR="00DB6DB2">
        <w:rPr>
          <w:rFonts w:ascii="Arial" w:eastAsia="Times New Roman" w:hAnsi="Arial" w:cs="Arial"/>
          <w:kern w:val="0"/>
          <w:lang w:eastAsia="en-GB"/>
          <w14:ligatures w14:val="none"/>
        </w:rPr>
        <w:t xml:space="preserve"> </w:t>
      </w:r>
      <w:r w:rsidRPr="000154D4">
        <w:rPr>
          <w:rFonts w:ascii="Arial" w:eastAsia="Times New Roman" w:hAnsi="Arial" w:cs="Arial"/>
          <w:kern w:val="0"/>
          <w:lang w:eastAsia="en-GB"/>
          <w14:ligatures w14:val="none"/>
        </w:rPr>
        <w:t xml:space="preserve">The topic of children highlighted my uncertainty in addressing sensitive areas. Strengthening my ability to assess verbal and nonverbal cues, as suggested by </w:t>
      </w:r>
      <w:r w:rsidRPr="00CB130D">
        <w:rPr>
          <w:rFonts w:ascii="Arial" w:eastAsia="Times New Roman" w:hAnsi="Arial" w:cs="Arial"/>
          <w:kern w:val="0"/>
          <w:lang w:eastAsia="en-GB"/>
          <w14:ligatures w14:val="none"/>
        </w:rPr>
        <w:t>Rogers’ person-centred approach</w:t>
      </w:r>
      <w:r w:rsidRPr="000154D4">
        <w:rPr>
          <w:rFonts w:ascii="Arial" w:eastAsia="Times New Roman" w:hAnsi="Arial" w:cs="Arial"/>
          <w:kern w:val="0"/>
          <w:lang w:eastAsia="en-GB"/>
          <w14:ligatures w14:val="none"/>
        </w:rPr>
        <w:t>, can help me determine when further exploration is appropriate.</w:t>
      </w:r>
      <w:r w:rsidR="00DB6DB2">
        <w:rPr>
          <w:rFonts w:ascii="Arial" w:eastAsia="Times New Roman" w:hAnsi="Arial" w:cs="Arial"/>
          <w:kern w:val="0"/>
          <w:lang w:eastAsia="en-GB"/>
          <w14:ligatures w14:val="none"/>
        </w:rPr>
        <w:t xml:space="preserve"> </w:t>
      </w:r>
    </w:p>
    <w:p w14:paraId="31B68E40" w14:textId="68B785B2" w:rsidR="000154D4" w:rsidRDefault="000154D4" w:rsidP="00DB6DB2">
      <w:pPr>
        <w:spacing w:before="100" w:beforeAutospacing="1" w:after="100" w:afterAutospacing="1" w:line="480" w:lineRule="auto"/>
        <w:ind w:firstLine="720"/>
        <w:rPr>
          <w:rFonts w:ascii="Arial" w:eastAsia="Times New Roman" w:hAnsi="Arial" w:cs="Arial"/>
          <w:kern w:val="0"/>
          <w:lang w:eastAsia="en-GB"/>
          <w14:ligatures w14:val="none"/>
        </w:rPr>
      </w:pPr>
      <w:r w:rsidRPr="000154D4">
        <w:rPr>
          <w:rFonts w:ascii="Arial" w:eastAsia="Times New Roman" w:hAnsi="Arial" w:cs="Arial"/>
          <w:kern w:val="0"/>
          <w:lang w:eastAsia="en-GB"/>
          <w14:ligatures w14:val="none"/>
        </w:rPr>
        <w:t xml:space="preserve">This session emphasized the importance of being attuned to the client’s emotional state and readiness for exploration. While I effectively validated their feelings and employed techniques like grounding and the </w:t>
      </w:r>
      <w:r w:rsidR="00BC1B97">
        <w:rPr>
          <w:rFonts w:ascii="Arial" w:eastAsia="Times New Roman" w:hAnsi="Arial" w:cs="Arial"/>
          <w:kern w:val="0"/>
          <w:lang w:eastAsia="en-GB"/>
          <w14:ligatures w14:val="none"/>
        </w:rPr>
        <w:t>‘</w:t>
      </w:r>
      <w:r w:rsidRPr="000154D4">
        <w:rPr>
          <w:rFonts w:ascii="Arial" w:eastAsia="Times New Roman" w:hAnsi="Arial" w:cs="Arial"/>
          <w:kern w:val="0"/>
          <w:lang w:eastAsia="en-GB"/>
          <w14:ligatures w14:val="none"/>
        </w:rPr>
        <w:t>magic wand</w:t>
      </w:r>
      <w:r w:rsidR="00BC1B97">
        <w:rPr>
          <w:rFonts w:ascii="Arial" w:eastAsia="Times New Roman" w:hAnsi="Arial" w:cs="Arial"/>
          <w:kern w:val="0"/>
          <w:lang w:eastAsia="en-GB"/>
          <w14:ligatures w14:val="none"/>
        </w:rPr>
        <w:t>’</w:t>
      </w:r>
      <w:r w:rsidRPr="000154D4">
        <w:rPr>
          <w:rFonts w:ascii="Arial" w:eastAsia="Times New Roman" w:hAnsi="Arial" w:cs="Arial"/>
          <w:kern w:val="0"/>
          <w:lang w:eastAsia="en-GB"/>
          <w14:ligatures w14:val="none"/>
        </w:rPr>
        <w:t xml:space="preserve"> scenario, there were moments where further clarification or adjusted interventions could have enhanced the session. These reflections highlight the value of ongoing professional development and integrating theoretical frameworks, such as </w:t>
      </w:r>
      <w:r w:rsidRPr="00CB130D">
        <w:rPr>
          <w:rFonts w:ascii="Arial" w:eastAsia="Times New Roman" w:hAnsi="Arial" w:cs="Arial"/>
          <w:kern w:val="0"/>
          <w:lang w:eastAsia="en-GB"/>
          <w14:ligatures w14:val="none"/>
        </w:rPr>
        <w:t>EFT, IPR, and Narrative Therapy</w:t>
      </w:r>
      <w:r w:rsidRPr="000154D4">
        <w:rPr>
          <w:rFonts w:ascii="Arial" w:eastAsia="Times New Roman" w:hAnsi="Arial" w:cs="Arial"/>
          <w:kern w:val="0"/>
          <w:lang w:eastAsia="en-GB"/>
          <w14:ligatures w14:val="none"/>
        </w:rPr>
        <w:t>, to refine my ability to provide client-centred care.</w:t>
      </w:r>
    </w:p>
    <w:p w14:paraId="148FFDE4" w14:textId="4DC48467" w:rsidR="00094BA4" w:rsidRDefault="00094BA4" w:rsidP="00094BA4">
      <w:pPr>
        <w:spacing w:after="219" w:line="256" w:lineRule="auto"/>
        <w:ind w:left="-5" w:hanging="10"/>
        <w:rPr>
          <w:rFonts w:ascii="Arial" w:eastAsia="Calibri" w:hAnsi="Arial" w:cs="Arial"/>
          <w:b/>
          <w:bCs/>
          <w:iCs/>
          <w:color w:val="000000"/>
          <w:lang w:eastAsia="en-GB"/>
        </w:rPr>
      </w:pPr>
      <w:r w:rsidRPr="00094BA4">
        <w:rPr>
          <w:rFonts w:ascii="Arial" w:eastAsia="Calibri" w:hAnsi="Arial" w:cs="Arial"/>
          <w:b/>
          <w:bCs/>
          <w:iCs/>
          <w:color w:val="000000"/>
          <w:lang w:eastAsia="en-GB"/>
        </w:rPr>
        <w:t>Conclusion.</w:t>
      </w:r>
    </w:p>
    <w:p w14:paraId="7966B69C" w14:textId="694CCDE5" w:rsidR="000154D4" w:rsidRPr="000154D4" w:rsidRDefault="000154D4" w:rsidP="000154D4">
      <w:pPr>
        <w:spacing w:after="219" w:line="480" w:lineRule="auto"/>
        <w:ind w:left="-5" w:firstLine="725"/>
        <w:rPr>
          <w:rFonts w:ascii="Arial" w:eastAsia="Calibri" w:hAnsi="Arial" w:cs="Arial"/>
          <w:b/>
          <w:bCs/>
          <w:iCs/>
          <w:color w:val="000000"/>
          <w:lang w:eastAsia="en-GB"/>
        </w:rPr>
      </w:pPr>
      <w:r w:rsidRPr="000154D4">
        <w:rPr>
          <w:rFonts w:ascii="Arial" w:hAnsi="Arial" w:cs="Arial"/>
        </w:rPr>
        <w:t xml:space="preserve">This reflection emphasized the importance of adapting counselling interventions to each client's unique needs, highlighting how theory informs practice. Metaphors and imagery deepened my understanding of the therapeutic relationship and the application of concepts such as Rogers’ person-centred approach, Bordin’s working alliance, and EFT. Moving forward, I aim to enhance skills in observing body </w:t>
      </w:r>
      <w:r w:rsidRPr="000154D4">
        <w:rPr>
          <w:rFonts w:ascii="Arial" w:hAnsi="Arial" w:cs="Arial"/>
        </w:rPr>
        <w:lastRenderedPageBreak/>
        <w:t>language, managing silence, and respecting boundaries to foster deeper connections and meaningful growth. By integrating EFT, SFBT, and Gestalt Therapy, I remain committed to continuous improvement in creating a safe, empathetic, and effective therapeutic space.</w:t>
      </w:r>
    </w:p>
    <w:bookmarkEnd w:id="0"/>
    <w:p w14:paraId="34B871FE" w14:textId="2F5C9EB9" w:rsidR="004819C4" w:rsidRPr="004819C4" w:rsidRDefault="004819C4" w:rsidP="004819C4">
      <w:pPr>
        <w:spacing w:before="100" w:beforeAutospacing="1" w:after="100" w:afterAutospacing="1" w:line="480" w:lineRule="auto"/>
        <w:ind w:firstLine="720"/>
        <w:rPr>
          <w:rFonts w:ascii="Arial" w:eastAsia="Times New Roman" w:hAnsi="Arial" w:cs="Arial"/>
          <w:kern w:val="0"/>
          <w:lang w:eastAsia="en-GB"/>
          <w14:ligatures w14:val="none"/>
        </w:rPr>
      </w:pPr>
    </w:p>
    <w:p w14:paraId="2665EA4D" w14:textId="77777777" w:rsidR="004819C4" w:rsidRDefault="004819C4" w:rsidP="00094BA4">
      <w:pPr>
        <w:spacing w:after="219" w:line="256" w:lineRule="auto"/>
        <w:ind w:left="-5" w:hanging="10"/>
        <w:rPr>
          <w:rFonts w:ascii="Arial" w:eastAsia="Calibri" w:hAnsi="Arial" w:cs="Arial"/>
          <w:b/>
          <w:bCs/>
          <w:iCs/>
          <w:color w:val="000000"/>
          <w:lang w:eastAsia="en-GB"/>
        </w:rPr>
      </w:pPr>
    </w:p>
    <w:p w14:paraId="232F701F" w14:textId="77777777" w:rsidR="00094BA4" w:rsidRDefault="00094BA4" w:rsidP="00094BA4">
      <w:pPr>
        <w:spacing w:after="219" w:line="256" w:lineRule="auto"/>
        <w:ind w:left="-5" w:hanging="10"/>
        <w:rPr>
          <w:rFonts w:ascii="Arial" w:eastAsia="Calibri" w:hAnsi="Arial" w:cs="Arial"/>
          <w:b/>
          <w:bCs/>
          <w:iCs/>
          <w:color w:val="000000"/>
          <w:lang w:eastAsia="en-GB"/>
        </w:rPr>
      </w:pPr>
    </w:p>
    <w:p w14:paraId="213E4839"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66E860EA"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186781AC"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03324F8F"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1C568CA4"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1B312DB7"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2A256A4E"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60AF3376"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50FAF281"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2760E068"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38C84D75"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707630A0" w14:textId="77777777" w:rsidR="000154D4" w:rsidRDefault="000154D4" w:rsidP="00374261">
      <w:pPr>
        <w:spacing w:after="219" w:line="256" w:lineRule="auto"/>
        <w:rPr>
          <w:rFonts w:ascii="Arial" w:eastAsia="Calibri" w:hAnsi="Arial" w:cs="Arial"/>
          <w:b/>
          <w:bCs/>
          <w:iCs/>
          <w:color w:val="000000"/>
          <w:lang w:eastAsia="en-GB"/>
        </w:rPr>
      </w:pPr>
    </w:p>
    <w:p w14:paraId="297FFB8A" w14:textId="77777777" w:rsidR="00374261" w:rsidRDefault="00374261" w:rsidP="00374261">
      <w:pPr>
        <w:spacing w:after="219" w:line="256" w:lineRule="auto"/>
        <w:rPr>
          <w:rFonts w:ascii="Arial" w:eastAsia="Calibri" w:hAnsi="Arial" w:cs="Arial"/>
          <w:b/>
          <w:bCs/>
          <w:iCs/>
          <w:color w:val="000000"/>
          <w:lang w:eastAsia="en-GB"/>
        </w:rPr>
      </w:pPr>
    </w:p>
    <w:p w14:paraId="023F5B4C" w14:textId="77777777" w:rsidR="00C539E9" w:rsidRDefault="00C539E9" w:rsidP="00374261">
      <w:pPr>
        <w:spacing w:after="219" w:line="256" w:lineRule="auto"/>
        <w:rPr>
          <w:rFonts w:ascii="Arial" w:eastAsia="Calibri" w:hAnsi="Arial" w:cs="Arial"/>
          <w:b/>
          <w:bCs/>
          <w:iCs/>
          <w:color w:val="000000"/>
          <w:lang w:eastAsia="en-GB"/>
        </w:rPr>
      </w:pPr>
    </w:p>
    <w:p w14:paraId="7766D1CC" w14:textId="77777777" w:rsidR="00C539E9" w:rsidRDefault="00C539E9" w:rsidP="00374261">
      <w:pPr>
        <w:spacing w:after="219" w:line="256" w:lineRule="auto"/>
        <w:rPr>
          <w:rFonts w:ascii="Arial" w:eastAsia="Calibri" w:hAnsi="Arial" w:cs="Arial"/>
          <w:b/>
          <w:bCs/>
          <w:iCs/>
          <w:color w:val="000000"/>
          <w:lang w:eastAsia="en-GB"/>
        </w:rPr>
      </w:pPr>
    </w:p>
    <w:p w14:paraId="09384AE2" w14:textId="77777777" w:rsidR="00C539E9" w:rsidRDefault="00C539E9" w:rsidP="00374261">
      <w:pPr>
        <w:spacing w:after="219" w:line="256" w:lineRule="auto"/>
        <w:rPr>
          <w:rFonts w:ascii="Arial" w:eastAsia="Calibri" w:hAnsi="Arial" w:cs="Arial"/>
          <w:b/>
          <w:bCs/>
          <w:iCs/>
          <w:color w:val="000000"/>
          <w:lang w:eastAsia="en-GB"/>
        </w:rPr>
      </w:pPr>
    </w:p>
    <w:p w14:paraId="6819D2E8" w14:textId="77777777" w:rsidR="00C539E9" w:rsidRDefault="00C539E9" w:rsidP="00374261">
      <w:pPr>
        <w:spacing w:after="219" w:line="256" w:lineRule="auto"/>
        <w:rPr>
          <w:rFonts w:ascii="Arial" w:eastAsia="Calibri" w:hAnsi="Arial" w:cs="Arial"/>
          <w:b/>
          <w:bCs/>
          <w:iCs/>
          <w:color w:val="000000"/>
          <w:lang w:eastAsia="en-GB"/>
        </w:rPr>
      </w:pPr>
    </w:p>
    <w:p w14:paraId="4EED8FEE" w14:textId="77777777" w:rsidR="00C539E9" w:rsidRDefault="00C539E9" w:rsidP="00374261">
      <w:pPr>
        <w:spacing w:after="219" w:line="256" w:lineRule="auto"/>
        <w:rPr>
          <w:rFonts w:ascii="Arial" w:eastAsia="Calibri" w:hAnsi="Arial" w:cs="Arial"/>
          <w:b/>
          <w:bCs/>
          <w:iCs/>
          <w:color w:val="000000"/>
          <w:lang w:eastAsia="en-GB"/>
        </w:rPr>
      </w:pPr>
    </w:p>
    <w:p w14:paraId="35DAFC20" w14:textId="77777777" w:rsidR="00BC1B97" w:rsidRPr="00094BA4" w:rsidRDefault="00BC1B97" w:rsidP="00374261">
      <w:pPr>
        <w:spacing w:after="219" w:line="256" w:lineRule="auto"/>
        <w:rPr>
          <w:rFonts w:ascii="Arial" w:eastAsia="Calibri" w:hAnsi="Arial" w:cs="Arial"/>
          <w:b/>
          <w:bCs/>
          <w:iCs/>
          <w:color w:val="000000"/>
          <w:lang w:eastAsia="en-GB"/>
        </w:rPr>
      </w:pPr>
    </w:p>
    <w:p w14:paraId="28FD6993" w14:textId="25AF6EDE" w:rsidR="00094BA4" w:rsidRPr="00BC1B97" w:rsidRDefault="00094BA4" w:rsidP="00094BA4">
      <w:pPr>
        <w:spacing w:after="219" w:line="256" w:lineRule="auto"/>
        <w:ind w:left="-5" w:hanging="10"/>
        <w:rPr>
          <w:rFonts w:ascii="Arial" w:eastAsia="Calibri" w:hAnsi="Arial" w:cs="Arial"/>
          <w:b/>
          <w:bCs/>
          <w:iCs/>
          <w:color w:val="000000"/>
          <w:lang w:eastAsia="en-GB"/>
        </w:rPr>
      </w:pPr>
      <w:r w:rsidRPr="00BC1B97">
        <w:rPr>
          <w:rFonts w:ascii="Arial" w:eastAsia="Calibri" w:hAnsi="Arial" w:cs="Arial"/>
          <w:b/>
          <w:bCs/>
          <w:iCs/>
          <w:color w:val="000000"/>
          <w:lang w:eastAsia="en-GB"/>
        </w:rPr>
        <w:lastRenderedPageBreak/>
        <w:t>References.</w:t>
      </w:r>
    </w:p>
    <w:p w14:paraId="6FFA992F" w14:textId="77777777" w:rsidR="00BC1B97" w:rsidRPr="00BC1B97" w:rsidRDefault="00094BA4" w:rsidP="00BC1B97">
      <w:pPr>
        <w:pStyle w:val="Bibliography"/>
        <w:spacing w:line="276" w:lineRule="auto"/>
        <w:rPr>
          <w:rFonts w:ascii="Arial" w:hAnsi="Arial" w:cs="Arial"/>
        </w:rPr>
      </w:pPr>
      <w:r>
        <w:rPr>
          <w:rFonts w:ascii="Arial" w:eastAsia="Calibri" w:hAnsi="Arial" w:cs="Arial"/>
          <w:color w:val="000000"/>
          <w:lang w:eastAsia="en-GB"/>
        </w:rPr>
        <w:fldChar w:fldCharType="begin"/>
      </w:r>
      <w:r w:rsidR="00BC1B97">
        <w:rPr>
          <w:rFonts w:ascii="Arial" w:eastAsia="Calibri" w:hAnsi="Arial" w:cs="Arial"/>
          <w:color w:val="000000"/>
          <w:lang w:eastAsia="en-GB"/>
        </w:rPr>
        <w:instrText xml:space="preserve"> ADDIN ZOTERO_BIBL {"uncited":[],"omitted":[],"custom":[]} CSL_BIBLIOGRAPHY </w:instrText>
      </w:r>
      <w:r>
        <w:rPr>
          <w:rFonts w:ascii="Arial" w:eastAsia="Calibri" w:hAnsi="Arial" w:cs="Arial"/>
          <w:color w:val="000000"/>
          <w:lang w:eastAsia="en-GB"/>
        </w:rPr>
        <w:fldChar w:fldCharType="separate"/>
      </w:r>
      <w:r w:rsidR="00BC1B97" w:rsidRPr="00BC1B97">
        <w:rPr>
          <w:rFonts w:ascii="Arial" w:hAnsi="Arial" w:cs="Arial"/>
        </w:rPr>
        <w:t xml:space="preserve">Bahn, G. H. (2022). Understanding of Holding Environment Through the Trajectory of Donald Woods Winnicott. </w:t>
      </w:r>
      <w:r w:rsidR="00BC1B97" w:rsidRPr="00BC1B97">
        <w:rPr>
          <w:rFonts w:ascii="Arial" w:hAnsi="Arial" w:cs="Arial"/>
          <w:i/>
          <w:iCs/>
        </w:rPr>
        <w:t>Journal of the Korean Academy of Child and Adolescent Psychiatry</w:t>
      </w:r>
      <w:r w:rsidR="00BC1B97" w:rsidRPr="00BC1B97">
        <w:rPr>
          <w:rFonts w:ascii="Arial" w:hAnsi="Arial" w:cs="Arial"/>
        </w:rPr>
        <w:t xml:space="preserve">, </w:t>
      </w:r>
      <w:r w:rsidR="00BC1B97" w:rsidRPr="00BC1B97">
        <w:rPr>
          <w:rFonts w:ascii="Arial" w:hAnsi="Arial" w:cs="Arial"/>
          <w:i/>
          <w:iCs/>
        </w:rPr>
        <w:t>33</w:t>
      </w:r>
      <w:r w:rsidR="00BC1B97" w:rsidRPr="00BC1B97">
        <w:rPr>
          <w:rFonts w:ascii="Arial" w:hAnsi="Arial" w:cs="Arial"/>
        </w:rPr>
        <w:t>(4), 84–90. https://doi.org/10.5765/jkacap.220022</w:t>
      </w:r>
    </w:p>
    <w:p w14:paraId="7BD394D0"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Bordin, E. S. (1979). The generalizability of the psychoanalytic concept of the working alliance. </w:t>
      </w:r>
      <w:r w:rsidRPr="00BC1B97">
        <w:rPr>
          <w:rFonts w:ascii="Arial" w:hAnsi="Arial" w:cs="Arial"/>
          <w:i/>
          <w:iCs/>
        </w:rPr>
        <w:t>Psychotherapy: Theory, Research &amp; Practice</w:t>
      </w:r>
      <w:r w:rsidRPr="00BC1B97">
        <w:rPr>
          <w:rFonts w:ascii="Arial" w:hAnsi="Arial" w:cs="Arial"/>
        </w:rPr>
        <w:t xml:space="preserve">, </w:t>
      </w:r>
      <w:r w:rsidRPr="00BC1B97">
        <w:rPr>
          <w:rFonts w:ascii="Arial" w:hAnsi="Arial" w:cs="Arial"/>
          <w:i/>
          <w:iCs/>
        </w:rPr>
        <w:t>16</w:t>
      </w:r>
      <w:r w:rsidRPr="00BC1B97">
        <w:rPr>
          <w:rFonts w:ascii="Arial" w:hAnsi="Arial" w:cs="Arial"/>
        </w:rPr>
        <w:t>(3), 252–260. https://doi.org/10.1037/h0085885</w:t>
      </w:r>
    </w:p>
    <w:p w14:paraId="7F00E053"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Bourgault du Coudray, C. (2022). Listening as a Relational and Experientialist Praxis: Insights from Gestalt Therapy. </w:t>
      </w:r>
      <w:r w:rsidRPr="00BC1B97">
        <w:rPr>
          <w:rFonts w:ascii="Arial" w:hAnsi="Arial" w:cs="Arial"/>
          <w:i/>
          <w:iCs/>
        </w:rPr>
        <w:t>International Journal of Listening</w:t>
      </w:r>
      <w:r w:rsidRPr="00BC1B97">
        <w:rPr>
          <w:rFonts w:ascii="Arial" w:hAnsi="Arial" w:cs="Arial"/>
        </w:rPr>
        <w:t xml:space="preserve">, </w:t>
      </w:r>
      <w:r w:rsidRPr="00BC1B97">
        <w:rPr>
          <w:rFonts w:ascii="Arial" w:hAnsi="Arial" w:cs="Arial"/>
          <w:i/>
          <w:iCs/>
        </w:rPr>
        <w:t>36</w:t>
      </w:r>
      <w:r w:rsidRPr="00BC1B97">
        <w:rPr>
          <w:rFonts w:ascii="Arial" w:hAnsi="Arial" w:cs="Arial"/>
        </w:rPr>
        <w:t>(1), 31–43. https://doi.org/10.1080/10904018.2020.1803747</w:t>
      </w:r>
    </w:p>
    <w:p w14:paraId="5FAADE97"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Fearon, R. P., &amp; Roisman, G. I. (2017). Attachment theory: Progress and future directions. </w:t>
      </w:r>
      <w:r w:rsidRPr="00BC1B97">
        <w:rPr>
          <w:rFonts w:ascii="Arial" w:hAnsi="Arial" w:cs="Arial"/>
          <w:i/>
          <w:iCs/>
        </w:rPr>
        <w:t>Current Opinion in Psychology</w:t>
      </w:r>
      <w:r w:rsidRPr="00BC1B97">
        <w:rPr>
          <w:rFonts w:ascii="Arial" w:hAnsi="Arial" w:cs="Arial"/>
        </w:rPr>
        <w:t xml:space="preserve">, </w:t>
      </w:r>
      <w:r w:rsidRPr="00BC1B97">
        <w:rPr>
          <w:rFonts w:ascii="Arial" w:hAnsi="Arial" w:cs="Arial"/>
          <w:i/>
          <w:iCs/>
        </w:rPr>
        <w:t>15</w:t>
      </w:r>
      <w:r w:rsidRPr="00BC1B97">
        <w:rPr>
          <w:rFonts w:ascii="Arial" w:hAnsi="Arial" w:cs="Arial"/>
        </w:rPr>
        <w:t>, 131–136. https://doi.org/10.1016/j.copsyc.2017.03.002</w:t>
      </w:r>
    </w:p>
    <w:p w14:paraId="392A2C3C"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Ghavibazou, E., Hosseinian, S., Ghamari kivi, H., &amp; Ale Ebrahim, N. (2022). </w:t>
      </w:r>
      <w:r w:rsidRPr="00BC1B97">
        <w:rPr>
          <w:rFonts w:ascii="Arial" w:hAnsi="Arial" w:cs="Arial"/>
          <w:i/>
          <w:iCs/>
        </w:rPr>
        <w:t>Narrative therapy, Applications, and Outcomes: A Systematic Review</w:t>
      </w:r>
      <w:r w:rsidRPr="00BC1B97">
        <w:rPr>
          <w:rFonts w:ascii="Arial" w:hAnsi="Arial" w:cs="Arial"/>
        </w:rPr>
        <w:t xml:space="preserve"> (SSRN Scholarly Paper No. 4119920). Social Science Research Network. https://doi.org/10.2139/ssrn.4119920</w:t>
      </w:r>
    </w:p>
    <w:p w14:paraId="21EFCA6C" w14:textId="77777777" w:rsidR="00BC1B97" w:rsidRPr="00BC1B97" w:rsidRDefault="00BC1B97" w:rsidP="00BC1B97">
      <w:pPr>
        <w:pStyle w:val="Bibliography"/>
        <w:spacing w:line="276" w:lineRule="auto"/>
        <w:rPr>
          <w:rFonts w:ascii="Arial" w:hAnsi="Arial" w:cs="Arial"/>
          <w:lang w:val="de-DE"/>
        </w:rPr>
      </w:pPr>
      <w:r w:rsidRPr="00BC1B97">
        <w:rPr>
          <w:rFonts w:ascii="Arial" w:hAnsi="Arial" w:cs="Arial"/>
        </w:rPr>
        <w:t xml:space="preserve">Jerome, L., McNamee, P., Abdel-Halim, N., Elliot, K., &amp; Woods, J. (2023). Solution-focused approaches in adult mental health research: A conceptual literature review and narrative synthesis. </w:t>
      </w:r>
      <w:r w:rsidRPr="00BC1B97">
        <w:rPr>
          <w:rFonts w:ascii="Arial" w:hAnsi="Arial" w:cs="Arial"/>
          <w:i/>
          <w:iCs/>
          <w:lang w:val="de-DE"/>
        </w:rPr>
        <w:t>Frontiers in Psychiatry</w:t>
      </w:r>
      <w:r w:rsidRPr="00BC1B97">
        <w:rPr>
          <w:rFonts w:ascii="Arial" w:hAnsi="Arial" w:cs="Arial"/>
          <w:lang w:val="de-DE"/>
        </w:rPr>
        <w:t xml:space="preserve">, </w:t>
      </w:r>
      <w:r w:rsidRPr="00BC1B97">
        <w:rPr>
          <w:rFonts w:ascii="Arial" w:hAnsi="Arial" w:cs="Arial"/>
          <w:i/>
          <w:iCs/>
          <w:lang w:val="de-DE"/>
        </w:rPr>
        <w:t>14</w:t>
      </w:r>
      <w:r w:rsidRPr="00BC1B97">
        <w:rPr>
          <w:rFonts w:ascii="Arial" w:hAnsi="Arial" w:cs="Arial"/>
          <w:lang w:val="de-DE"/>
        </w:rPr>
        <w:t>, 1068006. https://doi.org/10.3389/fpsyt.2023.1068006</w:t>
      </w:r>
    </w:p>
    <w:p w14:paraId="073555CC" w14:textId="77777777" w:rsidR="00BC1B97" w:rsidRPr="00BC1B97" w:rsidRDefault="00BC1B97" w:rsidP="00BC1B97">
      <w:pPr>
        <w:pStyle w:val="Bibliography"/>
        <w:spacing w:line="276" w:lineRule="auto"/>
        <w:rPr>
          <w:rFonts w:ascii="Arial" w:hAnsi="Arial" w:cs="Arial"/>
        </w:rPr>
      </w:pPr>
      <w:r w:rsidRPr="00BC1B97">
        <w:rPr>
          <w:rFonts w:ascii="Arial" w:hAnsi="Arial" w:cs="Arial"/>
          <w:lang w:val="de-DE"/>
        </w:rPr>
        <w:t xml:space="preserve">Kagan, N., Schauble, P., Resnikoff, A., Danish, S. J., &amp; Krathwohl, D. R. (1969). </w:t>
      </w:r>
      <w:r w:rsidRPr="00BC1B97">
        <w:rPr>
          <w:rFonts w:ascii="Arial" w:hAnsi="Arial" w:cs="Arial"/>
        </w:rPr>
        <w:t xml:space="preserve">INTERPERSONAL PROCESS RECALL. </w:t>
      </w:r>
      <w:r w:rsidRPr="00BC1B97">
        <w:rPr>
          <w:rFonts w:ascii="Arial" w:hAnsi="Arial" w:cs="Arial"/>
          <w:i/>
          <w:iCs/>
        </w:rPr>
        <w:t>The Journal of Nervous and Mental Disease</w:t>
      </w:r>
      <w:r w:rsidRPr="00BC1B97">
        <w:rPr>
          <w:rFonts w:ascii="Arial" w:hAnsi="Arial" w:cs="Arial"/>
        </w:rPr>
        <w:t xml:space="preserve">, </w:t>
      </w:r>
      <w:r w:rsidRPr="00BC1B97">
        <w:rPr>
          <w:rFonts w:ascii="Arial" w:hAnsi="Arial" w:cs="Arial"/>
          <w:i/>
          <w:iCs/>
        </w:rPr>
        <w:t>148</w:t>
      </w:r>
      <w:r w:rsidRPr="00BC1B97">
        <w:rPr>
          <w:rFonts w:ascii="Arial" w:hAnsi="Arial" w:cs="Arial"/>
        </w:rPr>
        <w:t>(4), 365.</w:t>
      </w:r>
    </w:p>
    <w:p w14:paraId="24292E4E"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Koniver, L. (2023). Practical applications of grounding to support health. </w:t>
      </w:r>
      <w:r w:rsidRPr="00BC1B97">
        <w:rPr>
          <w:rFonts w:ascii="Arial" w:hAnsi="Arial" w:cs="Arial"/>
          <w:i/>
          <w:iCs/>
        </w:rPr>
        <w:t>Biomedical Journal</w:t>
      </w:r>
      <w:r w:rsidRPr="00BC1B97">
        <w:rPr>
          <w:rFonts w:ascii="Arial" w:hAnsi="Arial" w:cs="Arial"/>
        </w:rPr>
        <w:t xml:space="preserve">, </w:t>
      </w:r>
      <w:r w:rsidRPr="00BC1B97">
        <w:rPr>
          <w:rFonts w:ascii="Arial" w:hAnsi="Arial" w:cs="Arial"/>
          <w:i/>
          <w:iCs/>
        </w:rPr>
        <w:t>46</w:t>
      </w:r>
      <w:r w:rsidRPr="00BC1B97">
        <w:rPr>
          <w:rFonts w:ascii="Arial" w:hAnsi="Arial" w:cs="Arial"/>
        </w:rPr>
        <w:t>(1), 41–47. https://doi.org/10.1016/j.bj.2022.12.001</w:t>
      </w:r>
    </w:p>
    <w:p w14:paraId="5AE22CD8"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Malkomsen, A., Røssberg, J. I., Dammen, T., Wilberg, T., Løvgren, A., Ulberg, R., &amp; Evensen, J. (2021). Digging down or scratching the surface: How patients use metaphors to describe their experiences of psychotherapy. </w:t>
      </w:r>
      <w:r w:rsidRPr="00BC1B97">
        <w:rPr>
          <w:rFonts w:ascii="Arial" w:hAnsi="Arial" w:cs="Arial"/>
          <w:i/>
          <w:iCs/>
        </w:rPr>
        <w:t>BMC Psychiatry</w:t>
      </w:r>
      <w:r w:rsidRPr="00BC1B97">
        <w:rPr>
          <w:rFonts w:ascii="Arial" w:hAnsi="Arial" w:cs="Arial"/>
        </w:rPr>
        <w:t xml:space="preserve">, </w:t>
      </w:r>
      <w:r w:rsidRPr="00BC1B97">
        <w:rPr>
          <w:rFonts w:ascii="Arial" w:hAnsi="Arial" w:cs="Arial"/>
          <w:i/>
          <w:iCs/>
        </w:rPr>
        <w:t>21</w:t>
      </w:r>
      <w:r w:rsidRPr="00BC1B97">
        <w:rPr>
          <w:rFonts w:ascii="Arial" w:hAnsi="Arial" w:cs="Arial"/>
        </w:rPr>
        <w:t>, 533. https://doi.org/10.1186/s12888-021-03551-1</w:t>
      </w:r>
    </w:p>
    <w:p w14:paraId="31DF3163"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Porges, S. W. (2022). Polyvagal Theory: A Science of Safety. </w:t>
      </w:r>
      <w:r w:rsidRPr="00BC1B97">
        <w:rPr>
          <w:rFonts w:ascii="Arial" w:hAnsi="Arial" w:cs="Arial"/>
          <w:i/>
          <w:iCs/>
        </w:rPr>
        <w:t>Frontiers in Integrative Neuroscience</w:t>
      </w:r>
      <w:r w:rsidRPr="00BC1B97">
        <w:rPr>
          <w:rFonts w:ascii="Arial" w:hAnsi="Arial" w:cs="Arial"/>
        </w:rPr>
        <w:t xml:space="preserve">, </w:t>
      </w:r>
      <w:r w:rsidRPr="00BC1B97">
        <w:rPr>
          <w:rFonts w:ascii="Arial" w:hAnsi="Arial" w:cs="Arial"/>
          <w:i/>
          <w:iCs/>
        </w:rPr>
        <w:t>16</w:t>
      </w:r>
      <w:r w:rsidRPr="00BC1B97">
        <w:rPr>
          <w:rFonts w:ascii="Arial" w:hAnsi="Arial" w:cs="Arial"/>
        </w:rPr>
        <w:t>. https://doi.org/10.3389/fnint.2022.871227</w:t>
      </w:r>
    </w:p>
    <w:p w14:paraId="5A76716A"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Rogers, C. R. (1992). The Necessary and Sufficient Conditions of Therapeutic Personality Change. </w:t>
      </w:r>
      <w:r w:rsidRPr="00BC1B97">
        <w:rPr>
          <w:rFonts w:ascii="Arial" w:hAnsi="Arial" w:cs="Arial"/>
          <w:i/>
          <w:iCs/>
        </w:rPr>
        <w:t>Journal of Consulting and Clinical Psychology</w:t>
      </w:r>
      <w:r w:rsidRPr="00BC1B97">
        <w:rPr>
          <w:rFonts w:ascii="Arial" w:hAnsi="Arial" w:cs="Arial"/>
        </w:rPr>
        <w:t xml:space="preserve">, </w:t>
      </w:r>
      <w:r w:rsidRPr="00BC1B97">
        <w:rPr>
          <w:rFonts w:ascii="Arial" w:hAnsi="Arial" w:cs="Arial"/>
          <w:i/>
          <w:iCs/>
        </w:rPr>
        <w:t>60</w:t>
      </w:r>
      <w:r w:rsidRPr="00BC1B97">
        <w:rPr>
          <w:rFonts w:ascii="Arial" w:hAnsi="Arial" w:cs="Arial"/>
        </w:rPr>
        <w:t>(6), 827–832. https://doi.org/10.1037/0022-006X.60.6.827</w:t>
      </w:r>
    </w:p>
    <w:p w14:paraId="0CE9D02B"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Schön, D. A. (1991). </w:t>
      </w:r>
      <w:r w:rsidRPr="00BC1B97">
        <w:rPr>
          <w:rFonts w:ascii="Arial" w:hAnsi="Arial" w:cs="Arial"/>
          <w:i/>
          <w:iCs/>
        </w:rPr>
        <w:t>The Reflective Practitioner: How Professionals Think in Action</w:t>
      </w:r>
      <w:r w:rsidRPr="00BC1B97">
        <w:rPr>
          <w:rFonts w:ascii="Arial" w:hAnsi="Arial" w:cs="Arial"/>
        </w:rPr>
        <w:t xml:space="preserve"> (1st edition). Routledge.</w:t>
      </w:r>
    </w:p>
    <w:p w14:paraId="719131FC" w14:textId="3C78FCCE" w:rsidR="00A913AD" w:rsidRPr="00C539E9" w:rsidRDefault="00094BA4" w:rsidP="00BC1B97">
      <w:pPr>
        <w:spacing w:after="219" w:line="276" w:lineRule="auto"/>
        <w:rPr>
          <w:rFonts w:ascii="Arial" w:eastAsia="Calibri" w:hAnsi="Arial" w:cs="Arial"/>
          <w:iCs/>
          <w:color w:val="000000"/>
          <w:lang w:eastAsia="en-GB"/>
        </w:rPr>
      </w:pPr>
      <w:r>
        <w:rPr>
          <w:rFonts w:ascii="Arial" w:eastAsia="Calibri" w:hAnsi="Arial" w:cs="Arial"/>
          <w:iCs/>
          <w:color w:val="000000"/>
          <w:lang w:eastAsia="en-GB"/>
        </w:rPr>
        <w:fldChar w:fldCharType="end"/>
      </w:r>
    </w:p>
    <w:sectPr w:rsidR="00A913AD" w:rsidRPr="00C539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167A83" w14:textId="77777777" w:rsidR="00401D5A" w:rsidRDefault="00401D5A" w:rsidP="000154D4">
      <w:pPr>
        <w:spacing w:after="0" w:line="240" w:lineRule="auto"/>
      </w:pPr>
      <w:r>
        <w:separator/>
      </w:r>
    </w:p>
  </w:endnote>
  <w:endnote w:type="continuationSeparator" w:id="0">
    <w:p w14:paraId="471526F7" w14:textId="77777777" w:rsidR="00401D5A" w:rsidRDefault="00401D5A" w:rsidP="00015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D64701" w14:textId="77777777" w:rsidR="00401D5A" w:rsidRDefault="00401D5A" w:rsidP="000154D4">
      <w:pPr>
        <w:spacing w:after="0" w:line="240" w:lineRule="auto"/>
      </w:pPr>
      <w:r>
        <w:separator/>
      </w:r>
    </w:p>
  </w:footnote>
  <w:footnote w:type="continuationSeparator" w:id="0">
    <w:p w14:paraId="3CD8172A" w14:textId="77777777" w:rsidR="00401D5A" w:rsidRDefault="00401D5A" w:rsidP="000154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04333"/>
    <w:multiLevelType w:val="multilevel"/>
    <w:tmpl w:val="6E96C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991283"/>
    <w:multiLevelType w:val="hybridMultilevel"/>
    <w:tmpl w:val="B8869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2646E6"/>
    <w:multiLevelType w:val="multilevel"/>
    <w:tmpl w:val="676AD5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8E3862"/>
    <w:multiLevelType w:val="multilevel"/>
    <w:tmpl w:val="6C80F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C13871"/>
    <w:multiLevelType w:val="hybridMultilevel"/>
    <w:tmpl w:val="6FA2F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131235"/>
    <w:multiLevelType w:val="multilevel"/>
    <w:tmpl w:val="7E32C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DD1459"/>
    <w:multiLevelType w:val="hybridMultilevel"/>
    <w:tmpl w:val="FE84C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1744726">
    <w:abstractNumId w:val="6"/>
  </w:num>
  <w:num w:numId="2" w16cid:durableId="315031753">
    <w:abstractNumId w:val="1"/>
  </w:num>
  <w:num w:numId="3" w16cid:durableId="833300893">
    <w:abstractNumId w:val="4"/>
  </w:num>
  <w:num w:numId="4" w16cid:durableId="614869265">
    <w:abstractNumId w:val="2"/>
  </w:num>
  <w:num w:numId="5" w16cid:durableId="577634594">
    <w:abstractNumId w:val="0"/>
  </w:num>
  <w:num w:numId="6" w16cid:durableId="1851286873">
    <w:abstractNumId w:val="3"/>
  </w:num>
  <w:num w:numId="7" w16cid:durableId="10225123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M1tzSzNDEzNjc0MjRQ0lEKTi0uzszPAykwqwUAGm3P1CwAAAA="/>
  </w:docVars>
  <w:rsids>
    <w:rsidRoot w:val="00532869"/>
    <w:rsid w:val="000154D4"/>
    <w:rsid w:val="00054107"/>
    <w:rsid w:val="00094BA4"/>
    <w:rsid w:val="0014642B"/>
    <w:rsid w:val="002400B8"/>
    <w:rsid w:val="002865F3"/>
    <w:rsid w:val="00374261"/>
    <w:rsid w:val="00390EA6"/>
    <w:rsid w:val="003B383F"/>
    <w:rsid w:val="003C6C26"/>
    <w:rsid w:val="00401D5A"/>
    <w:rsid w:val="00480805"/>
    <w:rsid w:val="004819C4"/>
    <w:rsid w:val="00532869"/>
    <w:rsid w:val="00533F69"/>
    <w:rsid w:val="005C2350"/>
    <w:rsid w:val="005F555C"/>
    <w:rsid w:val="00646FEA"/>
    <w:rsid w:val="009A03F9"/>
    <w:rsid w:val="009B6911"/>
    <w:rsid w:val="00A55683"/>
    <w:rsid w:val="00A913AD"/>
    <w:rsid w:val="00BC1B97"/>
    <w:rsid w:val="00C539E9"/>
    <w:rsid w:val="00C7685E"/>
    <w:rsid w:val="00CB130D"/>
    <w:rsid w:val="00D21783"/>
    <w:rsid w:val="00DB6DB2"/>
    <w:rsid w:val="00DC5B3D"/>
    <w:rsid w:val="00DD58F6"/>
    <w:rsid w:val="00DF0C27"/>
    <w:rsid w:val="00E05CE1"/>
    <w:rsid w:val="00E62B0E"/>
    <w:rsid w:val="00EE20D8"/>
    <w:rsid w:val="00F175E2"/>
    <w:rsid w:val="00F63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4BF3C"/>
  <w15:chartTrackingRefBased/>
  <w15:docId w15:val="{472AED0A-E2DA-4B1C-977F-FD2E8590B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8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28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28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28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28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28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28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28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28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8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28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28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28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28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28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28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28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2869"/>
    <w:rPr>
      <w:rFonts w:eastAsiaTheme="majorEastAsia" w:cstheme="majorBidi"/>
      <w:color w:val="272727" w:themeColor="text1" w:themeTint="D8"/>
    </w:rPr>
  </w:style>
  <w:style w:type="paragraph" w:styleId="Title">
    <w:name w:val="Title"/>
    <w:basedOn w:val="Normal"/>
    <w:next w:val="Normal"/>
    <w:link w:val="TitleChar"/>
    <w:uiPriority w:val="10"/>
    <w:qFormat/>
    <w:rsid w:val="005328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28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28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28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2869"/>
    <w:pPr>
      <w:spacing w:before="160"/>
      <w:jc w:val="center"/>
    </w:pPr>
    <w:rPr>
      <w:i/>
      <w:iCs/>
      <w:color w:val="404040" w:themeColor="text1" w:themeTint="BF"/>
    </w:rPr>
  </w:style>
  <w:style w:type="character" w:customStyle="1" w:styleId="QuoteChar">
    <w:name w:val="Quote Char"/>
    <w:basedOn w:val="DefaultParagraphFont"/>
    <w:link w:val="Quote"/>
    <w:uiPriority w:val="29"/>
    <w:rsid w:val="00532869"/>
    <w:rPr>
      <w:i/>
      <w:iCs/>
      <w:color w:val="404040" w:themeColor="text1" w:themeTint="BF"/>
    </w:rPr>
  </w:style>
  <w:style w:type="paragraph" w:styleId="ListParagraph">
    <w:name w:val="List Paragraph"/>
    <w:basedOn w:val="Normal"/>
    <w:uiPriority w:val="34"/>
    <w:qFormat/>
    <w:rsid w:val="00532869"/>
    <w:pPr>
      <w:ind w:left="720"/>
      <w:contextualSpacing/>
    </w:pPr>
  </w:style>
  <w:style w:type="character" w:styleId="IntenseEmphasis">
    <w:name w:val="Intense Emphasis"/>
    <w:basedOn w:val="DefaultParagraphFont"/>
    <w:uiPriority w:val="21"/>
    <w:qFormat/>
    <w:rsid w:val="00532869"/>
    <w:rPr>
      <w:i/>
      <w:iCs/>
      <w:color w:val="0F4761" w:themeColor="accent1" w:themeShade="BF"/>
    </w:rPr>
  </w:style>
  <w:style w:type="paragraph" w:styleId="IntenseQuote">
    <w:name w:val="Intense Quote"/>
    <w:basedOn w:val="Normal"/>
    <w:next w:val="Normal"/>
    <w:link w:val="IntenseQuoteChar"/>
    <w:uiPriority w:val="30"/>
    <w:qFormat/>
    <w:rsid w:val="005328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2869"/>
    <w:rPr>
      <w:i/>
      <w:iCs/>
      <w:color w:val="0F4761" w:themeColor="accent1" w:themeShade="BF"/>
    </w:rPr>
  </w:style>
  <w:style w:type="character" w:styleId="IntenseReference">
    <w:name w:val="Intense Reference"/>
    <w:basedOn w:val="DefaultParagraphFont"/>
    <w:uiPriority w:val="32"/>
    <w:qFormat/>
    <w:rsid w:val="00532869"/>
    <w:rPr>
      <w:b/>
      <w:bCs/>
      <w:smallCaps/>
      <w:color w:val="0F4761" w:themeColor="accent1" w:themeShade="BF"/>
      <w:spacing w:val="5"/>
    </w:rPr>
  </w:style>
  <w:style w:type="paragraph" w:styleId="NoSpacing">
    <w:name w:val="No Spacing"/>
    <w:uiPriority w:val="1"/>
    <w:qFormat/>
    <w:rsid w:val="00532869"/>
    <w:pPr>
      <w:spacing w:after="0" w:line="240" w:lineRule="auto"/>
    </w:pPr>
    <w:rPr>
      <w:rFonts w:ascii="Aptos" w:eastAsia="Aptos" w:hAnsi="Aptos" w:cs="Times New Roman"/>
    </w:rPr>
  </w:style>
  <w:style w:type="paragraph" w:styleId="NormalWeb">
    <w:name w:val="Normal (Web)"/>
    <w:basedOn w:val="Normal"/>
    <w:uiPriority w:val="99"/>
    <w:unhideWhenUsed/>
    <w:rsid w:val="005328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32869"/>
    <w:rPr>
      <w:i/>
      <w:iCs/>
    </w:rPr>
  </w:style>
  <w:style w:type="paragraph" w:styleId="Bibliography">
    <w:name w:val="Bibliography"/>
    <w:basedOn w:val="Normal"/>
    <w:next w:val="Normal"/>
    <w:uiPriority w:val="37"/>
    <w:unhideWhenUsed/>
    <w:rsid w:val="00094BA4"/>
    <w:pPr>
      <w:spacing w:after="0" w:line="480" w:lineRule="auto"/>
      <w:ind w:left="720" w:hanging="720"/>
    </w:pPr>
  </w:style>
  <w:style w:type="character" w:styleId="Strong">
    <w:name w:val="Strong"/>
    <w:basedOn w:val="DefaultParagraphFont"/>
    <w:uiPriority w:val="22"/>
    <w:qFormat/>
    <w:rsid w:val="000154D4"/>
    <w:rPr>
      <w:b/>
      <w:bCs/>
    </w:rPr>
  </w:style>
  <w:style w:type="paragraph" w:styleId="Header">
    <w:name w:val="header"/>
    <w:basedOn w:val="Normal"/>
    <w:link w:val="HeaderChar"/>
    <w:uiPriority w:val="99"/>
    <w:unhideWhenUsed/>
    <w:rsid w:val="000154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4D4"/>
  </w:style>
  <w:style w:type="paragraph" w:styleId="Footer">
    <w:name w:val="footer"/>
    <w:basedOn w:val="Normal"/>
    <w:link w:val="FooterChar"/>
    <w:uiPriority w:val="99"/>
    <w:unhideWhenUsed/>
    <w:rsid w:val="000154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4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886588">
      <w:bodyDiv w:val="1"/>
      <w:marLeft w:val="0"/>
      <w:marRight w:val="0"/>
      <w:marTop w:val="0"/>
      <w:marBottom w:val="0"/>
      <w:divBdr>
        <w:top w:val="none" w:sz="0" w:space="0" w:color="auto"/>
        <w:left w:val="none" w:sz="0" w:space="0" w:color="auto"/>
        <w:bottom w:val="none" w:sz="0" w:space="0" w:color="auto"/>
        <w:right w:val="none" w:sz="0" w:space="0" w:color="auto"/>
      </w:divBdr>
    </w:div>
    <w:div w:id="154029438">
      <w:bodyDiv w:val="1"/>
      <w:marLeft w:val="0"/>
      <w:marRight w:val="0"/>
      <w:marTop w:val="0"/>
      <w:marBottom w:val="0"/>
      <w:divBdr>
        <w:top w:val="none" w:sz="0" w:space="0" w:color="auto"/>
        <w:left w:val="none" w:sz="0" w:space="0" w:color="auto"/>
        <w:bottom w:val="none" w:sz="0" w:space="0" w:color="auto"/>
        <w:right w:val="none" w:sz="0" w:space="0" w:color="auto"/>
      </w:divBdr>
    </w:div>
    <w:div w:id="194315712">
      <w:bodyDiv w:val="1"/>
      <w:marLeft w:val="0"/>
      <w:marRight w:val="0"/>
      <w:marTop w:val="0"/>
      <w:marBottom w:val="0"/>
      <w:divBdr>
        <w:top w:val="none" w:sz="0" w:space="0" w:color="auto"/>
        <w:left w:val="none" w:sz="0" w:space="0" w:color="auto"/>
        <w:bottom w:val="none" w:sz="0" w:space="0" w:color="auto"/>
        <w:right w:val="none" w:sz="0" w:space="0" w:color="auto"/>
      </w:divBdr>
    </w:div>
    <w:div w:id="483861849">
      <w:bodyDiv w:val="1"/>
      <w:marLeft w:val="0"/>
      <w:marRight w:val="0"/>
      <w:marTop w:val="0"/>
      <w:marBottom w:val="0"/>
      <w:divBdr>
        <w:top w:val="none" w:sz="0" w:space="0" w:color="auto"/>
        <w:left w:val="none" w:sz="0" w:space="0" w:color="auto"/>
        <w:bottom w:val="none" w:sz="0" w:space="0" w:color="auto"/>
        <w:right w:val="none" w:sz="0" w:space="0" w:color="auto"/>
      </w:divBdr>
    </w:div>
    <w:div w:id="635185341">
      <w:bodyDiv w:val="1"/>
      <w:marLeft w:val="0"/>
      <w:marRight w:val="0"/>
      <w:marTop w:val="0"/>
      <w:marBottom w:val="0"/>
      <w:divBdr>
        <w:top w:val="none" w:sz="0" w:space="0" w:color="auto"/>
        <w:left w:val="none" w:sz="0" w:space="0" w:color="auto"/>
        <w:bottom w:val="none" w:sz="0" w:space="0" w:color="auto"/>
        <w:right w:val="none" w:sz="0" w:space="0" w:color="auto"/>
      </w:divBdr>
    </w:div>
    <w:div w:id="636223948">
      <w:bodyDiv w:val="1"/>
      <w:marLeft w:val="0"/>
      <w:marRight w:val="0"/>
      <w:marTop w:val="0"/>
      <w:marBottom w:val="0"/>
      <w:divBdr>
        <w:top w:val="none" w:sz="0" w:space="0" w:color="auto"/>
        <w:left w:val="none" w:sz="0" w:space="0" w:color="auto"/>
        <w:bottom w:val="none" w:sz="0" w:space="0" w:color="auto"/>
        <w:right w:val="none" w:sz="0" w:space="0" w:color="auto"/>
      </w:divBdr>
    </w:div>
    <w:div w:id="782379739">
      <w:bodyDiv w:val="1"/>
      <w:marLeft w:val="0"/>
      <w:marRight w:val="0"/>
      <w:marTop w:val="0"/>
      <w:marBottom w:val="0"/>
      <w:divBdr>
        <w:top w:val="none" w:sz="0" w:space="0" w:color="auto"/>
        <w:left w:val="none" w:sz="0" w:space="0" w:color="auto"/>
        <w:bottom w:val="none" w:sz="0" w:space="0" w:color="auto"/>
        <w:right w:val="none" w:sz="0" w:space="0" w:color="auto"/>
      </w:divBdr>
    </w:div>
    <w:div w:id="865603577">
      <w:bodyDiv w:val="1"/>
      <w:marLeft w:val="0"/>
      <w:marRight w:val="0"/>
      <w:marTop w:val="0"/>
      <w:marBottom w:val="0"/>
      <w:divBdr>
        <w:top w:val="none" w:sz="0" w:space="0" w:color="auto"/>
        <w:left w:val="none" w:sz="0" w:space="0" w:color="auto"/>
        <w:bottom w:val="none" w:sz="0" w:space="0" w:color="auto"/>
        <w:right w:val="none" w:sz="0" w:space="0" w:color="auto"/>
      </w:divBdr>
    </w:div>
    <w:div w:id="908265611">
      <w:bodyDiv w:val="1"/>
      <w:marLeft w:val="0"/>
      <w:marRight w:val="0"/>
      <w:marTop w:val="0"/>
      <w:marBottom w:val="0"/>
      <w:divBdr>
        <w:top w:val="none" w:sz="0" w:space="0" w:color="auto"/>
        <w:left w:val="none" w:sz="0" w:space="0" w:color="auto"/>
        <w:bottom w:val="none" w:sz="0" w:space="0" w:color="auto"/>
        <w:right w:val="none" w:sz="0" w:space="0" w:color="auto"/>
      </w:divBdr>
    </w:div>
    <w:div w:id="1536498775">
      <w:bodyDiv w:val="1"/>
      <w:marLeft w:val="0"/>
      <w:marRight w:val="0"/>
      <w:marTop w:val="0"/>
      <w:marBottom w:val="0"/>
      <w:divBdr>
        <w:top w:val="none" w:sz="0" w:space="0" w:color="auto"/>
        <w:left w:val="none" w:sz="0" w:space="0" w:color="auto"/>
        <w:bottom w:val="none" w:sz="0" w:space="0" w:color="auto"/>
        <w:right w:val="none" w:sz="0" w:space="0" w:color="auto"/>
      </w:divBdr>
    </w:div>
    <w:div w:id="1675572047">
      <w:bodyDiv w:val="1"/>
      <w:marLeft w:val="0"/>
      <w:marRight w:val="0"/>
      <w:marTop w:val="0"/>
      <w:marBottom w:val="0"/>
      <w:divBdr>
        <w:top w:val="none" w:sz="0" w:space="0" w:color="auto"/>
        <w:left w:val="none" w:sz="0" w:space="0" w:color="auto"/>
        <w:bottom w:val="none" w:sz="0" w:space="0" w:color="auto"/>
        <w:right w:val="none" w:sz="0" w:space="0" w:color="auto"/>
      </w:divBdr>
    </w:div>
    <w:div w:id="1928877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5650</Words>
  <Characters>32205</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johns</dc:creator>
  <cp:keywords/>
  <dc:description/>
  <cp:lastModifiedBy>ceri johns</cp:lastModifiedBy>
  <cp:revision>17</cp:revision>
  <cp:lastPrinted>2024-12-02T11:02:00Z</cp:lastPrinted>
  <dcterms:created xsi:type="dcterms:W3CDTF">2024-11-20T13:54:00Z</dcterms:created>
  <dcterms:modified xsi:type="dcterms:W3CDTF">2024-12-03T13:35:00Z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zotero-version="7.0.10"&gt;&lt;session id="FXAO5X3f"/&gt;&lt;style id="http://www.zotero.org/styles/apa" locale="en-GB"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