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C265BE" w:rsidR="001C7673" w:rsidP="00C265BE" w:rsidRDefault="001C7673" w14:paraId="067B5E32" w14:textId="17191E45">
      <w:pPr>
        <w:spacing w:before="0" w:after="0"/>
      </w:pPr>
    </w:p>
    <w:p w:rsidR="001C7673" w:rsidRDefault="001C7673" w14:paraId="45D95731" w14:textId="4681BCA1">
      <w:pPr>
        <w:spacing w:before="0" w:after="0"/>
        <w:jc w:val="center"/>
      </w:pPr>
    </w:p>
    <w:p w:rsidR="001C7673" w:rsidRDefault="001C7673" w14:paraId="3DF2C107" w14:textId="4B026F85">
      <w:pPr>
        <w:spacing w:before="0" w:after="0"/>
        <w:jc w:val="center"/>
      </w:pPr>
    </w:p>
    <w:p w:rsidRPr="00C265BE" w:rsidR="001C7673" w:rsidP="0086551D" w:rsidRDefault="00650891" w14:paraId="24E3F54C" w14:textId="0D9A2E43">
      <w:pPr>
        <w:spacing w:before="0" w:after="0"/>
        <w:rPr>
          <w:sz w:val="28"/>
          <w:szCs w:val="28"/>
        </w:rPr>
      </w:pPr>
      <w:r w:rsidRPr="00C265BE">
        <w:rPr>
          <w:sz w:val="28"/>
          <w:szCs w:val="28"/>
        </w:rPr>
        <w:t xml:space="preserve">Student Name: </w:t>
      </w:r>
      <w:r w:rsidRPr="00C265BE" w:rsidR="0086551D">
        <w:rPr>
          <w:sz w:val="28"/>
          <w:szCs w:val="28"/>
        </w:rPr>
        <w:t>Faizan Azam</w:t>
      </w:r>
    </w:p>
    <w:p w:rsidRPr="00C265BE" w:rsidR="00C265BE" w:rsidP="0086551D" w:rsidRDefault="0086551D" w14:paraId="1760B9F0" w14:textId="77777777">
      <w:pPr>
        <w:spacing w:before="0" w:after="0"/>
        <w:rPr>
          <w:sz w:val="28"/>
          <w:szCs w:val="28"/>
        </w:rPr>
      </w:pPr>
      <w:r w:rsidRPr="00C265BE">
        <w:rPr>
          <w:sz w:val="28"/>
          <w:szCs w:val="28"/>
        </w:rPr>
        <w:t xml:space="preserve">                     </w:t>
      </w:r>
    </w:p>
    <w:p w:rsidRPr="00C265BE" w:rsidR="0086551D" w:rsidP="0086551D" w:rsidRDefault="00650891" w14:paraId="355650F7" w14:textId="25CBD2BF">
      <w:pPr>
        <w:spacing w:before="0" w:after="0"/>
        <w:rPr>
          <w:sz w:val="28"/>
          <w:szCs w:val="28"/>
        </w:rPr>
      </w:pPr>
      <w:r w:rsidRPr="00C265BE">
        <w:rPr>
          <w:sz w:val="28"/>
          <w:szCs w:val="28"/>
        </w:rPr>
        <w:t xml:space="preserve">Student ID: </w:t>
      </w:r>
      <w:r w:rsidRPr="00C265BE" w:rsidR="0086551D">
        <w:rPr>
          <w:sz w:val="28"/>
          <w:szCs w:val="28"/>
        </w:rPr>
        <w:t>2431939</w:t>
      </w:r>
    </w:p>
    <w:p w:rsidRPr="00C265BE" w:rsidR="00C265BE" w:rsidP="0086551D" w:rsidRDefault="0086551D" w14:paraId="6A58311D" w14:textId="77777777">
      <w:pPr>
        <w:spacing w:before="0" w:after="0"/>
        <w:rPr>
          <w:sz w:val="28"/>
          <w:szCs w:val="28"/>
        </w:rPr>
      </w:pPr>
      <w:r w:rsidRPr="00C265BE">
        <w:rPr>
          <w:sz w:val="28"/>
          <w:szCs w:val="28"/>
        </w:rPr>
        <w:t xml:space="preserve">                    </w:t>
      </w:r>
    </w:p>
    <w:p w:rsidRPr="00C265BE" w:rsidR="0086551D" w:rsidP="0086551D" w:rsidRDefault="0086551D" w14:paraId="384F98D4" w14:textId="6D016A4E">
      <w:pPr>
        <w:spacing w:before="0" w:after="0"/>
        <w:rPr>
          <w:sz w:val="28"/>
          <w:szCs w:val="28"/>
        </w:rPr>
      </w:pPr>
      <w:r w:rsidRPr="00C265BE">
        <w:rPr>
          <w:sz w:val="28"/>
          <w:szCs w:val="28"/>
        </w:rPr>
        <w:t xml:space="preserve"> Module: Networks and Cyber Security Essentials</w:t>
      </w:r>
    </w:p>
    <w:p w:rsidRPr="00C265BE" w:rsidR="00C265BE" w:rsidP="0086551D" w:rsidRDefault="0086551D" w14:paraId="2A20414E" w14:textId="77777777">
      <w:pPr>
        <w:spacing w:before="0" w:after="0"/>
        <w:rPr>
          <w:sz w:val="28"/>
          <w:szCs w:val="28"/>
        </w:rPr>
      </w:pPr>
      <w:r w:rsidRPr="00C265BE">
        <w:rPr>
          <w:sz w:val="28"/>
          <w:szCs w:val="28"/>
        </w:rPr>
        <w:t xml:space="preserve">                    </w:t>
      </w:r>
    </w:p>
    <w:p w:rsidRPr="00C265BE" w:rsidR="0086551D" w:rsidP="0086551D" w:rsidRDefault="0086551D" w14:paraId="1FEFC079" w14:textId="54610C43">
      <w:pPr>
        <w:spacing w:before="0" w:after="0"/>
        <w:rPr>
          <w:sz w:val="28"/>
          <w:szCs w:val="28"/>
        </w:rPr>
      </w:pPr>
      <w:r w:rsidRPr="00C265BE">
        <w:rPr>
          <w:sz w:val="28"/>
          <w:szCs w:val="28"/>
        </w:rPr>
        <w:t xml:space="preserve"> </w:t>
      </w:r>
      <w:r w:rsidRPr="00C265BE">
        <w:rPr>
          <w:sz w:val="28"/>
          <w:szCs w:val="28"/>
        </w:rPr>
        <w:t xml:space="preserve">Module Code: </w:t>
      </w:r>
      <w:r w:rsidRPr="00C265BE">
        <w:rPr>
          <w:sz w:val="28"/>
          <w:szCs w:val="28"/>
        </w:rPr>
        <w:t>ACCA4024</w:t>
      </w:r>
    </w:p>
    <w:p w:rsidRPr="00C265BE" w:rsidR="00C265BE" w:rsidP="0086551D" w:rsidRDefault="0086551D" w14:paraId="76FB1B59" w14:textId="77777777">
      <w:pPr>
        <w:spacing w:before="0" w:after="0"/>
        <w:rPr>
          <w:sz w:val="28"/>
          <w:szCs w:val="28"/>
        </w:rPr>
      </w:pPr>
      <w:r w:rsidRPr="00C265BE">
        <w:rPr>
          <w:sz w:val="28"/>
          <w:szCs w:val="28"/>
        </w:rPr>
        <w:t xml:space="preserve">                    </w:t>
      </w:r>
    </w:p>
    <w:p w:rsidRPr="00C265BE" w:rsidR="0086551D" w:rsidP="62104268" w:rsidRDefault="00650891" w14:paraId="3A7D180A" w14:textId="1F2A155F">
      <w:pPr>
        <w:spacing w:before="0" w:after="0"/>
        <w:rPr>
          <w:sz w:val="28"/>
          <w:szCs w:val="28"/>
          <w:lang w:val="en-US"/>
        </w:rPr>
      </w:pPr>
      <w:r w:rsidRPr="62104268" w:rsidR="00650891">
        <w:rPr>
          <w:sz w:val="28"/>
          <w:szCs w:val="28"/>
          <w:lang w:val="en-US"/>
        </w:rPr>
        <w:t xml:space="preserve">Lecturer: </w:t>
      </w:r>
      <w:r w:rsidRPr="62104268" w:rsidR="0E39A642">
        <w:rPr>
          <w:sz w:val="28"/>
          <w:szCs w:val="28"/>
          <w:lang w:val="en-US"/>
        </w:rPr>
        <w:t>Muhammad Azeem</w:t>
      </w:r>
      <w:r w:rsidRPr="62104268" w:rsidR="00650891">
        <w:rPr>
          <w:sz w:val="28"/>
          <w:szCs w:val="28"/>
          <w:lang w:val="en-US"/>
        </w:rPr>
        <w:t xml:space="preserve"> Abbas</w:t>
      </w:r>
    </w:p>
    <w:p w:rsidRPr="00C265BE" w:rsidR="00C265BE" w:rsidP="0086551D" w:rsidRDefault="0086551D" w14:paraId="4EA7D4DD" w14:textId="77777777">
      <w:pPr>
        <w:spacing w:before="0" w:after="0"/>
        <w:rPr>
          <w:sz w:val="28"/>
          <w:szCs w:val="28"/>
        </w:rPr>
      </w:pPr>
      <w:r w:rsidRPr="00C265BE">
        <w:rPr>
          <w:sz w:val="28"/>
          <w:szCs w:val="28"/>
        </w:rPr>
        <w:t xml:space="preserve">          </w:t>
      </w:r>
      <w:r w:rsidRPr="00C265BE" w:rsidR="00C265BE">
        <w:rPr>
          <w:sz w:val="28"/>
          <w:szCs w:val="28"/>
        </w:rPr>
        <w:t xml:space="preserve">        </w:t>
      </w:r>
    </w:p>
    <w:p w:rsidR="001C7673" w:rsidP="0086551D" w:rsidRDefault="0086551D" w14:paraId="6AF95655" w14:textId="1A551F8B">
      <w:pPr>
        <w:spacing w:before="0" w:after="0"/>
      </w:pPr>
      <w:r w:rsidRPr="00C265BE">
        <w:rPr>
          <w:sz w:val="28"/>
          <w:szCs w:val="28"/>
        </w:rPr>
        <w:t xml:space="preserve"> Assignment Title: Synthesize a Solution to a Potential </w:t>
      </w:r>
      <w:r w:rsidRPr="00C265BE" w:rsidR="00C265BE">
        <w:rPr>
          <w:sz w:val="28"/>
          <w:szCs w:val="28"/>
        </w:rPr>
        <w:t>real-life</w:t>
      </w:r>
      <w:r w:rsidRPr="00C265BE">
        <w:rPr>
          <w:sz w:val="28"/>
          <w:szCs w:val="28"/>
        </w:rPr>
        <w:t xml:space="preserve"> </w:t>
      </w:r>
      <w:r w:rsidRPr="00C265BE" w:rsidR="00C265BE">
        <w:rPr>
          <w:sz w:val="28"/>
          <w:szCs w:val="28"/>
        </w:rPr>
        <w:t>scenario</w:t>
      </w:r>
      <w:r w:rsidR="00650891">
        <w:br w:type="page"/>
      </w:r>
    </w:p>
    <w:p w:rsidR="001C7673" w:rsidRDefault="00650891" w14:paraId="7A71EC51" w14:textId="77777777">
      <w:pPr>
        <w:spacing w:before="0" w:after="0"/>
        <w:jc w:val="center"/>
      </w:pPr>
      <w:r>
        <w:t>TABLE OF CONTENTS</w:t>
      </w:r>
    </w:p>
    <w:sdt>
      <w:sdtPr>
        <w:id w:val="-1483189269"/>
        <w:docPartObj>
          <w:docPartGallery w:val="Table of Contents"/>
          <w:docPartUnique/>
        </w:docPartObj>
      </w:sdtPr>
      <w:sdtEndPr>
        <w:rPr>
          <w:b w:val="1"/>
          <w:bCs w:val="1"/>
        </w:rPr>
      </w:sdtEndPr>
      <w:sdtContent>
        <w:p w:rsidRPr="00D82C1C" w:rsidR="001C7673" w:rsidRDefault="00650891" w14:paraId="7F83DFED" w14:textId="77777777">
          <w:pPr>
            <w:widowControl w:val="0"/>
            <w:tabs>
              <w:tab w:val="right" w:pos="12000"/>
            </w:tabs>
            <w:spacing w:before="60" w:after="0" w:line="240" w:lineRule="auto"/>
            <w:jc w:val="left"/>
            <w:rPr>
              <w:b/>
              <w:bCs/>
              <w:color w:val="000000"/>
            </w:rPr>
          </w:pPr>
          <w:r w:rsidRPr="00D82C1C">
            <w:rPr>
              <w:b/>
            </w:rPr>
            <w:fldChar w:fldCharType="begin"/>
          </w:r>
          <w:r w:rsidRPr="00D82C1C">
            <w:rPr>
              <w:b/>
            </w:rPr>
            <w:instrText xml:space="preserve"> TOC \h \u \z \t "Heading 1,1,Heading 2,2,Heading 3,3,Heading 5,5,Heading 6,6,"</w:instrText>
          </w:r>
          <w:r w:rsidRPr="00D82C1C">
            <w:rPr>
              <w:b/>
            </w:rPr>
            <w:fldChar w:fldCharType="separate"/>
          </w:r>
          <w:hyperlink w:anchor="_d8wbjyl4nvs">
            <w:r w:rsidRPr="00D82C1C">
              <w:rPr>
                <w:b/>
                <w:bCs/>
                <w:color w:val="000000"/>
              </w:rPr>
              <w:t>1. Introduction and Scenario Context</w:t>
            </w:r>
            <w:r w:rsidRPr="00D82C1C">
              <w:rPr>
                <w:b/>
                <w:bCs/>
                <w:color w:val="000000"/>
              </w:rPr>
              <w:tab/>
            </w:r>
            <w:r w:rsidRPr="00D82C1C">
              <w:rPr>
                <w:b/>
                <w:bCs/>
                <w:color w:val="000000"/>
              </w:rPr>
              <w:t>3</w:t>
            </w:r>
          </w:hyperlink>
        </w:p>
        <w:p w:rsidRPr="00D82C1C" w:rsidR="001C7673" w:rsidRDefault="00650891" w14:paraId="013274B9" w14:textId="77777777">
          <w:pPr>
            <w:widowControl w:val="0"/>
            <w:tabs>
              <w:tab w:val="right" w:pos="12000"/>
            </w:tabs>
            <w:spacing w:before="60" w:after="0" w:line="240" w:lineRule="auto"/>
            <w:jc w:val="left"/>
            <w:rPr>
              <w:b/>
              <w:bCs/>
              <w:color w:val="000000"/>
            </w:rPr>
          </w:pPr>
          <w:hyperlink w:anchor="_rlpvv476c5vu">
            <w:r w:rsidRPr="00D82C1C">
              <w:rPr>
                <w:b/>
                <w:bCs/>
                <w:color w:val="000000"/>
              </w:rPr>
              <w:t>2. Identification of Internal and External Security Threats</w:t>
            </w:r>
            <w:r w:rsidRPr="00D82C1C">
              <w:rPr>
                <w:b/>
                <w:bCs/>
                <w:color w:val="000000"/>
              </w:rPr>
              <w:tab/>
            </w:r>
            <w:r w:rsidRPr="00D82C1C">
              <w:rPr>
                <w:b/>
                <w:bCs/>
                <w:color w:val="000000"/>
              </w:rPr>
              <w:t>3</w:t>
            </w:r>
          </w:hyperlink>
        </w:p>
        <w:p w:rsidRPr="00D82C1C" w:rsidR="001C7673" w:rsidRDefault="00650891" w14:paraId="07B486CC" w14:textId="77777777">
          <w:pPr>
            <w:widowControl w:val="0"/>
            <w:tabs>
              <w:tab w:val="right" w:pos="12000"/>
            </w:tabs>
            <w:spacing w:before="60" w:after="0" w:line="240" w:lineRule="auto"/>
            <w:ind w:left="360"/>
            <w:jc w:val="left"/>
            <w:rPr>
              <w:b/>
              <w:color w:val="000000"/>
            </w:rPr>
          </w:pPr>
          <w:hyperlink w:anchor="_aclhgo2056tl">
            <w:r w:rsidRPr="00D82C1C">
              <w:rPr>
                <w:b/>
                <w:color w:val="000000"/>
              </w:rPr>
              <w:t>2.1 Internal Threats</w:t>
            </w:r>
            <w:r w:rsidRPr="00D82C1C">
              <w:rPr>
                <w:b/>
                <w:color w:val="000000"/>
              </w:rPr>
              <w:tab/>
            </w:r>
            <w:r w:rsidRPr="00D82C1C">
              <w:rPr>
                <w:b/>
                <w:color w:val="000000"/>
              </w:rPr>
              <w:t>3</w:t>
            </w:r>
          </w:hyperlink>
        </w:p>
        <w:p w:rsidRPr="00D82C1C" w:rsidR="001C7673" w:rsidRDefault="00650891" w14:paraId="33A3EC52" w14:textId="77777777">
          <w:pPr>
            <w:widowControl w:val="0"/>
            <w:tabs>
              <w:tab w:val="right" w:pos="12000"/>
            </w:tabs>
            <w:spacing w:before="60" w:after="0" w:line="240" w:lineRule="auto"/>
            <w:ind w:left="360"/>
            <w:jc w:val="left"/>
            <w:rPr>
              <w:b/>
              <w:color w:val="000000"/>
            </w:rPr>
          </w:pPr>
          <w:hyperlink w:anchor="_6rufqmhhsvox">
            <w:r w:rsidRPr="00D82C1C">
              <w:rPr>
                <w:b/>
                <w:color w:val="000000"/>
              </w:rPr>
              <w:t>2.2 External Threats</w:t>
            </w:r>
            <w:r w:rsidRPr="00D82C1C">
              <w:rPr>
                <w:b/>
                <w:color w:val="000000"/>
              </w:rPr>
              <w:tab/>
            </w:r>
            <w:r w:rsidRPr="00D82C1C">
              <w:rPr>
                <w:b/>
                <w:color w:val="000000"/>
              </w:rPr>
              <w:t>4</w:t>
            </w:r>
          </w:hyperlink>
        </w:p>
        <w:p w:rsidRPr="00D82C1C" w:rsidR="001C7673" w:rsidRDefault="00650891" w14:paraId="32ADCB36" w14:textId="77777777">
          <w:pPr>
            <w:widowControl w:val="0"/>
            <w:tabs>
              <w:tab w:val="right" w:pos="12000"/>
            </w:tabs>
            <w:spacing w:before="60" w:after="0" w:line="240" w:lineRule="auto"/>
            <w:jc w:val="left"/>
            <w:rPr>
              <w:b/>
              <w:bCs/>
              <w:color w:val="000000"/>
            </w:rPr>
          </w:pPr>
          <w:hyperlink w:anchor="_6qsmonhoiqmh">
            <w:r w:rsidRPr="00D82C1C">
              <w:rPr>
                <w:b/>
                <w:bCs/>
                <w:color w:val="000000"/>
              </w:rPr>
              <w:t>3. Security Policies for HealthPlus Analytics</w:t>
            </w:r>
            <w:r w:rsidRPr="00D82C1C">
              <w:rPr>
                <w:b/>
                <w:bCs/>
                <w:color w:val="000000"/>
              </w:rPr>
              <w:tab/>
            </w:r>
            <w:r w:rsidRPr="00D82C1C">
              <w:rPr>
                <w:b/>
                <w:bCs/>
                <w:color w:val="000000"/>
              </w:rPr>
              <w:t>5</w:t>
            </w:r>
          </w:hyperlink>
        </w:p>
        <w:p w:rsidRPr="00D82C1C" w:rsidR="001C7673" w:rsidRDefault="00650891" w14:paraId="5059A867" w14:textId="77777777">
          <w:pPr>
            <w:widowControl w:val="0"/>
            <w:tabs>
              <w:tab w:val="right" w:pos="12000"/>
            </w:tabs>
            <w:spacing w:before="60" w:after="0" w:line="240" w:lineRule="auto"/>
            <w:jc w:val="left"/>
            <w:rPr>
              <w:b/>
              <w:bCs/>
              <w:color w:val="000000"/>
            </w:rPr>
          </w:pPr>
          <w:hyperlink w:anchor="_4qf9w9m2cxl1">
            <w:r w:rsidRPr="00D82C1C">
              <w:rPr>
                <w:b/>
                <w:bCs/>
                <w:color w:val="000000"/>
              </w:rPr>
              <w:t>4. Mitigation Measures and Technical Controls</w:t>
            </w:r>
            <w:r w:rsidRPr="00D82C1C">
              <w:rPr>
                <w:b/>
                <w:bCs/>
                <w:color w:val="000000"/>
              </w:rPr>
              <w:tab/>
            </w:r>
            <w:r w:rsidRPr="00D82C1C">
              <w:rPr>
                <w:b/>
                <w:bCs/>
                <w:color w:val="000000"/>
              </w:rPr>
              <w:t>6</w:t>
            </w:r>
          </w:hyperlink>
        </w:p>
        <w:p w:rsidRPr="00D82C1C" w:rsidR="001C7673" w:rsidRDefault="00650891" w14:paraId="1A9E4815" w14:textId="77777777">
          <w:pPr>
            <w:widowControl w:val="0"/>
            <w:tabs>
              <w:tab w:val="right" w:pos="12000"/>
            </w:tabs>
            <w:spacing w:before="60" w:after="0" w:line="240" w:lineRule="auto"/>
            <w:jc w:val="left"/>
            <w:rPr>
              <w:b/>
              <w:bCs/>
              <w:color w:val="000000"/>
            </w:rPr>
          </w:pPr>
          <w:hyperlink w:anchor="_khxty1atx9lh">
            <w:r w:rsidRPr="00D82C1C">
              <w:rPr>
                <w:b/>
                <w:bCs/>
                <w:color w:val="000000"/>
              </w:rPr>
              <w:t>5. Monitoring, Detection, and Incident Response</w:t>
            </w:r>
            <w:r w:rsidRPr="00D82C1C">
              <w:rPr>
                <w:b/>
                <w:bCs/>
                <w:color w:val="000000"/>
              </w:rPr>
              <w:tab/>
            </w:r>
            <w:r w:rsidRPr="00D82C1C">
              <w:rPr>
                <w:b/>
                <w:bCs/>
                <w:color w:val="000000"/>
              </w:rPr>
              <w:t>7</w:t>
            </w:r>
          </w:hyperlink>
        </w:p>
        <w:p w:rsidRPr="00D82C1C" w:rsidR="001C7673" w:rsidRDefault="00650891" w14:paraId="45400287" w14:textId="77777777">
          <w:pPr>
            <w:widowControl w:val="0"/>
            <w:tabs>
              <w:tab w:val="right" w:pos="12000"/>
            </w:tabs>
            <w:spacing w:before="60" w:after="0" w:line="240" w:lineRule="auto"/>
            <w:jc w:val="left"/>
            <w:rPr>
              <w:b/>
              <w:bCs/>
              <w:color w:val="000000"/>
            </w:rPr>
          </w:pPr>
          <w:hyperlink w:anchor="_sko57vjhzmp">
            <w:r w:rsidRPr="00D82C1C">
              <w:rPr>
                <w:b/>
                <w:bCs/>
                <w:color w:val="000000"/>
              </w:rPr>
              <w:t>6. Staff Training and Security Awareness Program</w:t>
            </w:r>
            <w:r w:rsidRPr="00D82C1C">
              <w:rPr>
                <w:b/>
                <w:bCs/>
                <w:color w:val="000000"/>
              </w:rPr>
              <w:tab/>
            </w:r>
            <w:r w:rsidRPr="00D82C1C">
              <w:rPr>
                <w:b/>
                <w:bCs/>
                <w:color w:val="000000"/>
              </w:rPr>
              <w:t>8</w:t>
            </w:r>
          </w:hyperlink>
        </w:p>
        <w:p w:rsidRPr="00D82C1C" w:rsidR="001C7673" w:rsidRDefault="00650891" w14:paraId="43ADD806" w14:textId="77777777">
          <w:pPr>
            <w:widowControl w:val="0"/>
            <w:tabs>
              <w:tab w:val="right" w:pos="12000"/>
            </w:tabs>
            <w:spacing w:before="60" w:after="0" w:line="240" w:lineRule="auto"/>
            <w:jc w:val="left"/>
            <w:rPr>
              <w:b/>
              <w:bCs/>
              <w:color w:val="000000"/>
            </w:rPr>
          </w:pPr>
          <w:hyperlink w:anchor="_vfsvpuk0mr80">
            <w:r w:rsidRPr="00D82C1C">
              <w:rPr>
                <w:b/>
                <w:bCs/>
                <w:color w:val="000000"/>
              </w:rPr>
              <w:t>7. Conclusion and Recommendations</w:t>
            </w:r>
            <w:r w:rsidRPr="00D82C1C">
              <w:rPr>
                <w:b/>
                <w:bCs/>
                <w:color w:val="000000"/>
              </w:rPr>
              <w:tab/>
            </w:r>
            <w:r w:rsidRPr="00D82C1C">
              <w:rPr>
                <w:b/>
                <w:bCs/>
                <w:color w:val="000000"/>
              </w:rPr>
              <w:t>9</w:t>
            </w:r>
          </w:hyperlink>
        </w:p>
        <w:p w:rsidRPr="00D82C1C" w:rsidR="00D82C1C" w:rsidRDefault="00650891" w14:paraId="7F4535FE" w14:textId="77777777">
          <w:pPr>
            <w:widowControl w:val="0"/>
            <w:tabs>
              <w:tab w:val="right" w:pos="12000"/>
            </w:tabs>
            <w:spacing w:before="60" w:after="0" w:line="240" w:lineRule="auto"/>
            <w:jc w:val="left"/>
            <w:rPr>
              <w:b/>
            </w:rPr>
          </w:pPr>
          <w:hyperlink w:anchor="_59dqtrgbg7vj">
            <w:r w:rsidRPr="00D82C1C">
              <w:rPr>
                <w:b/>
                <w:bCs/>
                <w:color w:val="000000"/>
              </w:rPr>
              <w:t>8. References</w:t>
            </w:r>
            <w:r w:rsidRPr="00D82C1C">
              <w:rPr>
                <w:b/>
                <w:bCs/>
                <w:color w:val="000000"/>
              </w:rPr>
              <w:tab/>
            </w:r>
            <w:r w:rsidRPr="00D82C1C">
              <w:rPr>
                <w:b/>
                <w:bCs/>
                <w:color w:val="000000"/>
              </w:rPr>
              <w:t>11</w:t>
            </w:r>
          </w:hyperlink>
          <w:r w:rsidRPr="00D82C1C">
            <w:rPr>
              <w:b/>
            </w:rPr>
            <w:fldChar w:fldCharType="end"/>
          </w:r>
        </w:p>
        <w:p w:rsidRPr="00D82C1C" w:rsidR="001C7673" w:rsidRDefault="00D82C1C" w14:paraId="1D354CFC" w14:textId="77777777">
          <w:pPr>
            <w:widowControl w:val="0"/>
            <w:tabs>
              <w:tab w:val="right" w:pos="12000"/>
            </w:tabs>
            <w:spacing w:before="60" w:after="0" w:line="240" w:lineRule="auto"/>
            <w:jc w:val="left"/>
            <w:rPr>
              <w:b/>
              <w:bCs/>
              <w:color w:val="000000"/>
            </w:rPr>
          </w:pPr>
          <w:r w:rsidRPr="00D82C1C">
            <w:rPr>
              <w:b/>
            </w:rPr>
            <w:t>9. Appendices                                                                                                                                13</w:t>
          </w:r>
        </w:p>
      </w:sdtContent>
    </w:sdt>
    <w:p w:rsidR="001C7673" w:rsidRDefault="00650891" w14:paraId="20D70ED4" w14:textId="77777777">
      <w:pPr>
        <w:spacing w:before="0" w:after="0"/>
        <w:jc w:val="center"/>
      </w:pPr>
      <w:r>
        <w:br w:type="page"/>
      </w:r>
    </w:p>
    <w:p w:rsidR="001C7673" w:rsidRDefault="00650891" w14:paraId="7560A617" w14:textId="77777777">
      <w:pPr>
        <w:pStyle w:val="Heading1"/>
      </w:pPr>
      <w:bookmarkStart w:name="_d8wbjyl4nvs" w:colFirst="0" w:colLast="0" w:id="0"/>
      <w:bookmarkEnd w:id="0"/>
      <w:r>
        <w:t>1. Introduction and Scenario Context</w:t>
      </w:r>
    </w:p>
    <w:p w:rsidR="001C7673" w:rsidRDefault="00650891" w14:paraId="17D0C0B6" w14:textId="25CDC82B">
      <w:r w:rsidRPr="62104268" w:rsidR="00650891">
        <w:rPr>
          <w:lang w:val="en-US"/>
        </w:rPr>
        <w:t xml:space="preserve">The problem of cybersecurity has become a burning issue for contemporary </w:t>
      </w:r>
      <w:r w:rsidRPr="62104268" w:rsidR="00C265BE">
        <w:rPr>
          <w:lang w:val="en-US"/>
        </w:rPr>
        <w:t>organizations</w:t>
      </w:r>
      <w:r w:rsidRPr="62104268" w:rsidR="00650891">
        <w:rPr>
          <w:lang w:val="en-US"/>
        </w:rPr>
        <w:t xml:space="preserve"> because cloud computing, working remotely, and electronic health systems have increased the vulnerability to cybercrime to a great extent. </w:t>
      </w:r>
      <w:r w:rsidRPr="62104268" w:rsidR="00C265BE">
        <w:rPr>
          <w:lang w:val="en-US"/>
        </w:rPr>
        <w:t>Health Plus</w:t>
      </w:r>
      <w:r w:rsidRPr="62104268" w:rsidR="00650891">
        <w:rPr>
          <w:lang w:val="en-US"/>
        </w:rPr>
        <w:t xml:space="preserve"> Analytics (HPA) is a healthcare technology company in the United Kingdom, which processes and analyses sensitive patient data on behalf of hospitals and clinics; </w:t>
      </w:r>
      <w:r w:rsidRPr="62104268" w:rsidR="00FE2B47">
        <w:rPr>
          <w:lang w:val="en-US"/>
        </w:rPr>
        <w:t>therefore,</w:t>
      </w:r>
      <w:r w:rsidRPr="62104268" w:rsidR="00650891">
        <w:rPr>
          <w:lang w:val="en-US"/>
        </w:rPr>
        <w:t xml:space="preserve"> the information security is one of the key aspects of its activities. In the recent past, HPA lost access to its stored patient data using clouds and a ransomware attack, which compromised its analytics servers, and points to the shortcomings of current security mechanisms. These cases subject the </w:t>
      </w:r>
      <w:r w:rsidRPr="62104268" w:rsidR="00C265BE">
        <w:rPr>
          <w:lang w:val="en-US"/>
        </w:rPr>
        <w:t>organization</w:t>
      </w:r>
      <w:r w:rsidRPr="62104268" w:rsidR="00650891">
        <w:rPr>
          <w:lang w:val="en-US"/>
        </w:rPr>
        <w:t xml:space="preserve"> to regulatory fines according to the UK General Data Protection Regulation and may damage patient trust and the reputation of the </w:t>
      </w:r>
      <w:r w:rsidRPr="62104268" w:rsidR="00C265BE">
        <w:rPr>
          <w:lang w:val="en-US"/>
        </w:rPr>
        <w:t>organization</w:t>
      </w:r>
      <w:r w:rsidRPr="62104268" w:rsidR="00650891">
        <w:rPr>
          <w:lang w:val="en-US"/>
        </w:rPr>
        <w:t xml:space="preserve"> (Information Commissioner's Office, 2023; Mahendru, 2023). Information breaches within controlled industries lead to significant financial and operational effects as well, which justifies the significance of active security management (</w:t>
      </w:r>
      <w:r w:rsidRPr="62104268" w:rsidR="00650891">
        <w:rPr>
          <w:lang w:val="en-US"/>
        </w:rPr>
        <w:t>Bonderud</w:t>
      </w:r>
      <w:r w:rsidRPr="62104268" w:rsidR="00650891">
        <w:rPr>
          <w:lang w:val="en-US"/>
        </w:rPr>
        <w:t xml:space="preserve">, 2024). This report </w:t>
      </w:r>
      <w:r w:rsidRPr="62104268" w:rsidR="00C265BE">
        <w:rPr>
          <w:lang w:val="en-US"/>
        </w:rPr>
        <w:t>aims</w:t>
      </w:r>
      <w:r w:rsidRPr="62104268" w:rsidR="00650891">
        <w:rPr>
          <w:lang w:val="en-US"/>
        </w:rPr>
        <w:t xml:space="preserve"> </w:t>
      </w:r>
      <w:r w:rsidRPr="62104268" w:rsidR="00650891">
        <w:rPr>
          <w:lang w:val="en-US"/>
        </w:rPr>
        <w:t>at creating</w:t>
      </w:r>
      <w:r w:rsidRPr="62104268" w:rsidR="00650891">
        <w:rPr>
          <w:lang w:val="en-US"/>
        </w:rPr>
        <w:t xml:space="preserve"> a holistic data security and governance system that will cover the risks </w:t>
      </w:r>
      <w:r w:rsidRPr="62104268" w:rsidR="00650891">
        <w:rPr>
          <w:lang w:val="en-US"/>
        </w:rPr>
        <w:t>identified</w:t>
      </w:r>
      <w:r w:rsidRPr="62104268" w:rsidR="00650891">
        <w:rPr>
          <w:lang w:val="en-US"/>
        </w:rPr>
        <w:t xml:space="preserve"> and enhance cybersecurity resilience at </w:t>
      </w:r>
      <w:r w:rsidRPr="62104268" w:rsidR="00C265BE">
        <w:rPr>
          <w:lang w:val="en-US"/>
        </w:rPr>
        <w:t>Health Plus</w:t>
      </w:r>
      <w:r w:rsidRPr="62104268" w:rsidR="00650891">
        <w:rPr>
          <w:lang w:val="en-US"/>
        </w:rPr>
        <w:t xml:space="preserve"> Analytics.</w:t>
      </w:r>
    </w:p>
    <w:p w:rsidR="001C7673" w:rsidRDefault="00650891" w14:paraId="3E7DBF70" w14:textId="77777777">
      <w:pPr>
        <w:pStyle w:val="Heading1"/>
      </w:pPr>
      <w:bookmarkStart w:name="_rlpvv476c5vu" w:colFirst="0" w:colLast="0" w:id="1"/>
      <w:bookmarkEnd w:id="1"/>
      <w:r>
        <w:t>2. Identification of Internal and External Security Threats</w:t>
      </w:r>
    </w:p>
    <w:p w:rsidR="001C7673" w:rsidRDefault="00C265BE" w14:paraId="792603CD" w14:textId="2E2D1EC9">
      <w:r w:rsidRPr="62104268" w:rsidR="668CF22E">
        <w:rPr>
          <w:lang w:val="en-US"/>
        </w:rPr>
        <w:t>Health</w:t>
      </w:r>
      <w:r w:rsidRPr="62104268" w:rsidR="00C265BE">
        <w:rPr>
          <w:lang w:val="en-US"/>
        </w:rPr>
        <w:t xml:space="preserve"> Plus</w:t>
      </w:r>
      <w:r w:rsidRPr="62104268" w:rsidR="00650891">
        <w:rPr>
          <w:lang w:val="en-US"/>
        </w:rPr>
        <w:t xml:space="preserve"> Analytics is vulnerable to various internal and external cybersecurity threats, which have a direct effect on the confidentiality, integrity, and availability of healthcare data.</w:t>
      </w:r>
    </w:p>
    <w:p w:rsidR="001C7673" w:rsidRDefault="00650891" w14:paraId="426CC0B1" w14:textId="77777777">
      <w:pPr>
        <w:pStyle w:val="Heading2"/>
      </w:pPr>
      <w:bookmarkStart w:name="_aclhgo2056tl" w:colFirst="0" w:colLast="0" w:id="2"/>
      <w:bookmarkEnd w:id="2"/>
      <w:r>
        <w:t>2.1 Internal Threats</w:t>
      </w:r>
    </w:p>
    <w:p w:rsidR="001C7673" w:rsidRDefault="00650891" w14:paraId="61290B75" w14:textId="4E663A0D">
      <w:r w:rsidRPr="62104268" w:rsidR="00650891">
        <w:rPr>
          <w:lang w:val="en-US"/>
        </w:rPr>
        <w:t xml:space="preserve">The major causes of internal threats are human and </w:t>
      </w:r>
      <w:r w:rsidRPr="62104268" w:rsidR="00C265BE">
        <w:rPr>
          <w:lang w:val="en-US"/>
        </w:rPr>
        <w:t>organizational</w:t>
      </w:r>
      <w:r w:rsidRPr="62104268" w:rsidR="00650891">
        <w:rPr>
          <w:lang w:val="en-US"/>
        </w:rPr>
        <w:t xml:space="preserve"> factors. Insider threats can include either ill-minded employees who can abuse their access privileges or staff who can be careless and have </w:t>
      </w:r>
      <w:r w:rsidRPr="62104268" w:rsidR="2DCD9636">
        <w:rPr>
          <w:lang w:val="en-US"/>
        </w:rPr>
        <w:t>unintentional</w:t>
      </w:r>
      <w:r w:rsidRPr="62104268" w:rsidR="00650891">
        <w:rPr>
          <w:lang w:val="en-US"/>
        </w:rPr>
        <w:t xml:space="preserve"> exposure to data due to ineffective security practices (Tan et al., 2025). Lack of multi-factor authentication and the management of passwords which are weakly reinforced raise the chances of having an account compromised especially within cloud setups (Microsoft, 2024). Poor access control and user privileges also increase the risk because they allow employees to access </w:t>
      </w:r>
      <w:r w:rsidRPr="62104268" w:rsidR="0AB8BC0A">
        <w:rPr>
          <w:lang w:val="en-US"/>
        </w:rPr>
        <w:t>data,</w:t>
      </w:r>
      <w:r w:rsidRPr="62104268" w:rsidR="00650891">
        <w:rPr>
          <w:lang w:val="en-US"/>
        </w:rPr>
        <w:t xml:space="preserve"> they do not need to </w:t>
      </w:r>
      <w:r w:rsidRPr="62104268" w:rsidR="00650891">
        <w:rPr>
          <w:lang w:val="en-US"/>
        </w:rPr>
        <w:t>operate</w:t>
      </w:r>
      <w:r w:rsidRPr="62104268" w:rsidR="00650891">
        <w:rPr>
          <w:lang w:val="en-US"/>
        </w:rPr>
        <w:t xml:space="preserve"> their business, which is not aligned with the concept of least privilege (NIST, 2020). The issue of human error is also considerable because employees are </w:t>
      </w:r>
      <w:r w:rsidRPr="62104268" w:rsidR="00650891">
        <w:rPr>
          <w:lang w:val="en-US"/>
        </w:rPr>
        <w:t>frequently</w:t>
      </w:r>
      <w:r w:rsidRPr="62104268" w:rsidR="00650891">
        <w:rPr>
          <w:lang w:val="en-US"/>
        </w:rPr>
        <w:t xml:space="preserve"> susceptible to phishing and social engineering, through which they can suffer the consequences of trust and ignorance (Tan et al., 2025). Also, personal devices used on </w:t>
      </w:r>
      <w:r w:rsidRPr="62104268" w:rsidR="00650891">
        <w:rPr>
          <w:lang w:val="en-US"/>
        </w:rPr>
        <w:t xml:space="preserve">the grounds of bring-your-own-device agreements present security vulnerabilities because these devices may not be patched, endpoint-protected, or </w:t>
      </w:r>
      <w:r w:rsidRPr="62104268" w:rsidR="00650891">
        <w:rPr>
          <w:lang w:val="en-US"/>
        </w:rPr>
        <w:t>monitored</w:t>
      </w:r>
      <w:r w:rsidRPr="62104268" w:rsidR="00650891">
        <w:rPr>
          <w:lang w:val="en-US"/>
        </w:rPr>
        <w:t xml:space="preserve"> (Cloud Security Alliance, 2024).</w:t>
      </w:r>
    </w:p>
    <w:p w:rsidR="001C7673" w:rsidRDefault="00650891" w14:paraId="7EA97A71" w14:textId="77777777">
      <w:pPr>
        <w:pStyle w:val="Heading2"/>
      </w:pPr>
      <w:bookmarkStart w:name="_6rufqmhhsvox" w:colFirst="0" w:colLast="0" w:id="3"/>
      <w:bookmarkEnd w:id="3"/>
      <w:r>
        <w:t>2.2 External Threats</w:t>
      </w:r>
    </w:p>
    <w:p w:rsidR="001C7673" w:rsidRDefault="00650891" w14:paraId="46CB3351" w14:textId="758095F7">
      <w:r w:rsidRPr="62104268" w:rsidR="00650891">
        <w:rPr>
          <w:lang w:val="en-US"/>
        </w:rPr>
        <w:t xml:space="preserve">Healthcare </w:t>
      </w:r>
      <w:r w:rsidRPr="62104268" w:rsidR="00C265BE">
        <w:rPr>
          <w:lang w:val="en-US"/>
        </w:rPr>
        <w:t>organizations</w:t>
      </w:r>
      <w:r w:rsidRPr="62104268" w:rsidR="00650891">
        <w:rPr>
          <w:lang w:val="en-US"/>
        </w:rPr>
        <w:t xml:space="preserve"> are also common victims of ransomware attacks externally thanks to the urgency of their services and data, and the attackers use the operational urgency to impose payment (Mahendru, 2023). Malware and phishing campaigns keep advancing, and they can </w:t>
      </w:r>
      <w:r w:rsidRPr="62104268" w:rsidR="00650891">
        <w:rPr>
          <w:lang w:val="en-US"/>
        </w:rPr>
        <w:t>frequently</w:t>
      </w:r>
      <w:r w:rsidRPr="62104268" w:rsidR="00650891">
        <w:rPr>
          <w:lang w:val="en-US"/>
        </w:rPr>
        <w:t xml:space="preserve"> act as </w:t>
      </w:r>
      <w:r w:rsidRPr="62104268" w:rsidR="00650891">
        <w:rPr>
          <w:lang w:val="en-US"/>
        </w:rPr>
        <w:t>an initial</w:t>
      </w:r>
      <w:r w:rsidRPr="62104268" w:rsidR="00650891">
        <w:rPr>
          <w:lang w:val="en-US"/>
        </w:rPr>
        <w:t xml:space="preserve"> entry point to a more comprehensive network damage (NIST, 2024). The exposure of storage or improperly regulated identities via cloud security misconfigurations </w:t>
      </w:r>
      <w:r w:rsidRPr="62104268" w:rsidR="00650891">
        <w:rPr>
          <w:lang w:val="en-US"/>
        </w:rPr>
        <w:t>are</w:t>
      </w:r>
      <w:r w:rsidRPr="62104268" w:rsidR="00650891">
        <w:rPr>
          <w:lang w:val="en-US"/>
        </w:rPr>
        <w:t xml:space="preserve"> very threatening to shared responsibility environments (Cloud Security Alliance, 2024). Remote </w:t>
      </w:r>
      <w:r w:rsidRPr="62104268" w:rsidR="00650891">
        <w:rPr>
          <w:lang w:val="en-US"/>
        </w:rPr>
        <w:t>access</w:t>
      </w:r>
      <w:r w:rsidRPr="62104268" w:rsidR="00650891">
        <w:rPr>
          <w:lang w:val="en-US"/>
        </w:rPr>
        <w:t xml:space="preserve"> exploitation and data interception during transmission is also </w:t>
      </w:r>
      <w:r w:rsidRPr="62104268" w:rsidR="00C265BE">
        <w:rPr>
          <w:lang w:val="en-US"/>
        </w:rPr>
        <w:t>unauthorized</w:t>
      </w:r>
      <w:r w:rsidRPr="62104268" w:rsidR="00650891">
        <w:rPr>
          <w:lang w:val="en-US"/>
        </w:rPr>
        <w:t xml:space="preserve">, and it also poses </w:t>
      </w:r>
      <w:r w:rsidRPr="62104268" w:rsidR="00C265BE">
        <w:rPr>
          <w:lang w:val="en-US"/>
        </w:rPr>
        <w:t>an</w:t>
      </w:r>
      <w:r w:rsidRPr="62104268" w:rsidR="00650891">
        <w:rPr>
          <w:lang w:val="en-US"/>
        </w:rPr>
        <w:t xml:space="preserve"> </w:t>
      </w:r>
      <w:r w:rsidRPr="62104268" w:rsidR="00650891">
        <w:rPr>
          <w:lang w:val="en-US"/>
        </w:rPr>
        <w:t>additional</w:t>
      </w:r>
      <w:r w:rsidRPr="62104268" w:rsidR="00650891">
        <w:rPr>
          <w:lang w:val="en-US"/>
        </w:rPr>
        <w:t xml:space="preserve"> threat to the integrity of the system and service availability.</w:t>
      </w:r>
    </w:p>
    <w:p w:rsidR="001C7673" w:rsidRDefault="00650891" w14:paraId="7C7C8469" w14:textId="77777777">
      <w:pPr>
        <w:spacing w:after="0" w:line="240" w:lineRule="auto"/>
        <w:jc w:val="center"/>
      </w:pPr>
      <w:r>
        <w:rPr>
          <w:noProof/>
          <w:lang w:val="en-GB"/>
        </w:rPr>
        <w:drawing>
          <wp:inline distT="114300" distB="114300" distL="114300" distR="114300" wp14:anchorId="0671D760" wp14:editId="58603B9D">
            <wp:extent cx="5943600" cy="1092200"/>
            <wp:effectExtent l="12700" t="12700" r="12700" b="1270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43600" cy="1092200"/>
                    </a:xfrm>
                    <a:prstGeom prst="rect">
                      <a:avLst/>
                    </a:prstGeom>
                    <a:ln w="12700">
                      <a:solidFill>
                        <a:srgbClr val="000000"/>
                      </a:solidFill>
                      <a:prstDash val="solid"/>
                    </a:ln>
                  </pic:spPr>
                </pic:pic>
              </a:graphicData>
            </a:graphic>
          </wp:inline>
        </w:drawing>
      </w:r>
    </w:p>
    <w:p w:rsidR="001C7673" w:rsidRDefault="00650891" w14:paraId="4FF0B61E" w14:textId="450887E2">
      <w:pPr>
        <w:pStyle w:val="Heading4"/>
      </w:pPr>
      <w:bookmarkStart w:name="_x404xbnb038f" w:colFirst="0" w:colLast="0" w:id="4"/>
      <w:bookmarkEnd w:id="4"/>
      <w:r>
        <w:t xml:space="preserve">Figure 1: Overview of Internal and External Security Threats Facing </w:t>
      </w:r>
      <w:r w:rsidR="00C265BE">
        <w:t>Health Plus</w:t>
      </w:r>
      <w:r>
        <w:t xml:space="preserve"> Analytics</w:t>
      </w:r>
    </w:p>
    <w:p w:rsidR="001C7673" w:rsidRDefault="00650891" w14:paraId="60876E0B" w14:textId="77777777">
      <w:pPr>
        <w:spacing w:after="0" w:line="240" w:lineRule="auto"/>
        <w:jc w:val="center"/>
      </w:pPr>
      <w:r>
        <w:rPr>
          <w:noProof/>
          <w:lang w:val="en-GB"/>
        </w:rPr>
        <w:drawing>
          <wp:inline distT="114300" distB="114300" distL="114300" distR="114300" wp14:anchorId="7EDBE9A5" wp14:editId="559F698F">
            <wp:extent cx="5943600" cy="1168400"/>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1168400"/>
                    </a:xfrm>
                    <a:prstGeom prst="rect">
                      <a:avLst/>
                    </a:prstGeom>
                    <a:ln w="12700">
                      <a:solidFill>
                        <a:srgbClr val="000000"/>
                      </a:solidFill>
                      <a:prstDash val="solid"/>
                    </a:ln>
                  </pic:spPr>
                </pic:pic>
              </a:graphicData>
            </a:graphic>
          </wp:inline>
        </w:drawing>
      </w:r>
    </w:p>
    <w:p w:rsidR="001C7673" w:rsidRDefault="00650891" w14:paraId="46959155" w14:textId="3993AF97">
      <w:pPr>
        <w:pStyle w:val="Heading4"/>
      </w:pPr>
      <w:bookmarkStart w:name="_v2bheri82e1" w:colFirst="0" w:colLast="0" w:id="5"/>
      <w:bookmarkEnd w:id="5"/>
      <w:r>
        <w:t xml:space="preserve">Figure 2: CIA Triad Impact on the Security of Healthcare Data at </w:t>
      </w:r>
      <w:r w:rsidR="00C265BE">
        <w:t>health Plus</w:t>
      </w:r>
      <w:r>
        <w:t xml:space="preserve"> Analytics</w:t>
      </w:r>
    </w:p>
    <w:p w:rsidR="001C7673" w:rsidRDefault="00650891" w14:paraId="72F554F3" w14:textId="3F4333E5">
      <w:r>
        <w:t xml:space="preserve">Together, these risks to confidentiality, integrity, and availability as breaches of data, </w:t>
      </w:r>
      <w:r w:rsidR="00C265BE">
        <w:t>unauthorized</w:t>
      </w:r>
      <w:r>
        <w:t xml:space="preserve"> changes, and service interruption, prove the applicability of the CIA triad in evaluating the cybersecurity risk at </w:t>
      </w:r>
      <w:r w:rsidR="00C265BE">
        <w:t>health Plus</w:t>
      </w:r>
      <w:r>
        <w:t xml:space="preserve"> Analytics.</w:t>
      </w:r>
    </w:p>
    <w:p w:rsidR="001C7673" w:rsidRDefault="00650891" w14:paraId="48C8DDC5" w14:textId="61A065EA">
      <w:pPr>
        <w:pStyle w:val="Heading1"/>
      </w:pPr>
      <w:bookmarkStart w:name="_6qsmonhoiqmh" w:colFirst="0" w:colLast="0" w:id="6"/>
      <w:bookmarkEnd w:id="6"/>
      <w:r>
        <w:t xml:space="preserve">3. Security Policies for </w:t>
      </w:r>
      <w:r w:rsidR="00C265BE">
        <w:t>health Plus</w:t>
      </w:r>
      <w:r>
        <w:t xml:space="preserve"> Analytics</w:t>
      </w:r>
    </w:p>
    <w:p w:rsidR="001C7673" w:rsidRDefault="00650891" w14:paraId="5CF0B332" w14:textId="7FA8339F">
      <w:r w:rsidRPr="62104268" w:rsidR="00650891">
        <w:rPr>
          <w:lang w:val="en-US"/>
        </w:rPr>
        <w:t xml:space="preserve">The formal security policies are critical in the protection of sensitive healthcare data and in ensuring that security practices are consistent throughout </w:t>
      </w:r>
      <w:r w:rsidRPr="62104268" w:rsidR="00C265BE">
        <w:rPr>
          <w:lang w:val="en-US"/>
        </w:rPr>
        <w:t>health Plus</w:t>
      </w:r>
      <w:r w:rsidRPr="62104268" w:rsidR="00650891">
        <w:rPr>
          <w:lang w:val="en-US"/>
        </w:rPr>
        <w:t xml:space="preserve"> Analytics. Policies offer some form of order, which stipulates what constitutes good </w:t>
      </w:r>
      <w:r w:rsidRPr="62104268" w:rsidR="00C265BE">
        <w:rPr>
          <w:lang w:val="en-US"/>
        </w:rPr>
        <w:t>behavior</w:t>
      </w:r>
      <w:r w:rsidRPr="62104268" w:rsidR="00650891">
        <w:rPr>
          <w:lang w:val="en-US"/>
        </w:rPr>
        <w:t xml:space="preserve">, </w:t>
      </w:r>
      <w:r w:rsidRPr="62104268" w:rsidR="71D58F8A">
        <w:rPr>
          <w:lang w:val="en-US"/>
        </w:rPr>
        <w:t>and</w:t>
      </w:r>
      <w:r w:rsidRPr="62104268" w:rsidR="00650891">
        <w:rPr>
          <w:lang w:val="en-US"/>
        </w:rPr>
        <w:t xml:space="preserve"> assigns responsibility and </w:t>
      </w:r>
      <w:r w:rsidRPr="62104268" w:rsidR="00650891">
        <w:rPr>
          <w:lang w:val="en-US"/>
        </w:rPr>
        <w:t>facilitates</w:t>
      </w:r>
      <w:r w:rsidRPr="62104268" w:rsidR="00650891">
        <w:rPr>
          <w:lang w:val="en-US"/>
        </w:rPr>
        <w:t xml:space="preserve"> adherence to legal and regulatory requirements. The policies </w:t>
      </w:r>
      <w:r w:rsidRPr="62104268" w:rsidR="00650891">
        <w:rPr>
          <w:lang w:val="en-US"/>
        </w:rPr>
        <w:t>eliminate</w:t>
      </w:r>
      <w:r w:rsidRPr="62104268" w:rsidR="00650891">
        <w:rPr>
          <w:lang w:val="en-US"/>
        </w:rPr>
        <w:t xml:space="preserve"> uncertainty and </w:t>
      </w:r>
      <w:r w:rsidRPr="62104268" w:rsidR="00C265BE">
        <w:rPr>
          <w:lang w:val="en-US"/>
        </w:rPr>
        <w:t>minimize</w:t>
      </w:r>
      <w:r w:rsidRPr="62104268" w:rsidR="00650891">
        <w:rPr>
          <w:lang w:val="en-US"/>
        </w:rPr>
        <w:t xml:space="preserve"> security risks posed by humans within a healthcare context, where the privacy of patient information is paramount (Information Commissioner's Office, 2023; NHS England, 2020).</w:t>
      </w:r>
    </w:p>
    <w:p w:rsidR="001C7673" w:rsidRDefault="00C265BE" w14:paraId="19175CD5" w14:textId="4BAA98B7">
      <w:r w:rsidR="6B98B56B">
        <w:rPr/>
        <w:t>Health</w:t>
      </w:r>
      <w:r w:rsidR="00C265BE">
        <w:rPr/>
        <w:t xml:space="preserve"> Plus</w:t>
      </w:r>
      <w:r w:rsidR="00650891">
        <w:rPr/>
        <w:t xml:space="preserve"> Analytics security policy framework is consistent with the ISO IEC 27001, NIST guidelines, and UK GDPR principles. The ISO/IEC 27001 helps develop a systematic approach to the governance of information security, and this approach should involve continuous identification, management, and review of risks (Kitsios et al., 2023). These are supplemented by NIST frameworks, which offer practical control guidance and the UK GDPR requires </w:t>
      </w:r>
      <w:r w:rsidR="00650891">
        <w:rPr/>
        <w:t>appropriate technical</w:t>
      </w:r>
      <w:r w:rsidR="00650891">
        <w:rPr/>
        <w:t xml:space="preserve"> and </w:t>
      </w:r>
      <w:r w:rsidR="00C265BE">
        <w:rPr/>
        <w:t>organizational</w:t>
      </w:r>
      <w:r w:rsidR="00650891">
        <w:rPr/>
        <w:t xml:space="preserve"> measures to secure personal data (NIST, 2020; Information Commissioner's Office, 2023).</w:t>
      </w:r>
    </w:p>
    <w:p w:rsidR="001C7673" w:rsidRDefault="00650891" w14:paraId="30511EC9" w14:textId="149D8BF2">
      <w:r w:rsidRPr="62104268" w:rsidR="00650891">
        <w:rPr>
          <w:lang w:val="en-US"/>
        </w:rPr>
        <w:t xml:space="preserve">An Access Control and Least Privilege Policy will allow employees to access systems and data only when </w:t>
      </w:r>
      <w:r w:rsidRPr="62104268" w:rsidR="00650891">
        <w:rPr>
          <w:lang w:val="en-US"/>
        </w:rPr>
        <w:t>required</w:t>
      </w:r>
      <w:r w:rsidRPr="62104268" w:rsidR="00650891">
        <w:rPr>
          <w:lang w:val="en-US"/>
        </w:rPr>
        <w:t xml:space="preserve"> to do so to perform their job tasks, </w:t>
      </w:r>
      <w:r w:rsidRPr="62104268" w:rsidR="00C265BE">
        <w:rPr>
          <w:lang w:val="en-US"/>
        </w:rPr>
        <w:t>minimizing</w:t>
      </w:r>
      <w:r w:rsidRPr="62104268" w:rsidR="00650891">
        <w:rPr>
          <w:lang w:val="en-US"/>
        </w:rPr>
        <w:t xml:space="preserve"> the effects of insider threats and credential compromise (Microsoft, 2024). The Authentication and Password Management Policy </w:t>
      </w:r>
      <w:r w:rsidRPr="62104268" w:rsidR="09C19E48">
        <w:rPr>
          <w:lang w:val="en-US"/>
        </w:rPr>
        <w:t>require</w:t>
      </w:r>
      <w:r w:rsidRPr="62104268" w:rsidR="00650891">
        <w:rPr>
          <w:lang w:val="en-US"/>
        </w:rPr>
        <w:t xml:space="preserve"> hard passwords and multi-factor authentication to prevent </w:t>
      </w:r>
      <w:r w:rsidRPr="62104268" w:rsidR="00C265BE">
        <w:rPr>
          <w:lang w:val="en-US"/>
        </w:rPr>
        <w:t>unauthorized</w:t>
      </w:r>
      <w:r w:rsidRPr="62104268" w:rsidR="00650891">
        <w:rPr>
          <w:lang w:val="en-US"/>
        </w:rPr>
        <w:t xml:space="preserve"> </w:t>
      </w:r>
      <w:r w:rsidRPr="62104268" w:rsidR="3C324F79">
        <w:rPr>
          <w:lang w:val="en-US"/>
        </w:rPr>
        <w:t>access,</w:t>
      </w:r>
      <w:r w:rsidRPr="62104268" w:rsidR="00650891">
        <w:rPr>
          <w:lang w:val="en-US"/>
        </w:rPr>
        <w:t xml:space="preserve"> </w:t>
      </w:r>
      <w:r w:rsidRPr="62104268" w:rsidR="301B216D">
        <w:rPr>
          <w:lang w:val="en-US"/>
        </w:rPr>
        <w:t>especially</w:t>
      </w:r>
      <w:r w:rsidRPr="62104268" w:rsidR="00650891">
        <w:rPr>
          <w:lang w:val="en-US"/>
        </w:rPr>
        <w:t xml:space="preserve"> cloud and remote services. A Bring Your Own Device (BYOD) policy </w:t>
      </w:r>
      <w:r w:rsidRPr="62104268" w:rsidR="00650891">
        <w:rPr>
          <w:lang w:val="en-US"/>
        </w:rPr>
        <w:t>establishes</w:t>
      </w:r>
      <w:r w:rsidRPr="62104268" w:rsidR="00650891">
        <w:rPr>
          <w:lang w:val="en-US"/>
        </w:rPr>
        <w:t xml:space="preserve"> security demands of the personal devices, such as registration, encryption, and endpoint protection to mitigate the risk posed by remote and hybrid working platforms (Cloud Security Alliance, 2024).</w:t>
      </w:r>
    </w:p>
    <w:p w:rsidR="001C7673" w:rsidRDefault="00650891" w14:paraId="3316E2D5" w14:textId="5BF81A47">
      <w:r w:rsidRPr="62104268" w:rsidR="00650891">
        <w:rPr>
          <w:lang w:val="en-US"/>
        </w:rPr>
        <w:t xml:space="preserve">Data Classification and Handling Policy </w:t>
      </w:r>
      <w:r w:rsidRPr="62104268" w:rsidR="0341D66A">
        <w:rPr>
          <w:lang w:val="en-US"/>
        </w:rPr>
        <w:t>define</w:t>
      </w:r>
      <w:r w:rsidRPr="62104268" w:rsidR="00650891">
        <w:rPr>
          <w:lang w:val="en-US"/>
        </w:rPr>
        <w:t xml:space="preserve"> patient data by sensitivity and outlines the necessary controls in terms of storage, transmission, and disposal </w:t>
      </w:r>
      <w:r w:rsidRPr="62104268" w:rsidR="558E2224">
        <w:rPr>
          <w:lang w:val="en-US"/>
        </w:rPr>
        <w:t>to</w:t>
      </w:r>
      <w:r w:rsidRPr="62104268" w:rsidR="00650891">
        <w:rPr>
          <w:lang w:val="en-US"/>
        </w:rPr>
        <w:t xml:space="preserve"> </w:t>
      </w:r>
      <w:r w:rsidRPr="62104268" w:rsidR="00650891">
        <w:rPr>
          <w:lang w:val="en-US"/>
        </w:rPr>
        <w:t>comply with</w:t>
      </w:r>
      <w:r w:rsidRPr="62104268" w:rsidR="00650891">
        <w:rPr>
          <w:lang w:val="en-US"/>
        </w:rPr>
        <w:t xml:space="preserve"> the GDPR requirements and </w:t>
      </w:r>
      <w:r w:rsidRPr="62104268" w:rsidR="00C265BE">
        <w:rPr>
          <w:lang w:val="en-US"/>
        </w:rPr>
        <w:t>minimize</w:t>
      </w:r>
      <w:r w:rsidRPr="62104268" w:rsidR="00650891">
        <w:rPr>
          <w:lang w:val="en-US"/>
        </w:rPr>
        <w:t xml:space="preserve"> accidental data exposure (Information Commissioner's Office, 2023). The Incident Response and Reporting Policy </w:t>
      </w:r>
      <w:r w:rsidRPr="62104268" w:rsidR="7F6468D5">
        <w:rPr>
          <w:lang w:val="en-US"/>
        </w:rPr>
        <w:t>define</w:t>
      </w:r>
      <w:r w:rsidRPr="62104268" w:rsidR="00650891">
        <w:rPr>
          <w:lang w:val="en-US"/>
        </w:rPr>
        <w:t xml:space="preserve"> the obvious steps to be taken during the identification, escalation, and response to security incidents to provide quick containment and regulatory reporting where necessary (Kral, 2021). Lastly, a Backup and Disaster Recovery Policy can guarantee the availability and resilience of data against ransomware attacks by performing regular and secure backups and performing a tested recovery procedure (Mahendru, 2023).</w:t>
      </w:r>
    </w:p>
    <w:p w:rsidR="001C7673" w:rsidRDefault="00650891" w14:paraId="1008C8BE" w14:textId="2792D216">
      <w:r>
        <w:t xml:space="preserve">All these policies are designed to be practical, enforceable, and integrated into daily operations to ensure a consistent reduction of risk across </w:t>
      </w:r>
      <w:r w:rsidR="00C265BE">
        <w:t>health Plus</w:t>
      </w:r>
      <w:r>
        <w:t xml:space="preserve"> Analytics operations.</w:t>
      </w:r>
    </w:p>
    <w:p w:rsidR="001C7673" w:rsidRDefault="00650891" w14:paraId="3C09DFD0" w14:textId="77777777">
      <w:pPr>
        <w:pStyle w:val="Heading1"/>
      </w:pPr>
      <w:bookmarkStart w:name="_4qf9w9m2cxl1" w:colFirst="0" w:colLast="0" w:id="7"/>
      <w:bookmarkEnd w:id="7"/>
      <w:r>
        <w:t>4. Mitigation Measures and Technical Controls</w:t>
      </w:r>
    </w:p>
    <w:p w:rsidR="001C7673" w:rsidRDefault="00650891" w14:paraId="61DC10A4" w14:textId="594BCBE5">
      <w:r>
        <w:t xml:space="preserve">The security controls implemented at </w:t>
      </w:r>
      <w:r w:rsidR="00C265BE">
        <w:t>health Plus</w:t>
      </w:r>
      <w:r>
        <w:t xml:space="preserve"> Analytics would address the identified threats with direct layered controls that are both technical and administrative. This defensive-in-depth strategy conforms to the NIST practices and cloud security, where the risks are reduced at people, processes, and technology (NIST, 2020; Cloud Security Alliance, 2024).</w:t>
      </w:r>
    </w:p>
    <w:p w:rsidR="001C7673" w:rsidRDefault="00650891" w14:paraId="52775ADD" w14:textId="509A1452">
      <w:r>
        <w:t xml:space="preserve">All cloud environments and remote access systems are also used under multi-factor authentication to </w:t>
      </w:r>
      <w:r w:rsidR="00C265BE">
        <w:t>minimize</w:t>
      </w:r>
      <w:r>
        <w:t xml:space="preserve"> the risk of credential-based attacks and </w:t>
      </w:r>
      <w:r w:rsidR="00C265BE">
        <w:t>unauthorized</w:t>
      </w:r>
      <w:r>
        <w:t xml:space="preserve"> access, which upholds Zero Trust values (Microsoft, 2024). Patient data are encrypted when at rest or when in transit, and thus the data that may be intercepted or misused cannot be read or used inappropriately, and it meets the requirements of the UK GDPR (Information Commissioner's Office, 2023). The isolation of critical analytics servers on user networks is performed through network segmentation and firewall controls to restrict the lateral mobility in the case of a compromise (NIST, 2020).</w:t>
      </w:r>
    </w:p>
    <w:p w:rsidR="001C7673" w:rsidRDefault="00650891" w14:paraId="47E5B0B8" w14:textId="2A7F08A9">
      <w:r>
        <w:t xml:space="preserve">The endpoint protection and anti-malware services are configured in </w:t>
      </w:r>
      <w:r w:rsidR="00C265BE">
        <w:t>organizational</w:t>
      </w:r>
      <w:r>
        <w:t xml:space="preserve"> and approved personal computers to identify and prevent malicious code, especially ransomware and phishing bait (Mahendru, 2023). Patch work and vulnerability scanning are performed on a regular basis to fix the identified weaknesses in the software before they are exploited to </w:t>
      </w:r>
      <w:r w:rsidR="00C265BE">
        <w:t>minimize</w:t>
      </w:r>
      <w:r>
        <w:t xml:space="preserve"> the attack surface of the </w:t>
      </w:r>
      <w:r w:rsidR="00C265BE">
        <w:t>organization</w:t>
      </w:r>
      <w:r>
        <w:t xml:space="preserve"> (NIST, 2024). Offline and immutable storage is used to secure backup solutions so that the data can be recovered in case of a </w:t>
      </w:r>
      <w:r w:rsidR="00C265BE">
        <w:t>cyber-attack</w:t>
      </w:r>
      <w:r>
        <w:t xml:space="preserve"> without having to pay a ransom to continue business (Mahendru, 2023).</w:t>
      </w:r>
    </w:p>
    <w:p w:rsidR="001C7673" w:rsidRDefault="00650891" w14:paraId="51B953EA" w14:textId="77777777">
      <w:pPr>
        <w:spacing w:after="0" w:line="240" w:lineRule="auto"/>
        <w:jc w:val="center"/>
      </w:pPr>
      <w:r>
        <w:rPr>
          <w:noProof/>
          <w:lang w:val="en-GB"/>
        </w:rPr>
        <w:drawing>
          <wp:inline distT="114300" distB="114300" distL="114300" distR="114300" wp14:anchorId="5FA16E49" wp14:editId="4F10D078">
            <wp:extent cx="5943600" cy="9144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943600" cy="914400"/>
                    </a:xfrm>
                    <a:prstGeom prst="rect">
                      <a:avLst/>
                    </a:prstGeom>
                    <a:ln/>
                  </pic:spPr>
                </pic:pic>
              </a:graphicData>
            </a:graphic>
          </wp:inline>
        </w:drawing>
      </w:r>
    </w:p>
    <w:p w:rsidR="001C7673" w:rsidRDefault="00650891" w14:paraId="4DD52660" w14:textId="77777777">
      <w:pPr>
        <w:pStyle w:val="Heading4"/>
      </w:pPr>
      <w:bookmarkStart w:name="_dw56kkjqte1v" w:colFirst="0" w:colLast="0" w:id="8"/>
      <w:bookmarkEnd w:id="8"/>
      <w:r>
        <w:t>Figure 3: Mapping of Security Policies and Controls to Identified Cyber Threats</w:t>
      </w:r>
    </w:p>
    <w:p w:rsidR="001C7673" w:rsidRDefault="00650891" w14:paraId="052E2013" w14:textId="2CDA868A">
      <w:r>
        <w:t xml:space="preserve">These technical measures are supplemented by administrative controls such as security awareness training and enforcing policies that address human error reduction and enhance the detection of threats by the presence of staff with a high level of awareness in their </w:t>
      </w:r>
      <w:r w:rsidR="00C265BE">
        <w:t>behaviors</w:t>
      </w:r>
      <w:r>
        <w:t xml:space="preserve"> (Burgess, 2025; ENISA, 2019). All these mitigation measures create a holistic security environment that fits the </w:t>
      </w:r>
      <w:r w:rsidR="00C265BE">
        <w:t>health Plus</w:t>
      </w:r>
      <w:r>
        <w:t xml:space="preserve"> Analytics operational cloud-based environment that is healthcare-specific.</w:t>
      </w:r>
    </w:p>
    <w:p w:rsidR="001C7673" w:rsidRDefault="00650891" w14:paraId="55911B4B" w14:textId="77777777">
      <w:pPr>
        <w:pStyle w:val="Heading1"/>
      </w:pPr>
      <w:bookmarkStart w:name="_khxty1atx9lh" w:colFirst="0" w:colLast="0" w:id="9"/>
      <w:bookmarkEnd w:id="9"/>
      <w:r>
        <w:t>5. Monitoring, Detection, and Incident Response</w:t>
      </w:r>
    </w:p>
    <w:p w:rsidR="001C7673" w:rsidRDefault="00650891" w14:paraId="3AD0F466" w14:textId="6677FF9A">
      <w:r>
        <w:t xml:space="preserve">Healthcare </w:t>
      </w:r>
      <w:r w:rsidR="00C265BE">
        <w:t>organizations</w:t>
      </w:r>
      <w:r>
        <w:t xml:space="preserve"> should be continuously monitored because patient data is sensitive and can be targeted in a </w:t>
      </w:r>
      <w:r w:rsidR="00C265BE">
        <w:t>cyber-attack</w:t>
      </w:r>
      <w:r>
        <w:t xml:space="preserve">; therefore, it is necessary to react and respond quickly to such events. Effective monitoring in the framework of </w:t>
      </w:r>
      <w:r w:rsidR="00C265BE">
        <w:t>health Plus</w:t>
      </w:r>
      <w:r>
        <w:t xml:space="preserve"> Analytics serves to promptly identify threats, </w:t>
      </w:r>
      <w:r w:rsidR="00C265BE">
        <w:t>minimize</w:t>
      </w:r>
      <w:r>
        <w:t xml:space="preserve"> disruption of the work process, and decrease the financial and reputational cost of the security breach (</w:t>
      </w:r>
      <w:proofErr w:type="spellStart"/>
      <w:r>
        <w:t>Bonderud</w:t>
      </w:r>
      <w:proofErr w:type="spellEnd"/>
      <w:r>
        <w:t>, 2024; NHS England, 2020).</w:t>
      </w:r>
    </w:p>
    <w:p w:rsidR="001C7673" w:rsidRDefault="00C265BE" w14:paraId="7D3CB2F6" w14:textId="53BF0F58">
      <w:r>
        <w:t>Centralized</w:t>
      </w:r>
      <w:r w:rsidR="00650891">
        <w:t xml:space="preserve"> log collection, security information and event management applications, and automated alerts are some of the tools used to achieve network and system monitoring. These tools consolidate the cloud service logs, server logs, endpoint logs, and authentication logs, allowing suspicious operations like abnormal login </w:t>
      </w:r>
      <w:r>
        <w:t>behaviors</w:t>
      </w:r>
      <w:r w:rsidR="00650891">
        <w:t xml:space="preserve"> or </w:t>
      </w:r>
      <w:r>
        <w:t>unauthorized</w:t>
      </w:r>
      <w:r w:rsidR="00650891">
        <w:t xml:space="preserve"> attempts to access data to be correlated (NIST, 2020). Logs that are constantly monitored enhance the visibility within the environment and help in meeting the regulatory obligations of accountability (Information Commissioner's Office, 2023).</w:t>
      </w:r>
    </w:p>
    <w:p w:rsidR="001C7673" w:rsidRDefault="00650891" w14:paraId="1CAA7344" w14:textId="723BCE3E">
      <w:r w:rsidRPr="62104268" w:rsidR="00650891">
        <w:rPr>
          <w:lang w:val="en-US"/>
        </w:rPr>
        <w:t xml:space="preserve">Incident detection systems are based on predefined security events, anomaly detection, and security events reported by a user. </w:t>
      </w:r>
      <w:r w:rsidRPr="62104268" w:rsidR="7CDF0680">
        <w:rPr>
          <w:lang w:val="en-US"/>
        </w:rPr>
        <w:t>Health Plus</w:t>
      </w:r>
      <w:r w:rsidRPr="62104268" w:rsidR="00650891">
        <w:rPr>
          <w:lang w:val="en-US"/>
        </w:rPr>
        <w:t xml:space="preserve"> Analytics has a well-designed incident response plan in case of an incident, which is based on the best practices (Kral, 2021; NIST, 2024). This will start by detection and identification to </w:t>
      </w:r>
      <w:r w:rsidRPr="62104268" w:rsidR="00650891">
        <w:rPr>
          <w:lang w:val="en-US"/>
        </w:rPr>
        <w:t>establish</w:t>
      </w:r>
      <w:r w:rsidRPr="62104268" w:rsidR="00650891">
        <w:rPr>
          <w:lang w:val="en-US"/>
        </w:rPr>
        <w:t xml:space="preserve"> the nature and extent of the incident. Isolation of affected systems and further spread is then </w:t>
      </w:r>
      <w:r w:rsidRPr="62104268" w:rsidR="00650891">
        <w:rPr>
          <w:lang w:val="en-US"/>
        </w:rPr>
        <w:t>contained</w:t>
      </w:r>
      <w:r w:rsidRPr="62104268" w:rsidR="00650891">
        <w:rPr>
          <w:lang w:val="en-US"/>
        </w:rPr>
        <w:t xml:space="preserve">. In </w:t>
      </w:r>
      <w:r w:rsidRPr="62104268" w:rsidR="58CBCB5F">
        <w:rPr>
          <w:lang w:val="en-US"/>
        </w:rPr>
        <w:t>eradication</w:t>
      </w:r>
      <w:r w:rsidRPr="62104268" w:rsidR="00650891">
        <w:rPr>
          <w:lang w:val="en-US"/>
        </w:rPr>
        <w:t xml:space="preserve">, malicious code is </w:t>
      </w:r>
      <w:r w:rsidRPr="62104268" w:rsidR="4493B199">
        <w:rPr>
          <w:lang w:val="en-US"/>
        </w:rPr>
        <w:t>eliminated,</w:t>
      </w:r>
      <w:r w:rsidRPr="62104268" w:rsidR="00650891">
        <w:rPr>
          <w:lang w:val="en-US"/>
        </w:rPr>
        <w:t xml:space="preserve"> and security holes are closed. Recovery activities are aimed at restoring the systems to normal through secure backups and then returning to normal operations. Lastly, when the incident is </w:t>
      </w:r>
      <w:r w:rsidRPr="62104268" w:rsidR="3FABD966">
        <w:rPr>
          <w:lang w:val="en-US"/>
        </w:rPr>
        <w:t>over,</w:t>
      </w:r>
      <w:r w:rsidRPr="62104268" w:rsidR="00650891">
        <w:rPr>
          <w:lang w:val="en-US"/>
        </w:rPr>
        <w:t xml:space="preserve"> there is a review of the lessons learned to enhance more controls in the future.</w:t>
      </w:r>
    </w:p>
    <w:p w:rsidR="001C7673" w:rsidRDefault="00650891" w14:paraId="5214C0C2" w14:textId="1DA952C0">
      <w:r>
        <w:t xml:space="preserve">Such a systematic process is depicted in the incident response workflow in the report, which describes a transparent and recurring process of managing security incidents at </w:t>
      </w:r>
      <w:r w:rsidR="00C265BE">
        <w:t>health Plus</w:t>
      </w:r>
      <w:r>
        <w:t xml:space="preserve"> Analytics.</w:t>
      </w:r>
    </w:p>
    <w:p w:rsidR="001C7673" w:rsidRDefault="00650891" w14:paraId="0133B024" w14:textId="77777777">
      <w:pPr>
        <w:spacing w:after="0" w:line="240" w:lineRule="auto"/>
        <w:jc w:val="center"/>
      </w:pPr>
      <w:r>
        <w:rPr>
          <w:noProof/>
          <w:lang w:val="en-GB"/>
        </w:rPr>
        <w:drawing>
          <wp:inline distT="114300" distB="114300" distL="114300" distR="114300" wp14:anchorId="531A5F4A" wp14:editId="35C66F9A">
            <wp:extent cx="2071688" cy="4934227"/>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2071688" cy="4934227"/>
                    </a:xfrm>
                    <a:prstGeom prst="rect">
                      <a:avLst/>
                    </a:prstGeom>
                    <a:ln/>
                  </pic:spPr>
                </pic:pic>
              </a:graphicData>
            </a:graphic>
          </wp:inline>
        </w:drawing>
      </w:r>
    </w:p>
    <w:p w:rsidR="001C7673" w:rsidRDefault="00650891" w14:paraId="36F90A81" w14:textId="4E2BD017">
      <w:pPr>
        <w:pStyle w:val="Heading4"/>
      </w:pPr>
      <w:bookmarkStart w:name="_n2cmhp9384bm" w:colFirst="0" w:colLast="0" w:id="10"/>
      <w:bookmarkEnd w:id="10"/>
      <w:r>
        <w:t xml:space="preserve">Figure 4: Incident Response Workflow for Security Events at </w:t>
      </w:r>
      <w:r w:rsidR="00C265BE">
        <w:t>health Plus</w:t>
      </w:r>
      <w:r>
        <w:t xml:space="preserve"> Analytics</w:t>
      </w:r>
    </w:p>
    <w:p w:rsidR="001C7673" w:rsidRDefault="00650891" w14:paraId="0B14BDE6" w14:textId="77777777">
      <w:pPr>
        <w:pStyle w:val="Heading1"/>
      </w:pPr>
      <w:bookmarkStart w:name="_sko57vjhzmp" w:colFirst="0" w:colLast="0" w:id="11"/>
      <w:bookmarkEnd w:id="11"/>
      <w:r>
        <w:t>6. Staff Training and Security Awareness Program</w:t>
      </w:r>
    </w:p>
    <w:p w:rsidR="001C7673" w:rsidRDefault="00650891" w14:paraId="35C5E6FD" w14:textId="7E02B59C">
      <w:r w:rsidRPr="62104268" w:rsidR="00650891">
        <w:rPr>
          <w:lang w:val="en-US"/>
        </w:rPr>
        <w:t xml:space="preserve">The employees are instrumental in ensuring cybersecurity since human </w:t>
      </w:r>
      <w:r w:rsidRPr="62104268" w:rsidR="00C265BE">
        <w:rPr>
          <w:lang w:val="en-US"/>
        </w:rPr>
        <w:t>behavior</w:t>
      </w:r>
      <w:r w:rsidRPr="62104268" w:rsidR="00650891">
        <w:rPr>
          <w:lang w:val="en-US"/>
        </w:rPr>
        <w:t xml:space="preserve"> can usually </w:t>
      </w:r>
      <w:r w:rsidRPr="62104268" w:rsidR="00650891">
        <w:rPr>
          <w:lang w:val="en-US"/>
        </w:rPr>
        <w:t>determine</w:t>
      </w:r>
      <w:r w:rsidRPr="62104268" w:rsidR="00650891">
        <w:rPr>
          <w:lang w:val="en-US"/>
        </w:rPr>
        <w:t xml:space="preserve"> the use of security controls. To </w:t>
      </w:r>
      <w:r w:rsidRPr="62104268" w:rsidR="00C265BE">
        <w:rPr>
          <w:lang w:val="en-US"/>
        </w:rPr>
        <w:t>minimize</w:t>
      </w:r>
      <w:r w:rsidRPr="62104268" w:rsidR="00650891">
        <w:rPr>
          <w:lang w:val="en-US"/>
        </w:rPr>
        <w:t xml:space="preserve"> the risk of human error, insider threat, and social engineering attack, a culture that is security-</w:t>
      </w:r>
      <w:r w:rsidRPr="62104268" w:rsidR="043E7AC1">
        <w:rPr>
          <w:lang w:val="en-US"/>
        </w:rPr>
        <w:t>conscious</w:t>
      </w:r>
      <w:r w:rsidRPr="62104268" w:rsidR="00650891">
        <w:rPr>
          <w:lang w:val="en-US"/>
        </w:rPr>
        <w:t xml:space="preserve"> </w:t>
      </w:r>
      <w:r w:rsidRPr="62104268" w:rsidR="00650891">
        <w:rPr>
          <w:lang w:val="en-US"/>
        </w:rPr>
        <w:t>is required to</w:t>
      </w:r>
      <w:r w:rsidRPr="62104268" w:rsidR="00650891">
        <w:rPr>
          <w:lang w:val="en-US"/>
        </w:rPr>
        <w:t xml:space="preserve"> be built at </w:t>
      </w:r>
      <w:r w:rsidRPr="62104268" w:rsidR="00C265BE">
        <w:rPr>
          <w:lang w:val="en-US"/>
        </w:rPr>
        <w:t>health Plus</w:t>
      </w:r>
      <w:r w:rsidRPr="62104268" w:rsidR="00650891">
        <w:rPr>
          <w:lang w:val="en-US"/>
        </w:rPr>
        <w:t xml:space="preserve"> Analytics (Tan et al., 2025; ENISA, 2019). Training programs are integrated into technical controls because staff know what they are expected to do and what to expect.</w:t>
      </w:r>
    </w:p>
    <w:p w:rsidR="001C7673" w:rsidRDefault="00650891" w14:paraId="043B47DD" w14:textId="26EA87BF">
      <w:r>
        <w:t xml:space="preserve">The security awareness initiative starts with the required induction training for new employees. This training would present </w:t>
      </w:r>
      <w:r w:rsidR="00C265BE">
        <w:t>organizational</w:t>
      </w:r>
      <w:r>
        <w:t xml:space="preserve"> security policies, acceptable use requirements, and the basic data protection obligations, which will provide a consistent interpretation at the beginning (NHS England, 2020). Phishing awareness programs are regularly held so that the employees can </w:t>
      </w:r>
      <w:r>
        <w:t xml:space="preserve">be </w:t>
      </w:r>
      <w:r w:rsidR="00C265BE">
        <w:t>familiarized</w:t>
      </w:r>
      <w:r>
        <w:t xml:space="preserve"> with </w:t>
      </w:r>
      <w:r w:rsidR="00C265BE">
        <w:t>recognizing</w:t>
      </w:r>
      <w:r>
        <w:t xml:space="preserve"> and reporting suspicious message flows to add to one of the most prevalent attack vectors in healthcare settings (Tan et al., 2025).</w:t>
      </w:r>
    </w:p>
    <w:p w:rsidR="001C7673" w:rsidRDefault="00650891" w14:paraId="7140957D" w14:textId="7C9E02B4">
      <w:r>
        <w:t xml:space="preserve">The training on data protection and UK GDPR complements the lawful activities of data handling by data </w:t>
      </w:r>
      <w:r w:rsidR="00C265BE">
        <w:t>minimization</w:t>
      </w:r>
      <w:r>
        <w:t xml:space="preserve">, secure storage and reporting of incidents (Information Commissioner's Office, 2023). Remote workers or employees in hybrid environments are provided with advice on safe remote access and device security and safe usage of the clouds, </w:t>
      </w:r>
      <w:r w:rsidR="00C265BE">
        <w:t>minimizing</w:t>
      </w:r>
      <w:r>
        <w:t xml:space="preserve"> the risks of personal and unprotected devices (Cloud Security Alliance, 2024). Learning is reinforced with periodic refresher training and knowledge assessment to determine effectiveness and adjust training to the latest emerging threats (Burgess, 2025).</w:t>
      </w:r>
    </w:p>
    <w:p w:rsidR="001C7673" w:rsidRDefault="00650891" w14:paraId="55B3E30E" w14:textId="6ED2C9F5">
      <w:r w:rsidR="00650891">
        <w:rPr/>
        <w:t xml:space="preserve">Integrating security awareness into everyday activities, </w:t>
      </w:r>
      <w:r w:rsidR="00C265BE">
        <w:rPr/>
        <w:t>health Plus</w:t>
      </w:r>
      <w:r w:rsidR="00650891">
        <w:rPr/>
        <w:t xml:space="preserve"> Analytics will enhance the level of policy adherence and </w:t>
      </w:r>
      <w:r w:rsidR="00C265BE">
        <w:rPr/>
        <w:t>minimize</w:t>
      </w:r>
      <w:r w:rsidR="00650891">
        <w:rPr/>
        <w:t xml:space="preserve"> the use of all-technical controls. The presence of a trained workforce serves as another line of </w:t>
      </w:r>
      <w:r w:rsidR="00C265BE">
        <w:rPr/>
        <w:t>defense</w:t>
      </w:r>
      <w:r w:rsidR="00650891">
        <w:rPr/>
        <w:t xml:space="preserve"> and helps answer the threat earlier and reinforce the culture of being proactive and active </w:t>
      </w:r>
      <w:r w:rsidR="590369C0">
        <w:rPr/>
        <w:t>about</w:t>
      </w:r>
      <w:r w:rsidR="00650891">
        <w:rPr/>
        <w:t xml:space="preserve"> security throughout the </w:t>
      </w:r>
      <w:r w:rsidR="00C265BE">
        <w:rPr/>
        <w:t>organization</w:t>
      </w:r>
      <w:r w:rsidR="00650891">
        <w:rPr/>
        <w:t>.</w:t>
      </w:r>
    </w:p>
    <w:p w:rsidR="001C7673" w:rsidRDefault="00650891" w14:paraId="711A79A8" w14:textId="77777777">
      <w:pPr>
        <w:pStyle w:val="Heading1"/>
      </w:pPr>
      <w:bookmarkStart w:name="_vfsvpuk0mr80" w:colFirst="0" w:colLast="0" w:id="12"/>
      <w:bookmarkEnd w:id="12"/>
      <w:r>
        <w:t>7. Conclusion and Recommendations</w:t>
      </w:r>
    </w:p>
    <w:p w:rsidR="001C7673" w:rsidRDefault="00C265BE" w14:paraId="1FBA1F9D" w14:textId="638B1048">
      <w:r w:rsidR="598E4522">
        <w:rPr/>
        <w:t>Health</w:t>
      </w:r>
      <w:r w:rsidR="00C265BE">
        <w:rPr/>
        <w:t xml:space="preserve"> Plus</w:t>
      </w:r>
      <w:r w:rsidR="00650891">
        <w:rPr/>
        <w:t xml:space="preserve"> Analytics is a high-risk healthcare setting that is vulnerable to many cyber threats such as ransomware, cloud misconfigurations, and human error, which have threatened the safety of patient data and service access. This report </w:t>
      </w:r>
      <w:r w:rsidR="00650891">
        <w:rPr/>
        <w:t>identified</w:t>
      </w:r>
      <w:r w:rsidR="00650891">
        <w:rPr/>
        <w:t xml:space="preserve"> the most significant internal and external threats and presented an advanced security framework that integrates official policies, technical controls, continuous monitoring, and employee training. </w:t>
      </w:r>
      <w:r w:rsidR="00C265BE">
        <w:rPr/>
        <w:t>Conformance</w:t>
      </w:r>
      <w:r w:rsidR="00650891">
        <w:rPr/>
        <w:t xml:space="preserve"> to the accepted norms and regulatory directions aids in </w:t>
      </w:r>
      <w:r w:rsidR="00C265BE">
        <w:rPr/>
        <w:t>consistent</w:t>
      </w:r>
      <w:r w:rsidR="00650891">
        <w:rPr/>
        <w:t xml:space="preserve"> risk management and adherence to the UK GDPR requirements </w:t>
      </w:r>
      <w:r w:rsidR="00C265BE">
        <w:rPr/>
        <w:t>(Information</w:t>
      </w:r>
      <w:r w:rsidR="00650891">
        <w:rPr/>
        <w:t xml:space="preserve"> Commissioner's Office, 2023; NHS England, 2020). The combination of access controls, encryption, incident response planning, and security awareness campaigns enhances resilience for </w:t>
      </w:r>
      <w:r w:rsidR="00C265BE">
        <w:rPr/>
        <w:t>organizations</w:t>
      </w:r>
      <w:r w:rsidR="00650891">
        <w:rPr/>
        <w:t xml:space="preserve"> and </w:t>
      </w:r>
      <w:r w:rsidR="00C265BE">
        <w:rPr/>
        <w:t>minimizes</w:t>
      </w:r>
      <w:r w:rsidR="00650891">
        <w:rPr/>
        <w:t xml:space="preserve"> the use of reactive measures (NIST, 2024; Kitsios et al., 2023). These will increase the overall security posture of </w:t>
      </w:r>
      <w:r w:rsidR="00C265BE">
        <w:rPr/>
        <w:t>health Plus</w:t>
      </w:r>
      <w:r w:rsidR="00650891">
        <w:rPr/>
        <w:t xml:space="preserve"> Analytics, improve regulatory compliance, and mitigate the risk and severity of data breaches and ransomware attacks (Mahendru, 2023; </w:t>
      </w:r>
      <w:r w:rsidR="00650891">
        <w:rPr/>
        <w:t>Bonderud</w:t>
      </w:r>
      <w:r w:rsidR="00650891">
        <w:rPr/>
        <w:t xml:space="preserve">, 2024). </w:t>
      </w:r>
      <w:r w:rsidR="00650891">
        <w:rPr/>
        <w:t>It is advised to</w:t>
      </w:r>
      <w:r w:rsidR="00650891">
        <w:rPr/>
        <w:t xml:space="preserve"> use continuous improvement by conducting frequent security reviews, policy changes, and training evaluations to be effective in the long-term in a volatile threat environment.</w:t>
      </w:r>
    </w:p>
    <w:p w:rsidR="001C7673" w:rsidP="00C265BE" w:rsidRDefault="00650891" w14:paraId="4D633FCF" w14:textId="5651E123">
      <w:pPr>
        <w:pStyle w:val="Heading1"/>
      </w:pPr>
      <w:bookmarkStart w:name="_yudpnfpelgez" w:colFirst="0" w:colLast="0" w:id="13"/>
      <w:bookmarkEnd w:id="13"/>
      <w:r>
        <w:br w:type="page"/>
      </w:r>
      <w:bookmarkStart w:name="_59dqtrgbg7vj" w:colFirst="0" w:colLast="0" w:id="14"/>
      <w:bookmarkEnd w:id="14"/>
      <w:r>
        <w:t>8. References</w:t>
      </w:r>
    </w:p>
    <w:p w:rsidR="001C7673" w:rsidRDefault="00650891" w14:paraId="7393CFAC" w14:textId="77777777">
      <w:pPr>
        <w:pBdr>
          <w:top w:val="none" w:color="E5E7EB" w:sz="0" w:space="0"/>
          <w:left w:val="none" w:color="E5E7EB" w:sz="0" w:space="0"/>
          <w:bottom w:val="none" w:color="E5E7EB" w:sz="0" w:space="0"/>
          <w:right w:val="none" w:color="E5E7EB" w:sz="0" w:space="0"/>
          <w:between w:val="none" w:color="E5E7EB" w:sz="0" w:space="0"/>
        </w:pBdr>
        <w:shd w:val="clear" w:color="auto" w:fill="FFFFFF"/>
        <w:spacing w:before="0" w:after="0" w:line="480" w:lineRule="auto"/>
        <w:ind w:left="720"/>
      </w:pPr>
      <w:proofErr w:type="spellStart"/>
      <w:r>
        <w:t>Bonderud</w:t>
      </w:r>
      <w:proofErr w:type="spellEnd"/>
      <w:r>
        <w:t>, D. (2024, August 13). Cost of a data breach in 2024 for the financial industry. Retrieved from IBM website: https://www.ibm.com/think/insights/cost-of-a-data-breach-2024-financial-industry</w:t>
      </w:r>
    </w:p>
    <w:p w:rsidR="001C7673" w:rsidRDefault="00650891" w14:paraId="0892F3C5" w14:textId="77777777">
      <w:pPr>
        <w:pBdr>
          <w:top w:val="none" w:color="E5E7EB" w:sz="0" w:space="0"/>
          <w:left w:val="none" w:color="E5E7EB" w:sz="0" w:space="0"/>
          <w:bottom w:val="none" w:color="E5E7EB" w:sz="0" w:space="0"/>
          <w:right w:val="none" w:color="E5E7EB" w:sz="0" w:space="0"/>
          <w:between w:val="none" w:color="E5E7EB" w:sz="0" w:space="0"/>
        </w:pBdr>
        <w:shd w:val="clear" w:color="auto" w:fill="FFFFFF"/>
        <w:spacing w:before="0" w:after="0" w:line="480" w:lineRule="auto"/>
        <w:ind w:left="720"/>
      </w:pPr>
      <w:r>
        <w:t>Burgess, M. (2025). Best Practices for Effective Security Awareness Training Programs. Retrieved from Huntress website: https://www.huntress.com/cybersecurity-training-guide/best-practices-for-effective-security-awareness-training-programs</w:t>
      </w:r>
    </w:p>
    <w:p w:rsidR="001C7673" w:rsidRDefault="00650891" w14:paraId="089E90D4" w14:textId="77777777">
      <w:pPr>
        <w:pBdr>
          <w:top w:val="none" w:color="E5E7EB" w:sz="0" w:space="0"/>
          <w:left w:val="none" w:color="E5E7EB" w:sz="0" w:space="0"/>
          <w:bottom w:val="none" w:color="E5E7EB" w:sz="0" w:space="0"/>
          <w:right w:val="none" w:color="E5E7EB" w:sz="0" w:space="0"/>
          <w:between w:val="none" w:color="E5E7EB" w:sz="0" w:space="0"/>
        </w:pBdr>
        <w:shd w:val="clear" w:color="auto" w:fill="FFFFFF"/>
        <w:spacing w:before="0" w:after="0" w:line="480" w:lineRule="auto"/>
        <w:ind w:left="720"/>
      </w:pPr>
      <w:r>
        <w:t>Cloud Security Alliance. (2024). CSA Security Guidance. Retrieved from Cloud Security Alliance website: https://cloudsecurityalliance.org/research/guidance</w:t>
      </w:r>
    </w:p>
    <w:p w:rsidR="001C7673" w:rsidRDefault="00650891" w14:paraId="4626DAB3" w14:textId="77777777">
      <w:pPr>
        <w:pBdr>
          <w:top w:val="none" w:color="E5E7EB" w:sz="0" w:space="0"/>
          <w:left w:val="none" w:color="E5E7EB" w:sz="0" w:space="0"/>
          <w:bottom w:val="none" w:color="E5E7EB" w:sz="0" w:space="0"/>
          <w:right w:val="none" w:color="E5E7EB" w:sz="0" w:space="0"/>
          <w:between w:val="none" w:color="E5E7EB" w:sz="0" w:space="0"/>
        </w:pBdr>
        <w:shd w:val="clear" w:color="auto" w:fill="FFFFFF"/>
        <w:spacing w:before="0" w:after="0" w:line="480" w:lineRule="auto"/>
        <w:ind w:left="720"/>
      </w:pPr>
      <w:r>
        <w:t xml:space="preserve">ENISA. (2019). Cybersecurity Culture Guidelines: </w:t>
      </w:r>
      <w:proofErr w:type="spellStart"/>
      <w:r>
        <w:t>Behavioural</w:t>
      </w:r>
      <w:proofErr w:type="spellEnd"/>
      <w:r>
        <w:t xml:space="preserve"> Aspects of Cybersecurity. Retrieved from ENISA website: https://www.enisa.europa.eu/publications/cybersecurity-culture-guidelines-behavioural-aspects-of-cybersecurity</w:t>
      </w:r>
    </w:p>
    <w:p w:rsidR="001C7673" w:rsidRDefault="00650891" w14:paraId="5BA0DC05" w14:textId="77777777">
      <w:pPr>
        <w:pBdr>
          <w:top w:val="none" w:color="E5E7EB" w:sz="0" w:space="0"/>
          <w:left w:val="none" w:color="E5E7EB" w:sz="0" w:space="0"/>
          <w:bottom w:val="none" w:color="E5E7EB" w:sz="0" w:space="0"/>
          <w:right w:val="none" w:color="E5E7EB" w:sz="0" w:space="0"/>
          <w:between w:val="none" w:color="E5E7EB" w:sz="0" w:space="0"/>
        </w:pBdr>
        <w:shd w:val="clear" w:color="auto" w:fill="FFFFFF"/>
        <w:spacing w:before="0" w:after="0" w:line="480" w:lineRule="auto"/>
        <w:ind w:left="720"/>
      </w:pPr>
      <w:r>
        <w:t>Information Commissioner's Office. (2023). UK GDPR Guidance and Resources. Retrieved from ico.org.uk website: https://ico.org.uk/for-organisations/uk-gdpr-guidance-and-resources/</w:t>
      </w:r>
    </w:p>
    <w:p w:rsidR="001C7673" w:rsidRDefault="00650891" w14:paraId="4525813C" w14:textId="77777777">
      <w:pPr>
        <w:pBdr>
          <w:top w:val="none" w:color="E5E7EB" w:sz="0" w:space="0"/>
          <w:left w:val="none" w:color="E5E7EB" w:sz="0" w:space="0"/>
          <w:bottom w:val="none" w:color="E5E7EB" w:sz="0" w:space="0"/>
          <w:right w:val="none" w:color="E5E7EB" w:sz="0" w:space="0"/>
          <w:between w:val="none" w:color="E5E7EB" w:sz="0" w:space="0"/>
        </w:pBdr>
        <w:shd w:val="clear" w:color="auto" w:fill="FFFFFF"/>
        <w:spacing w:before="0" w:after="0" w:line="480" w:lineRule="auto"/>
        <w:ind w:left="720"/>
      </w:pPr>
      <w:r>
        <w:t xml:space="preserve">Kitsios, F., Chatzidimitriou, E., &amp; </w:t>
      </w:r>
      <w:proofErr w:type="spellStart"/>
      <w:r>
        <w:t>Kamariotou</w:t>
      </w:r>
      <w:proofErr w:type="spellEnd"/>
      <w:r>
        <w:t xml:space="preserve">, M. (2023). The ISO/IEC 27001 Information Security Management Standard: How to Extract Value from Data in the IT Sector. </w:t>
      </w:r>
      <w:r>
        <w:rPr>
          <w:i/>
          <w:iCs/>
        </w:rPr>
        <w:t>Sustainability</w:t>
      </w:r>
      <w:r>
        <w:t xml:space="preserve">, </w:t>
      </w:r>
      <w:r>
        <w:rPr>
          <w:i/>
          <w:iCs/>
        </w:rPr>
        <w:t>15</w:t>
      </w:r>
      <w:r>
        <w:t>(7). https://doi.org/10.3390/su15075828</w:t>
      </w:r>
    </w:p>
    <w:p w:rsidR="001C7673" w:rsidRDefault="00650891" w14:paraId="4ADBB755" w14:textId="77777777">
      <w:pPr>
        <w:pBdr>
          <w:top w:val="none" w:color="E5E7EB" w:sz="0" w:space="0"/>
          <w:left w:val="none" w:color="E5E7EB" w:sz="0" w:space="0"/>
          <w:bottom w:val="none" w:color="E5E7EB" w:sz="0" w:space="0"/>
          <w:right w:val="none" w:color="E5E7EB" w:sz="0" w:space="0"/>
          <w:between w:val="none" w:color="E5E7EB" w:sz="0" w:space="0"/>
        </w:pBdr>
        <w:shd w:val="clear" w:color="auto" w:fill="FFFFFF"/>
        <w:spacing w:before="0" w:after="0" w:line="480" w:lineRule="auto"/>
        <w:ind w:left="720"/>
      </w:pPr>
      <w:r>
        <w:t xml:space="preserve">Kral, P. (2021). </w:t>
      </w:r>
      <w:r>
        <w:rPr>
          <w:i/>
          <w:iCs/>
        </w:rPr>
        <w:t>Incident Handler's Handbook</w:t>
      </w:r>
      <w:r>
        <w:t>. Retrieved from https://ciso2ciso.com/wp-content/uploads/2023/11/SANS-GIAC-P.Kral_.pdf</w:t>
      </w:r>
    </w:p>
    <w:p w:rsidR="001C7673" w:rsidRDefault="00650891" w14:paraId="6A151E3B" w14:textId="77777777">
      <w:pPr>
        <w:pBdr>
          <w:top w:val="none" w:color="E5E7EB" w:sz="0" w:space="0"/>
          <w:left w:val="none" w:color="E5E7EB" w:sz="0" w:space="0"/>
          <w:bottom w:val="none" w:color="E5E7EB" w:sz="0" w:space="0"/>
          <w:right w:val="none" w:color="E5E7EB" w:sz="0" w:space="0"/>
          <w:between w:val="none" w:color="E5E7EB" w:sz="0" w:space="0"/>
        </w:pBdr>
        <w:shd w:val="clear" w:color="auto" w:fill="FFFFFF"/>
        <w:spacing w:before="0" w:after="0" w:line="480" w:lineRule="auto"/>
        <w:ind w:left="720"/>
      </w:pPr>
      <w:r>
        <w:t>Mahendru, P. (2023). The State of Ransomware in Healthcare 2023. Retrieved February 4, 2026, from Sophos website: https://www.sophos.com/en-us/blog/the-state-of-ransomware-in-healthcare-2023</w:t>
      </w:r>
    </w:p>
    <w:p w:rsidR="001C7673" w:rsidRDefault="00650891" w14:paraId="47359BEB" w14:textId="77777777">
      <w:pPr>
        <w:pBdr>
          <w:top w:val="none" w:color="E5E7EB" w:sz="0" w:space="0"/>
          <w:left w:val="none" w:color="E5E7EB" w:sz="0" w:space="0"/>
          <w:bottom w:val="none" w:color="E5E7EB" w:sz="0" w:space="0"/>
          <w:right w:val="none" w:color="E5E7EB" w:sz="0" w:space="0"/>
          <w:between w:val="none" w:color="E5E7EB" w:sz="0" w:space="0"/>
        </w:pBdr>
        <w:shd w:val="clear" w:color="auto" w:fill="FFFFFF"/>
        <w:spacing w:before="0" w:after="0" w:line="480" w:lineRule="auto"/>
        <w:ind w:left="720"/>
      </w:pPr>
      <w:r>
        <w:t>Microsoft. (2024). Zero trust security. Retrieved from www.microsoft.com website: https://www.microsoft.com/en-us/security/business/zero-trust</w:t>
      </w:r>
    </w:p>
    <w:p w:rsidR="001C7673" w:rsidRDefault="00650891" w14:paraId="6EAB6215" w14:textId="77777777">
      <w:pPr>
        <w:pBdr>
          <w:top w:val="none" w:color="E5E7EB" w:sz="0" w:space="0"/>
          <w:left w:val="none" w:color="E5E7EB" w:sz="0" w:space="0"/>
          <w:bottom w:val="none" w:color="E5E7EB" w:sz="0" w:space="0"/>
          <w:right w:val="none" w:color="E5E7EB" w:sz="0" w:space="0"/>
          <w:between w:val="none" w:color="E5E7EB" w:sz="0" w:space="0"/>
        </w:pBdr>
        <w:shd w:val="clear" w:color="auto" w:fill="FFFFFF"/>
        <w:spacing w:before="0" w:after="0" w:line="480" w:lineRule="auto"/>
        <w:ind w:left="720"/>
      </w:pPr>
      <w:r>
        <w:t>NHS England. (2020). Data Security and Protection Toolkit. Retrieved from Dsptoolkit.nhs.uk website: https://www.dsptoolkit.nhs.uk/</w:t>
      </w:r>
    </w:p>
    <w:p w:rsidR="001C7673" w:rsidRDefault="00650891" w14:paraId="3FDEA60E" w14:textId="77777777">
      <w:pPr>
        <w:pBdr>
          <w:top w:val="none" w:color="E5E7EB" w:sz="0" w:space="0"/>
          <w:left w:val="none" w:color="E5E7EB" w:sz="0" w:space="0"/>
          <w:bottom w:val="none" w:color="E5E7EB" w:sz="0" w:space="0"/>
          <w:right w:val="none" w:color="E5E7EB" w:sz="0" w:space="0"/>
          <w:between w:val="none" w:color="E5E7EB" w:sz="0" w:space="0"/>
        </w:pBdr>
        <w:shd w:val="clear" w:color="auto" w:fill="FFFFFF"/>
        <w:spacing w:before="0" w:after="0" w:line="480" w:lineRule="auto"/>
        <w:ind w:left="720"/>
      </w:pPr>
      <w:r>
        <w:t>NIST. (2020, September). Security and Privacy Controls for Information Systems and Organizations. Retrieved from csrc.nist.gov website: https://csrc.nist.gov/pubs/sp/800/53/r5/upd1/final</w:t>
      </w:r>
    </w:p>
    <w:p w:rsidR="001C7673" w:rsidRDefault="00650891" w14:paraId="5B954C9D" w14:textId="77777777">
      <w:pPr>
        <w:pBdr>
          <w:top w:val="none" w:color="E5E7EB" w:sz="0" w:space="0"/>
          <w:left w:val="none" w:color="E5E7EB" w:sz="0" w:space="0"/>
          <w:bottom w:val="none" w:color="E5E7EB" w:sz="0" w:space="0"/>
          <w:right w:val="none" w:color="E5E7EB" w:sz="0" w:space="0"/>
          <w:between w:val="none" w:color="E5E7EB" w:sz="0" w:space="0"/>
        </w:pBdr>
        <w:shd w:val="clear" w:color="auto" w:fill="FFFFFF"/>
        <w:spacing w:before="0" w:after="0" w:line="480" w:lineRule="auto"/>
        <w:ind w:left="720"/>
      </w:pPr>
      <w:r>
        <w:t xml:space="preserve">NIST. (2024). The NIST cybersecurity framework (CSF) 2.0. </w:t>
      </w:r>
      <w:r>
        <w:rPr>
          <w:i/>
          <w:iCs/>
        </w:rPr>
        <w:t>The NIST Cybersecurity Framework (CSF) 2.0</w:t>
      </w:r>
      <w:r>
        <w:t xml:space="preserve">, </w:t>
      </w:r>
      <w:r>
        <w:rPr>
          <w:i/>
          <w:iCs/>
        </w:rPr>
        <w:t>2.0</w:t>
      </w:r>
      <w:r>
        <w:t>(29). https://doi.org/10.6028/nist.cswp.29</w:t>
      </w:r>
    </w:p>
    <w:p w:rsidR="001C7673" w:rsidRDefault="00650891" w14:paraId="09A90199" w14:textId="77777777">
      <w:pPr>
        <w:pBdr>
          <w:top w:val="none" w:color="E5E7EB" w:sz="0" w:space="0"/>
          <w:left w:val="none" w:color="E5E7EB" w:sz="0" w:space="0"/>
          <w:bottom w:val="none" w:color="E5E7EB" w:sz="0" w:space="0"/>
          <w:right w:val="none" w:color="E5E7EB" w:sz="0" w:space="0"/>
          <w:between w:val="none" w:color="E5E7EB" w:sz="0" w:space="0"/>
        </w:pBdr>
        <w:shd w:val="clear" w:color="auto" w:fill="FFFFFF"/>
        <w:spacing w:before="0" w:after="0" w:line="480" w:lineRule="auto"/>
        <w:ind w:left="720"/>
      </w:pPr>
      <w:r>
        <w:t xml:space="preserve">Tan, D., Rafsanjani, A. S., Aslam, S., &amp; Mehran Behjati. (2025). Human Factors in Information Security: A Quantitative Study with Technical Solutions to Prevent Social Engineering Attacks. </w:t>
      </w:r>
      <w:r>
        <w:rPr>
          <w:i/>
          <w:iCs/>
        </w:rPr>
        <w:t>Digital Threats Research and Practice</w:t>
      </w:r>
      <w:r>
        <w:t xml:space="preserve">, </w:t>
      </w:r>
      <w:r>
        <w:rPr>
          <w:i/>
          <w:iCs/>
        </w:rPr>
        <w:t>6</w:t>
      </w:r>
      <w:r>
        <w:t>(4). https://doi.org/10.1145/3767320</w:t>
      </w:r>
    </w:p>
    <w:p w:rsidR="00465CFA" w:rsidRDefault="00465CFA" w14:paraId="33AF06E6" w14:textId="77777777">
      <w:r>
        <w:br w:type="page"/>
      </w:r>
    </w:p>
    <w:p w:rsidR="00465CFA" w:rsidP="00465CFA" w:rsidRDefault="00465CFA" w14:paraId="5CA887DC" w14:textId="77777777">
      <w:pPr>
        <w:jc w:val="center"/>
        <w:rPr>
          <w:b/>
          <w:bCs/>
        </w:rPr>
      </w:pPr>
      <w:r>
        <w:rPr>
          <w:b/>
          <w:bCs/>
        </w:rPr>
        <w:t>9. Appendices</w:t>
      </w:r>
    </w:p>
    <w:p w:rsidR="00465CFA" w:rsidP="00465CFA" w:rsidRDefault="00465CFA" w14:paraId="4870E8C0" w14:textId="77777777">
      <w:pPr>
        <w:jc w:val="center"/>
        <w:rPr>
          <w:b/>
          <w:bCs/>
        </w:rPr>
      </w:pPr>
      <w:r w:rsidRPr="00465CFA">
        <w:rPr>
          <w:b/>
          <w:bCs/>
          <w:noProof/>
        </w:rPr>
        <w:drawing>
          <wp:inline distT="0" distB="0" distL="0" distR="0" wp14:anchorId="47303955" wp14:editId="0B9E067C">
            <wp:extent cx="4592320" cy="2585507"/>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638672" cy="2611603"/>
                    </a:xfrm>
                    <a:prstGeom prst="rect">
                      <a:avLst/>
                    </a:prstGeom>
                  </pic:spPr>
                </pic:pic>
              </a:graphicData>
            </a:graphic>
          </wp:inline>
        </w:drawing>
      </w:r>
    </w:p>
    <w:p w:rsidR="00465CFA" w:rsidP="00465CFA" w:rsidRDefault="00465CFA" w14:paraId="2E9DE1D2" w14:textId="77777777">
      <w:pPr>
        <w:jc w:val="center"/>
        <w:rPr>
          <w:b/>
          <w:bCs/>
        </w:rPr>
      </w:pPr>
      <w:r>
        <w:rPr>
          <w:b/>
          <w:bCs/>
          <w:noProof/>
          <w:lang w:val="en-GB"/>
        </w:rPr>
        <w:drawing>
          <wp:inline distT="0" distB="0" distL="0" distR="0" wp14:anchorId="689C325D" wp14:editId="18B438FF">
            <wp:extent cx="4676775" cy="2619960"/>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05198" cy="2635883"/>
                    </a:xfrm>
                    <a:prstGeom prst="rect">
                      <a:avLst/>
                    </a:prstGeom>
                    <a:noFill/>
                  </pic:spPr>
                </pic:pic>
              </a:graphicData>
            </a:graphic>
          </wp:inline>
        </w:drawing>
      </w:r>
    </w:p>
    <w:p w:rsidR="00465CFA" w:rsidP="00465CFA" w:rsidRDefault="00465CFA" w14:paraId="79ED077B" w14:textId="77777777">
      <w:pPr>
        <w:jc w:val="center"/>
        <w:rPr>
          <w:b/>
          <w:bCs/>
        </w:rPr>
      </w:pPr>
      <w:r w:rsidRPr="00465CFA">
        <w:rPr>
          <w:b/>
          <w:bCs/>
          <w:noProof/>
        </w:rPr>
        <w:drawing>
          <wp:inline distT="0" distB="0" distL="0" distR="0" wp14:anchorId="6900EF14" wp14:editId="4DA35F4B">
            <wp:extent cx="4486275" cy="2501961"/>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495956" cy="2507360"/>
                    </a:xfrm>
                    <a:prstGeom prst="rect">
                      <a:avLst/>
                    </a:prstGeom>
                  </pic:spPr>
                </pic:pic>
              </a:graphicData>
            </a:graphic>
          </wp:inline>
        </w:drawing>
      </w:r>
    </w:p>
    <w:p w:rsidR="00465CFA" w:rsidP="00465CFA" w:rsidRDefault="00465CFA" w14:paraId="154503DB" w14:textId="77777777">
      <w:pPr>
        <w:jc w:val="center"/>
        <w:rPr>
          <w:b/>
          <w:bCs/>
        </w:rPr>
      </w:pPr>
      <w:r w:rsidRPr="00465CFA">
        <w:rPr>
          <w:b/>
          <w:bCs/>
          <w:noProof/>
        </w:rPr>
        <w:drawing>
          <wp:inline distT="0" distB="0" distL="0" distR="0" wp14:anchorId="010CCA76" wp14:editId="0EEBCD49">
            <wp:extent cx="4124325" cy="2302748"/>
            <wp:effectExtent l="0" t="0" r="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141009" cy="2312063"/>
                    </a:xfrm>
                    <a:prstGeom prst="rect">
                      <a:avLst/>
                    </a:prstGeom>
                  </pic:spPr>
                </pic:pic>
              </a:graphicData>
            </a:graphic>
          </wp:inline>
        </w:drawing>
      </w:r>
    </w:p>
    <w:p w:rsidR="00465CFA" w:rsidP="00465CFA" w:rsidRDefault="00465CFA" w14:paraId="13B199F0" w14:textId="77777777">
      <w:pPr>
        <w:jc w:val="center"/>
        <w:rPr>
          <w:b/>
          <w:bCs/>
        </w:rPr>
      </w:pPr>
      <w:r w:rsidRPr="00465CFA">
        <w:rPr>
          <w:b/>
          <w:bCs/>
          <w:noProof/>
        </w:rPr>
        <w:drawing>
          <wp:inline distT="0" distB="0" distL="0" distR="0" wp14:anchorId="7A18D254" wp14:editId="262E5F1F">
            <wp:extent cx="4476750" cy="2472256"/>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498552" cy="2484296"/>
                    </a:xfrm>
                    <a:prstGeom prst="rect">
                      <a:avLst/>
                    </a:prstGeom>
                  </pic:spPr>
                </pic:pic>
              </a:graphicData>
            </a:graphic>
          </wp:inline>
        </w:drawing>
      </w:r>
    </w:p>
    <w:p w:rsidR="00465CFA" w:rsidP="00465CFA" w:rsidRDefault="00465CFA" w14:paraId="1F6B5A91" w14:textId="77777777">
      <w:pPr>
        <w:jc w:val="center"/>
        <w:rPr>
          <w:b/>
          <w:bCs/>
        </w:rPr>
      </w:pPr>
      <w:r w:rsidRPr="00465CFA">
        <w:rPr>
          <w:b/>
          <w:bCs/>
          <w:noProof/>
        </w:rPr>
        <w:drawing>
          <wp:inline distT="0" distB="0" distL="0" distR="0" wp14:anchorId="083D34C9" wp14:editId="1C862474">
            <wp:extent cx="4152900" cy="232668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166646" cy="2334390"/>
                    </a:xfrm>
                    <a:prstGeom prst="rect">
                      <a:avLst/>
                    </a:prstGeom>
                  </pic:spPr>
                </pic:pic>
              </a:graphicData>
            </a:graphic>
          </wp:inline>
        </w:drawing>
      </w:r>
    </w:p>
    <w:p w:rsidR="00465CFA" w:rsidP="00465CFA" w:rsidRDefault="00465CFA" w14:paraId="747E2000" w14:textId="77777777">
      <w:pPr>
        <w:jc w:val="center"/>
        <w:rPr>
          <w:b/>
          <w:bCs/>
        </w:rPr>
      </w:pPr>
      <w:r w:rsidRPr="00465CFA">
        <w:rPr>
          <w:b/>
          <w:bCs/>
          <w:noProof/>
        </w:rPr>
        <w:drawing>
          <wp:inline distT="0" distB="0" distL="0" distR="0" wp14:anchorId="0AB8F6D3" wp14:editId="1894751F">
            <wp:extent cx="4295775" cy="2370478"/>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302640" cy="2374266"/>
                    </a:xfrm>
                    <a:prstGeom prst="rect">
                      <a:avLst/>
                    </a:prstGeom>
                  </pic:spPr>
                </pic:pic>
              </a:graphicData>
            </a:graphic>
          </wp:inline>
        </w:drawing>
      </w:r>
    </w:p>
    <w:p w:rsidR="00D82C1C" w:rsidP="00465CFA" w:rsidRDefault="00D82C1C" w14:paraId="259E8A1A" w14:textId="77777777">
      <w:pPr>
        <w:jc w:val="center"/>
        <w:rPr>
          <w:b/>
          <w:bCs/>
        </w:rPr>
      </w:pPr>
      <w:r w:rsidRPr="00D82C1C">
        <w:rPr>
          <w:b/>
          <w:bCs/>
          <w:noProof/>
        </w:rPr>
        <w:drawing>
          <wp:inline distT="0" distB="0" distL="0" distR="0" wp14:anchorId="1615EE72" wp14:editId="64F5CB2C">
            <wp:extent cx="4368954" cy="24384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379955" cy="2444540"/>
                    </a:xfrm>
                    <a:prstGeom prst="rect">
                      <a:avLst/>
                    </a:prstGeom>
                  </pic:spPr>
                </pic:pic>
              </a:graphicData>
            </a:graphic>
          </wp:inline>
        </w:drawing>
      </w:r>
    </w:p>
    <w:p w:rsidR="00D82C1C" w:rsidP="00465CFA" w:rsidRDefault="00D82C1C" w14:paraId="4E24C2B7" w14:textId="77777777">
      <w:pPr>
        <w:jc w:val="center"/>
        <w:rPr>
          <w:b/>
          <w:bCs/>
        </w:rPr>
      </w:pPr>
      <w:r>
        <w:rPr>
          <w:b/>
          <w:bCs/>
          <w:noProof/>
          <w:lang w:val="en-GB"/>
        </w:rPr>
        <w:drawing>
          <wp:inline distT="0" distB="0" distL="0" distR="0" wp14:anchorId="08A3B4E0" wp14:editId="54FB3E24">
            <wp:extent cx="4463665" cy="242887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477739" cy="2436533"/>
                    </a:xfrm>
                    <a:prstGeom prst="rect">
                      <a:avLst/>
                    </a:prstGeom>
                    <a:noFill/>
                  </pic:spPr>
                </pic:pic>
              </a:graphicData>
            </a:graphic>
          </wp:inline>
        </w:drawing>
      </w:r>
    </w:p>
    <w:p w:rsidRPr="00465CFA" w:rsidR="00D82C1C" w:rsidP="00465CFA" w:rsidRDefault="00D82C1C" w14:paraId="734EB3F4" w14:textId="77777777">
      <w:pPr>
        <w:jc w:val="center"/>
        <w:rPr>
          <w:b/>
          <w:bCs/>
        </w:rPr>
      </w:pPr>
      <w:r w:rsidRPr="00D82C1C">
        <w:rPr>
          <w:b/>
          <w:bCs/>
          <w:noProof/>
        </w:rPr>
        <w:drawing>
          <wp:inline distT="0" distB="0" distL="0" distR="0" wp14:anchorId="0080D372" wp14:editId="6EB2EDF0">
            <wp:extent cx="4267200" cy="2418992"/>
            <wp:effectExtent l="0" t="0" r="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282575" cy="2427708"/>
                    </a:xfrm>
                    <a:prstGeom prst="rect">
                      <a:avLst/>
                    </a:prstGeom>
                  </pic:spPr>
                </pic:pic>
              </a:graphicData>
            </a:graphic>
          </wp:inline>
        </w:drawing>
      </w:r>
    </w:p>
    <w:p w:rsidR="001C7673" w:rsidP="00D82C1C" w:rsidRDefault="00D82C1C" w14:paraId="2D5A90CD" w14:textId="77777777">
      <w:pPr>
        <w:jc w:val="center"/>
      </w:pPr>
      <w:r w:rsidRPr="00D82C1C">
        <w:rPr>
          <w:noProof/>
        </w:rPr>
        <w:drawing>
          <wp:inline distT="0" distB="0" distL="0" distR="0" wp14:anchorId="5307B027" wp14:editId="43C543C2">
            <wp:extent cx="4143375" cy="2288152"/>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157323" cy="2295855"/>
                    </a:xfrm>
                    <a:prstGeom prst="rect">
                      <a:avLst/>
                    </a:prstGeom>
                  </pic:spPr>
                </pic:pic>
              </a:graphicData>
            </a:graphic>
          </wp:inline>
        </w:drawing>
      </w:r>
    </w:p>
    <w:sectPr w:rsidR="001C7673">
      <w:pgSz w:w="12240" w:h="15840" w:orient="portrait"/>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w:fontKey="{A04F3B26-7D64-46B7-887D-16D6D7DDFC8E}" r:id="rId1"/>
  </w:font>
  <w:font w:name="Cambria">
    <w:panose1 w:val="02040503050406030204"/>
    <w:charset w:val="00"/>
    <w:family w:val="roman"/>
    <w:pitch w:val="variable"/>
    <w:sig w:usb0="E00006FF" w:usb1="420024FF" w:usb2="02000000" w:usb3="00000000" w:csb0="0000019F" w:csb1="00000000"/>
    <w:embedRegular w:fontKey="{78AC50DC-1C4A-4ED5-8049-3BFC6D39D34A}" r:id="rId2"/>
  </w:font>
</w:font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embedTrueTypeFonts/>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7673"/>
    <w:rsid w:val="001C7673"/>
    <w:rsid w:val="00237E72"/>
    <w:rsid w:val="003A4CCF"/>
    <w:rsid w:val="00465CFA"/>
    <w:rsid w:val="00650891"/>
    <w:rsid w:val="00776380"/>
    <w:rsid w:val="0086551D"/>
    <w:rsid w:val="008700E1"/>
    <w:rsid w:val="00C265BE"/>
    <w:rsid w:val="00D82C1C"/>
    <w:rsid w:val="00E21504"/>
    <w:rsid w:val="00EA3353"/>
    <w:rsid w:val="00F44CC3"/>
    <w:rsid w:val="00FE2B47"/>
    <w:rsid w:val="0182C113"/>
    <w:rsid w:val="0341D66A"/>
    <w:rsid w:val="043E7AC1"/>
    <w:rsid w:val="09C19E48"/>
    <w:rsid w:val="0AB8BC0A"/>
    <w:rsid w:val="0E39A642"/>
    <w:rsid w:val="2DCD9636"/>
    <w:rsid w:val="301B216D"/>
    <w:rsid w:val="3C324F79"/>
    <w:rsid w:val="3FABD966"/>
    <w:rsid w:val="4493B199"/>
    <w:rsid w:val="558E2224"/>
    <w:rsid w:val="58CBCB5F"/>
    <w:rsid w:val="590369C0"/>
    <w:rsid w:val="598E4522"/>
    <w:rsid w:val="5EFE4A09"/>
    <w:rsid w:val="62104268"/>
    <w:rsid w:val="649AA2BA"/>
    <w:rsid w:val="668CF22E"/>
    <w:rsid w:val="69493D54"/>
    <w:rsid w:val="6B98B56B"/>
    <w:rsid w:val="71D58F8A"/>
    <w:rsid w:val="7A1977B0"/>
    <w:rsid w:val="7CDF0680"/>
    <w:rsid w:val="7F6468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E25CD1"/>
  <w15:docId w15:val="{F42B0FB1-BACB-4C95-BEA9-A9006A5E976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sz w:val="24"/>
        <w:szCs w:val="24"/>
        <w:lang w:val="en" w:eastAsia="en-GB"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rsid w:val="00465CFA"/>
  </w:style>
  <w:style w:type="paragraph" w:styleId="Heading1">
    <w:name w:val="heading 1"/>
    <w:basedOn w:val="Normal"/>
    <w:next w:val="Normal"/>
    <w:pPr>
      <w:keepNext/>
      <w:keepLines/>
      <w:jc w:val="center"/>
      <w:outlineLvl w:val="0"/>
    </w:pPr>
    <w:rPr>
      <w:b/>
      <w:bCs/>
    </w:rPr>
  </w:style>
  <w:style w:type="paragraph" w:styleId="Heading2">
    <w:name w:val="heading 2"/>
    <w:basedOn w:val="Normal"/>
    <w:next w:val="Normal"/>
    <w:pPr>
      <w:keepNext/>
      <w:keepLines/>
      <w:outlineLvl w:val="1"/>
    </w:pPr>
    <w:rPr>
      <w:b/>
      <w:bCs/>
    </w:rPr>
  </w:style>
  <w:style w:type="paragraph" w:styleId="Heading3">
    <w:name w:val="heading 3"/>
    <w:basedOn w:val="Normal"/>
    <w:next w:val="Normal"/>
    <w:pPr>
      <w:keepNext/>
      <w:keepLines/>
      <w:jc w:val="left"/>
      <w:outlineLvl w:val="2"/>
    </w:pPr>
    <w:rPr>
      <w:b/>
      <w:bCs/>
      <w:i/>
      <w:iCs/>
    </w:rPr>
  </w:style>
  <w:style w:type="paragraph" w:styleId="Heading4">
    <w:name w:val="heading 4"/>
    <w:basedOn w:val="Normal"/>
    <w:next w:val="Normal"/>
    <w:pPr>
      <w:keepNext/>
      <w:keepLines/>
      <w:spacing w:before="0" w:line="240" w:lineRule="auto"/>
      <w:jc w:val="center"/>
      <w:outlineLvl w:val="3"/>
    </w:pPr>
    <w:rPr>
      <w:i/>
      <w:iCs/>
      <w:sz w:val="22"/>
      <w:szCs w:val="22"/>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rFonts w:ascii="Arial" w:hAnsi="Arial" w:eastAsia="Arial" w:cs="Arial"/>
      <w:color w:val="666666"/>
      <w:sz w:val="30"/>
      <w:szCs w:val="30"/>
    </w:rPr>
  </w:style>
  <w:style w:type="paragraph" w:styleId="TOC1">
    <w:name w:val="toc 1"/>
    <w:basedOn w:val="Normal"/>
    <w:next w:val="Normal"/>
    <w:autoRedefine/>
    <w:uiPriority w:val="39"/>
    <w:unhideWhenUsed/>
    <w:rsid w:val="00D82C1C"/>
    <w:pPr>
      <w:spacing w:after="100"/>
    </w:pPr>
  </w:style>
  <w:style w:type="paragraph" w:styleId="TOC2">
    <w:name w:val="toc 2"/>
    <w:basedOn w:val="Normal"/>
    <w:next w:val="Normal"/>
    <w:autoRedefine/>
    <w:uiPriority w:val="39"/>
    <w:unhideWhenUsed/>
    <w:rsid w:val="00D82C1C"/>
    <w:pPr>
      <w:spacing w:after="100"/>
      <w:ind w:left="240"/>
    </w:pPr>
  </w:style>
  <w:style w:type="character" w:styleId="Hyperlink">
    <w:name w:val="Hyperlink"/>
    <w:basedOn w:val="DefaultParagraphFont"/>
    <w:uiPriority w:val="99"/>
    <w:unhideWhenUsed/>
    <w:rsid w:val="00D82C1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image" Target="media/image7.png" Id="rId13" /><Relationship Type="http://schemas.openxmlformats.org/officeDocument/2006/relationships/image" Target="media/image12.png" Id="rId18" /><Relationship Type="http://schemas.openxmlformats.org/officeDocument/2006/relationships/customXml" Target="../customXml/item3.xml" Id="rId3" /><Relationship Type="http://schemas.openxmlformats.org/officeDocument/2006/relationships/image" Target="media/image15.png" Id="rId21" /><Relationship Type="http://schemas.openxmlformats.org/officeDocument/2006/relationships/image" Target="media/image1.png" Id="rId7" /><Relationship Type="http://schemas.openxmlformats.org/officeDocument/2006/relationships/image" Target="media/image6.png" Id="rId12" /><Relationship Type="http://schemas.openxmlformats.org/officeDocument/2006/relationships/image" Target="media/image11.png" Id="rId17" /><Relationship Type="http://schemas.openxmlformats.org/officeDocument/2006/relationships/customXml" Target="../customXml/item2.xml" Id="rId2" /><Relationship Type="http://schemas.openxmlformats.org/officeDocument/2006/relationships/image" Target="media/image10.png" Id="rId16" /><Relationship Type="http://schemas.openxmlformats.org/officeDocument/2006/relationships/image" Target="media/image14.png" Id="rId20"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image" Target="media/image5.png" Id="rId11" /><Relationship Type="http://schemas.openxmlformats.org/officeDocument/2006/relationships/settings" Target="settings.xml" Id="rId5" /><Relationship Type="http://schemas.openxmlformats.org/officeDocument/2006/relationships/image" Target="media/image9.png" Id="rId15" /><Relationship Type="http://schemas.openxmlformats.org/officeDocument/2006/relationships/theme" Target="theme/theme1.xml" Id="rId23" /><Relationship Type="http://schemas.openxmlformats.org/officeDocument/2006/relationships/image" Target="media/image4.png" Id="rId10" /><Relationship Type="http://schemas.openxmlformats.org/officeDocument/2006/relationships/image" Target="media/image13.png" Id="rId19" /><Relationship Type="http://schemas.openxmlformats.org/officeDocument/2006/relationships/styles" Target="styles.xml" Id="rId4" /><Relationship Type="http://schemas.openxmlformats.org/officeDocument/2006/relationships/image" Target="media/image3.png" Id="rId9" /><Relationship Type="http://schemas.openxmlformats.org/officeDocument/2006/relationships/image" Target="media/image8.png" Id="rId14" /><Relationship Type="http://schemas.openxmlformats.org/officeDocument/2006/relationships/fontTable" Target="fontTable.xml" Id="rId22" /></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4" ma:contentTypeDescription="Create a new document." ma:contentTypeScope="" ma:versionID="b47c0242d50078e0ebb3595ee656ce41">
  <xsd:schema xmlns:xsd="http://www.w3.org/2001/XMLSchema" xmlns:xs="http://www.w3.org/2001/XMLSchema" xmlns:p="http://schemas.microsoft.com/office/2006/metadata/properties" xmlns:ns3="f799553d-1ac0-48da-9ae3-fe400ced9c3b" targetNamespace="http://schemas.microsoft.com/office/2006/metadata/properties" ma:root="true" ma:fieldsID="e70ca03bdbfc20c55fccbc81b3814a9f"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CD08D5D-F522-4AA3-B618-EC3EC34D07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E3D9187-6D82-49DF-BE3F-FCCD3F4F329A}">
  <ds:schemaRefs>
    <ds:schemaRef ds:uri="http://schemas.microsoft.com/sharepoint/v3/contenttype/forms"/>
  </ds:schemaRefs>
</ds:datastoreItem>
</file>

<file path=customXml/itemProps3.xml><?xml version="1.0" encoding="utf-8"?>
<ds:datastoreItem xmlns:ds="http://schemas.openxmlformats.org/officeDocument/2006/customXml" ds:itemID="{4DFEFD25-FB05-4A8E-BF6F-42706CEC3EF4}">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emann</dc:creator>
  <lastModifiedBy>Faizan Azam (2431939)</lastModifiedBy>
  <revision>3</revision>
  <dcterms:created xsi:type="dcterms:W3CDTF">2026-03-24T23:55:00.0000000Z</dcterms:created>
  <dcterms:modified xsi:type="dcterms:W3CDTF">2026-03-25T00:01:00.4405479Z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