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F9902" w14:textId="77777777" w:rsidR="00C271A4" w:rsidRPr="00DB4937" w:rsidRDefault="00C271A4" w:rsidP="009355E0">
      <w:pPr>
        <w:pStyle w:val="NoSpacing"/>
        <w:spacing w:line="360" w:lineRule="auto"/>
        <w:jc w:val="center"/>
        <w:rPr>
          <w:rFonts w:ascii="Arial" w:hAnsi="Arial" w:cs="Arial"/>
          <w:sz w:val="28"/>
          <w:szCs w:val="28"/>
          <w:lang w:val="en-GB"/>
        </w:rPr>
      </w:pPr>
      <w:r w:rsidRPr="00DB4937">
        <w:rPr>
          <w:rFonts w:ascii="Arial" w:hAnsi="Arial" w:cs="Arial"/>
          <w:noProof/>
          <w:sz w:val="28"/>
          <w:szCs w:val="28"/>
          <w:lang w:val="en-GB"/>
        </w:rPr>
        <w:drawing>
          <wp:inline distT="0" distB="0" distL="0" distR="0" wp14:anchorId="0637DD1E" wp14:editId="282A778E">
            <wp:extent cx="2611061" cy="1039893"/>
            <wp:effectExtent l="0" t="0" r="0" b="0"/>
            <wp:docPr id="1301857008"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6956" cy="1046223"/>
                    </a:xfrm>
                    <a:prstGeom prst="rect">
                      <a:avLst/>
                    </a:prstGeom>
                    <a:noFill/>
                    <a:ln>
                      <a:noFill/>
                    </a:ln>
                  </pic:spPr>
                </pic:pic>
              </a:graphicData>
            </a:graphic>
          </wp:inline>
        </w:drawing>
      </w:r>
    </w:p>
    <w:p w14:paraId="66ADCC0C" w14:textId="77777777" w:rsidR="00C271A4" w:rsidRPr="00DB4937" w:rsidRDefault="00C271A4" w:rsidP="009355E0">
      <w:pPr>
        <w:pStyle w:val="NoSpacing"/>
        <w:spacing w:line="360" w:lineRule="auto"/>
        <w:jc w:val="center"/>
        <w:rPr>
          <w:rFonts w:ascii="Arial" w:hAnsi="Arial" w:cs="Arial"/>
          <w:sz w:val="28"/>
          <w:szCs w:val="28"/>
          <w:lang w:val="en-GB"/>
        </w:rPr>
      </w:pPr>
    </w:p>
    <w:p w14:paraId="3479DEF9" w14:textId="77777777" w:rsidR="00C271A4" w:rsidRPr="00DB4937" w:rsidRDefault="00C271A4" w:rsidP="009355E0">
      <w:pPr>
        <w:pStyle w:val="NoSpacing"/>
        <w:spacing w:line="360" w:lineRule="auto"/>
        <w:jc w:val="center"/>
        <w:rPr>
          <w:rFonts w:ascii="Arial" w:hAnsi="Arial" w:cs="Arial"/>
          <w:sz w:val="28"/>
          <w:szCs w:val="28"/>
          <w:lang w:val="en-GB"/>
        </w:rPr>
      </w:pPr>
      <w:r w:rsidRPr="00DB4937">
        <w:rPr>
          <w:rFonts w:ascii="Arial" w:hAnsi="Arial" w:cs="Arial"/>
          <w:sz w:val="28"/>
          <w:szCs w:val="28"/>
          <w:lang w:val="en-GB"/>
        </w:rPr>
        <w:t>Programme: Master of Business Administration</w:t>
      </w:r>
    </w:p>
    <w:p w14:paraId="4484F184" w14:textId="77777777" w:rsidR="00C271A4" w:rsidRPr="00DB4937" w:rsidRDefault="00C271A4" w:rsidP="009355E0">
      <w:pPr>
        <w:pStyle w:val="NoSpacing"/>
        <w:spacing w:line="360" w:lineRule="auto"/>
        <w:jc w:val="center"/>
        <w:rPr>
          <w:rFonts w:ascii="Arial" w:hAnsi="Arial" w:cs="Arial"/>
          <w:sz w:val="28"/>
          <w:szCs w:val="28"/>
          <w:lang w:val="en-GB"/>
        </w:rPr>
      </w:pPr>
      <w:r w:rsidRPr="00DB4937">
        <w:rPr>
          <w:rFonts w:ascii="Arial" w:hAnsi="Arial" w:cs="Arial"/>
          <w:sz w:val="28"/>
          <w:szCs w:val="28"/>
          <w:lang w:val="en-GB"/>
        </w:rPr>
        <w:t>Module: Financial Management</w:t>
      </w:r>
    </w:p>
    <w:p w14:paraId="62C72C75" w14:textId="3B323D7B" w:rsidR="00C271A4" w:rsidRPr="00DB4937" w:rsidRDefault="00C271A4" w:rsidP="009355E0">
      <w:pPr>
        <w:pStyle w:val="NoSpacing"/>
        <w:spacing w:line="360" w:lineRule="auto"/>
        <w:jc w:val="center"/>
        <w:rPr>
          <w:rFonts w:ascii="Arial" w:hAnsi="Arial" w:cs="Arial"/>
          <w:sz w:val="28"/>
          <w:szCs w:val="28"/>
          <w:lang w:val="en-GB"/>
        </w:rPr>
      </w:pPr>
      <w:r w:rsidRPr="00DB4937">
        <w:rPr>
          <w:rFonts w:ascii="Arial" w:hAnsi="Arial" w:cs="Arial"/>
          <w:sz w:val="28"/>
          <w:szCs w:val="28"/>
          <w:lang w:val="en-GB"/>
        </w:rPr>
        <w:t>Module code: LCMB7002</w:t>
      </w:r>
    </w:p>
    <w:p w14:paraId="2B253BD5" w14:textId="77777777" w:rsidR="00C271A4" w:rsidRPr="00DB4937" w:rsidRDefault="00C271A4" w:rsidP="009355E0">
      <w:pPr>
        <w:pStyle w:val="NoSpacing"/>
        <w:spacing w:line="360" w:lineRule="auto"/>
        <w:jc w:val="center"/>
        <w:rPr>
          <w:rFonts w:ascii="Arial" w:hAnsi="Arial" w:cs="Arial"/>
          <w:sz w:val="28"/>
          <w:szCs w:val="28"/>
          <w:lang w:val="en-GB"/>
        </w:rPr>
      </w:pPr>
    </w:p>
    <w:p w14:paraId="67C08E4A" w14:textId="71E3F68F" w:rsidR="00C271A4" w:rsidRPr="00DB4937" w:rsidRDefault="00C271A4" w:rsidP="009355E0">
      <w:pPr>
        <w:pStyle w:val="NoSpacing"/>
        <w:spacing w:line="360" w:lineRule="auto"/>
        <w:jc w:val="center"/>
        <w:rPr>
          <w:rFonts w:ascii="Arial" w:hAnsi="Arial" w:cs="Arial"/>
          <w:sz w:val="28"/>
          <w:szCs w:val="28"/>
          <w:lang w:val="en-GB"/>
        </w:rPr>
      </w:pPr>
      <w:r w:rsidRPr="00DB4937">
        <w:rPr>
          <w:rFonts w:ascii="Arial" w:hAnsi="Arial" w:cs="Arial"/>
          <w:sz w:val="28"/>
          <w:szCs w:val="28"/>
          <w:lang w:val="en-GB"/>
        </w:rPr>
        <w:t>Assessment component: Financial performance and management</w:t>
      </w:r>
    </w:p>
    <w:p w14:paraId="538E9C6B" w14:textId="77777777" w:rsidR="00C271A4" w:rsidRPr="00DB4937" w:rsidRDefault="00C271A4" w:rsidP="009355E0">
      <w:pPr>
        <w:pStyle w:val="NoSpacing"/>
        <w:spacing w:line="360" w:lineRule="auto"/>
        <w:jc w:val="center"/>
        <w:rPr>
          <w:rFonts w:ascii="Arial" w:hAnsi="Arial" w:cs="Arial"/>
          <w:sz w:val="28"/>
          <w:szCs w:val="28"/>
          <w:lang w:val="en-GB"/>
        </w:rPr>
      </w:pPr>
    </w:p>
    <w:p w14:paraId="611FAA89" w14:textId="5176BF1D" w:rsidR="00C271A4" w:rsidRPr="00DB4937" w:rsidRDefault="00C271A4" w:rsidP="009355E0">
      <w:pPr>
        <w:pStyle w:val="NoSpacing"/>
        <w:spacing w:line="360" w:lineRule="auto"/>
        <w:jc w:val="center"/>
        <w:rPr>
          <w:rFonts w:ascii="Arial" w:hAnsi="Arial" w:cs="Arial"/>
          <w:sz w:val="28"/>
          <w:szCs w:val="28"/>
          <w:lang w:val="en-GB"/>
        </w:rPr>
      </w:pPr>
      <w:r w:rsidRPr="00DB4937">
        <w:rPr>
          <w:rFonts w:ascii="Arial" w:hAnsi="Arial" w:cs="Arial"/>
          <w:sz w:val="28"/>
          <w:szCs w:val="28"/>
          <w:lang w:val="en-GB"/>
        </w:rPr>
        <w:t>Lecturer: Shengfeng Mei (London)</w:t>
      </w:r>
    </w:p>
    <w:p w14:paraId="16DE3B10" w14:textId="77777777" w:rsidR="00C271A4" w:rsidRPr="00DB4937" w:rsidRDefault="00C271A4" w:rsidP="009355E0">
      <w:pPr>
        <w:pStyle w:val="NoSpacing"/>
        <w:spacing w:line="360" w:lineRule="auto"/>
        <w:jc w:val="center"/>
        <w:rPr>
          <w:rFonts w:ascii="Arial" w:hAnsi="Arial" w:cs="Arial"/>
          <w:sz w:val="28"/>
          <w:szCs w:val="28"/>
          <w:lang w:val="en-GB"/>
        </w:rPr>
      </w:pPr>
    </w:p>
    <w:p w14:paraId="668CA0DD" w14:textId="77777777" w:rsidR="00C271A4" w:rsidRPr="00DB4937" w:rsidRDefault="00C271A4" w:rsidP="009355E0">
      <w:pPr>
        <w:pStyle w:val="NoSpacing"/>
        <w:spacing w:line="360" w:lineRule="auto"/>
        <w:jc w:val="center"/>
        <w:rPr>
          <w:rFonts w:ascii="Arial" w:hAnsi="Arial" w:cs="Arial"/>
          <w:sz w:val="28"/>
          <w:szCs w:val="28"/>
          <w:lang w:val="en-GB"/>
        </w:rPr>
      </w:pPr>
      <w:r w:rsidRPr="00DB4937">
        <w:rPr>
          <w:rFonts w:ascii="Arial" w:hAnsi="Arial" w:cs="Arial"/>
          <w:sz w:val="28"/>
          <w:szCs w:val="28"/>
          <w:lang w:val="en-GB"/>
        </w:rPr>
        <w:t>Student Name: AHRAM</w:t>
      </w:r>
    </w:p>
    <w:p w14:paraId="3C042623" w14:textId="77777777" w:rsidR="00C271A4" w:rsidRDefault="00C271A4" w:rsidP="009355E0">
      <w:pPr>
        <w:pStyle w:val="NoSpacing"/>
        <w:spacing w:line="360" w:lineRule="auto"/>
        <w:jc w:val="center"/>
        <w:rPr>
          <w:rFonts w:ascii="Arial" w:hAnsi="Arial" w:cs="Arial"/>
          <w:sz w:val="28"/>
          <w:szCs w:val="28"/>
          <w:lang w:val="en-GB"/>
        </w:rPr>
      </w:pPr>
      <w:r w:rsidRPr="00DB4937">
        <w:rPr>
          <w:rFonts w:ascii="Arial" w:hAnsi="Arial" w:cs="Arial"/>
          <w:sz w:val="28"/>
          <w:szCs w:val="28"/>
          <w:lang w:val="en-GB"/>
        </w:rPr>
        <w:t>Student ID: 2503194</w:t>
      </w:r>
    </w:p>
    <w:p w14:paraId="7F1BFDA6" w14:textId="52BD6EED" w:rsidR="00FC2EAB" w:rsidRPr="00DB4937" w:rsidRDefault="00FC2EAB" w:rsidP="009355E0">
      <w:pPr>
        <w:pStyle w:val="NoSpacing"/>
        <w:spacing w:line="360" w:lineRule="auto"/>
        <w:jc w:val="center"/>
        <w:rPr>
          <w:rFonts w:ascii="Arial" w:hAnsi="Arial" w:cs="Arial"/>
          <w:sz w:val="28"/>
          <w:szCs w:val="28"/>
          <w:lang w:val="en-GB"/>
        </w:rPr>
      </w:pPr>
      <w:r>
        <w:rPr>
          <w:rFonts w:ascii="Arial" w:hAnsi="Arial" w:cs="Arial"/>
          <w:sz w:val="28"/>
          <w:szCs w:val="28"/>
          <w:lang w:val="en-GB"/>
        </w:rPr>
        <w:t xml:space="preserve">Word Count: </w:t>
      </w:r>
      <w:r w:rsidR="00050B93">
        <w:rPr>
          <w:rFonts w:ascii="Arial" w:hAnsi="Arial" w:cs="Arial"/>
          <w:sz w:val="28"/>
          <w:szCs w:val="28"/>
          <w:lang w:val="en-GB"/>
        </w:rPr>
        <w:t>5206</w:t>
      </w:r>
    </w:p>
    <w:p w14:paraId="7717BFAE" w14:textId="77777777" w:rsidR="00C271A4" w:rsidRPr="00DB4937" w:rsidRDefault="00C271A4" w:rsidP="009355E0">
      <w:pPr>
        <w:spacing w:line="360" w:lineRule="auto"/>
        <w:jc w:val="both"/>
        <w:rPr>
          <w:rFonts w:ascii="Arial" w:hAnsi="Arial" w:cs="Arial"/>
          <w:lang w:val="en-GB"/>
        </w:rPr>
      </w:pPr>
    </w:p>
    <w:p w14:paraId="55D1F1BA" w14:textId="77777777" w:rsidR="00C271A4" w:rsidRPr="00DB4937" w:rsidRDefault="00C271A4" w:rsidP="009355E0">
      <w:pPr>
        <w:spacing w:line="360" w:lineRule="auto"/>
        <w:jc w:val="both"/>
        <w:rPr>
          <w:rFonts w:ascii="Arial" w:hAnsi="Arial" w:cs="Arial"/>
          <w:b/>
          <w:bCs/>
          <w:lang w:val="en-GB"/>
        </w:rPr>
      </w:pPr>
      <w:r w:rsidRPr="00DB4937">
        <w:rPr>
          <w:rFonts w:ascii="Arial" w:hAnsi="Arial" w:cs="Arial"/>
          <w:b/>
          <w:bCs/>
          <w:lang w:val="en-GB"/>
        </w:rPr>
        <w:br w:type="page"/>
      </w:r>
    </w:p>
    <w:sdt>
      <w:sdtPr>
        <w:rPr>
          <w:rFonts w:ascii="Arial" w:eastAsiaTheme="minorHAnsi" w:hAnsi="Arial" w:cs="Arial"/>
          <w:color w:val="auto"/>
          <w:kern w:val="2"/>
          <w:sz w:val="24"/>
          <w:szCs w:val="24"/>
          <w:lang w:val="en-GB"/>
          <w14:ligatures w14:val="standardContextual"/>
        </w:rPr>
        <w:id w:val="1514417283"/>
        <w:docPartObj>
          <w:docPartGallery w:val="Table of Contents"/>
          <w:docPartUnique/>
        </w:docPartObj>
      </w:sdtPr>
      <w:sdtEndPr>
        <w:rPr>
          <w:b/>
          <w:bCs/>
          <w:noProof/>
        </w:rPr>
      </w:sdtEndPr>
      <w:sdtContent>
        <w:p w14:paraId="79BA8123" w14:textId="763D6A41" w:rsidR="009355E0" w:rsidRPr="00DB4937" w:rsidRDefault="009355E0" w:rsidP="009355E0">
          <w:pPr>
            <w:pStyle w:val="TOCHeading"/>
            <w:spacing w:line="360" w:lineRule="auto"/>
            <w:jc w:val="center"/>
            <w:rPr>
              <w:rFonts w:ascii="Arial" w:hAnsi="Arial" w:cs="Arial"/>
              <w:b/>
              <w:bCs/>
              <w:sz w:val="24"/>
              <w:szCs w:val="24"/>
              <w:lang w:val="en-GB"/>
            </w:rPr>
          </w:pPr>
          <w:r w:rsidRPr="00DB4937">
            <w:rPr>
              <w:rFonts w:ascii="Arial" w:hAnsi="Arial" w:cs="Arial"/>
              <w:b/>
              <w:bCs/>
              <w:sz w:val="24"/>
              <w:szCs w:val="24"/>
              <w:lang w:val="en-GB"/>
            </w:rPr>
            <w:t>Table of Contents</w:t>
          </w:r>
        </w:p>
        <w:p w14:paraId="1F5B67DC" w14:textId="4272402C" w:rsidR="006E54EE" w:rsidRPr="006E54EE" w:rsidRDefault="009355E0" w:rsidP="006E54EE">
          <w:pPr>
            <w:pStyle w:val="TOC1"/>
            <w:tabs>
              <w:tab w:val="right" w:leader="dot" w:pos="9016"/>
            </w:tabs>
            <w:spacing w:line="360" w:lineRule="auto"/>
            <w:rPr>
              <w:rFonts w:ascii="Arial" w:eastAsiaTheme="minorEastAsia" w:hAnsi="Arial" w:cs="Arial"/>
              <w:noProof/>
              <w:szCs w:val="30"/>
              <w:lang w:bidi="bn-IN"/>
            </w:rPr>
          </w:pPr>
          <w:r w:rsidRPr="006E54EE">
            <w:rPr>
              <w:rFonts w:ascii="Arial" w:hAnsi="Arial" w:cs="Arial"/>
              <w:lang w:val="en-GB"/>
            </w:rPr>
            <w:fldChar w:fldCharType="begin"/>
          </w:r>
          <w:r w:rsidRPr="006E54EE">
            <w:rPr>
              <w:rFonts w:ascii="Arial" w:hAnsi="Arial" w:cs="Arial"/>
              <w:lang w:val="en-GB"/>
            </w:rPr>
            <w:instrText xml:space="preserve"> TOC \o "1-3" \h \z \u </w:instrText>
          </w:r>
          <w:r w:rsidRPr="006E54EE">
            <w:rPr>
              <w:rFonts w:ascii="Arial" w:hAnsi="Arial" w:cs="Arial"/>
              <w:lang w:val="en-GB"/>
            </w:rPr>
            <w:fldChar w:fldCharType="separate"/>
          </w:r>
          <w:hyperlink w:anchor="_Toc217237281" w:history="1">
            <w:r w:rsidR="006E54EE" w:rsidRPr="006E54EE">
              <w:rPr>
                <w:rStyle w:val="Hyperlink"/>
                <w:rFonts w:ascii="Arial" w:hAnsi="Arial" w:cs="Arial"/>
                <w:noProof/>
                <w:lang w:val="en-GB"/>
              </w:rPr>
              <w:t>Introduction</w:t>
            </w:r>
            <w:r w:rsidR="006E54EE" w:rsidRPr="006E54EE">
              <w:rPr>
                <w:rFonts w:ascii="Arial" w:hAnsi="Arial" w:cs="Arial"/>
                <w:noProof/>
                <w:webHidden/>
              </w:rPr>
              <w:tab/>
            </w:r>
            <w:r w:rsidR="006E54EE" w:rsidRPr="006E54EE">
              <w:rPr>
                <w:rFonts w:ascii="Arial" w:hAnsi="Arial" w:cs="Arial"/>
                <w:noProof/>
                <w:webHidden/>
              </w:rPr>
              <w:fldChar w:fldCharType="begin"/>
            </w:r>
            <w:r w:rsidR="006E54EE" w:rsidRPr="006E54EE">
              <w:rPr>
                <w:rFonts w:ascii="Arial" w:hAnsi="Arial" w:cs="Arial"/>
                <w:noProof/>
                <w:webHidden/>
              </w:rPr>
              <w:instrText xml:space="preserve"> PAGEREF _Toc217237281 \h </w:instrText>
            </w:r>
            <w:r w:rsidR="006E54EE" w:rsidRPr="006E54EE">
              <w:rPr>
                <w:rFonts w:ascii="Arial" w:hAnsi="Arial" w:cs="Arial"/>
                <w:noProof/>
                <w:webHidden/>
              </w:rPr>
            </w:r>
            <w:r w:rsidR="006E54EE" w:rsidRPr="006E54EE">
              <w:rPr>
                <w:rFonts w:ascii="Arial" w:hAnsi="Arial" w:cs="Arial"/>
                <w:noProof/>
                <w:webHidden/>
              </w:rPr>
              <w:fldChar w:fldCharType="separate"/>
            </w:r>
            <w:r w:rsidR="006E54EE" w:rsidRPr="006E54EE">
              <w:rPr>
                <w:rFonts w:ascii="Arial" w:hAnsi="Arial" w:cs="Arial"/>
                <w:noProof/>
                <w:webHidden/>
              </w:rPr>
              <w:t>4</w:t>
            </w:r>
            <w:r w:rsidR="006E54EE" w:rsidRPr="006E54EE">
              <w:rPr>
                <w:rFonts w:ascii="Arial" w:hAnsi="Arial" w:cs="Arial"/>
                <w:noProof/>
                <w:webHidden/>
              </w:rPr>
              <w:fldChar w:fldCharType="end"/>
            </w:r>
          </w:hyperlink>
        </w:p>
        <w:p w14:paraId="10AC1607" w14:textId="192D5ADF" w:rsidR="006E54EE" w:rsidRPr="006E54EE" w:rsidRDefault="006E54EE" w:rsidP="006E54EE">
          <w:pPr>
            <w:pStyle w:val="TOC1"/>
            <w:tabs>
              <w:tab w:val="right" w:leader="dot" w:pos="9016"/>
            </w:tabs>
            <w:spacing w:line="360" w:lineRule="auto"/>
            <w:rPr>
              <w:rFonts w:ascii="Arial" w:eastAsiaTheme="minorEastAsia" w:hAnsi="Arial" w:cs="Arial"/>
              <w:noProof/>
              <w:szCs w:val="30"/>
              <w:lang w:bidi="bn-IN"/>
            </w:rPr>
          </w:pPr>
          <w:hyperlink w:anchor="_Toc217237282" w:history="1">
            <w:r w:rsidRPr="006E54EE">
              <w:rPr>
                <w:rStyle w:val="Hyperlink"/>
                <w:rFonts w:ascii="Arial" w:hAnsi="Arial" w:cs="Arial"/>
                <w:noProof/>
                <w:lang w:val="en-GB"/>
              </w:rPr>
              <w:t>Financial Health Check</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_Toc217237282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5</w:t>
            </w:r>
            <w:r w:rsidRPr="006E54EE">
              <w:rPr>
                <w:rFonts w:ascii="Arial" w:hAnsi="Arial" w:cs="Arial"/>
                <w:noProof/>
                <w:webHidden/>
              </w:rPr>
              <w:fldChar w:fldCharType="end"/>
            </w:r>
          </w:hyperlink>
        </w:p>
        <w:p w14:paraId="34D5B960" w14:textId="39148093"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83" w:history="1">
            <w:r w:rsidRPr="006E54EE">
              <w:rPr>
                <w:rStyle w:val="Hyperlink"/>
                <w:rFonts w:ascii="Arial" w:hAnsi="Arial" w:cs="Arial"/>
                <w:noProof/>
                <w:lang w:val="en-GB"/>
              </w:rPr>
              <w:t>Profitability Analysis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_Toc217237283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5</w:t>
            </w:r>
            <w:r w:rsidRPr="006E54EE">
              <w:rPr>
                <w:rFonts w:ascii="Arial" w:hAnsi="Arial" w:cs="Arial"/>
                <w:noProof/>
                <w:webHidden/>
              </w:rPr>
              <w:fldChar w:fldCharType="end"/>
            </w:r>
          </w:hyperlink>
        </w:p>
        <w:p w14:paraId="06355F83" w14:textId="171F6071"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84" w:history="1">
            <w:r w:rsidRPr="006E54EE">
              <w:rPr>
                <w:rStyle w:val="Hyperlink"/>
                <w:rFonts w:ascii="Arial" w:hAnsi="Arial" w:cs="Arial"/>
                <w:noProof/>
                <w:lang w:val="en-GB"/>
              </w:rPr>
              <w:t>Liquidity Position</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_Toc217237284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5</w:t>
            </w:r>
            <w:r w:rsidRPr="006E54EE">
              <w:rPr>
                <w:rFonts w:ascii="Arial" w:hAnsi="Arial" w:cs="Arial"/>
                <w:noProof/>
                <w:webHidden/>
              </w:rPr>
              <w:fldChar w:fldCharType="end"/>
            </w:r>
          </w:hyperlink>
        </w:p>
        <w:p w14:paraId="489DCA94" w14:textId="4C790675"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85" w:history="1">
            <w:r w:rsidRPr="006E54EE">
              <w:rPr>
                <w:rStyle w:val="Hyperlink"/>
                <w:rFonts w:ascii="Arial" w:hAnsi="Arial" w:cs="Arial"/>
                <w:noProof/>
                <w:lang w:val="en-GB"/>
              </w:rPr>
              <w:t>Efficiency and Working Capital Management</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_Toc217237285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6</w:t>
            </w:r>
            <w:r w:rsidRPr="006E54EE">
              <w:rPr>
                <w:rFonts w:ascii="Arial" w:hAnsi="Arial" w:cs="Arial"/>
                <w:noProof/>
                <w:webHidden/>
              </w:rPr>
              <w:fldChar w:fldCharType="end"/>
            </w:r>
          </w:hyperlink>
        </w:p>
        <w:p w14:paraId="68716D20" w14:textId="54D5E0A4"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86" w:history="1">
            <w:r w:rsidRPr="006E54EE">
              <w:rPr>
                <w:rStyle w:val="Hyperlink"/>
                <w:rFonts w:ascii="Arial" w:hAnsi="Arial" w:cs="Arial"/>
                <w:noProof/>
                <w:lang w:val="en-GB"/>
              </w:rPr>
              <w:t>Gearing and Solvency</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_Toc217237286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6</w:t>
            </w:r>
            <w:r w:rsidRPr="006E54EE">
              <w:rPr>
                <w:rFonts w:ascii="Arial" w:hAnsi="Arial" w:cs="Arial"/>
                <w:noProof/>
                <w:webHidden/>
              </w:rPr>
              <w:fldChar w:fldCharType="end"/>
            </w:r>
          </w:hyperlink>
        </w:p>
        <w:p w14:paraId="62744AE6" w14:textId="2AC575CD"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87" w:history="1">
            <w:r w:rsidRPr="006E54EE">
              <w:rPr>
                <w:rStyle w:val="Hyperlink"/>
                <w:rFonts w:ascii="Arial" w:hAnsi="Arial" w:cs="Arial"/>
                <w:noProof/>
                <w:lang w:val="en-GB"/>
              </w:rPr>
              <w:t>Investment Performance</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_Toc217237287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7</w:t>
            </w:r>
            <w:r w:rsidRPr="006E54EE">
              <w:rPr>
                <w:rFonts w:ascii="Arial" w:hAnsi="Arial" w:cs="Arial"/>
                <w:noProof/>
                <w:webHidden/>
              </w:rPr>
              <w:fldChar w:fldCharType="end"/>
            </w:r>
          </w:hyperlink>
        </w:p>
        <w:p w14:paraId="226A5770" w14:textId="14E0E554"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88" w:history="1">
            <w:r w:rsidRPr="006E54EE">
              <w:rPr>
                <w:rStyle w:val="Hyperlink"/>
                <w:rFonts w:ascii="Arial" w:hAnsi="Arial" w:cs="Arial"/>
                <w:noProof/>
                <w:lang w:val="en-GB"/>
              </w:rPr>
              <w:t>Cash Flow Analysis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_Toc217237288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7</w:t>
            </w:r>
            <w:r w:rsidRPr="006E54EE">
              <w:rPr>
                <w:rFonts w:ascii="Arial" w:hAnsi="Arial" w:cs="Arial"/>
                <w:noProof/>
                <w:webHidden/>
              </w:rPr>
              <w:fldChar w:fldCharType="end"/>
            </w:r>
          </w:hyperlink>
        </w:p>
        <w:p w14:paraId="64A91D28" w14:textId="7FDF9148"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89" w:history="1">
            <w:r w:rsidRPr="006E54EE">
              <w:rPr>
                <w:rStyle w:val="Hyperlink"/>
                <w:rFonts w:ascii="Arial" w:hAnsi="Arial" w:cs="Arial"/>
                <w:noProof/>
                <w:lang w:val="en-GB"/>
              </w:rPr>
              <w:t>Corporate Failure Risk: Altman Z-Score</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_Toc217237289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8</w:t>
            </w:r>
            <w:r w:rsidRPr="006E54EE">
              <w:rPr>
                <w:rFonts w:ascii="Arial" w:hAnsi="Arial" w:cs="Arial"/>
                <w:noProof/>
                <w:webHidden/>
              </w:rPr>
              <w:fldChar w:fldCharType="end"/>
            </w:r>
          </w:hyperlink>
        </w:p>
        <w:p w14:paraId="46D06D95" w14:textId="1F7608FB" w:rsidR="006E54EE" w:rsidRPr="006E54EE" w:rsidRDefault="006E54EE" w:rsidP="006E54EE">
          <w:pPr>
            <w:pStyle w:val="TOC1"/>
            <w:tabs>
              <w:tab w:val="right" w:leader="dot" w:pos="9016"/>
            </w:tabs>
            <w:spacing w:line="360" w:lineRule="auto"/>
            <w:rPr>
              <w:rFonts w:ascii="Arial" w:eastAsiaTheme="minorEastAsia" w:hAnsi="Arial" w:cs="Arial"/>
              <w:noProof/>
              <w:szCs w:val="30"/>
              <w:lang w:bidi="bn-IN"/>
            </w:rPr>
          </w:pPr>
          <w:hyperlink w:anchor="_Toc217237290" w:history="1">
            <w:r w:rsidRPr="006E54EE">
              <w:rPr>
                <w:rStyle w:val="Hyperlink"/>
                <w:rFonts w:ascii="Arial" w:hAnsi="Arial" w:cs="Arial"/>
                <w:noProof/>
                <w:lang w:val="en-GB"/>
              </w:rPr>
              <w:t>Working Capital Management Analysis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_Toc217237290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9</w:t>
            </w:r>
            <w:r w:rsidRPr="006E54EE">
              <w:rPr>
                <w:rFonts w:ascii="Arial" w:hAnsi="Arial" w:cs="Arial"/>
                <w:noProof/>
                <w:webHidden/>
              </w:rPr>
              <w:fldChar w:fldCharType="end"/>
            </w:r>
          </w:hyperlink>
        </w:p>
        <w:p w14:paraId="4508D61A" w14:textId="451ACEF8"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91" w:history="1">
            <w:r w:rsidRPr="006E54EE">
              <w:rPr>
                <w:rStyle w:val="Hyperlink"/>
                <w:rFonts w:ascii="Arial" w:hAnsi="Arial" w:cs="Arial"/>
                <w:noProof/>
                <w:lang w:val="en-GB"/>
              </w:rPr>
              <w:t>Assessment of the Cash Operating Cycle</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_Toc217237291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9</w:t>
            </w:r>
            <w:r w:rsidRPr="006E54EE">
              <w:rPr>
                <w:rFonts w:ascii="Arial" w:hAnsi="Arial" w:cs="Arial"/>
                <w:noProof/>
                <w:webHidden/>
              </w:rPr>
              <w:fldChar w:fldCharType="end"/>
            </w:r>
          </w:hyperlink>
        </w:p>
        <w:p w14:paraId="7F0A8FA3" w14:textId="288A8501"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92" w:history="1">
            <w:r w:rsidRPr="006E54EE">
              <w:rPr>
                <w:rStyle w:val="Hyperlink"/>
                <w:rFonts w:ascii="Arial" w:hAnsi="Arial" w:cs="Arial"/>
                <w:noProof/>
                <w:lang w:val="en-GB"/>
              </w:rPr>
              <w:t>Liquidity Enhancement Through Working Capital Reforms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_Toc217237292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10</w:t>
            </w:r>
            <w:r w:rsidRPr="006E54EE">
              <w:rPr>
                <w:rFonts w:ascii="Arial" w:hAnsi="Arial" w:cs="Arial"/>
                <w:noProof/>
                <w:webHidden/>
              </w:rPr>
              <w:fldChar w:fldCharType="end"/>
            </w:r>
          </w:hyperlink>
        </w:p>
        <w:p w14:paraId="53356B81" w14:textId="2E9C0244"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93" w:history="1">
            <w:r w:rsidRPr="006E54EE">
              <w:rPr>
                <w:rStyle w:val="Hyperlink"/>
                <w:rFonts w:ascii="Arial" w:hAnsi="Arial" w:cs="Arial"/>
                <w:noProof/>
                <w:lang w:val="en-GB"/>
              </w:rPr>
              <w:t>Short-Term Versus Long-Term Financing Options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_Toc217237293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10</w:t>
            </w:r>
            <w:r w:rsidRPr="006E54EE">
              <w:rPr>
                <w:rFonts w:ascii="Arial" w:hAnsi="Arial" w:cs="Arial"/>
                <w:noProof/>
                <w:webHidden/>
              </w:rPr>
              <w:fldChar w:fldCharType="end"/>
            </w:r>
          </w:hyperlink>
        </w:p>
        <w:p w14:paraId="436A277A" w14:textId="1F1C9AE4" w:rsidR="006E54EE" w:rsidRPr="006E54EE" w:rsidRDefault="006E54EE" w:rsidP="006E54EE">
          <w:pPr>
            <w:pStyle w:val="TOC1"/>
            <w:tabs>
              <w:tab w:val="right" w:leader="dot" w:pos="9016"/>
            </w:tabs>
            <w:spacing w:line="360" w:lineRule="auto"/>
            <w:rPr>
              <w:rFonts w:ascii="Arial" w:eastAsiaTheme="minorEastAsia" w:hAnsi="Arial" w:cs="Arial"/>
              <w:noProof/>
              <w:szCs w:val="30"/>
              <w:lang w:bidi="bn-IN"/>
            </w:rPr>
          </w:pPr>
          <w:hyperlink w:anchor="_Toc217237294" w:history="1">
            <w:r w:rsidRPr="006E54EE">
              <w:rPr>
                <w:rStyle w:val="Hyperlink"/>
                <w:rFonts w:ascii="Arial" w:hAnsi="Arial" w:cs="Arial"/>
                <w:noProof/>
                <w:lang w:val="en-GB"/>
              </w:rPr>
              <w:t>Strategic Financial Restructuring Plan</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_Toc217237294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12</w:t>
            </w:r>
            <w:r w:rsidRPr="006E54EE">
              <w:rPr>
                <w:rFonts w:ascii="Arial" w:hAnsi="Arial" w:cs="Arial"/>
                <w:noProof/>
                <w:webHidden/>
              </w:rPr>
              <w:fldChar w:fldCharType="end"/>
            </w:r>
          </w:hyperlink>
        </w:p>
        <w:p w14:paraId="5A795793" w14:textId="622E6703"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95" w:history="1">
            <w:r w:rsidRPr="006E54EE">
              <w:rPr>
                <w:rStyle w:val="Hyperlink"/>
                <w:rFonts w:ascii="Arial" w:hAnsi="Arial" w:cs="Arial"/>
                <w:noProof/>
                <w:lang w:val="en-GB"/>
              </w:rPr>
              <w:t>Recommended financial restructuring options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_Toc217237295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12</w:t>
            </w:r>
            <w:r w:rsidRPr="006E54EE">
              <w:rPr>
                <w:rFonts w:ascii="Arial" w:hAnsi="Arial" w:cs="Arial"/>
                <w:noProof/>
                <w:webHidden/>
              </w:rPr>
              <w:fldChar w:fldCharType="end"/>
            </w:r>
          </w:hyperlink>
        </w:p>
        <w:p w14:paraId="7C217D96" w14:textId="1EB4DE5C"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296" w:history="1">
            <w:r w:rsidRPr="006E54EE">
              <w:rPr>
                <w:rStyle w:val="Hyperlink"/>
                <w:rFonts w:ascii="Arial" w:hAnsi="Arial" w:cs="Arial"/>
                <w:noProof/>
                <w:lang w:val="en-GB"/>
              </w:rPr>
              <w:t>Divestiture and Portfolio Rationalisation</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_Toc217237296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12</w:t>
            </w:r>
            <w:r w:rsidRPr="006E54EE">
              <w:rPr>
                <w:rFonts w:ascii="Arial" w:hAnsi="Arial" w:cs="Arial"/>
                <w:noProof/>
                <w:webHidden/>
              </w:rPr>
              <w:fldChar w:fldCharType="end"/>
            </w:r>
          </w:hyperlink>
        </w:p>
        <w:p w14:paraId="2BDBE5DE" w14:textId="2CE44C44"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297" w:history="1">
            <w:r w:rsidRPr="006E54EE">
              <w:rPr>
                <w:rStyle w:val="Hyperlink"/>
                <w:rFonts w:ascii="Arial" w:hAnsi="Arial" w:cs="Arial"/>
                <w:noProof/>
                <w:lang w:val="en-GB"/>
              </w:rPr>
              <w:t>Equity Injection and Capital Base Restoration</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_Toc217237297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12</w:t>
            </w:r>
            <w:r w:rsidRPr="006E54EE">
              <w:rPr>
                <w:rFonts w:ascii="Arial" w:hAnsi="Arial" w:cs="Arial"/>
                <w:noProof/>
                <w:webHidden/>
              </w:rPr>
              <w:fldChar w:fldCharType="end"/>
            </w:r>
          </w:hyperlink>
        </w:p>
        <w:p w14:paraId="2E0E5196" w14:textId="5983C044"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298" w:history="1">
            <w:r w:rsidRPr="006E54EE">
              <w:rPr>
                <w:rStyle w:val="Hyperlink"/>
                <w:rFonts w:ascii="Arial" w:hAnsi="Arial" w:cs="Arial"/>
                <w:noProof/>
                <w:lang w:val="en-GB"/>
              </w:rPr>
              <w:t>Merger or Strategic Alliance Considerations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_Toc217237298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13</w:t>
            </w:r>
            <w:r w:rsidRPr="006E54EE">
              <w:rPr>
                <w:rFonts w:ascii="Arial" w:hAnsi="Arial" w:cs="Arial"/>
                <w:noProof/>
                <w:webHidden/>
              </w:rPr>
              <w:fldChar w:fldCharType="end"/>
            </w:r>
          </w:hyperlink>
        </w:p>
        <w:p w14:paraId="765CBC75" w14:textId="2EBD3F2C"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299" w:history="1">
            <w:r w:rsidRPr="006E54EE">
              <w:rPr>
                <w:rStyle w:val="Hyperlink"/>
                <w:rFonts w:ascii="Arial" w:hAnsi="Arial" w:cs="Arial"/>
                <w:noProof/>
                <w:lang w:val="en-GB"/>
              </w:rPr>
              <w:t>Impact of Restructuring on Shareholder Value</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_Toc217237299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14</w:t>
            </w:r>
            <w:r w:rsidRPr="006E54EE">
              <w:rPr>
                <w:rFonts w:ascii="Arial" w:hAnsi="Arial" w:cs="Arial"/>
                <w:noProof/>
                <w:webHidden/>
              </w:rPr>
              <w:fldChar w:fldCharType="end"/>
            </w:r>
          </w:hyperlink>
        </w:p>
        <w:p w14:paraId="5EB6D3F5" w14:textId="3EBD1898"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00" w:history="1">
            <w:r w:rsidRPr="006E54EE">
              <w:rPr>
                <w:rStyle w:val="Hyperlink"/>
                <w:rFonts w:ascii="Arial" w:hAnsi="Arial" w:cs="Arial"/>
                <w:noProof/>
                <w:lang w:val="en-GB"/>
              </w:rPr>
              <w:t>International Macroeconomic and Ethical Considerations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_Toc217237300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14</w:t>
            </w:r>
            <w:r w:rsidRPr="006E54EE">
              <w:rPr>
                <w:rFonts w:ascii="Arial" w:hAnsi="Arial" w:cs="Arial"/>
                <w:noProof/>
                <w:webHidden/>
              </w:rPr>
              <w:fldChar w:fldCharType="end"/>
            </w:r>
          </w:hyperlink>
        </w:p>
        <w:p w14:paraId="26EE36CC" w14:textId="03676509" w:rsidR="006E54EE" w:rsidRPr="006E54EE" w:rsidRDefault="006E54EE" w:rsidP="006E54EE">
          <w:pPr>
            <w:pStyle w:val="TOC1"/>
            <w:tabs>
              <w:tab w:val="right" w:leader="dot" w:pos="9016"/>
            </w:tabs>
            <w:spacing w:line="360" w:lineRule="auto"/>
            <w:rPr>
              <w:rFonts w:ascii="Arial" w:eastAsiaTheme="minorEastAsia" w:hAnsi="Arial" w:cs="Arial"/>
              <w:noProof/>
              <w:szCs w:val="30"/>
              <w:lang w:bidi="bn-IN"/>
            </w:rPr>
          </w:pPr>
          <w:hyperlink w:anchor="_Toc217237301" w:history="1">
            <w:r w:rsidRPr="006E54EE">
              <w:rPr>
                <w:rStyle w:val="Hyperlink"/>
                <w:rFonts w:ascii="Arial" w:hAnsi="Arial" w:cs="Arial"/>
                <w:noProof/>
                <w:lang w:val="en-GB"/>
              </w:rPr>
              <w:t>Investment Appraisal and Capital Budgeting</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_Toc217237301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16</w:t>
            </w:r>
            <w:r w:rsidRPr="006E54EE">
              <w:rPr>
                <w:rFonts w:ascii="Arial" w:hAnsi="Arial" w:cs="Arial"/>
                <w:noProof/>
                <w:webHidden/>
              </w:rPr>
              <w:fldChar w:fldCharType="end"/>
            </w:r>
          </w:hyperlink>
        </w:p>
        <w:p w14:paraId="1BB8ECF4" w14:textId="5FDCB04D"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02" w:history="1">
            <w:r w:rsidRPr="006E54EE">
              <w:rPr>
                <w:rStyle w:val="Hyperlink"/>
                <w:rFonts w:ascii="Arial" w:hAnsi="Arial" w:cs="Arial"/>
                <w:noProof/>
                <w:lang w:val="en-GB"/>
              </w:rPr>
              <w:t>Context for Capital Investment Decisions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_Toc217237302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16</w:t>
            </w:r>
            <w:r w:rsidRPr="006E54EE">
              <w:rPr>
                <w:rFonts w:ascii="Arial" w:hAnsi="Arial" w:cs="Arial"/>
                <w:noProof/>
                <w:webHidden/>
              </w:rPr>
              <w:fldChar w:fldCharType="end"/>
            </w:r>
          </w:hyperlink>
        </w:p>
        <w:p w14:paraId="20671300" w14:textId="169C4575"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03" w:history="1">
            <w:r w:rsidRPr="006E54EE">
              <w:rPr>
                <w:rStyle w:val="Hyperlink"/>
                <w:rFonts w:ascii="Arial" w:hAnsi="Arial" w:cs="Arial"/>
                <w:noProof/>
                <w:lang w:val="en-GB"/>
              </w:rPr>
              <w:t>Investment Appraisal Calculations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_Toc217237303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16</w:t>
            </w:r>
            <w:r w:rsidRPr="006E54EE">
              <w:rPr>
                <w:rFonts w:ascii="Arial" w:hAnsi="Arial" w:cs="Arial"/>
                <w:noProof/>
                <w:webHidden/>
              </w:rPr>
              <w:fldChar w:fldCharType="end"/>
            </w:r>
          </w:hyperlink>
        </w:p>
        <w:p w14:paraId="2D50AFFB" w14:textId="0EFFEEED"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304" w:history="1">
            <w:r w:rsidRPr="006E54EE">
              <w:rPr>
                <w:rStyle w:val="Hyperlink"/>
                <w:rFonts w:ascii="Arial" w:hAnsi="Arial" w:cs="Arial"/>
                <w:noProof/>
                <w:lang w:val="en-GB"/>
              </w:rPr>
              <w:t>Summary of Cash Flows and Assumptions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_Toc217237304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16</w:t>
            </w:r>
            <w:r w:rsidRPr="006E54EE">
              <w:rPr>
                <w:rFonts w:ascii="Arial" w:hAnsi="Arial" w:cs="Arial"/>
                <w:noProof/>
                <w:webHidden/>
              </w:rPr>
              <w:fldChar w:fldCharType="end"/>
            </w:r>
          </w:hyperlink>
        </w:p>
        <w:p w14:paraId="0B7C06E1" w14:textId="6E3C804C"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305" w:history="1">
            <w:r w:rsidRPr="006E54EE">
              <w:rPr>
                <w:rStyle w:val="Hyperlink"/>
                <w:rFonts w:ascii="Arial" w:hAnsi="Arial" w:cs="Arial"/>
                <w:noProof/>
                <w:lang w:val="en-GB"/>
              </w:rPr>
              <w:t>Payback Period Analysis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_Toc217237305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16</w:t>
            </w:r>
            <w:r w:rsidRPr="006E54EE">
              <w:rPr>
                <w:rFonts w:ascii="Arial" w:hAnsi="Arial" w:cs="Arial"/>
                <w:noProof/>
                <w:webHidden/>
              </w:rPr>
              <w:fldChar w:fldCharType="end"/>
            </w:r>
          </w:hyperlink>
        </w:p>
        <w:p w14:paraId="30209F49" w14:textId="489B013E"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306" w:history="1">
            <w:r w:rsidRPr="006E54EE">
              <w:rPr>
                <w:rStyle w:val="Hyperlink"/>
                <w:rFonts w:ascii="Arial" w:hAnsi="Arial" w:cs="Arial"/>
                <w:noProof/>
                <w:lang w:val="en-GB"/>
              </w:rPr>
              <w:t>Accounting Rate of Return (ARR)</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_Toc217237306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18</w:t>
            </w:r>
            <w:r w:rsidRPr="006E54EE">
              <w:rPr>
                <w:rFonts w:ascii="Arial" w:hAnsi="Arial" w:cs="Arial"/>
                <w:noProof/>
                <w:webHidden/>
              </w:rPr>
              <w:fldChar w:fldCharType="end"/>
            </w:r>
          </w:hyperlink>
        </w:p>
        <w:p w14:paraId="6E8B7A2D" w14:textId="6B6D4446"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307" w:history="1">
            <w:r w:rsidRPr="006E54EE">
              <w:rPr>
                <w:rStyle w:val="Hyperlink"/>
                <w:rFonts w:ascii="Arial" w:hAnsi="Arial" w:cs="Arial"/>
                <w:noProof/>
                <w:lang w:val="en-GB"/>
              </w:rPr>
              <w:t>NPV and Profitability Index (PI)</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_Toc217237307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19</w:t>
            </w:r>
            <w:r w:rsidRPr="006E54EE">
              <w:rPr>
                <w:rFonts w:ascii="Arial" w:hAnsi="Arial" w:cs="Arial"/>
                <w:noProof/>
                <w:webHidden/>
              </w:rPr>
              <w:fldChar w:fldCharType="end"/>
            </w:r>
          </w:hyperlink>
        </w:p>
        <w:p w14:paraId="77DAF533" w14:textId="2E37313D" w:rsidR="006E54EE" w:rsidRPr="006E54EE" w:rsidRDefault="006E54EE" w:rsidP="006E54EE">
          <w:pPr>
            <w:pStyle w:val="TOC3"/>
            <w:tabs>
              <w:tab w:val="right" w:leader="dot" w:pos="9016"/>
            </w:tabs>
            <w:spacing w:line="360" w:lineRule="auto"/>
            <w:rPr>
              <w:rFonts w:ascii="Arial" w:eastAsiaTheme="minorEastAsia" w:hAnsi="Arial" w:cs="Arial"/>
              <w:noProof/>
              <w:szCs w:val="30"/>
              <w:lang w:bidi="bn-IN"/>
            </w:rPr>
          </w:pPr>
          <w:hyperlink w:anchor="_Toc217237308" w:history="1">
            <w:r w:rsidRPr="006E54EE">
              <w:rPr>
                <w:rStyle w:val="Hyperlink"/>
                <w:rFonts w:ascii="Arial" w:hAnsi="Arial" w:cs="Arial"/>
                <w:noProof/>
                <w:lang w:val="en-GB"/>
              </w:rPr>
              <w:t>Internal Rate of Return (IRR)</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_Toc217237308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19</w:t>
            </w:r>
            <w:r w:rsidRPr="006E54EE">
              <w:rPr>
                <w:rFonts w:ascii="Arial" w:hAnsi="Arial" w:cs="Arial"/>
                <w:noProof/>
                <w:webHidden/>
              </w:rPr>
              <w:fldChar w:fldCharType="end"/>
            </w:r>
          </w:hyperlink>
        </w:p>
        <w:p w14:paraId="25FD9240" w14:textId="4C51FB68"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09" w:history="1">
            <w:r w:rsidRPr="006E54EE">
              <w:rPr>
                <w:rStyle w:val="Hyperlink"/>
                <w:rFonts w:ascii="Arial" w:hAnsi="Arial" w:cs="Arial"/>
                <w:noProof/>
                <w:lang w:val="en-GB"/>
              </w:rPr>
              <w:t>Capital Rationing and Best Project Choice</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_Toc217237309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20</w:t>
            </w:r>
            <w:r w:rsidRPr="006E54EE">
              <w:rPr>
                <w:rFonts w:ascii="Arial" w:hAnsi="Arial" w:cs="Arial"/>
                <w:noProof/>
                <w:webHidden/>
              </w:rPr>
              <w:fldChar w:fldCharType="end"/>
            </w:r>
          </w:hyperlink>
        </w:p>
        <w:p w14:paraId="0BE06A4F" w14:textId="641331C5"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10" w:history="1">
            <w:r w:rsidRPr="006E54EE">
              <w:rPr>
                <w:rStyle w:val="Hyperlink"/>
                <w:rFonts w:ascii="Arial" w:hAnsi="Arial" w:cs="Arial"/>
                <w:noProof/>
                <w:lang w:val="en-GB"/>
              </w:rPr>
              <w:t>Risk Characteristics and Financial Fit</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_Toc217237310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20</w:t>
            </w:r>
            <w:r w:rsidRPr="006E54EE">
              <w:rPr>
                <w:rFonts w:ascii="Arial" w:hAnsi="Arial" w:cs="Arial"/>
                <w:noProof/>
                <w:webHidden/>
              </w:rPr>
              <w:fldChar w:fldCharType="end"/>
            </w:r>
          </w:hyperlink>
        </w:p>
        <w:p w14:paraId="3B5B0FFF" w14:textId="124C4129"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11" w:history="1">
            <w:r w:rsidRPr="006E54EE">
              <w:rPr>
                <w:rStyle w:val="Hyperlink"/>
                <w:rFonts w:ascii="Arial" w:hAnsi="Arial" w:cs="Arial"/>
                <w:noProof/>
                <w:lang w:val="en-GB"/>
              </w:rPr>
              <w:t>Strategic Investment Recommendation</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_Toc217237311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21</w:t>
            </w:r>
            <w:r w:rsidRPr="006E54EE">
              <w:rPr>
                <w:rFonts w:ascii="Arial" w:hAnsi="Arial" w:cs="Arial"/>
                <w:noProof/>
                <w:webHidden/>
              </w:rPr>
              <w:fldChar w:fldCharType="end"/>
            </w:r>
          </w:hyperlink>
        </w:p>
        <w:p w14:paraId="2F81856D" w14:textId="65E82ECB" w:rsidR="006E54EE" w:rsidRPr="006E54EE" w:rsidRDefault="006E54EE" w:rsidP="006E54EE">
          <w:pPr>
            <w:pStyle w:val="TOC1"/>
            <w:tabs>
              <w:tab w:val="right" w:leader="dot" w:pos="9016"/>
            </w:tabs>
            <w:spacing w:line="360" w:lineRule="auto"/>
            <w:rPr>
              <w:rFonts w:ascii="Arial" w:eastAsiaTheme="minorEastAsia" w:hAnsi="Arial" w:cs="Arial"/>
              <w:noProof/>
              <w:szCs w:val="30"/>
              <w:lang w:bidi="bn-IN"/>
            </w:rPr>
          </w:pPr>
          <w:hyperlink w:anchor="_Toc217237312" w:history="1">
            <w:r w:rsidRPr="006E54EE">
              <w:rPr>
                <w:rStyle w:val="Hyperlink"/>
                <w:rFonts w:ascii="Arial" w:hAnsi="Arial" w:cs="Arial"/>
                <w:noProof/>
                <w:lang w:val="en-GB"/>
              </w:rPr>
              <w:t>Conclusion</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_Toc217237312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22</w:t>
            </w:r>
            <w:r w:rsidRPr="006E54EE">
              <w:rPr>
                <w:rFonts w:ascii="Arial" w:hAnsi="Arial" w:cs="Arial"/>
                <w:noProof/>
                <w:webHidden/>
              </w:rPr>
              <w:fldChar w:fldCharType="end"/>
            </w:r>
          </w:hyperlink>
        </w:p>
        <w:p w14:paraId="16E86DA2" w14:textId="292FAF11" w:rsidR="006E54EE" w:rsidRPr="006E54EE" w:rsidRDefault="006E54EE" w:rsidP="006E54EE">
          <w:pPr>
            <w:pStyle w:val="TOC1"/>
            <w:tabs>
              <w:tab w:val="right" w:leader="dot" w:pos="9016"/>
            </w:tabs>
            <w:spacing w:line="360" w:lineRule="auto"/>
            <w:rPr>
              <w:rFonts w:ascii="Arial" w:eastAsiaTheme="minorEastAsia" w:hAnsi="Arial" w:cs="Arial"/>
              <w:noProof/>
              <w:szCs w:val="30"/>
              <w:lang w:bidi="bn-IN"/>
            </w:rPr>
          </w:pPr>
          <w:hyperlink w:anchor="_Toc217237313" w:history="1">
            <w:r w:rsidRPr="006E54EE">
              <w:rPr>
                <w:rStyle w:val="Hyperlink"/>
                <w:rFonts w:ascii="Arial" w:hAnsi="Arial" w:cs="Arial"/>
                <w:noProof/>
                <w:lang w:val="en-GB"/>
              </w:rPr>
              <w:t>References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_Toc217237313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23</w:t>
            </w:r>
            <w:r w:rsidRPr="006E54EE">
              <w:rPr>
                <w:rFonts w:ascii="Arial" w:hAnsi="Arial" w:cs="Arial"/>
                <w:noProof/>
                <w:webHidden/>
              </w:rPr>
              <w:fldChar w:fldCharType="end"/>
            </w:r>
          </w:hyperlink>
        </w:p>
        <w:p w14:paraId="6DC29AD1" w14:textId="50BB2AAC" w:rsidR="006E54EE" w:rsidRPr="006E54EE" w:rsidRDefault="006E54EE" w:rsidP="006E54EE">
          <w:pPr>
            <w:pStyle w:val="TOC1"/>
            <w:tabs>
              <w:tab w:val="right" w:leader="dot" w:pos="9016"/>
            </w:tabs>
            <w:spacing w:line="360" w:lineRule="auto"/>
            <w:rPr>
              <w:rFonts w:ascii="Arial" w:eastAsiaTheme="minorEastAsia" w:hAnsi="Arial" w:cs="Arial"/>
              <w:noProof/>
              <w:szCs w:val="30"/>
              <w:lang w:bidi="bn-IN"/>
            </w:rPr>
          </w:pPr>
          <w:hyperlink w:anchor="_Toc217237314" w:history="1">
            <w:r w:rsidRPr="006E54EE">
              <w:rPr>
                <w:rStyle w:val="Hyperlink"/>
                <w:rFonts w:ascii="Arial" w:hAnsi="Arial" w:cs="Arial"/>
                <w:noProof/>
                <w:lang w:val="en-GB"/>
              </w:rPr>
              <w:t>Appendices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_Toc217237314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25</w:t>
            </w:r>
            <w:r w:rsidRPr="006E54EE">
              <w:rPr>
                <w:rFonts w:ascii="Arial" w:hAnsi="Arial" w:cs="Arial"/>
                <w:noProof/>
                <w:webHidden/>
              </w:rPr>
              <w:fldChar w:fldCharType="end"/>
            </w:r>
          </w:hyperlink>
        </w:p>
        <w:p w14:paraId="5DBA4241" w14:textId="1CBD25F8"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15" w:history="1">
            <w:r w:rsidRPr="006E54EE">
              <w:rPr>
                <w:rStyle w:val="Hyperlink"/>
                <w:rFonts w:ascii="Arial" w:hAnsi="Arial" w:cs="Arial"/>
                <w:noProof/>
                <w:lang w:val="en-GB"/>
              </w:rPr>
              <w:t>Appendix A: Ration Analysis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_Toc217237315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25</w:t>
            </w:r>
            <w:r w:rsidRPr="006E54EE">
              <w:rPr>
                <w:rFonts w:ascii="Arial" w:hAnsi="Arial" w:cs="Arial"/>
                <w:noProof/>
                <w:webHidden/>
              </w:rPr>
              <w:fldChar w:fldCharType="end"/>
            </w:r>
          </w:hyperlink>
        </w:p>
        <w:p w14:paraId="4D8C9B0B" w14:textId="37AC717D" w:rsidR="006E54EE" w:rsidRPr="006E54EE" w:rsidRDefault="006E54EE" w:rsidP="006E54EE">
          <w:pPr>
            <w:pStyle w:val="TOC2"/>
            <w:tabs>
              <w:tab w:val="right" w:leader="dot" w:pos="9016"/>
            </w:tabs>
            <w:spacing w:line="360" w:lineRule="auto"/>
            <w:rPr>
              <w:rFonts w:ascii="Arial" w:eastAsiaTheme="minorEastAsia" w:hAnsi="Arial" w:cs="Arial"/>
              <w:noProof/>
              <w:szCs w:val="30"/>
              <w:lang w:bidi="bn-IN"/>
            </w:rPr>
          </w:pPr>
          <w:hyperlink w:anchor="_Toc217237316" w:history="1">
            <w:r w:rsidRPr="006E54EE">
              <w:rPr>
                <w:rStyle w:val="Hyperlink"/>
                <w:rFonts w:ascii="Arial" w:hAnsi="Arial" w:cs="Arial"/>
                <w:noProof/>
                <w:lang w:val="en-GB"/>
              </w:rPr>
              <w:t>Appendix B: Investment appraisal calculations</w:t>
            </w:r>
            <w:r w:rsidRPr="006E54EE">
              <w:rPr>
                <w:rFonts w:ascii="Arial" w:hAnsi="Arial" w:cs="Arial"/>
                <w:noProof/>
                <w:webHidden/>
              </w:rPr>
              <w:tab/>
            </w:r>
            <w:r w:rsidRPr="006E54EE">
              <w:rPr>
                <w:rFonts w:ascii="Arial" w:hAnsi="Arial" w:cs="Arial"/>
                <w:noProof/>
                <w:webHidden/>
              </w:rPr>
              <w:fldChar w:fldCharType="begin"/>
            </w:r>
            <w:r w:rsidRPr="006E54EE">
              <w:rPr>
                <w:rFonts w:ascii="Arial" w:hAnsi="Arial" w:cs="Arial"/>
                <w:noProof/>
                <w:webHidden/>
              </w:rPr>
              <w:instrText xml:space="preserve"> PAGEREF _Toc217237316 \h </w:instrText>
            </w:r>
            <w:r w:rsidRPr="006E54EE">
              <w:rPr>
                <w:rFonts w:ascii="Arial" w:hAnsi="Arial" w:cs="Arial"/>
                <w:noProof/>
                <w:webHidden/>
              </w:rPr>
            </w:r>
            <w:r w:rsidRPr="006E54EE">
              <w:rPr>
                <w:rFonts w:ascii="Arial" w:hAnsi="Arial" w:cs="Arial"/>
                <w:noProof/>
                <w:webHidden/>
              </w:rPr>
              <w:fldChar w:fldCharType="separate"/>
            </w:r>
            <w:r w:rsidRPr="006E54EE">
              <w:rPr>
                <w:rFonts w:ascii="Arial" w:hAnsi="Arial" w:cs="Arial"/>
                <w:noProof/>
                <w:webHidden/>
              </w:rPr>
              <w:t>30</w:t>
            </w:r>
            <w:r w:rsidRPr="006E54EE">
              <w:rPr>
                <w:rFonts w:ascii="Arial" w:hAnsi="Arial" w:cs="Arial"/>
                <w:noProof/>
                <w:webHidden/>
              </w:rPr>
              <w:fldChar w:fldCharType="end"/>
            </w:r>
          </w:hyperlink>
        </w:p>
        <w:p w14:paraId="02F90BE3" w14:textId="2624D043" w:rsidR="009355E0" w:rsidRPr="00DB4937" w:rsidRDefault="009355E0" w:rsidP="006E54EE">
          <w:pPr>
            <w:spacing w:line="360" w:lineRule="auto"/>
            <w:jc w:val="both"/>
            <w:rPr>
              <w:rFonts w:ascii="Arial" w:hAnsi="Arial" w:cs="Arial"/>
              <w:lang w:val="en-GB"/>
            </w:rPr>
          </w:pPr>
          <w:r w:rsidRPr="006E54EE">
            <w:rPr>
              <w:rFonts w:ascii="Arial" w:hAnsi="Arial" w:cs="Arial"/>
              <w:b/>
              <w:bCs/>
              <w:noProof/>
              <w:lang w:val="en-GB"/>
            </w:rPr>
            <w:fldChar w:fldCharType="end"/>
          </w:r>
        </w:p>
      </w:sdtContent>
    </w:sdt>
    <w:p w14:paraId="6DB5EFF9" w14:textId="77777777" w:rsidR="009355E0" w:rsidRPr="00DB4937" w:rsidRDefault="009355E0">
      <w:pPr>
        <w:rPr>
          <w:rFonts w:ascii="Arial" w:hAnsi="Arial" w:cs="Arial"/>
          <w:b/>
          <w:bCs/>
          <w:lang w:val="en-GB"/>
        </w:rPr>
      </w:pPr>
      <w:r w:rsidRPr="00DB4937">
        <w:rPr>
          <w:rFonts w:ascii="Arial" w:hAnsi="Arial" w:cs="Arial"/>
          <w:b/>
          <w:bCs/>
          <w:lang w:val="en-GB"/>
        </w:rPr>
        <w:br w:type="page"/>
      </w:r>
    </w:p>
    <w:p w14:paraId="33FFCF38" w14:textId="26C1A3CE" w:rsidR="00FA6233" w:rsidRPr="00DB4937" w:rsidRDefault="00FA6233" w:rsidP="009355E0">
      <w:pPr>
        <w:pStyle w:val="Heading1"/>
        <w:rPr>
          <w:rFonts w:ascii="Arial" w:hAnsi="Arial" w:cs="Arial"/>
          <w:sz w:val="24"/>
          <w:szCs w:val="24"/>
          <w:lang w:val="en-GB"/>
        </w:rPr>
      </w:pPr>
      <w:bookmarkStart w:id="0" w:name="_Toc217237281"/>
      <w:r w:rsidRPr="00DB4937">
        <w:rPr>
          <w:rFonts w:ascii="Arial" w:hAnsi="Arial" w:cs="Arial"/>
          <w:sz w:val="24"/>
          <w:szCs w:val="24"/>
          <w:lang w:val="en-GB"/>
        </w:rPr>
        <w:lastRenderedPageBreak/>
        <w:t>Introduction</w:t>
      </w:r>
      <w:bookmarkEnd w:id="0"/>
    </w:p>
    <w:p w14:paraId="73A233A6" w14:textId="5D7F6EAB"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This report has assessed the financial status and the strategic future of General Electronics between the years 2020 and 2024 due to a consistent decline in performance and an increase in financial risk. The analysis is a combination of the financial statement analysis, ratio analysis, working capital analysis, corporate failure forecast, and restructuring solutions, as well as investment appraisal methods, to achieve a multi-faceted financial health diagnosis</w:t>
      </w:r>
      <w:r w:rsidR="00C271A4" w:rsidRPr="00DB4937">
        <w:rPr>
          <w:rFonts w:ascii="Arial" w:hAnsi="Arial" w:cs="Arial"/>
          <w:lang w:val="en-GB"/>
        </w:rPr>
        <w:t xml:space="preserve"> (Christiana, 2020)</w:t>
      </w:r>
      <w:r w:rsidRPr="00DB4937">
        <w:rPr>
          <w:rFonts w:ascii="Arial" w:hAnsi="Arial" w:cs="Arial"/>
          <w:lang w:val="en-GB"/>
        </w:rPr>
        <w:t>. It focuses on identifying the structural areas of weakness that have an impact on profitability, liquidity and capital structure and the opportunities to stabilise and recover value. The appraisal embraces a shareholder-value-driven approach on the basis of sound financial data and is in line with the global business environment and corporate ethical duties and obligations of the firm.</w:t>
      </w:r>
    </w:p>
    <w:p w14:paraId="37CD1C6B" w14:textId="77777777" w:rsidR="009355E0" w:rsidRPr="00DB4937" w:rsidRDefault="009355E0">
      <w:pPr>
        <w:rPr>
          <w:rFonts w:ascii="Arial" w:hAnsi="Arial" w:cs="Arial"/>
          <w:lang w:val="en-GB"/>
        </w:rPr>
      </w:pPr>
      <w:r w:rsidRPr="00DB4937">
        <w:rPr>
          <w:rFonts w:ascii="Arial" w:hAnsi="Arial" w:cs="Arial"/>
          <w:lang w:val="en-GB"/>
        </w:rPr>
        <w:br w:type="page"/>
      </w:r>
    </w:p>
    <w:p w14:paraId="30A44A70" w14:textId="77C41100" w:rsidR="007934B6" w:rsidRPr="00DB4937" w:rsidRDefault="007934B6" w:rsidP="009355E0">
      <w:pPr>
        <w:pStyle w:val="Heading1"/>
        <w:rPr>
          <w:rFonts w:ascii="Arial" w:hAnsi="Arial" w:cs="Arial"/>
          <w:sz w:val="24"/>
          <w:szCs w:val="24"/>
          <w:lang w:val="en-GB"/>
        </w:rPr>
      </w:pPr>
      <w:bookmarkStart w:id="1" w:name="_Toc217237282"/>
      <w:r w:rsidRPr="00DB4937">
        <w:rPr>
          <w:rFonts w:ascii="Arial" w:hAnsi="Arial" w:cs="Arial"/>
          <w:sz w:val="24"/>
          <w:szCs w:val="24"/>
          <w:lang w:val="en-GB"/>
        </w:rPr>
        <w:lastRenderedPageBreak/>
        <w:t>Financial Health Check</w:t>
      </w:r>
      <w:bookmarkEnd w:id="1"/>
    </w:p>
    <w:p w14:paraId="45C8EEEF" w14:textId="77777777" w:rsidR="00037491" w:rsidRPr="00DB4937" w:rsidRDefault="00037491" w:rsidP="00037491">
      <w:pPr>
        <w:pStyle w:val="Heading2"/>
        <w:rPr>
          <w:rFonts w:ascii="Arial" w:hAnsi="Arial" w:cs="Arial"/>
          <w:sz w:val="24"/>
          <w:szCs w:val="24"/>
          <w:lang w:val="en-GB"/>
        </w:rPr>
      </w:pPr>
      <w:bookmarkStart w:id="2" w:name="_Toc217237283"/>
      <w:r w:rsidRPr="00DB4937">
        <w:rPr>
          <w:rFonts w:ascii="Arial" w:hAnsi="Arial" w:cs="Arial"/>
          <w:sz w:val="24"/>
          <w:szCs w:val="24"/>
          <w:lang w:val="en-GB"/>
        </w:rPr>
        <w:t>Profitability Analysis</w:t>
      </w:r>
      <w:bookmarkEnd w:id="2"/>
    </w:p>
    <w:p w14:paraId="48832B61"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Trends in profitability show that there has been a severe decline in the ability of General Electronics to make profits. The gross profit margins in most years were very sustainable at 28–29 per cent, implying that the firm has been relatively successful in maintaining the pricing power and management of its costs at the production stage. Nevertheless, such stability covers bigger problems deeper in the income statement. Its operating margins fell drastically in 2023, with significant negative values compared to 2020, with a healthy figure of 6.1 per cent. This implies that the operation costs that cover research and development, marketing and administrative costs have increased at a higher rate in comparison with revenue.</w:t>
      </w:r>
    </w:p>
    <w:p w14:paraId="6B23F8EF"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This concern is supported by net profit margins. The firm had shifted its position from a net margin of 6.3% in 2020 to incurring losses of over 23% of sales in 2023, with only slight improvement in 2024. The same trend was observed with the return on assets and the return on equity, starting off at healthy and competitive amounts and dropping to a highly negative value. The occurrence of negative ROE of more than -40 per cent in 2023 is an indicator of languid shareholder value destruction and indicates that the capital utilisation at the firm is unsustainable (Zhang et al., 2022). In general, the profitability analysis suggests that the problem that General Electronics has is not the product viability but the unproductive cost base and deteriorated operational leverage.</w:t>
      </w:r>
    </w:p>
    <w:p w14:paraId="5E11DAB7" w14:textId="77777777" w:rsidR="00037491" w:rsidRPr="000700FC" w:rsidRDefault="00037491" w:rsidP="00037491">
      <w:pPr>
        <w:pStyle w:val="Heading2"/>
        <w:rPr>
          <w:rFonts w:ascii="Arial" w:hAnsi="Arial" w:cs="Arial"/>
          <w:color w:val="auto"/>
          <w:sz w:val="24"/>
          <w:szCs w:val="24"/>
          <w:lang w:val="en-GB"/>
        </w:rPr>
      </w:pPr>
      <w:bookmarkStart w:id="3" w:name="_Toc217237284"/>
      <w:r w:rsidRPr="000700FC">
        <w:rPr>
          <w:rFonts w:ascii="Arial" w:hAnsi="Arial" w:cs="Arial"/>
          <w:color w:val="auto"/>
          <w:sz w:val="24"/>
          <w:szCs w:val="24"/>
          <w:lang w:val="en-GB"/>
        </w:rPr>
        <w:t>Liquidity Position</w:t>
      </w:r>
      <w:bookmarkEnd w:id="3"/>
    </w:p>
    <w:p w14:paraId="6E007BEA"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Liquidity ratios indicate a slow yet threatening loss of short-term financial strength. The current ratio stood at over 1.5 all along the period, which, on the face of it, denotes the capability to fulfil the short-term liabilities. Nonetheless, the downward trend from 1.82 in 2020 to 1.53 in 2024 signifies the constriction of the working capital flexibility (Robert et al., 2023). Worse still, the quick ratio, as was the case in the past couple of years, has decreased below 1, which means that the company is progressively resorting to inventory conversion to settle current liabilities.</w:t>
      </w:r>
    </w:p>
    <w:p w14:paraId="239EAD41"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 xml:space="preserve">Cash ratio dropped steadily, and in 2024, it dropped to only 0.17. This implies that the current liabilities cannot be absorbed by current cash sources by more than 17 per cent, which means that the firm is subject to liquidity shocks, especially during such </w:t>
      </w:r>
      <w:r w:rsidRPr="000700FC">
        <w:rPr>
          <w:rFonts w:ascii="Arial" w:hAnsi="Arial" w:cs="Arial"/>
          <w:lang w:val="en-GB"/>
        </w:rPr>
        <w:lastRenderedPageBreak/>
        <w:t>times of supply chain liquidity, as well as when demand is unstable. Although the current picture is not illiquid yet, the margin of safety of General Electronics has become much smaller, which makes the company more dependent on external funding and debt to suppliers.</w:t>
      </w:r>
    </w:p>
    <w:p w14:paraId="19696A29" w14:textId="77777777" w:rsidR="00037491" w:rsidRPr="000700FC" w:rsidRDefault="00037491" w:rsidP="00037491">
      <w:pPr>
        <w:pStyle w:val="Heading2"/>
        <w:rPr>
          <w:rFonts w:ascii="Arial" w:hAnsi="Arial" w:cs="Arial"/>
          <w:color w:val="auto"/>
          <w:sz w:val="24"/>
          <w:szCs w:val="24"/>
          <w:lang w:val="en-GB"/>
        </w:rPr>
      </w:pPr>
      <w:bookmarkStart w:id="4" w:name="_Toc217237285"/>
      <w:r w:rsidRPr="000700FC">
        <w:rPr>
          <w:rFonts w:ascii="Arial" w:hAnsi="Arial" w:cs="Arial"/>
          <w:color w:val="auto"/>
          <w:sz w:val="24"/>
          <w:szCs w:val="24"/>
          <w:lang w:val="en-GB"/>
        </w:rPr>
        <w:t>Efficiency and Working Capital Management</w:t>
      </w:r>
      <w:bookmarkEnd w:id="4"/>
    </w:p>
    <w:p w14:paraId="7C1A6EAC"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Efficiency ratios show that there are still some areas of weakness in its asset utilisation and working capital management. The turnover of assets decreased to lower than 1 in 2023 than in 2020 because the company had underutilised assets and failed to generate revenue using the available assets. Even though turnover in 2024 has recovered, it is still lower than it was historically.</w:t>
      </w:r>
    </w:p>
    <w:p w14:paraId="1D14BD24"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There is also a poor state of inventory management. The days outstanding inventory improved to above 100 days in 2020, having 129 days in 2023, indicating sluggish products, technological obsolescence, or overproduction. The efficiency of receivables also deteriorated, with days outstanding increasing by 2024 to above 110 days, showing that international market credit terms are more lenient or the collection process is less efficient.</w:t>
      </w:r>
    </w:p>
    <w:p w14:paraId="3FA8BCE9"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Though the company prolonged its payment time to suppliers, as indicated by increased days payable outstanding, this has not compensated for the negative impact of inventory and receivables (Ginting, 2021). As a result, the cash conversion cycle became very long, reaching more than 150 days in 2023. This is a long cycle that keeps cash tied up without necessity, which increases liquidity stress; hence, the urgent need to optimise working capital.</w:t>
      </w:r>
    </w:p>
    <w:p w14:paraId="4763FE47" w14:textId="77777777" w:rsidR="00037491" w:rsidRPr="000700FC" w:rsidRDefault="00037491" w:rsidP="00037491">
      <w:pPr>
        <w:pStyle w:val="Heading2"/>
        <w:rPr>
          <w:rFonts w:ascii="Arial" w:hAnsi="Arial" w:cs="Arial"/>
          <w:color w:val="auto"/>
          <w:sz w:val="24"/>
          <w:szCs w:val="24"/>
          <w:lang w:val="en-GB"/>
        </w:rPr>
      </w:pPr>
      <w:bookmarkStart w:id="5" w:name="_Toc217237286"/>
      <w:r w:rsidRPr="000700FC">
        <w:rPr>
          <w:rFonts w:ascii="Arial" w:hAnsi="Arial" w:cs="Arial"/>
          <w:color w:val="auto"/>
          <w:sz w:val="24"/>
          <w:szCs w:val="24"/>
          <w:lang w:val="en-GB"/>
        </w:rPr>
        <w:t>Gearing and Solvency</w:t>
      </w:r>
      <w:bookmarkEnd w:id="5"/>
    </w:p>
    <w:p w14:paraId="621EB625"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The capital structure of the firm has increasingly gotten leveraged. The liabilities-to-equity ratio changed to more than 1.1 in 2024, which, in turn, means that at present, the company uses more debt to fund its operations as compared to equity equal to 0.63 in 2020. The equity ratio decreased from more than 61 to less than 48, which made the firm's financial flexibility decrease and made it more susceptible to changes in earnings.</w:t>
      </w:r>
    </w:p>
    <w:p w14:paraId="4F3E86CD"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 xml:space="preserve">A sizeable red flag is produced by interest coverage ratios. Though the company was able to comfortably service its debt in the previous years, the negative operating profits </w:t>
      </w:r>
      <w:r w:rsidRPr="000700FC">
        <w:rPr>
          <w:rFonts w:ascii="Arial" w:hAnsi="Arial" w:cs="Arial"/>
          <w:lang w:val="en-GB"/>
        </w:rPr>
        <w:lastRenderedPageBreak/>
        <w:t>in 2023 and 2024 led to negative interest coverage, meaning that operating income is inadequate to cover the interest services. This increases the risk of refinancing and can result in breaches of covenant or increased borrowing costs. Sustained ability to maintain the current level of gearing is not possible unless operating performance is improved very quickly.</w:t>
      </w:r>
    </w:p>
    <w:p w14:paraId="2CC64CC0" w14:textId="77777777" w:rsidR="00037491" w:rsidRPr="000700FC" w:rsidRDefault="00037491" w:rsidP="00037491">
      <w:pPr>
        <w:pStyle w:val="Heading2"/>
        <w:rPr>
          <w:rFonts w:ascii="Arial" w:hAnsi="Arial" w:cs="Arial"/>
          <w:color w:val="auto"/>
          <w:sz w:val="24"/>
          <w:szCs w:val="24"/>
          <w:lang w:val="en-GB"/>
        </w:rPr>
      </w:pPr>
      <w:bookmarkStart w:id="6" w:name="_Toc217237287"/>
      <w:r w:rsidRPr="000700FC">
        <w:rPr>
          <w:rFonts w:ascii="Arial" w:hAnsi="Arial" w:cs="Arial"/>
          <w:color w:val="auto"/>
          <w:sz w:val="24"/>
          <w:szCs w:val="24"/>
          <w:lang w:val="en-GB"/>
        </w:rPr>
        <w:t>Investment Performance</w:t>
      </w:r>
      <w:bookmarkEnd w:id="6"/>
    </w:p>
    <w:p w14:paraId="4E7B3944"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As an investor, General Electronics has suffered massive value destruction. After a period of relatively low profitability, earnings per share became decidedly negative in 2023 and 2024. BVPs came down in a significant amount with cumulative losses and diluted equity. Without the payment of a dividend and a decrease in equity returns, the company has lost a lot of appeal to both its equity and debt holders.</w:t>
      </w:r>
    </w:p>
    <w:p w14:paraId="6850C589"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These tendencies indicate that the decisions on capital allocation made in the past years have not yielded sufficient returns either because of the untimely investments, lack of scale effect or poor integration after the investment. This casts concern on the investment appraisal discipline and the effectiveness of governance of the firm.</w:t>
      </w:r>
    </w:p>
    <w:p w14:paraId="7DB6FED2" w14:textId="77777777" w:rsidR="00037491" w:rsidRPr="000700FC" w:rsidRDefault="00037491" w:rsidP="00037491">
      <w:pPr>
        <w:pStyle w:val="Heading2"/>
        <w:rPr>
          <w:rFonts w:ascii="Arial" w:hAnsi="Arial" w:cs="Arial"/>
          <w:color w:val="auto"/>
          <w:sz w:val="24"/>
          <w:szCs w:val="24"/>
          <w:lang w:val="en-GB"/>
        </w:rPr>
      </w:pPr>
      <w:bookmarkStart w:id="7" w:name="_Toc217237288"/>
      <w:r w:rsidRPr="000700FC">
        <w:rPr>
          <w:rFonts w:ascii="Arial" w:hAnsi="Arial" w:cs="Arial"/>
          <w:color w:val="auto"/>
          <w:sz w:val="24"/>
          <w:szCs w:val="24"/>
          <w:lang w:val="en-GB"/>
        </w:rPr>
        <w:t>Cash Flow Analysis</w:t>
      </w:r>
      <w:bookmarkEnd w:id="7"/>
    </w:p>
    <w:p w14:paraId="705AA743"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The cash flow analysis proves that the problem faced by the firm is not just accounting-based but also cash-based (Maguni et al., 2020). The operating cash flows reduced considerably between 2020 and 2024, and the conversion of profits into cash was particularly weak in the loss-making years. There are periods when operating cash flow was higher than the net income because of non-cash charges, but this did not save the liquidity.</w:t>
      </w:r>
    </w:p>
    <w:p w14:paraId="60CFA19C"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Free cash flow became negative in 2022 and fell to below this level afterwards, indicating that the company continued to spend funds on capital expenditure, though operating was deteriorating. This shows that General Electronics has been playing a defensive position to be competitive and not achieve growth returns. Through weak free cash flow margins, the firm may not be able to deleverage, invest and/or repatriate value to the shareholders.</w:t>
      </w:r>
    </w:p>
    <w:p w14:paraId="1877C9A5" w14:textId="77777777" w:rsidR="00037491" w:rsidRPr="000700FC" w:rsidRDefault="00037491" w:rsidP="00037491">
      <w:pPr>
        <w:pStyle w:val="Heading2"/>
        <w:rPr>
          <w:rFonts w:ascii="Arial" w:hAnsi="Arial" w:cs="Arial"/>
          <w:color w:val="auto"/>
          <w:sz w:val="24"/>
          <w:szCs w:val="24"/>
          <w:lang w:val="en-GB"/>
        </w:rPr>
      </w:pPr>
      <w:bookmarkStart w:id="8" w:name="_Toc217237289"/>
      <w:r w:rsidRPr="000700FC">
        <w:rPr>
          <w:rFonts w:ascii="Arial" w:hAnsi="Arial" w:cs="Arial"/>
          <w:color w:val="auto"/>
          <w:sz w:val="24"/>
          <w:szCs w:val="24"/>
          <w:lang w:val="en-GB"/>
        </w:rPr>
        <w:lastRenderedPageBreak/>
        <w:t>Corporate Failure Risk: Altman Z-Score</w:t>
      </w:r>
      <w:bookmarkEnd w:id="8"/>
    </w:p>
    <w:p w14:paraId="467F8EF7" w14:textId="77777777" w:rsidR="00037491" w:rsidRPr="000700FC" w:rsidRDefault="00037491" w:rsidP="00037491">
      <w:pPr>
        <w:spacing w:line="360" w:lineRule="auto"/>
        <w:jc w:val="both"/>
        <w:rPr>
          <w:rFonts w:ascii="Arial" w:hAnsi="Arial" w:cs="Arial"/>
          <w:i/>
          <w:iCs/>
          <w:lang w:val="en-GB"/>
        </w:rPr>
      </w:pPr>
      <w:r w:rsidRPr="000700FC">
        <w:rPr>
          <w:rFonts w:ascii="Arial" w:hAnsi="Arial" w:cs="Arial"/>
          <w:i/>
          <w:iCs/>
          <w:lang w:val="en-GB"/>
        </w:rPr>
        <w:t>Z = 1.2(Working Capital/Total Assets) + 1.4(Retained Earnings/Total Assets) + 3.3(EBIT/Total Assets) + 0.6(Market Value of Equity/Total Liabilities) + 1.0(Sales/Total Assets)</w:t>
      </w:r>
    </w:p>
    <w:p w14:paraId="269C7346" w14:textId="77777777" w:rsidR="00037491" w:rsidRPr="000700FC" w:rsidRDefault="00037491" w:rsidP="00037491">
      <w:pPr>
        <w:spacing w:line="360" w:lineRule="auto"/>
        <w:jc w:val="both"/>
        <w:rPr>
          <w:rFonts w:ascii="Arial" w:hAnsi="Arial" w:cs="Arial"/>
          <w:lang w:val="en-GB"/>
        </w:rPr>
      </w:pPr>
      <w:r w:rsidRPr="000700FC">
        <w:rPr>
          <w:rFonts w:ascii="Arial" w:hAnsi="Arial" w:cs="Arial"/>
          <w:lang w:val="en-GB"/>
        </w:rPr>
        <w:t xml:space="preserve">In determining the probability of the firm going through financial distress, the Altman Z-Score model provides a sound and well-embraced composite view, a combination of profitability, liquidity, leverage, solvency and activity metrics in no fewer than one predictive model. The use of this model with regard to the recent financial performance of General Electronics is indicative of a significant increase in the default risk. In contrast with the last five years, the company has recorded a sustained decrease in working capital compared to the total assets, which indicates the deteriorating liquidity of short-term and increasing vulnerability to external financing to cover the daily operations of the company. </w:t>
      </w:r>
    </w:p>
    <w:p w14:paraId="49DA6F23" w14:textId="1E692187" w:rsidR="007934B6" w:rsidRPr="000700FC" w:rsidRDefault="00037491" w:rsidP="009355E0">
      <w:pPr>
        <w:spacing w:line="360" w:lineRule="auto"/>
        <w:jc w:val="both"/>
        <w:rPr>
          <w:rFonts w:ascii="Arial" w:hAnsi="Arial" w:cs="Arial"/>
          <w:lang w:val="en-GB"/>
        </w:rPr>
      </w:pPr>
      <w:r w:rsidRPr="000700FC">
        <w:rPr>
          <w:rFonts w:ascii="Arial" w:hAnsi="Arial" w:cs="Arial"/>
          <w:lang w:val="en-GB"/>
        </w:rPr>
        <w:t xml:space="preserve">The profitability parameters built into the Z-Score, especially the earnings before interest and tax to total assets, have become sharply negative over the last few years, with a major negative influence on the total score. This is enhanced by declining market and book equity with respect to total liabilities, a pointer to higher leverage and loss of creditor protection. Even though the process of revenue generation is still moderate concerning the size of the assets, it is still not enough to compensate for the negative effects of losses and weaken the balance sheets. All these combined would mean that the Z-score of General Electronics would be below the critical figure of 1.8, with the company being squarely in the distress zone. </w:t>
      </w:r>
    </w:p>
    <w:p w14:paraId="75E30417" w14:textId="77777777" w:rsidR="009355E0" w:rsidRPr="000700FC" w:rsidRDefault="009355E0">
      <w:pPr>
        <w:rPr>
          <w:rFonts w:ascii="Arial" w:hAnsi="Arial" w:cs="Arial"/>
          <w:lang w:val="en-GB"/>
        </w:rPr>
      </w:pPr>
      <w:r w:rsidRPr="000700FC">
        <w:rPr>
          <w:rFonts w:ascii="Arial" w:hAnsi="Arial" w:cs="Arial"/>
          <w:lang w:val="en-GB"/>
        </w:rPr>
        <w:br w:type="page"/>
      </w:r>
    </w:p>
    <w:p w14:paraId="5BE6725F" w14:textId="23F48019" w:rsidR="007934B6" w:rsidRPr="00DB4937" w:rsidRDefault="007934B6" w:rsidP="009355E0">
      <w:pPr>
        <w:pStyle w:val="Heading1"/>
        <w:rPr>
          <w:rFonts w:ascii="Arial" w:hAnsi="Arial" w:cs="Arial"/>
          <w:sz w:val="24"/>
          <w:szCs w:val="24"/>
          <w:lang w:val="en-GB"/>
        </w:rPr>
      </w:pPr>
      <w:bookmarkStart w:id="9" w:name="_Toc217237290"/>
      <w:r w:rsidRPr="00DB4937">
        <w:rPr>
          <w:rFonts w:ascii="Arial" w:hAnsi="Arial" w:cs="Arial"/>
          <w:sz w:val="24"/>
          <w:szCs w:val="24"/>
          <w:lang w:val="en-GB"/>
        </w:rPr>
        <w:lastRenderedPageBreak/>
        <w:t>Working Capital Management Analysis</w:t>
      </w:r>
      <w:bookmarkEnd w:id="9"/>
    </w:p>
    <w:p w14:paraId="32BE8C7E" w14:textId="77777777" w:rsidR="007934B6" w:rsidRPr="00DB4937" w:rsidRDefault="007934B6" w:rsidP="009355E0">
      <w:pPr>
        <w:pStyle w:val="Heading2"/>
        <w:rPr>
          <w:rFonts w:ascii="Arial" w:hAnsi="Arial" w:cs="Arial"/>
          <w:sz w:val="24"/>
          <w:szCs w:val="24"/>
          <w:lang w:val="en-GB"/>
        </w:rPr>
      </w:pPr>
      <w:bookmarkStart w:id="10" w:name="_Toc217237291"/>
      <w:r w:rsidRPr="00DB4937">
        <w:rPr>
          <w:rFonts w:ascii="Arial" w:hAnsi="Arial" w:cs="Arial"/>
          <w:sz w:val="24"/>
          <w:szCs w:val="24"/>
          <w:lang w:val="en-GB"/>
        </w:rPr>
        <w:t>Assessment of the Cash Operating Cycle</w:t>
      </w:r>
      <w:bookmarkEnd w:id="10"/>
    </w:p>
    <w:p w14:paraId="5320796A" w14:textId="21764E96"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cash operating cycle of General Electronics that has been experienced in the last five years indicates a high tendency toward decreasing efficiency in terms of the capacity of the firm to transform its activity into liquid cash</w:t>
      </w:r>
      <w:r w:rsidR="00C271A4" w:rsidRPr="00DB4937">
        <w:rPr>
          <w:rFonts w:ascii="Arial" w:hAnsi="Arial" w:cs="Arial"/>
          <w:lang w:val="en-GB"/>
        </w:rPr>
        <w:t xml:space="preserve"> (Jung et al., 2022)</w:t>
      </w:r>
      <w:r w:rsidRPr="00DB4937">
        <w:rPr>
          <w:rFonts w:ascii="Arial" w:hAnsi="Arial" w:cs="Arial"/>
          <w:lang w:val="en-GB"/>
        </w:rPr>
        <w:t>. The cash operating cycle consists of the inventory conversion period, the receivables collection period and the payment of the deferral period. Taken collectively, these elements define the duration of time that cash is confined in the daily business activities until it is recouped by way of sales.</w:t>
      </w:r>
    </w:p>
    <w:p w14:paraId="1FDEC7D4" w14:textId="6357A63C" w:rsidR="007934B6" w:rsidRPr="00DB4937" w:rsidRDefault="007934B6" w:rsidP="009355E0">
      <w:pPr>
        <w:spacing w:line="360" w:lineRule="auto"/>
        <w:jc w:val="both"/>
        <w:rPr>
          <w:rFonts w:ascii="Arial" w:hAnsi="Arial" w:cs="Arial"/>
          <w:lang w:val="en-GB"/>
        </w:rPr>
      </w:pPr>
      <w:r w:rsidRPr="00DB4937">
        <w:rPr>
          <w:rFonts w:ascii="Arial" w:hAnsi="Arial" w:cs="Arial"/>
          <w:lang w:val="en-GB"/>
        </w:rPr>
        <w:t xml:space="preserve">The inventory management has had a mixed performance. The stock values decreased significantly, as in 2020, the company had 120.4 billion in inventory, whereas in 2024, the stock values were 79.4 billion because of the shrinking of the demand and the proactive destocking efforts, as opposed to the improvement in the structural efficiency. Its inventory turnover has increased to about 3.5 times in 2024 as compared to 2.8 times in 2022, resulting in shortening its inventory holding period to about 103 days. Although this seems good at face value, the growth has been partially fake as a result of reduced volumes of production and write-down of assets rather than improved coordination of the supply chain. </w:t>
      </w:r>
    </w:p>
    <w:p w14:paraId="40A4CE35" w14:textId="42320F4C" w:rsidR="007934B6" w:rsidRPr="00DB4937" w:rsidRDefault="007934B6" w:rsidP="009355E0">
      <w:pPr>
        <w:spacing w:line="360" w:lineRule="auto"/>
        <w:jc w:val="both"/>
        <w:rPr>
          <w:rFonts w:ascii="Arial" w:hAnsi="Arial" w:cs="Arial"/>
          <w:lang w:val="en-GB"/>
        </w:rPr>
      </w:pPr>
      <w:r w:rsidRPr="00DB4937">
        <w:rPr>
          <w:rFonts w:ascii="Arial" w:hAnsi="Arial" w:cs="Arial"/>
          <w:lang w:val="en-GB"/>
        </w:rPr>
        <w:t>Management of receivables has been seriously rotten. Accounts receivable continued to be broadly flat, in absolute terms, and had fallen by a very high margin; revenues decreased, leading to receivables turnover, which dropped to about 3.5 times in 2024, compared to about 4.8 times in 2022. This means that there is an increase in the average collection period, which has extended to more than 100 days. The trend is indicative of poorer credit discipline; longer payment terms are being provided to maintain market share and the counterparty risk in the international markets. Slower collections would have had a direct effect on operating cash flows, which have dropped to £14.8 billion in 2024 compared to 73.4 billion in 2020, despite the operating margin, which in the previous years remained positive.</w:t>
      </w:r>
    </w:p>
    <w:p w14:paraId="0D8797F5" w14:textId="1581AD4E" w:rsidR="007934B6" w:rsidRPr="00DB4937" w:rsidRDefault="007934B6" w:rsidP="009355E0">
      <w:pPr>
        <w:spacing w:line="360" w:lineRule="auto"/>
        <w:jc w:val="both"/>
        <w:rPr>
          <w:rFonts w:ascii="Arial" w:hAnsi="Arial" w:cs="Arial"/>
          <w:lang w:val="en-GB"/>
        </w:rPr>
      </w:pPr>
      <w:r w:rsidRPr="00DB4937">
        <w:rPr>
          <w:rFonts w:ascii="Arial" w:hAnsi="Arial" w:cs="Arial"/>
          <w:lang w:val="en-GB"/>
        </w:rPr>
        <w:t xml:space="preserve">These pressures have been partially compromised at the expense of payables management. In accounts payable, the figure is reduced in 2024 by the period in 2020 and is down by 2.2 billion pounds to 72.0, whilst the revenues are reduced, signifying the payables deferral period is revealed as having become short. This is an indication </w:t>
      </w:r>
      <w:r w:rsidRPr="00DB4937">
        <w:rPr>
          <w:rFonts w:ascii="Arial" w:hAnsi="Arial" w:cs="Arial"/>
          <w:lang w:val="en-GB"/>
        </w:rPr>
        <w:lastRenderedPageBreak/>
        <w:t xml:space="preserve">of tightened credit conditions on suppliers due to the deteriorating financial stance of the firm or by the management to save as much as possible on suppliers to avoid supply chain disruption. This has meant that the company has lost within its ranks an easy source of unplanned financing. </w:t>
      </w:r>
    </w:p>
    <w:p w14:paraId="25DD372C" w14:textId="77777777" w:rsidR="007934B6" w:rsidRPr="00DB4937" w:rsidRDefault="007934B6" w:rsidP="009355E0">
      <w:pPr>
        <w:pStyle w:val="Heading2"/>
        <w:rPr>
          <w:rFonts w:ascii="Arial" w:hAnsi="Arial" w:cs="Arial"/>
          <w:sz w:val="24"/>
          <w:szCs w:val="24"/>
          <w:lang w:val="en-GB"/>
        </w:rPr>
      </w:pPr>
      <w:bookmarkStart w:id="11" w:name="_Toc217237292"/>
      <w:r w:rsidRPr="00DB4937">
        <w:rPr>
          <w:rFonts w:ascii="Arial" w:hAnsi="Arial" w:cs="Arial"/>
          <w:sz w:val="24"/>
          <w:szCs w:val="24"/>
          <w:lang w:val="en-GB"/>
        </w:rPr>
        <w:t>Liquidity Enhancement Through Working Capital Reforms</w:t>
      </w:r>
      <w:bookmarkEnd w:id="11"/>
    </w:p>
    <w:p w14:paraId="329A4A0F" w14:textId="604A939D"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To enhance liquidity in the case of General Electronics, the working capital policy needs to be realigned in a thorough way, with cash saving being a top priority aspect of working capital policies, as opposed to increasing the revenue rate at any expense. The priority is first the receivables reform</w:t>
      </w:r>
      <w:r w:rsidR="00C271A4" w:rsidRPr="00DB4937">
        <w:rPr>
          <w:rFonts w:ascii="Arial" w:hAnsi="Arial" w:cs="Arial"/>
          <w:lang w:val="en-GB"/>
        </w:rPr>
        <w:t xml:space="preserve"> (Yunus and Lukum, 2021)</w:t>
      </w:r>
      <w:r w:rsidRPr="00DB4937">
        <w:rPr>
          <w:rFonts w:ascii="Arial" w:hAnsi="Arial" w:cs="Arial"/>
          <w:lang w:val="en-GB"/>
        </w:rPr>
        <w:t xml:space="preserve">. The credit policies need to be reset according to the risk profiling of the customers as opposed to the competitor's leverage. Differentiation of credit terms, stricter implementation of bad debt balance and increased application of credit insurance in the </w:t>
      </w:r>
      <w:r w:rsidR="00765676" w:rsidRPr="00DB4937">
        <w:rPr>
          <w:rFonts w:ascii="Arial" w:hAnsi="Arial" w:cs="Arial"/>
          <w:lang w:val="en-GB"/>
        </w:rPr>
        <w:t>riskier</w:t>
      </w:r>
      <w:r w:rsidRPr="00DB4937">
        <w:rPr>
          <w:rFonts w:ascii="Arial" w:hAnsi="Arial" w:cs="Arial"/>
          <w:lang w:val="en-GB"/>
        </w:rPr>
        <w:t xml:space="preserve"> jurisdictions would reduce the collection cycle and minimise bad debts. </w:t>
      </w:r>
    </w:p>
    <w:p w14:paraId="6417E854" w14:textId="27834D09"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second leverage is inventory optimisation. Although sales values being reported in the headline items are reduced, additional efficiency will be attained by enhanced demand forecasting and product rationalisation, as well as regional inventory pooling</w:t>
      </w:r>
      <w:r w:rsidR="00C271A4" w:rsidRPr="00DB4937">
        <w:rPr>
          <w:rFonts w:ascii="Arial" w:hAnsi="Arial" w:cs="Arial"/>
          <w:lang w:val="en-GB"/>
        </w:rPr>
        <w:t xml:space="preserve"> (Christiana, 2020)</w:t>
      </w:r>
      <w:r w:rsidRPr="00DB4937">
        <w:rPr>
          <w:rFonts w:ascii="Arial" w:hAnsi="Arial" w:cs="Arial"/>
          <w:lang w:val="en-GB"/>
        </w:rPr>
        <w:t>. Since the company is faced with the fact of rapid technological obsolescence in consumer electronics, it will be appropriate to focus on just-in-time procurement of long-established product lines and encourage SKU simplicity. This would not only free up more cash but also reduce future impairment exposures, and this has significantly affected earnings and equity over the past few years.</w:t>
      </w:r>
    </w:p>
    <w:p w14:paraId="0438D847" w14:textId="593AD52A" w:rsidR="007934B6" w:rsidRPr="00DB4937" w:rsidRDefault="007934B6" w:rsidP="009355E0">
      <w:pPr>
        <w:spacing w:line="360" w:lineRule="auto"/>
        <w:jc w:val="both"/>
        <w:rPr>
          <w:rFonts w:ascii="Arial" w:hAnsi="Arial" w:cs="Arial"/>
          <w:lang w:val="en-GB"/>
        </w:rPr>
      </w:pPr>
      <w:r w:rsidRPr="00DB4937">
        <w:rPr>
          <w:rFonts w:ascii="Arial" w:hAnsi="Arial" w:cs="Arial"/>
          <w:lang w:val="en-GB"/>
        </w:rPr>
        <w:t xml:space="preserve">On the </w:t>
      </w:r>
      <w:r w:rsidR="00F710F7" w:rsidRPr="00DB4937">
        <w:rPr>
          <w:rFonts w:ascii="Arial" w:hAnsi="Arial" w:cs="Arial"/>
          <w:lang w:val="en-GB"/>
        </w:rPr>
        <w:t>payable’s</w:t>
      </w:r>
      <w:r w:rsidRPr="00DB4937">
        <w:rPr>
          <w:rFonts w:ascii="Arial" w:hAnsi="Arial" w:cs="Arial"/>
          <w:lang w:val="en-GB"/>
        </w:rPr>
        <w:t xml:space="preserve"> aspect, they should not aim at indiscriminate extension of payment terms that may prove to destabilise the suppliers, but rather organised renegotiation. Using its organisational size and extensive history of supplier relationships, General Electronics can negotiate dynamic discounting agreements or other long-term terms that are based on volume decisions</w:t>
      </w:r>
      <w:r w:rsidR="00C271A4" w:rsidRPr="00DB4937">
        <w:rPr>
          <w:rFonts w:ascii="Arial" w:hAnsi="Arial" w:cs="Arial"/>
          <w:lang w:val="en-GB"/>
        </w:rPr>
        <w:t xml:space="preserve"> (Zhang et al., 2022)</w:t>
      </w:r>
      <w:r w:rsidRPr="00DB4937">
        <w:rPr>
          <w:rFonts w:ascii="Arial" w:hAnsi="Arial" w:cs="Arial"/>
          <w:lang w:val="en-GB"/>
        </w:rPr>
        <w:t xml:space="preserve">. These arrangements retain the confidence of suppliers and enhance the liquidity situation of the firm. </w:t>
      </w:r>
    </w:p>
    <w:p w14:paraId="13CDD5A4" w14:textId="77777777" w:rsidR="007934B6" w:rsidRPr="00DB4937" w:rsidRDefault="007934B6" w:rsidP="009355E0">
      <w:pPr>
        <w:pStyle w:val="Heading2"/>
        <w:rPr>
          <w:rFonts w:ascii="Arial" w:hAnsi="Arial" w:cs="Arial"/>
          <w:sz w:val="24"/>
          <w:szCs w:val="24"/>
          <w:lang w:val="en-GB"/>
        </w:rPr>
      </w:pPr>
      <w:bookmarkStart w:id="12" w:name="_Toc217237293"/>
      <w:r w:rsidRPr="00DB4937">
        <w:rPr>
          <w:rFonts w:ascii="Arial" w:hAnsi="Arial" w:cs="Arial"/>
          <w:sz w:val="24"/>
          <w:szCs w:val="24"/>
          <w:lang w:val="en-GB"/>
        </w:rPr>
        <w:t>Short-Term Versus Long-Term Financing Options</w:t>
      </w:r>
      <w:bookmarkEnd w:id="12"/>
    </w:p>
    <w:p w14:paraId="5A89B0BF" w14:textId="6C3831AC" w:rsidR="007934B6" w:rsidRPr="00DB4937" w:rsidRDefault="007934B6" w:rsidP="009355E0">
      <w:pPr>
        <w:spacing w:line="360" w:lineRule="auto"/>
        <w:jc w:val="both"/>
        <w:rPr>
          <w:rFonts w:ascii="Arial" w:hAnsi="Arial" w:cs="Arial"/>
          <w:lang w:val="en-GB"/>
        </w:rPr>
      </w:pPr>
      <w:r w:rsidRPr="00DB4937">
        <w:rPr>
          <w:rFonts w:ascii="Arial" w:hAnsi="Arial" w:cs="Arial"/>
          <w:lang w:val="en-GB"/>
        </w:rPr>
        <w:t xml:space="preserve">Short-term and long-term financing options have now turned out to be very determinant for General Electronics, considering its waning financial history. Traditionally, the company has been dependent on short-term financing by taking lines of credit, reaching highs of borrowings of up to 88.0 billion in 2022 and then decreasing </w:t>
      </w:r>
      <w:r w:rsidRPr="00DB4937">
        <w:rPr>
          <w:rFonts w:ascii="Arial" w:hAnsi="Arial" w:cs="Arial"/>
          <w:lang w:val="en-GB"/>
        </w:rPr>
        <w:lastRenderedPageBreak/>
        <w:t>to 37.0 billion in 2024. Although short-term financing is flexible and low nominal interest rates tend to prevail, it causes the firm to be subjected to refinancing risk, especially in circumstances where the performance of the firm is erratic, and creditworthiness is under examination. The decisive swings in net financing cash flows in the five years point out the instability of this method.</w:t>
      </w:r>
    </w:p>
    <w:p w14:paraId="6F4E63C1" w14:textId="157D78F3" w:rsidR="007934B6" w:rsidRPr="00DB4937" w:rsidRDefault="007934B6" w:rsidP="009355E0">
      <w:pPr>
        <w:spacing w:line="360" w:lineRule="auto"/>
        <w:jc w:val="both"/>
        <w:rPr>
          <w:rFonts w:ascii="Arial" w:hAnsi="Arial" w:cs="Arial"/>
          <w:lang w:val="en-GB"/>
        </w:rPr>
      </w:pPr>
      <w:r w:rsidRPr="00DB4937">
        <w:rPr>
          <w:rFonts w:ascii="Arial" w:hAnsi="Arial" w:cs="Arial"/>
          <w:lang w:val="en-GB"/>
        </w:rPr>
        <w:t>In the given setting, overdependence on short-term debt increases the liquidity risk. A cash crisis could also happen very fast in case of any tightening of the credit markets or unfavourable renegotiations of covenants. Moreover, the deteriorated Altman Z-Score and deteriorating equity base of the firm also lower its bargaining power in the eyes of financiers, risking punishment of price or limited access</w:t>
      </w:r>
      <w:r w:rsidR="00C271A4" w:rsidRPr="00DB4937">
        <w:rPr>
          <w:rFonts w:ascii="Arial" w:hAnsi="Arial" w:cs="Arial"/>
          <w:lang w:val="en-GB"/>
        </w:rPr>
        <w:t xml:space="preserve"> (Robert et al., 2023)</w:t>
      </w:r>
      <w:r w:rsidRPr="00DB4937">
        <w:rPr>
          <w:rFonts w:ascii="Arial" w:hAnsi="Arial" w:cs="Arial"/>
          <w:lang w:val="en-GB"/>
        </w:rPr>
        <w:t>. In terms of working capital, the short-term debt has been replacing internal cash generation, covering the structural inefficiency instead of addressing it.</w:t>
      </w:r>
    </w:p>
    <w:p w14:paraId="2D55D12F" w14:textId="5308A5DC" w:rsidR="007934B6" w:rsidRPr="00DB4937" w:rsidRDefault="007934B6" w:rsidP="009355E0">
      <w:pPr>
        <w:spacing w:line="360" w:lineRule="auto"/>
        <w:jc w:val="both"/>
        <w:rPr>
          <w:rFonts w:ascii="Arial" w:hAnsi="Arial" w:cs="Arial"/>
          <w:lang w:val="en-GB"/>
        </w:rPr>
      </w:pPr>
      <w:r w:rsidRPr="00DB4937">
        <w:rPr>
          <w:rFonts w:ascii="Arial" w:hAnsi="Arial" w:cs="Arial"/>
          <w:lang w:val="en-GB"/>
        </w:rPr>
        <w:t>Long-term funding, which is more costly by the headline terms, provides better strategic stability. To a greater extent, refinancing a part of short-term borrowings into long-term instruments would serve in better harmony with the firm's capital structure, with the long-term character of its assets, especially intangible assets and global distribution networks</w:t>
      </w:r>
      <w:r w:rsidR="00C271A4" w:rsidRPr="00DB4937">
        <w:rPr>
          <w:rFonts w:ascii="Arial" w:hAnsi="Arial" w:cs="Arial"/>
          <w:lang w:val="en-GB"/>
        </w:rPr>
        <w:t xml:space="preserve"> (Ginting, 2021)</w:t>
      </w:r>
      <w:r w:rsidRPr="00DB4937">
        <w:rPr>
          <w:rFonts w:ascii="Arial" w:hAnsi="Arial" w:cs="Arial"/>
          <w:lang w:val="en-GB"/>
        </w:rPr>
        <w:t xml:space="preserve">. The longer maturities lower the rollover risk and give the management the time base required in effecting operational restructuring and working capital reforms. </w:t>
      </w:r>
    </w:p>
    <w:p w14:paraId="02265C92" w14:textId="77777777" w:rsidR="009355E0" w:rsidRPr="00DB4937" w:rsidRDefault="009355E0">
      <w:pPr>
        <w:rPr>
          <w:rFonts w:ascii="Arial" w:hAnsi="Arial" w:cs="Arial"/>
          <w:lang w:val="en-GB"/>
        </w:rPr>
      </w:pPr>
      <w:r w:rsidRPr="00DB4937">
        <w:rPr>
          <w:rFonts w:ascii="Arial" w:hAnsi="Arial" w:cs="Arial"/>
          <w:lang w:val="en-GB"/>
        </w:rPr>
        <w:br w:type="page"/>
      </w:r>
    </w:p>
    <w:p w14:paraId="5046CB78" w14:textId="2120CB5C" w:rsidR="007934B6" w:rsidRPr="00DB4937" w:rsidRDefault="007934B6" w:rsidP="009355E0">
      <w:pPr>
        <w:pStyle w:val="Heading1"/>
        <w:rPr>
          <w:rFonts w:ascii="Arial" w:hAnsi="Arial" w:cs="Arial"/>
          <w:sz w:val="24"/>
          <w:szCs w:val="24"/>
          <w:lang w:val="en-GB"/>
        </w:rPr>
      </w:pPr>
      <w:bookmarkStart w:id="13" w:name="_Toc217237294"/>
      <w:r w:rsidRPr="00DB4937">
        <w:rPr>
          <w:rFonts w:ascii="Arial" w:hAnsi="Arial" w:cs="Arial"/>
          <w:sz w:val="24"/>
          <w:szCs w:val="24"/>
          <w:lang w:val="en-GB"/>
        </w:rPr>
        <w:lastRenderedPageBreak/>
        <w:t>Strategic Financial Restructuring Plan</w:t>
      </w:r>
      <w:bookmarkEnd w:id="13"/>
    </w:p>
    <w:p w14:paraId="46F89ACD" w14:textId="77777777" w:rsidR="007934B6" w:rsidRPr="00DB4937" w:rsidRDefault="007934B6" w:rsidP="009355E0">
      <w:pPr>
        <w:pStyle w:val="Heading2"/>
        <w:rPr>
          <w:rFonts w:ascii="Arial" w:hAnsi="Arial" w:cs="Arial"/>
          <w:sz w:val="24"/>
          <w:szCs w:val="24"/>
          <w:lang w:val="en-GB"/>
        </w:rPr>
      </w:pPr>
      <w:bookmarkStart w:id="14" w:name="_Toc217237295"/>
      <w:r w:rsidRPr="00DB4937">
        <w:rPr>
          <w:rFonts w:ascii="Arial" w:hAnsi="Arial" w:cs="Arial"/>
          <w:sz w:val="24"/>
          <w:szCs w:val="24"/>
          <w:lang w:val="en-GB"/>
        </w:rPr>
        <w:t>Recommended financial restructuring options</w:t>
      </w:r>
      <w:bookmarkEnd w:id="14"/>
    </w:p>
    <w:p w14:paraId="4A578D01" w14:textId="77777777" w:rsidR="007934B6" w:rsidRPr="00DB4937" w:rsidRDefault="007934B6" w:rsidP="009355E0">
      <w:pPr>
        <w:pStyle w:val="Heading3"/>
        <w:rPr>
          <w:rFonts w:ascii="Arial" w:hAnsi="Arial" w:cs="Arial"/>
          <w:sz w:val="24"/>
          <w:szCs w:val="24"/>
          <w:lang w:val="en-GB"/>
        </w:rPr>
      </w:pPr>
      <w:bookmarkStart w:id="15" w:name="_Toc217237296"/>
      <w:r w:rsidRPr="00DB4937">
        <w:rPr>
          <w:rFonts w:ascii="Arial" w:hAnsi="Arial" w:cs="Arial"/>
          <w:sz w:val="24"/>
          <w:szCs w:val="24"/>
          <w:lang w:val="en-GB"/>
        </w:rPr>
        <w:t>Divestiture and Portfolio Rationalisation</w:t>
      </w:r>
      <w:bookmarkEnd w:id="15"/>
    </w:p>
    <w:p w14:paraId="1BC933BC" w14:textId="664248EE"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main aspect of the restructuring strategy must be a focused divestiture programme. The total assets have also decreased over the period considered, with the assets reducing to 323.4 billion as compared to 510.3 billion, but the profitability has been dwindling, which means that the current assets have so far been cut instead of being strategic. Active management of the portfolio should find non-core, underperforming, or sub-scale business units that distract from the margins and disproportionate managerial focus. Selling these assets would create direct cash flows, enhance liquidity and enable the management to focus efforts on those core consumer electronics products with sustainable competitive advantages.</w:t>
      </w:r>
    </w:p>
    <w:p w14:paraId="10D27B02" w14:textId="64C53765" w:rsidR="007934B6" w:rsidRPr="00DB4937" w:rsidRDefault="007934B6" w:rsidP="009355E0">
      <w:pPr>
        <w:spacing w:line="360" w:lineRule="auto"/>
        <w:jc w:val="both"/>
        <w:rPr>
          <w:rFonts w:ascii="Arial" w:hAnsi="Arial" w:cs="Arial"/>
          <w:lang w:val="en-GB"/>
        </w:rPr>
      </w:pPr>
      <w:r w:rsidRPr="00DB4937">
        <w:rPr>
          <w:rFonts w:ascii="Arial" w:hAnsi="Arial" w:cs="Arial"/>
          <w:lang w:val="en-GB"/>
        </w:rPr>
        <w:t>Divestitures may be value-accretive when proceeds go towards the payment of debt and the enhancement of the return on invested capital. As the debt-to-equity ratio in the firm has increased and it was more than 1.1 in 2024, debt repayment needs to be given a higher priority than additional share buybacks, which in the past eroded equity when revenues were declining. The flexibility in operations would also be enhanced since the fixed cost intensity would be low, since the asset base is leaner and the amount of break-even sales would be low. The divestiture decisions should take into account the local regulatory approvals, labour protections and the reputational risk in the event of exits from the emerging markets internationally</w:t>
      </w:r>
      <w:r w:rsidR="00C271A4" w:rsidRPr="00DB4937">
        <w:rPr>
          <w:rFonts w:ascii="Arial" w:hAnsi="Arial" w:cs="Arial"/>
          <w:lang w:val="en-GB"/>
        </w:rPr>
        <w:t xml:space="preserve"> (Blessing and Sakouvogui, 2023)</w:t>
      </w:r>
      <w:r w:rsidRPr="00DB4937">
        <w:rPr>
          <w:rFonts w:ascii="Arial" w:hAnsi="Arial" w:cs="Arial"/>
          <w:lang w:val="en-GB"/>
        </w:rPr>
        <w:t>. Morally, it is necessary to involve the affected employees and communities openly to maintain corporate social responsibility pledges and prevent brand degradation in the long run.</w:t>
      </w:r>
    </w:p>
    <w:p w14:paraId="75C5A8AE" w14:textId="77777777" w:rsidR="007934B6" w:rsidRPr="00DB4937" w:rsidRDefault="007934B6" w:rsidP="009355E0">
      <w:pPr>
        <w:pStyle w:val="Heading3"/>
        <w:rPr>
          <w:rFonts w:ascii="Arial" w:hAnsi="Arial" w:cs="Arial"/>
          <w:sz w:val="24"/>
          <w:szCs w:val="24"/>
          <w:lang w:val="en-GB"/>
        </w:rPr>
      </w:pPr>
      <w:bookmarkStart w:id="16" w:name="_Toc217237297"/>
      <w:r w:rsidRPr="00DB4937">
        <w:rPr>
          <w:rFonts w:ascii="Arial" w:hAnsi="Arial" w:cs="Arial"/>
          <w:sz w:val="24"/>
          <w:szCs w:val="24"/>
          <w:lang w:val="en-GB"/>
        </w:rPr>
        <w:t>Equity Injection and Capital Base Restoration</w:t>
      </w:r>
      <w:bookmarkEnd w:id="16"/>
    </w:p>
    <w:p w14:paraId="3AE51AD1" w14:textId="6CE8FDEA" w:rsidR="007934B6" w:rsidRPr="00DB4937" w:rsidRDefault="007934B6" w:rsidP="009355E0">
      <w:pPr>
        <w:spacing w:line="360" w:lineRule="auto"/>
        <w:jc w:val="both"/>
        <w:rPr>
          <w:rFonts w:ascii="Arial" w:hAnsi="Arial" w:cs="Arial"/>
          <w:lang w:val="en-GB"/>
        </w:rPr>
      </w:pPr>
      <w:r w:rsidRPr="00DB4937">
        <w:rPr>
          <w:rFonts w:ascii="Arial" w:hAnsi="Arial" w:cs="Arial"/>
          <w:lang w:val="en-GB"/>
        </w:rPr>
        <w:t xml:space="preserve">The loss of shareholders' equity of the business between the British Airways shareholders in 2020 (£313.3 billion) and 2024 (£153.1 billion) is a critical weakness in the financial structure of the company. Equity injection to rebuild the capital base and regain belief in the credibility of the balance sheets should therefore be carefully designed. Although the act of raising new equity at depressed prices is inherently dilutive in nature, the risks of remaining leveraged are much higher since the </w:t>
      </w:r>
      <w:r w:rsidRPr="00DB4937">
        <w:rPr>
          <w:rFonts w:ascii="Arial" w:hAnsi="Arial" w:cs="Arial"/>
          <w:lang w:val="en-GB"/>
        </w:rPr>
        <w:lastRenderedPageBreak/>
        <w:t>shareholders are subjected to more downside risk, such as financial distress or covenant violation.</w:t>
      </w:r>
    </w:p>
    <w:p w14:paraId="0242844B" w14:textId="10494AC9" w:rsidR="007934B6" w:rsidRPr="00DB4937" w:rsidRDefault="007934B6" w:rsidP="009355E0">
      <w:pPr>
        <w:spacing w:line="360" w:lineRule="auto"/>
        <w:jc w:val="both"/>
        <w:rPr>
          <w:rFonts w:ascii="Arial" w:hAnsi="Arial" w:cs="Arial"/>
          <w:lang w:val="en-GB"/>
        </w:rPr>
      </w:pPr>
      <w:r w:rsidRPr="00DB4937">
        <w:rPr>
          <w:rFonts w:ascii="Arial" w:hAnsi="Arial" w:cs="Arial"/>
          <w:lang w:val="en-GB"/>
        </w:rPr>
        <w:t>An equity injection may be in various forms, such as a rights issue to the current shareholders or an entry strategic minority investment where the investor would have experience in the industry</w:t>
      </w:r>
      <w:r w:rsidR="00C271A4" w:rsidRPr="00DB4937">
        <w:rPr>
          <w:rFonts w:ascii="Arial" w:hAnsi="Arial" w:cs="Arial"/>
          <w:lang w:val="en-GB"/>
        </w:rPr>
        <w:t xml:space="preserve"> (Maguni et al., 2020)</w:t>
      </w:r>
      <w:r w:rsidRPr="00DB4937">
        <w:rPr>
          <w:rFonts w:ascii="Arial" w:hAnsi="Arial" w:cs="Arial"/>
          <w:lang w:val="en-GB"/>
        </w:rPr>
        <w:t xml:space="preserve">. A rights issue is dilutive in the short run, but proportional ownership is maintained in the long run and is an indication of management commitment to recover in the long run. This may be a strategic investor, especially one that has a complementary technology or distribution, hence capital as well as operational synergies, which stimulate value creation in the long term. </w:t>
      </w:r>
    </w:p>
    <w:p w14:paraId="4CD9E5D8" w14:textId="7720A30D"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international consideration especially applies in equity restructuring. Cross-border equity issues should be issued, paying attention to the disparities of securities regulation, the protection of investors, and the taxation of dividends</w:t>
      </w:r>
      <w:r w:rsidR="00C271A4" w:rsidRPr="00DB4937">
        <w:rPr>
          <w:rFonts w:ascii="Arial" w:hAnsi="Arial" w:cs="Arial"/>
          <w:lang w:val="en-GB"/>
        </w:rPr>
        <w:t xml:space="preserve"> (Jung et al., 2022)</w:t>
      </w:r>
      <w:r w:rsidRPr="00DB4937">
        <w:rPr>
          <w:rFonts w:ascii="Arial" w:hAnsi="Arial" w:cs="Arial"/>
          <w:lang w:val="en-GB"/>
        </w:rPr>
        <w:t>. The currency risk may also occur when the capital is raised in foreign currency, which requires strong hedging policies to counter this risk. On the ethical side, equity in making valuation assumptions and cross-border treatment of shareholders are important in ensuring trust and governance integrity.</w:t>
      </w:r>
    </w:p>
    <w:p w14:paraId="5E537CF1" w14:textId="77777777" w:rsidR="007934B6" w:rsidRPr="00DB4937" w:rsidRDefault="007934B6" w:rsidP="009355E0">
      <w:pPr>
        <w:pStyle w:val="Heading3"/>
        <w:rPr>
          <w:rFonts w:ascii="Arial" w:hAnsi="Arial" w:cs="Arial"/>
          <w:sz w:val="24"/>
          <w:szCs w:val="24"/>
          <w:lang w:val="en-GB"/>
        </w:rPr>
      </w:pPr>
      <w:bookmarkStart w:id="17" w:name="_Toc217237298"/>
      <w:r w:rsidRPr="00DB4937">
        <w:rPr>
          <w:rFonts w:ascii="Arial" w:hAnsi="Arial" w:cs="Arial"/>
          <w:sz w:val="24"/>
          <w:szCs w:val="24"/>
          <w:lang w:val="en-GB"/>
        </w:rPr>
        <w:t>Merger or Strategic Alliance Considerations</w:t>
      </w:r>
      <w:bookmarkEnd w:id="17"/>
    </w:p>
    <w:p w14:paraId="43ED027E" w14:textId="4378D28F" w:rsidR="007934B6" w:rsidRPr="00DB4937" w:rsidRDefault="007934B6" w:rsidP="009355E0">
      <w:pPr>
        <w:spacing w:line="360" w:lineRule="auto"/>
        <w:jc w:val="both"/>
        <w:rPr>
          <w:rFonts w:ascii="Arial" w:hAnsi="Arial" w:cs="Arial"/>
          <w:lang w:val="en-GB"/>
        </w:rPr>
      </w:pPr>
      <w:r w:rsidRPr="00DB4937">
        <w:rPr>
          <w:rFonts w:ascii="Arial" w:hAnsi="Arial" w:cs="Arial"/>
          <w:lang w:val="en-GB"/>
        </w:rPr>
        <w:t>In addition to balancing sheet reorganisation, General Electronics would need to take a look at the strategic merits of a merger or deep strategic alliance. Scale and scope economies are more of a concern in an industry where technological change is very fast, and the fixed cost is very high</w:t>
      </w:r>
      <w:r w:rsidR="00C271A4" w:rsidRPr="00DB4937">
        <w:rPr>
          <w:rFonts w:ascii="Arial" w:hAnsi="Arial" w:cs="Arial"/>
          <w:lang w:val="en-GB"/>
        </w:rPr>
        <w:t xml:space="preserve"> (Yunus and Lukum, 2021)</w:t>
      </w:r>
      <w:r w:rsidRPr="00DB4937">
        <w:rPr>
          <w:rFonts w:ascii="Arial" w:hAnsi="Arial" w:cs="Arial"/>
          <w:lang w:val="en-GB"/>
        </w:rPr>
        <w:t>. Acquisition of a complementary global player would provide cost-saving advantages, the ability to access a wider marketplace, and an increase in innovation capabilities. Nevertheless, mergers are also highly risky in terms of execution, and they demand large initial investments when the financial resources of the company are tight.</w:t>
      </w:r>
    </w:p>
    <w:p w14:paraId="7685668D" w14:textId="42F928A9" w:rsidR="007934B6" w:rsidRPr="00DB4937" w:rsidRDefault="007934B6" w:rsidP="009355E0">
      <w:pPr>
        <w:spacing w:line="360" w:lineRule="auto"/>
        <w:jc w:val="both"/>
        <w:rPr>
          <w:rFonts w:ascii="Arial" w:hAnsi="Arial" w:cs="Arial"/>
          <w:lang w:val="en-GB"/>
        </w:rPr>
      </w:pPr>
      <w:r w:rsidRPr="00DB4937">
        <w:rPr>
          <w:rFonts w:ascii="Arial" w:hAnsi="Arial" w:cs="Arial"/>
          <w:lang w:val="en-GB"/>
        </w:rPr>
        <w:t>In terms of shareholder value, a merger may be accretive if the synergies are viable and integration is properly coordinated. However, poorly undertaken mergers stand the chance of annihilating the value due to cultural conflicts, disruption in operations and unexpected liabilities</w:t>
      </w:r>
      <w:r w:rsidR="00C271A4" w:rsidRPr="00DB4937">
        <w:rPr>
          <w:rFonts w:ascii="Arial" w:hAnsi="Arial" w:cs="Arial"/>
          <w:lang w:val="en-GB"/>
        </w:rPr>
        <w:t xml:space="preserve"> (Huang et al., 2022)</w:t>
      </w:r>
      <w:r w:rsidRPr="00DB4937">
        <w:rPr>
          <w:rFonts w:ascii="Arial" w:hAnsi="Arial" w:cs="Arial"/>
          <w:lang w:val="en-GB"/>
        </w:rPr>
        <w:t xml:space="preserve">. Since General Electronics has had impairment charges recently and falling returns on equity, any plan to merge should be very careful and bearable with due diligence. Integration complexity can cause </w:t>
      </w:r>
      <w:r w:rsidRPr="00DB4937">
        <w:rPr>
          <w:rFonts w:ascii="Arial" w:hAnsi="Arial" w:cs="Arial"/>
          <w:lang w:val="en-GB"/>
        </w:rPr>
        <w:lastRenderedPageBreak/>
        <w:t>initial operational flexibility to decrease, and it may increase in the medium term if overlapping functions and supply chains are rationalised.</w:t>
      </w:r>
    </w:p>
    <w:p w14:paraId="76BC13B3" w14:textId="77777777" w:rsidR="007934B6" w:rsidRPr="00DB4937" w:rsidRDefault="007934B6" w:rsidP="009355E0">
      <w:pPr>
        <w:pStyle w:val="Heading2"/>
        <w:rPr>
          <w:rFonts w:ascii="Arial" w:hAnsi="Arial" w:cs="Arial"/>
          <w:sz w:val="24"/>
          <w:szCs w:val="24"/>
          <w:lang w:val="en-GB"/>
        </w:rPr>
      </w:pPr>
      <w:bookmarkStart w:id="18" w:name="_Toc217237299"/>
      <w:r w:rsidRPr="00DB4937">
        <w:rPr>
          <w:rFonts w:ascii="Arial" w:hAnsi="Arial" w:cs="Arial"/>
          <w:sz w:val="24"/>
          <w:szCs w:val="24"/>
          <w:lang w:val="en-GB"/>
        </w:rPr>
        <w:t>Impact of Restructuring on Shareholder Value</w:t>
      </w:r>
      <w:bookmarkEnd w:id="18"/>
    </w:p>
    <w:p w14:paraId="284CAA32" w14:textId="277CDF2A"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resulting effects of divestiture, increment of equity and the restructure of debt on the share value should be considered as a unit. In the short term, shareholders can suffer two things, which are dilution and a drop in earnings per share, especially after equity is issued</w:t>
      </w:r>
      <w:r w:rsidR="00C271A4" w:rsidRPr="00DB4937">
        <w:rPr>
          <w:rFonts w:ascii="Arial" w:hAnsi="Arial" w:cs="Arial"/>
          <w:lang w:val="en-GB"/>
        </w:rPr>
        <w:t xml:space="preserve"> (Liu, 2022)</w:t>
      </w:r>
      <w:r w:rsidRPr="00DB4937">
        <w:rPr>
          <w:rFonts w:ascii="Arial" w:hAnsi="Arial" w:cs="Arial"/>
          <w:lang w:val="en-GB"/>
        </w:rPr>
        <w:t>. However, the past inclination toward share buybacks in times of falling profitability already proved that the superficial EPS support is not equal to long-term value. A repackaged balance sheet that has a reduced leverage, a better liquidity position, and a narrower asset base improves the ability of the firm to achieve constant cash flows in the future, the ultimate source of long-term shareholder value.</w:t>
      </w:r>
    </w:p>
    <w:p w14:paraId="202A16DC" w14:textId="75780FAD" w:rsidR="007934B6" w:rsidRPr="00DB4937" w:rsidRDefault="007934B6" w:rsidP="009355E0">
      <w:pPr>
        <w:spacing w:line="360" w:lineRule="auto"/>
        <w:jc w:val="both"/>
        <w:rPr>
          <w:rFonts w:ascii="Arial" w:hAnsi="Arial" w:cs="Arial"/>
          <w:lang w:val="en-GB"/>
        </w:rPr>
      </w:pPr>
      <w:r w:rsidRPr="00DB4937">
        <w:rPr>
          <w:rFonts w:ascii="Arial" w:hAnsi="Arial" w:cs="Arial"/>
          <w:lang w:val="en-GB"/>
        </w:rPr>
        <w:t>It is also important that there is a market perception. An effective restructuring model, transparently articulated and justified using specific milestones, would help gain investor confidence and minimise discounts to valuation ratios linked to financial distress</w:t>
      </w:r>
      <w:r w:rsidR="00C271A4" w:rsidRPr="00DB4937">
        <w:rPr>
          <w:rFonts w:ascii="Arial" w:hAnsi="Arial" w:cs="Arial"/>
          <w:lang w:val="en-GB"/>
        </w:rPr>
        <w:t xml:space="preserve"> (Lin, 2023)</w:t>
      </w:r>
      <w:r w:rsidRPr="00DB4937">
        <w:rPr>
          <w:rFonts w:ascii="Arial" w:hAnsi="Arial" w:cs="Arial"/>
          <w:lang w:val="en-GB"/>
        </w:rPr>
        <w:t>. As time passes, superior operating margins and returns on equity would be tangible results of value recovery, which would justify the sacrifices of the short-term restructuring.</w:t>
      </w:r>
    </w:p>
    <w:p w14:paraId="09BBAF78" w14:textId="77777777" w:rsidR="007934B6" w:rsidRPr="00DB4937" w:rsidRDefault="007934B6" w:rsidP="009355E0">
      <w:pPr>
        <w:pStyle w:val="Heading2"/>
        <w:rPr>
          <w:rFonts w:ascii="Arial" w:hAnsi="Arial" w:cs="Arial"/>
          <w:sz w:val="24"/>
          <w:szCs w:val="24"/>
          <w:lang w:val="en-GB"/>
        </w:rPr>
      </w:pPr>
      <w:bookmarkStart w:id="19" w:name="_Toc217237300"/>
      <w:r w:rsidRPr="00DB4937">
        <w:rPr>
          <w:rFonts w:ascii="Arial" w:hAnsi="Arial" w:cs="Arial"/>
          <w:sz w:val="24"/>
          <w:szCs w:val="24"/>
          <w:lang w:val="en-GB"/>
        </w:rPr>
        <w:t>International Macroeconomic and Ethical Considerations</w:t>
      </w:r>
      <w:bookmarkEnd w:id="19"/>
    </w:p>
    <w:p w14:paraId="00475541" w14:textId="033A642D" w:rsidR="007934B6" w:rsidRPr="00DB4937" w:rsidRDefault="007934B6" w:rsidP="009355E0">
      <w:pPr>
        <w:spacing w:line="360" w:lineRule="auto"/>
        <w:jc w:val="both"/>
        <w:rPr>
          <w:rFonts w:ascii="Arial" w:hAnsi="Arial" w:cs="Arial"/>
          <w:lang w:val="en-GB"/>
        </w:rPr>
      </w:pPr>
      <w:r w:rsidRPr="00DB4937">
        <w:rPr>
          <w:rFonts w:ascii="Arial" w:hAnsi="Arial" w:cs="Arial"/>
          <w:lang w:val="en-GB"/>
        </w:rPr>
        <w:t>Any financial re-engineering that is done by General Electronics can and should be insulated against the worldwide macroeconomics. The inflationary pressures drive up the input costs and interest rates, which exacerbate the significance of the cost flexibility and constant rate debt components</w:t>
      </w:r>
      <w:r w:rsidR="00C271A4" w:rsidRPr="00DB4937">
        <w:rPr>
          <w:rFonts w:ascii="Arial" w:hAnsi="Arial" w:cs="Arial"/>
          <w:lang w:val="en-GB"/>
        </w:rPr>
        <w:t xml:space="preserve"> (Sneps-Sneppe, 2023)</w:t>
      </w:r>
      <w:r w:rsidRPr="00DB4937">
        <w:rPr>
          <w:rFonts w:ascii="Arial" w:hAnsi="Arial" w:cs="Arial"/>
          <w:lang w:val="en-GB"/>
        </w:rPr>
        <w:t xml:space="preserve">. Both reported earnings and cash flows are impacted by currency volatility, which is why a firm should adopt strong hedging strategies that are aligned with the geographic revenue mix of the firm. The taxation factors also matter. Although optimisation of global tax structure is a valid practice, the aggressive methods of tax avoidance are both unethical and reputational. </w:t>
      </w:r>
    </w:p>
    <w:p w14:paraId="4B9E5D1A" w14:textId="35C44DEA"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restructuring process should have corporate social responsibility incorporated in it. Efforts to reduce the workforce, sell off assets, and even consolidate operations present a considerable social impact in global markets. The restructuring must be done in terms of fair redundancy measures and retraining and involve local stakeholders</w:t>
      </w:r>
      <w:r w:rsidR="00C271A4" w:rsidRPr="00DB4937">
        <w:rPr>
          <w:rFonts w:ascii="Arial" w:hAnsi="Arial" w:cs="Arial"/>
          <w:lang w:val="en-GB"/>
        </w:rPr>
        <w:t xml:space="preserve"> (Dai et al., 2022)</w:t>
      </w:r>
      <w:r w:rsidRPr="00DB4937">
        <w:rPr>
          <w:rFonts w:ascii="Arial" w:hAnsi="Arial" w:cs="Arial"/>
          <w:lang w:val="en-GB"/>
        </w:rPr>
        <w:t xml:space="preserve">. A high level of environmental and governance </w:t>
      </w:r>
      <w:r w:rsidRPr="00DB4937">
        <w:rPr>
          <w:rFonts w:ascii="Arial" w:hAnsi="Arial" w:cs="Arial"/>
          <w:lang w:val="en-GB"/>
        </w:rPr>
        <w:lastRenderedPageBreak/>
        <w:t>standards in the process of restructuring reduces reputational risks and, in addition, increases long-term sustainability and access to responsible capital.</w:t>
      </w:r>
    </w:p>
    <w:p w14:paraId="3E98BACB" w14:textId="77777777" w:rsidR="009355E0" w:rsidRPr="00DB4937" w:rsidRDefault="009355E0">
      <w:pPr>
        <w:rPr>
          <w:rFonts w:ascii="Arial" w:hAnsi="Arial" w:cs="Arial"/>
          <w:lang w:val="en-GB"/>
        </w:rPr>
      </w:pPr>
      <w:r w:rsidRPr="00DB4937">
        <w:rPr>
          <w:rFonts w:ascii="Arial" w:hAnsi="Arial" w:cs="Arial"/>
          <w:lang w:val="en-GB"/>
        </w:rPr>
        <w:br w:type="page"/>
      </w:r>
    </w:p>
    <w:p w14:paraId="15669B05" w14:textId="14B9FFD8" w:rsidR="007934B6" w:rsidRPr="00DB4937" w:rsidRDefault="007934B6" w:rsidP="009355E0">
      <w:pPr>
        <w:pStyle w:val="Heading1"/>
        <w:rPr>
          <w:rFonts w:ascii="Arial" w:hAnsi="Arial" w:cs="Arial"/>
          <w:sz w:val="24"/>
          <w:szCs w:val="24"/>
          <w:lang w:val="en-GB"/>
        </w:rPr>
      </w:pPr>
      <w:bookmarkStart w:id="20" w:name="_Toc217237301"/>
      <w:r w:rsidRPr="00DB4937">
        <w:rPr>
          <w:rFonts w:ascii="Arial" w:hAnsi="Arial" w:cs="Arial"/>
          <w:sz w:val="24"/>
          <w:szCs w:val="24"/>
          <w:lang w:val="en-GB"/>
        </w:rPr>
        <w:lastRenderedPageBreak/>
        <w:t>Investment Appraisal and Capital Budgeting</w:t>
      </w:r>
      <w:bookmarkEnd w:id="20"/>
    </w:p>
    <w:p w14:paraId="1C55D840" w14:textId="77777777" w:rsidR="007934B6" w:rsidRPr="00DB4937" w:rsidRDefault="007934B6" w:rsidP="009355E0">
      <w:pPr>
        <w:pStyle w:val="Heading2"/>
        <w:rPr>
          <w:rFonts w:ascii="Arial" w:hAnsi="Arial" w:cs="Arial"/>
          <w:sz w:val="24"/>
          <w:szCs w:val="24"/>
          <w:lang w:val="en-GB"/>
        </w:rPr>
      </w:pPr>
      <w:bookmarkStart w:id="21" w:name="_Toc217237302"/>
      <w:r w:rsidRPr="00DB4937">
        <w:rPr>
          <w:rFonts w:ascii="Arial" w:hAnsi="Arial" w:cs="Arial"/>
          <w:sz w:val="24"/>
          <w:szCs w:val="24"/>
          <w:lang w:val="en-GB"/>
        </w:rPr>
        <w:t>Context for Capital Investment Decisions</w:t>
      </w:r>
      <w:bookmarkEnd w:id="21"/>
    </w:p>
    <w:p w14:paraId="2455C307" w14:textId="50D32386"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company, General Electronics, is conducting business in an era where profitability is limited, liquidity is compromised, and financial risk is exaggerated, as seen in recent operating losses, decreasing operating cash flows and an escalating level of leverage. The capital budgeting decision should therefore focus on value creation, reliability in the cash flow, and capital efficiency as opposed to increasing revenues only</w:t>
      </w:r>
      <w:r w:rsidR="00C271A4" w:rsidRPr="00DB4937">
        <w:rPr>
          <w:rFonts w:ascii="Arial" w:hAnsi="Arial" w:cs="Arial"/>
          <w:lang w:val="en-GB"/>
        </w:rPr>
        <w:t xml:space="preserve"> (Lidia, 2020)</w:t>
      </w:r>
      <w:r w:rsidRPr="00DB4937">
        <w:rPr>
          <w:rFonts w:ascii="Arial" w:hAnsi="Arial" w:cs="Arial"/>
          <w:lang w:val="en-GB"/>
        </w:rPr>
        <w:t>. The capital rationing which exists, with the maximum amount of money available to invest being 60 million, also makes it necessary to use stringent methods of investment appraisal to ensure that the limited amount of financial resources is used in initiatives that will add value to shareholders and at the same time leave it financially stable.</w:t>
      </w:r>
    </w:p>
    <w:p w14:paraId="0927AABB" w14:textId="7777777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In a bid to appraise the three proposed projects, extensive appraisal has been done on the basis of Payback Period (PBP), Accounting Rate of Return (ARR), Net Present Value (NPV), Profitability Index (PI) and Internal Rate of Return (IRR). A discount rate of 10% has been used, which is how the cost of capital is high in the firm, given the recent financial distress. Accounting-based measures have been depreciated straight-line to zero.</w:t>
      </w:r>
    </w:p>
    <w:p w14:paraId="51CD6A7A" w14:textId="77777777" w:rsidR="007934B6" w:rsidRPr="00DB4937" w:rsidRDefault="007934B6" w:rsidP="009355E0">
      <w:pPr>
        <w:pStyle w:val="Heading2"/>
        <w:rPr>
          <w:rFonts w:ascii="Arial" w:hAnsi="Arial" w:cs="Arial"/>
          <w:sz w:val="24"/>
          <w:szCs w:val="24"/>
          <w:lang w:val="en-GB"/>
        </w:rPr>
      </w:pPr>
      <w:bookmarkStart w:id="22" w:name="_Toc217237303"/>
      <w:r w:rsidRPr="00DB4937">
        <w:rPr>
          <w:rFonts w:ascii="Arial" w:hAnsi="Arial" w:cs="Arial"/>
          <w:sz w:val="24"/>
          <w:szCs w:val="24"/>
          <w:lang w:val="en-GB"/>
        </w:rPr>
        <w:t>Investment Appraisal Calculations</w:t>
      </w:r>
      <w:bookmarkEnd w:id="22"/>
    </w:p>
    <w:p w14:paraId="507A9A0B" w14:textId="77777777" w:rsidR="007934B6" w:rsidRPr="00DB4937" w:rsidRDefault="007934B6" w:rsidP="009355E0">
      <w:pPr>
        <w:pStyle w:val="Heading3"/>
        <w:rPr>
          <w:rFonts w:ascii="Arial" w:hAnsi="Arial" w:cs="Arial"/>
          <w:sz w:val="24"/>
          <w:szCs w:val="24"/>
          <w:lang w:val="en-GB"/>
        </w:rPr>
      </w:pPr>
      <w:bookmarkStart w:id="23" w:name="_Toc217237304"/>
      <w:r w:rsidRPr="00DB4937">
        <w:rPr>
          <w:rFonts w:ascii="Arial" w:hAnsi="Arial" w:cs="Arial"/>
          <w:sz w:val="24"/>
          <w:szCs w:val="24"/>
          <w:lang w:val="en-GB"/>
        </w:rPr>
        <w:t>Summary of Cash Flows and Assumptions</w:t>
      </w:r>
      <w:bookmarkEnd w:id="23"/>
    </w:p>
    <w:p w14:paraId="0A747C07" w14:textId="4DD68715" w:rsidR="007934B6" w:rsidRPr="00DB4937" w:rsidRDefault="007934B6" w:rsidP="009355E0">
      <w:pPr>
        <w:spacing w:line="360" w:lineRule="auto"/>
        <w:jc w:val="both"/>
        <w:rPr>
          <w:rFonts w:ascii="Arial" w:hAnsi="Arial" w:cs="Arial"/>
          <w:lang w:val="en-GB"/>
        </w:rPr>
      </w:pPr>
      <w:r w:rsidRPr="00DB4937">
        <w:rPr>
          <w:rFonts w:ascii="Arial" w:hAnsi="Arial" w:cs="Arial"/>
          <w:lang w:val="en-GB"/>
        </w:rPr>
        <w:t>All the projects have cash inflows within a time frame of five years, but they vary significantly in magnitude, time, and return volatility. Project A at the start of the initial investment is of 40 million dollars and produces initial but decreasing cash flows. Project B has a lower start-up of only £30 million, but with constant and rather low cash inflows</w:t>
      </w:r>
      <w:r w:rsidR="00C271A4" w:rsidRPr="00DB4937">
        <w:rPr>
          <w:rFonts w:ascii="Arial" w:hAnsi="Arial" w:cs="Arial"/>
          <w:lang w:val="en-GB"/>
        </w:rPr>
        <w:t xml:space="preserve"> (Wang, 2021)</w:t>
      </w:r>
      <w:r w:rsidRPr="00DB4937">
        <w:rPr>
          <w:rFonts w:ascii="Arial" w:hAnsi="Arial" w:cs="Arial"/>
          <w:lang w:val="en-GB"/>
        </w:rPr>
        <w:t>. Project C is the most capital-intensive and stands at £50 million with extremely irregular cash flows that occur in the later years of the project, and this results in higher risk but higher upside.</w:t>
      </w:r>
    </w:p>
    <w:p w14:paraId="31C6DED4" w14:textId="77777777" w:rsidR="007934B6" w:rsidRPr="00DB4937" w:rsidRDefault="007934B6" w:rsidP="009355E0">
      <w:pPr>
        <w:pStyle w:val="Heading3"/>
        <w:rPr>
          <w:rFonts w:ascii="Arial" w:hAnsi="Arial" w:cs="Arial"/>
          <w:sz w:val="24"/>
          <w:szCs w:val="24"/>
          <w:lang w:val="en-GB"/>
        </w:rPr>
      </w:pPr>
      <w:bookmarkStart w:id="24" w:name="_Toc217237305"/>
      <w:r w:rsidRPr="00DB4937">
        <w:rPr>
          <w:rFonts w:ascii="Arial" w:hAnsi="Arial" w:cs="Arial"/>
          <w:sz w:val="24"/>
          <w:szCs w:val="24"/>
          <w:lang w:val="en-GB"/>
        </w:rPr>
        <w:t>Payback Period Analysis</w:t>
      </w:r>
      <w:bookmarkEnd w:id="24"/>
    </w:p>
    <w:p w14:paraId="355F2D07" w14:textId="7777777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payback gauge is used to determine the time period needed to recover the original investment due to cumulative cash inflows and is specifically applicable in these circumstances, with liquidity pressure experienced by General Electronics.</w:t>
      </w:r>
    </w:p>
    <w:p w14:paraId="6115CA80" w14:textId="77777777" w:rsidR="009355E0" w:rsidRPr="00DB4937" w:rsidRDefault="009355E0">
      <w:pPr>
        <w:rPr>
          <w:rFonts w:ascii="Arial" w:hAnsi="Arial" w:cs="Arial"/>
          <w:lang w:val="en-GB"/>
        </w:rPr>
      </w:pPr>
      <w:r w:rsidRPr="00DB4937">
        <w:rPr>
          <w:rFonts w:ascii="Arial" w:hAnsi="Arial" w:cs="Arial"/>
          <w:b/>
          <w:bCs/>
          <w:lang w:val="en-GB"/>
        </w:rPr>
        <w:lastRenderedPageBreak/>
        <w:br w:type="page"/>
      </w:r>
    </w:p>
    <w:tbl>
      <w:tblPr>
        <w:tblStyle w:val="PlainTable1"/>
        <w:tblW w:w="0" w:type="auto"/>
        <w:jc w:val="center"/>
        <w:tblLook w:val="04A0" w:firstRow="1" w:lastRow="0" w:firstColumn="1" w:lastColumn="0" w:noHBand="0" w:noVBand="1"/>
      </w:tblPr>
      <w:tblGrid>
        <w:gridCol w:w="1030"/>
        <w:gridCol w:w="2662"/>
        <w:gridCol w:w="5324"/>
      </w:tblGrid>
      <w:tr w:rsidR="002630CC" w:rsidRPr="00DB4937" w14:paraId="4C2831E8" w14:textId="77777777" w:rsidTr="009355E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CA8A3A" w14:textId="78549CF1"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lastRenderedPageBreak/>
              <w:t>Project</w:t>
            </w:r>
          </w:p>
        </w:tc>
        <w:tc>
          <w:tcPr>
            <w:tcW w:w="0" w:type="auto"/>
            <w:hideMark/>
          </w:tcPr>
          <w:p w14:paraId="0825AC2A"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Payback Period (years)</w:t>
            </w:r>
          </w:p>
        </w:tc>
        <w:tc>
          <w:tcPr>
            <w:tcW w:w="0" w:type="auto"/>
            <w:hideMark/>
          </w:tcPr>
          <w:p w14:paraId="284A799D"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Formula</w:t>
            </w:r>
          </w:p>
        </w:tc>
      </w:tr>
      <w:tr w:rsidR="002630CC" w:rsidRPr="00DB4937" w14:paraId="463BB974"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0F8220"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A</w:t>
            </w:r>
          </w:p>
        </w:tc>
        <w:tc>
          <w:tcPr>
            <w:tcW w:w="0" w:type="auto"/>
            <w:hideMark/>
          </w:tcPr>
          <w:p w14:paraId="16FFCE3C"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3.4</w:t>
            </w:r>
          </w:p>
        </w:tc>
        <w:tc>
          <w:tcPr>
            <w:tcW w:w="0" w:type="auto"/>
            <w:hideMark/>
          </w:tcPr>
          <w:p w14:paraId="6E9787A5"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Initial Investment ÷ Annual Cash Inflows (cumulative)</w:t>
            </w:r>
          </w:p>
        </w:tc>
      </w:tr>
      <w:tr w:rsidR="002630CC" w:rsidRPr="00DB4937" w14:paraId="2BE0F74A" w14:textId="77777777" w:rsidTr="009355E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46825C"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B</w:t>
            </w:r>
          </w:p>
        </w:tc>
        <w:tc>
          <w:tcPr>
            <w:tcW w:w="0" w:type="auto"/>
            <w:hideMark/>
          </w:tcPr>
          <w:p w14:paraId="380400DA"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5.0</w:t>
            </w:r>
          </w:p>
        </w:tc>
        <w:tc>
          <w:tcPr>
            <w:tcW w:w="0" w:type="auto"/>
            <w:hideMark/>
          </w:tcPr>
          <w:p w14:paraId="0CA187BC"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Initial Investment ÷ Annual Cash Inflows</w:t>
            </w:r>
          </w:p>
        </w:tc>
      </w:tr>
      <w:tr w:rsidR="002630CC" w:rsidRPr="00DB4937" w14:paraId="101622F9"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7B8A00"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C</w:t>
            </w:r>
          </w:p>
        </w:tc>
        <w:tc>
          <w:tcPr>
            <w:tcW w:w="0" w:type="auto"/>
            <w:hideMark/>
          </w:tcPr>
          <w:p w14:paraId="4E6A2413"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3.6</w:t>
            </w:r>
          </w:p>
        </w:tc>
        <w:tc>
          <w:tcPr>
            <w:tcW w:w="0" w:type="auto"/>
            <w:hideMark/>
          </w:tcPr>
          <w:p w14:paraId="58F6D354"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Initial Investment ÷ Annual Cash Inflows (cumulative)</w:t>
            </w:r>
          </w:p>
        </w:tc>
      </w:tr>
    </w:tbl>
    <w:p w14:paraId="6EB6AE86" w14:textId="79A57805" w:rsidR="007934B6" w:rsidRPr="00DB4937" w:rsidRDefault="007934B6" w:rsidP="009355E0">
      <w:pPr>
        <w:spacing w:line="360" w:lineRule="auto"/>
        <w:jc w:val="both"/>
        <w:rPr>
          <w:rFonts w:ascii="Arial" w:hAnsi="Arial" w:cs="Arial"/>
          <w:lang w:val="en-GB"/>
        </w:rPr>
      </w:pPr>
      <w:r w:rsidRPr="00DB4937">
        <w:rPr>
          <w:rFonts w:ascii="Arial" w:hAnsi="Arial" w:cs="Arial"/>
          <w:lang w:val="en-GB"/>
        </w:rPr>
        <w:t>Project A has the shortest payback, as it returns to the investment a little bit earlier than Project C, and Project B can only break even at the end of the project life. This is not favourable in the eyes of liquidity because with this, Project B binds your capital throughout the entire five-year term without any recovery</w:t>
      </w:r>
      <w:r w:rsidR="00C271A4" w:rsidRPr="00DB4937">
        <w:rPr>
          <w:rFonts w:ascii="Arial" w:hAnsi="Arial" w:cs="Arial"/>
          <w:lang w:val="en-GB"/>
        </w:rPr>
        <w:t xml:space="preserve"> (Li, 2025)</w:t>
      </w:r>
      <w:r w:rsidRPr="00DB4937">
        <w:rPr>
          <w:rFonts w:ascii="Arial" w:hAnsi="Arial" w:cs="Arial"/>
          <w:lang w:val="en-GB"/>
        </w:rPr>
        <w:t>. Since the operating cash flows are decreasing in the firm, a shorter payback period would be better, although this approach disregards the time value of money and cash flows after payback.</w:t>
      </w:r>
    </w:p>
    <w:p w14:paraId="7152470F" w14:textId="77777777" w:rsidR="007934B6" w:rsidRPr="00DB4937" w:rsidRDefault="007934B6" w:rsidP="009355E0">
      <w:pPr>
        <w:pStyle w:val="Heading3"/>
        <w:rPr>
          <w:rFonts w:ascii="Arial" w:hAnsi="Arial" w:cs="Arial"/>
          <w:sz w:val="24"/>
          <w:szCs w:val="24"/>
          <w:lang w:val="en-GB"/>
        </w:rPr>
      </w:pPr>
      <w:bookmarkStart w:id="25" w:name="_Toc217237306"/>
      <w:r w:rsidRPr="00DB4937">
        <w:rPr>
          <w:rFonts w:ascii="Arial" w:hAnsi="Arial" w:cs="Arial"/>
          <w:sz w:val="24"/>
          <w:szCs w:val="24"/>
          <w:lang w:val="en-GB"/>
        </w:rPr>
        <w:t>Accounting Rate of Return (ARR)</w:t>
      </w:r>
      <w:bookmarkEnd w:id="25"/>
    </w:p>
    <w:p w14:paraId="7C7CF85E" w14:textId="7777777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ARR is the average accounting profit against average investment and an accounting aspect that indicates reported profitability as opposed to cash generated.</w:t>
      </w:r>
    </w:p>
    <w:tbl>
      <w:tblPr>
        <w:tblStyle w:val="PlainTable1"/>
        <w:tblW w:w="0" w:type="auto"/>
        <w:jc w:val="center"/>
        <w:tblLook w:val="04A0" w:firstRow="1" w:lastRow="0" w:firstColumn="1" w:lastColumn="0" w:noHBand="0" w:noVBand="1"/>
      </w:tblPr>
      <w:tblGrid>
        <w:gridCol w:w="1030"/>
        <w:gridCol w:w="736"/>
        <w:gridCol w:w="4916"/>
      </w:tblGrid>
      <w:tr w:rsidR="002630CC" w:rsidRPr="00DB4937" w14:paraId="0C7FB3BD" w14:textId="77777777" w:rsidTr="009355E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05632F"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Project</w:t>
            </w:r>
          </w:p>
        </w:tc>
        <w:tc>
          <w:tcPr>
            <w:tcW w:w="0" w:type="auto"/>
            <w:hideMark/>
          </w:tcPr>
          <w:p w14:paraId="4BBAEAE6"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ARR</w:t>
            </w:r>
          </w:p>
        </w:tc>
        <w:tc>
          <w:tcPr>
            <w:tcW w:w="0" w:type="auto"/>
            <w:hideMark/>
          </w:tcPr>
          <w:p w14:paraId="5CD257D0"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Formula</w:t>
            </w:r>
          </w:p>
        </w:tc>
      </w:tr>
      <w:tr w:rsidR="002630CC" w:rsidRPr="00DB4937" w14:paraId="4488C0FD"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1EFFBA"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A</w:t>
            </w:r>
          </w:p>
        </w:tc>
        <w:tc>
          <w:tcPr>
            <w:tcW w:w="0" w:type="auto"/>
            <w:hideMark/>
          </w:tcPr>
          <w:p w14:paraId="3245408A"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14%</w:t>
            </w:r>
          </w:p>
        </w:tc>
        <w:tc>
          <w:tcPr>
            <w:tcW w:w="0" w:type="auto"/>
            <w:hideMark/>
          </w:tcPr>
          <w:p w14:paraId="25C9A9ED"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Average Annual Profit ÷ Average Investment</w:t>
            </w:r>
          </w:p>
        </w:tc>
      </w:tr>
      <w:tr w:rsidR="002630CC" w:rsidRPr="00DB4937" w14:paraId="4414250B" w14:textId="77777777" w:rsidTr="009355E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608639"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B</w:t>
            </w:r>
          </w:p>
        </w:tc>
        <w:tc>
          <w:tcPr>
            <w:tcW w:w="0" w:type="auto"/>
            <w:hideMark/>
          </w:tcPr>
          <w:p w14:paraId="0B0A0A28"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0%</w:t>
            </w:r>
          </w:p>
        </w:tc>
        <w:tc>
          <w:tcPr>
            <w:tcW w:w="0" w:type="auto"/>
            <w:hideMark/>
          </w:tcPr>
          <w:p w14:paraId="1B346505"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Average Annual Profit ÷ Average Investment</w:t>
            </w:r>
          </w:p>
        </w:tc>
      </w:tr>
      <w:tr w:rsidR="002630CC" w:rsidRPr="00DB4937" w14:paraId="4888869F"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DDE1A0"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C</w:t>
            </w:r>
          </w:p>
        </w:tc>
        <w:tc>
          <w:tcPr>
            <w:tcW w:w="0" w:type="auto"/>
            <w:hideMark/>
          </w:tcPr>
          <w:p w14:paraId="02258DAC"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20%</w:t>
            </w:r>
          </w:p>
        </w:tc>
        <w:tc>
          <w:tcPr>
            <w:tcW w:w="0" w:type="auto"/>
            <w:hideMark/>
          </w:tcPr>
          <w:p w14:paraId="75B8AB17"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Average Annual Profit ÷ Average Investment</w:t>
            </w:r>
          </w:p>
        </w:tc>
      </w:tr>
    </w:tbl>
    <w:p w14:paraId="67827EDF" w14:textId="35D1D061" w:rsidR="007934B6" w:rsidRPr="00DB4937" w:rsidRDefault="007934B6" w:rsidP="009355E0">
      <w:pPr>
        <w:spacing w:line="360" w:lineRule="auto"/>
        <w:jc w:val="both"/>
        <w:rPr>
          <w:rFonts w:ascii="Arial" w:hAnsi="Arial" w:cs="Arial"/>
          <w:lang w:val="en-GB"/>
        </w:rPr>
      </w:pPr>
      <w:r w:rsidRPr="00DB4937">
        <w:rPr>
          <w:rFonts w:ascii="Arial" w:hAnsi="Arial" w:cs="Arial"/>
          <w:lang w:val="en-GB"/>
        </w:rPr>
        <w:t>Project C has the leading accounting return, as it has huge profits later in the years. Project A yields a moderate ARR, and Project B actually breaks even such that it has no accounting payback on invested capital</w:t>
      </w:r>
      <w:r w:rsidR="00C271A4" w:rsidRPr="00DB4937">
        <w:rPr>
          <w:rFonts w:ascii="Arial" w:hAnsi="Arial" w:cs="Arial"/>
          <w:lang w:val="en-GB"/>
        </w:rPr>
        <w:t xml:space="preserve"> (Li et al., 2022)</w:t>
      </w:r>
      <w:r w:rsidRPr="00DB4937">
        <w:rPr>
          <w:rFonts w:ascii="Arial" w:hAnsi="Arial" w:cs="Arial"/>
          <w:lang w:val="en-GB"/>
        </w:rPr>
        <w:t>. With the General Electronics company losing its previously profitable returns to equity and its recent net losses, it is better to pursue the one that has better accounting profitability to help the company recuperate its earnings and regain investor confidence.</w:t>
      </w:r>
    </w:p>
    <w:p w14:paraId="144A2FB8" w14:textId="77777777" w:rsidR="007934B6" w:rsidRPr="00DB4937" w:rsidRDefault="007934B6" w:rsidP="009355E0">
      <w:pPr>
        <w:pStyle w:val="Heading3"/>
        <w:rPr>
          <w:rFonts w:ascii="Arial" w:hAnsi="Arial" w:cs="Arial"/>
          <w:sz w:val="24"/>
          <w:szCs w:val="24"/>
          <w:lang w:val="en-GB"/>
        </w:rPr>
      </w:pPr>
      <w:bookmarkStart w:id="26" w:name="_Toc217237307"/>
      <w:r w:rsidRPr="00DB4937">
        <w:rPr>
          <w:rFonts w:ascii="Arial" w:hAnsi="Arial" w:cs="Arial"/>
          <w:sz w:val="24"/>
          <w:szCs w:val="24"/>
          <w:lang w:val="en-GB"/>
        </w:rPr>
        <w:lastRenderedPageBreak/>
        <w:t>NPV and Profitability Index (PI)</w:t>
      </w:r>
      <w:bookmarkEnd w:id="26"/>
    </w:p>
    <w:p w14:paraId="7D155F3C" w14:textId="3F7F6033"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NPV is the main value-based method of capital investment appraisal within the scale of evaluation, which is an evaluation of absolute growth in shareholder wealth obtained by a project, taking into consideration the time value of money</w:t>
      </w:r>
      <w:r w:rsidR="00C271A4" w:rsidRPr="00DB4937">
        <w:rPr>
          <w:rFonts w:ascii="Arial" w:hAnsi="Arial" w:cs="Arial"/>
          <w:lang w:val="en-GB"/>
        </w:rPr>
        <w:t xml:space="preserve"> (Huang et al., 2022)</w:t>
      </w:r>
      <w:r w:rsidRPr="00DB4937">
        <w:rPr>
          <w:rFonts w:ascii="Arial" w:hAnsi="Arial" w:cs="Arial"/>
          <w:lang w:val="en-GB"/>
        </w:rPr>
        <w:t>. The Profitability Index is an addition to NPV to represent the value creation per pound invested, as it is especially applicable in the event of capital rationing.</w:t>
      </w:r>
    </w:p>
    <w:tbl>
      <w:tblPr>
        <w:tblStyle w:val="PlainTable1"/>
        <w:tblW w:w="0" w:type="auto"/>
        <w:jc w:val="center"/>
        <w:tblLook w:val="04A0" w:firstRow="1" w:lastRow="0" w:firstColumn="1" w:lastColumn="0" w:noHBand="0" w:noVBand="1"/>
      </w:tblPr>
      <w:tblGrid>
        <w:gridCol w:w="1030"/>
        <w:gridCol w:w="1283"/>
        <w:gridCol w:w="2230"/>
        <w:gridCol w:w="2776"/>
      </w:tblGrid>
      <w:tr w:rsidR="002630CC" w:rsidRPr="00DB4937" w14:paraId="51474858" w14:textId="77777777" w:rsidTr="009355E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8D07D2"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Project</w:t>
            </w:r>
          </w:p>
        </w:tc>
        <w:tc>
          <w:tcPr>
            <w:tcW w:w="0" w:type="auto"/>
            <w:hideMark/>
          </w:tcPr>
          <w:p w14:paraId="3571D855"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NPV (£m)</w:t>
            </w:r>
          </w:p>
        </w:tc>
        <w:tc>
          <w:tcPr>
            <w:tcW w:w="0" w:type="auto"/>
            <w:hideMark/>
          </w:tcPr>
          <w:p w14:paraId="6B8514EF"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Profitability Index</w:t>
            </w:r>
          </w:p>
        </w:tc>
        <w:tc>
          <w:tcPr>
            <w:tcW w:w="0" w:type="auto"/>
            <w:hideMark/>
          </w:tcPr>
          <w:p w14:paraId="6B810FC7"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Formula</w:t>
            </w:r>
          </w:p>
        </w:tc>
      </w:tr>
      <w:tr w:rsidR="002630CC" w:rsidRPr="00DB4937" w14:paraId="34843544"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AF25F8"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A</w:t>
            </w:r>
          </w:p>
        </w:tc>
        <w:tc>
          <w:tcPr>
            <w:tcW w:w="0" w:type="auto"/>
            <w:hideMark/>
          </w:tcPr>
          <w:p w14:paraId="7850784D"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1.32</w:t>
            </w:r>
          </w:p>
        </w:tc>
        <w:tc>
          <w:tcPr>
            <w:tcW w:w="0" w:type="auto"/>
            <w:hideMark/>
          </w:tcPr>
          <w:p w14:paraId="422420AD" w14:textId="1E0C57E9"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color w:val="000000"/>
                <w:lang w:val="en-GB"/>
              </w:rPr>
              <w:t>1.03</w:t>
            </w:r>
          </w:p>
        </w:tc>
        <w:tc>
          <w:tcPr>
            <w:tcW w:w="0" w:type="auto"/>
            <w:hideMark/>
          </w:tcPr>
          <w:p w14:paraId="7F066CAD"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NPV ÷ Initial Investment</w:t>
            </w:r>
          </w:p>
        </w:tc>
      </w:tr>
      <w:tr w:rsidR="002630CC" w:rsidRPr="00DB4937" w14:paraId="640FCA87" w14:textId="77777777" w:rsidTr="009355E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FC3477"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B</w:t>
            </w:r>
          </w:p>
        </w:tc>
        <w:tc>
          <w:tcPr>
            <w:tcW w:w="0" w:type="auto"/>
            <w:hideMark/>
          </w:tcPr>
          <w:p w14:paraId="3C758D00"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-7.26</w:t>
            </w:r>
          </w:p>
        </w:tc>
        <w:tc>
          <w:tcPr>
            <w:tcW w:w="0" w:type="auto"/>
            <w:hideMark/>
          </w:tcPr>
          <w:p w14:paraId="04AF15B1" w14:textId="2B60D90E"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color w:val="000000"/>
                <w:lang w:val="en-GB"/>
              </w:rPr>
              <w:t>0.76</w:t>
            </w:r>
          </w:p>
        </w:tc>
        <w:tc>
          <w:tcPr>
            <w:tcW w:w="0" w:type="auto"/>
            <w:hideMark/>
          </w:tcPr>
          <w:p w14:paraId="4BDFCEDD"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NPV ÷ Initial Investment</w:t>
            </w:r>
          </w:p>
        </w:tc>
      </w:tr>
      <w:tr w:rsidR="002630CC" w:rsidRPr="00DB4937" w14:paraId="41F0BD1F"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D97981"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C</w:t>
            </w:r>
          </w:p>
        </w:tc>
        <w:tc>
          <w:tcPr>
            <w:tcW w:w="0" w:type="auto"/>
            <w:hideMark/>
          </w:tcPr>
          <w:p w14:paraId="4E17293F"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4.23</w:t>
            </w:r>
          </w:p>
        </w:tc>
        <w:tc>
          <w:tcPr>
            <w:tcW w:w="0" w:type="auto"/>
            <w:hideMark/>
          </w:tcPr>
          <w:p w14:paraId="6996387D" w14:textId="19CA4ED0"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color w:val="000000"/>
                <w:lang w:val="en-GB"/>
              </w:rPr>
              <w:t>1.08</w:t>
            </w:r>
          </w:p>
        </w:tc>
        <w:tc>
          <w:tcPr>
            <w:tcW w:w="0" w:type="auto"/>
            <w:hideMark/>
          </w:tcPr>
          <w:p w14:paraId="4302151C"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NPV ÷ Initial Investment</w:t>
            </w:r>
          </w:p>
        </w:tc>
      </w:tr>
    </w:tbl>
    <w:p w14:paraId="74CC83CA" w14:textId="0BAE2CCC" w:rsidR="007934B6" w:rsidRPr="00DB4937" w:rsidRDefault="007934B6" w:rsidP="009355E0">
      <w:pPr>
        <w:spacing w:line="360" w:lineRule="auto"/>
        <w:jc w:val="both"/>
        <w:rPr>
          <w:rFonts w:ascii="Arial" w:hAnsi="Arial" w:cs="Arial"/>
          <w:lang w:val="en-GB"/>
        </w:rPr>
      </w:pPr>
      <w:r w:rsidRPr="00DB4937">
        <w:rPr>
          <w:rFonts w:ascii="Arial" w:hAnsi="Arial" w:cs="Arial"/>
          <w:lang w:val="en-GB"/>
        </w:rPr>
        <w:t>Project C provides the best NPV and PI, which implies that it will generate the most absolute and relative shareholder value. Project A creates a low positive NPV, implying a low value creation, whereas Project B kills value, to the extent that its NPV and PI are negative</w:t>
      </w:r>
      <w:r w:rsidR="00C271A4" w:rsidRPr="00DB4937">
        <w:rPr>
          <w:rFonts w:ascii="Arial" w:hAnsi="Arial" w:cs="Arial"/>
          <w:lang w:val="en-GB"/>
        </w:rPr>
        <w:t xml:space="preserve"> (Liu, 2022)</w:t>
      </w:r>
      <w:r w:rsidRPr="00DB4937">
        <w:rPr>
          <w:rFonts w:ascii="Arial" w:hAnsi="Arial" w:cs="Arial"/>
          <w:lang w:val="en-GB"/>
        </w:rPr>
        <w:t>. Since General Electronics suffers a poor financial position, value-devastating projects should not be justifiable, even if he thinks those projects are stable and easy to do.</w:t>
      </w:r>
    </w:p>
    <w:p w14:paraId="64E8D83D" w14:textId="77777777" w:rsidR="007934B6" w:rsidRPr="00DB4937" w:rsidRDefault="007934B6" w:rsidP="009355E0">
      <w:pPr>
        <w:pStyle w:val="Heading3"/>
        <w:rPr>
          <w:rFonts w:ascii="Arial" w:hAnsi="Arial" w:cs="Arial"/>
          <w:sz w:val="24"/>
          <w:szCs w:val="24"/>
          <w:lang w:val="en-GB"/>
        </w:rPr>
      </w:pPr>
      <w:bookmarkStart w:id="27" w:name="_Toc217237308"/>
      <w:r w:rsidRPr="00DB4937">
        <w:rPr>
          <w:rFonts w:ascii="Arial" w:hAnsi="Arial" w:cs="Arial"/>
          <w:sz w:val="24"/>
          <w:szCs w:val="24"/>
          <w:lang w:val="en-GB"/>
        </w:rPr>
        <w:t>Internal Rate of Return (IRR)</w:t>
      </w:r>
      <w:bookmarkEnd w:id="27"/>
    </w:p>
    <w:p w14:paraId="53BC7FBD" w14:textId="7777777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IRR is the discount rate at which NPV is zero and gives the project attractiveness provision in a relative manner.</w:t>
      </w:r>
    </w:p>
    <w:tbl>
      <w:tblPr>
        <w:tblStyle w:val="PlainTable1"/>
        <w:tblW w:w="0" w:type="auto"/>
        <w:jc w:val="center"/>
        <w:tblLook w:val="04A0" w:firstRow="1" w:lastRow="0" w:firstColumn="1" w:lastColumn="0" w:noHBand="0" w:noVBand="1"/>
      </w:tblPr>
      <w:tblGrid>
        <w:gridCol w:w="1030"/>
        <w:gridCol w:w="897"/>
        <w:gridCol w:w="2344"/>
      </w:tblGrid>
      <w:tr w:rsidR="002630CC" w:rsidRPr="00DB4937" w14:paraId="0EBC861F" w14:textId="77777777" w:rsidTr="009355E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62A37B"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Project</w:t>
            </w:r>
          </w:p>
        </w:tc>
        <w:tc>
          <w:tcPr>
            <w:tcW w:w="0" w:type="auto"/>
            <w:hideMark/>
          </w:tcPr>
          <w:p w14:paraId="512685AA"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IRR</w:t>
            </w:r>
          </w:p>
        </w:tc>
        <w:tc>
          <w:tcPr>
            <w:tcW w:w="0" w:type="auto"/>
            <w:hideMark/>
          </w:tcPr>
          <w:p w14:paraId="4DE2BEBF" w14:textId="77777777" w:rsidR="002630CC" w:rsidRPr="00DB4937" w:rsidRDefault="002630CC" w:rsidP="009355E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Decision Rule</w:t>
            </w:r>
          </w:p>
        </w:tc>
      </w:tr>
      <w:tr w:rsidR="002630CC" w:rsidRPr="00DB4937" w14:paraId="5578C8DE"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7219D7"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A</w:t>
            </w:r>
          </w:p>
        </w:tc>
        <w:tc>
          <w:tcPr>
            <w:tcW w:w="0" w:type="auto"/>
            <w:hideMark/>
          </w:tcPr>
          <w:p w14:paraId="4156515B"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11.3%</w:t>
            </w:r>
          </w:p>
        </w:tc>
        <w:tc>
          <w:tcPr>
            <w:tcW w:w="0" w:type="auto"/>
            <w:hideMark/>
          </w:tcPr>
          <w:p w14:paraId="277BDA77"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Accept (IRR &gt; 10%)</w:t>
            </w:r>
          </w:p>
        </w:tc>
      </w:tr>
      <w:tr w:rsidR="002630CC" w:rsidRPr="00DB4937" w14:paraId="08E29036" w14:textId="77777777" w:rsidTr="009355E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ECAFC"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B</w:t>
            </w:r>
          </w:p>
        </w:tc>
        <w:tc>
          <w:tcPr>
            <w:tcW w:w="0" w:type="auto"/>
            <w:hideMark/>
          </w:tcPr>
          <w:p w14:paraId="537DF352"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0.0%</w:t>
            </w:r>
          </w:p>
        </w:tc>
        <w:tc>
          <w:tcPr>
            <w:tcW w:w="0" w:type="auto"/>
            <w:hideMark/>
          </w:tcPr>
          <w:p w14:paraId="21EC7F76" w14:textId="77777777" w:rsidR="002630CC" w:rsidRPr="00DB4937" w:rsidRDefault="002630CC" w:rsidP="009355E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4937">
              <w:rPr>
                <w:rFonts w:ascii="Arial" w:hAnsi="Arial" w:cs="Arial"/>
                <w:lang w:val="en-GB"/>
              </w:rPr>
              <w:t>Reject (IRR &lt; 10%)</w:t>
            </w:r>
          </w:p>
        </w:tc>
      </w:tr>
      <w:tr w:rsidR="002630CC" w:rsidRPr="00DB4937" w14:paraId="5D094FC9" w14:textId="77777777" w:rsidTr="009355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C31FE3" w14:textId="77777777" w:rsidR="002630CC" w:rsidRPr="00DB4937" w:rsidRDefault="002630CC" w:rsidP="009355E0">
            <w:pPr>
              <w:spacing w:after="160" w:line="360" w:lineRule="auto"/>
              <w:jc w:val="both"/>
              <w:rPr>
                <w:rFonts w:ascii="Arial" w:hAnsi="Arial" w:cs="Arial"/>
                <w:lang w:val="en-GB"/>
              </w:rPr>
            </w:pPr>
            <w:r w:rsidRPr="00DB4937">
              <w:rPr>
                <w:rFonts w:ascii="Arial" w:hAnsi="Arial" w:cs="Arial"/>
                <w:lang w:val="en-GB"/>
              </w:rPr>
              <w:t>C</w:t>
            </w:r>
          </w:p>
        </w:tc>
        <w:tc>
          <w:tcPr>
            <w:tcW w:w="0" w:type="auto"/>
            <w:hideMark/>
          </w:tcPr>
          <w:p w14:paraId="36AB311D"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12.7%</w:t>
            </w:r>
          </w:p>
        </w:tc>
        <w:tc>
          <w:tcPr>
            <w:tcW w:w="0" w:type="auto"/>
            <w:hideMark/>
          </w:tcPr>
          <w:p w14:paraId="608803DE" w14:textId="77777777" w:rsidR="002630CC" w:rsidRPr="00DB4937" w:rsidRDefault="002630CC" w:rsidP="009355E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4937">
              <w:rPr>
                <w:rFonts w:ascii="Arial" w:hAnsi="Arial" w:cs="Arial"/>
                <w:lang w:val="en-GB"/>
              </w:rPr>
              <w:t>Accept (IRR &gt; 10%)</w:t>
            </w:r>
          </w:p>
        </w:tc>
      </w:tr>
    </w:tbl>
    <w:p w14:paraId="5F1802A8" w14:textId="7777777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Projects A and C are both above the 10% rate of the firm, whereas Project B gets a resounding failure. Project C once again is better than Project A; it has a larger amount beyond the cost of capital that will protect against the estimation error and economic volatility.</w:t>
      </w:r>
    </w:p>
    <w:p w14:paraId="7C5706B6" w14:textId="77777777" w:rsidR="007934B6" w:rsidRPr="00DB4937" w:rsidRDefault="007934B6" w:rsidP="009355E0">
      <w:pPr>
        <w:pStyle w:val="Heading2"/>
        <w:rPr>
          <w:rFonts w:ascii="Arial" w:hAnsi="Arial" w:cs="Arial"/>
          <w:sz w:val="24"/>
          <w:szCs w:val="24"/>
          <w:lang w:val="en-GB"/>
        </w:rPr>
      </w:pPr>
      <w:bookmarkStart w:id="28" w:name="_Toc217237309"/>
      <w:r w:rsidRPr="00DB4937">
        <w:rPr>
          <w:rFonts w:ascii="Arial" w:hAnsi="Arial" w:cs="Arial"/>
          <w:sz w:val="24"/>
          <w:szCs w:val="24"/>
          <w:lang w:val="en-GB"/>
        </w:rPr>
        <w:lastRenderedPageBreak/>
        <w:t>Capital Rationing and Best Project Choice</w:t>
      </w:r>
      <w:bookmarkEnd w:id="28"/>
    </w:p>
    <w:p w14:paraId="0271ABEF" w14:textId="584E3676" w:rsidR="007934B6" w:rsidRPr="00DB4937" w:rsidRDefault="007934B6" w:rsidP="009355E0">
      <w:pPr>
        <w:spacing w:line="360" w:lineRule="auto"/>
        <w:jc w:val="both"/>
        <w:rPr>
          <w:rFonts w:ascii="Arial" w:hAnsi="Arial" w:cs="Arial"/>
          <w:lang w:val="en-GB"/>
        </w:rPr>
      </w:pPr>
      <w:r w:rsidRPr="00DB4937">
        <w:rPr>
          <w:rFonts w:ascii="Arial" w:hAnsi="Arial" w:cs="Arial"/>
          <w:lang w:val="en-GB"/>
        </w:rPr>
        <w:t>Having the maximum investment capacity of 60 million pounds, General Electronics cannot simultaneously venture into all of its positive NPV projects. The company should thus choose the mix of projects which will result in the optimality of total NPV at the capital constraint</w:t>
      </w:r>
      <w:r w:rsidR="00C271A4" w:rsidRPr="00DB4937">
        <w:rPr>
          <w:rFonts w:ascii="Arial" w:hAnsi="Arial" w:cs="Arial"/>
          <w:lang w:val="en-GB"/>
        </w:rPr>
        <w:t xml:space="preserve"> (Lin, 2023).</w:t>
      </w:r>
      <w:r w:rsidRPr="00DB4937">
        <w:rPr>
          <w:rFonts w:ascii="Arial" w:hAnsi="Arial" w:cs="Arial"/>
          <w:lang w:val="en-GB"/>
        </w:rPr>
        <w:t xml:space="preserve"> Project C takes an initial capital of £50 million and yields a Net Present Value of 4.23 million, and it does not have enough money to finish it in time and start up with Project A. Project A alone in turn implies a requirement on the part of the former of 40 million pounds of money and a value of 1.32 million pounds of NPV and a value-destructive investment; hence, combining Projects A and B to 70 million pounds of money would not be feasible, and combining Projects B and C to 80 million pounds of money would not be feasible.</w:t>
      </w:r>
    </w:p>
    <w:p w14:paraId="5DDD8FBE" w14:textId="7777777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best decision will then be to take Project C on its own, under capital rationing. This alternative offers the maximum NPV within the constraint of 60M and has the highest degree of profitability among other viable alternatives. The marginal value created is not high enough to counter the high long-term value that is created by Project C, although Project A has a faster payback.</w:t>
      </w:r>
    </w:p>
    <w:p w14:paraId="17E05467" w14:textId="77777777" w:rsidR="007934B6" w:rsidRPr="00DB4937" w:rsidRDefault="007934B6" w:rsidP="009355E0">
      <w:pPr>
        <w:pStyle w:val="Heading2"/>
        <w:rPr>
          <w:rFonts w:ascii="Arial" w:hAnsi="Arial" w:cs="Arial"/>
          <w:sz w:val="24"/>
          <w:szCs w:val="24"/>
          <w:lang w:val="en-GB"/>
        </w:rPr>
      </w:pPr>
      <w:bookmarkStart w:id="29" w:name="_Toc217237310"/>
      <w:r w:rsidRPr="00DB4937">
        <w:rPr>
          <w:rFonts w:ascii="Arial" w:hAnsi="Arial" w:cs="Arial"/>
          <w:sz w:val="24"/>
          <w:szCs w:val="24"/>
          <w:lang w:val="en-GB"/>
        </w:rPr>
        <w:t>Risk Characteristics and Financial Fit</w:t>
      </w:r>
      <w:bookmarkEnd w:id="29"/>
    </w:p>
    <w:p w14:paraId="1412BEE0" w14:textId="1934E91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The nature of project risks should be assessed, and quantitative measures of the project risks considered, especially with the weakened liquidity and profitability of General Electronics. Project C is more volatile in terms of cash flows, with the most inflows in years three and four. This exposes one to forecasting risk and economic recessions</w:t>
      </w:r>
      <w:r w:rsidR="00C271A4" w:rsidRPr="00DB4937">
        <w:rPr>
          <w:rFonts w:ascii="Arial" w:hAnsi="Arial" w:cs="Arial"/>
          <w:lang w:val="en-GB"/>
        </w:rPr>
        <w:t xml:space="preserve"> (Yunus and Lukum, 2021)</w:t>
      </w:r>
      <w:r w:rsidRPr="00DB4937">
        <w:rPr>
          <w:rFonts w:ascii="Arial" w:hAnsi="Arial" w:cs="Arial"/>
          <w:lang w:val="en-GB"/>
        </w:rPr>
        <w:t>. Nevertheless, the recent focus of the firm on restructuring and enhancing working capital discipline indicates that the liquidity pressures can be put under control in the short term, provided that Project C will be financed without an excessive number of short-term loans.</w:t>
      </w:r>
    </w:p>
    <w:p w14:paraId="2E31477B" w14:textId="26AACB19" w:rsidR="007934B6" w:rsidRPr="00DB4937" w:rsidRDefault="007934B6" w:rsidP="009355E0">
      <w:pPr>
        <w:spacing w:line="360" w:lineRule="auto"/>
        <w:jc w:val="both"/>
        <w:rPr>
          <w:rFonts w:ascii="Arial" w:hAnsi="Arial" w:cs="Arial"/>
          <w:lang w:val="en-GB"/>
        </w:rPr>
      </w:pPr>
      <w:r w:rsidRPr="00DB4937">
        <w:rPr>
          <w:rFonts w:ascii="Arial" w:hAnsi="Arial" w:cs="Arial"/>
          <w:lang w:val="en-GB"/>
        </w:rPr>
        <w:t>Project A has more stable and earlier cash flows, which are easier to alleviate the needs of preserving liquidity. Nevertheless, it has less NPV and PI, which shows it has little strategic potential</w:t>
      </w:r>
      <w:r w:rsidR="00C271A4" w:rsidRPr="00DB4937">
        <w:rPr>
          <w:rFonts w:ascii="Arial" w:hAnsi="Arial" w:cs="Arial"/>
          <w:lang w:val="en-GB"/>
        </w:rPr>
        <w:t xml:space="preserve"> (Sneps-Sneppe, 2023)</w:t>
      </w:r>
      <w:r w:rsidRPr="00DB4937">
        <w:rPr>
          <w:rFonts w:ascii="Arial" w:hAnsi="Arial" w:cs="Arial"/>
          <w:lang w:val="en-GB"/>
        </w:rPr>
        <w:t>. Conversely, the homogeneous cash flows of Project B are low risk but incapable of covering the cost of capital, which is contrary to the situation needed by the firm to restore its shareholder value and enhance returns on invested capital.</w:t>
      </w:r>
    </w:p>
    <w:p w14:paraId="339004B0" w14:textId="7A5B8CDB" w:rsidR="007934B6" w:rsidRPr="00DB4937" w:rsidRDefault="007934B6" w:rsidP="009355E0">
      <w:pPr>
        <w:spacing w:line="360" w:lineRule="auto"/>
        <w:jc w:val="both"/>
        <w:rPr>
          <w:rFonts w:ascii="Arial" w:hAnsi="Arial" w:cs="Arial"/>
          <w:lang w:val="en-GB"/>
        </w:rPr>
      </w:pPr>
      <w:r w:rsidRPr="00DB4937">
        <w:rPr>
          <w:rFonts w:ascii="Arial" w:hAnsi="Arial" w:cs="Arial"/>
          <w:lang w:val="en-GB"/>
        </w:rPr>
        <w:lastRenderedPageBreak/>
        <w:t>Financially, in terms of performance, General Electronics has been a victim of a drop in margins and deteriorated returns on assets. The greater NPV and ARR of project C offer the best opportunity to turn these trends around in order to make significant contributions towards the recovery of profitability</w:t>
      </w:r>
      <w:r w:rsidR="00C271A4" w:rsidRPr="00DB4937">
        <w:rPr>
          <w:rFonts w:ascii="Arial" w:hAnsi="Arial" w:cs="Arial"/>
          <w:lang w:val="en-GB"/>
        </w:rPr>
        <w:t xml:space="preserve"> (Dai et al., 2022)</w:t>
      </w:r>
      <w:r w:rsidRPr="00DB4937">
        <w:rPr>
          <w:rFonts w:ascii="Arial" w:hAnsi="Arial" w:cs="Arial"/>
          <w:lang w:val="en-GB"/>
        </w:rPr>
        <w:t>. In addition, the cash inflow of the project in the latter phases can even coincide with the stabilisation phase of the larger turnaround strategy of the firm, enhancing its strategic alignment.</w:t>
      </w:r>
    </w:p>
    <w:p w14:paraId="3710A6F5" w14:textId="77777777" w:rsidR="007934B6" w:rsidRPr="00DB4937" w:rsidRDefault="007934B6" w:rsidP="009355E0">
      <w:pPr>
        <w:pStyle w:val="Heading2"/>
        <w:rPr>
          <w:rFonts w:ascii="Arial" w:hAnsi="Arial" w:cs="Arial"/>
          <w:sz w:val="24"/>
          <w:szCs w:val="24"/>
          <w:lang w:val="en-GB"/>
        </w:rPr>
      </w:pPr>
      <w:bookmarkStart w:id="30" w:name="_Toc217237311"/>
      <w:r w:rsidRPr="00DB4937">
        <w:rPr>
          <w:rFonts w:ascii="Arial" w:hAnsi="Arial" w:cs="Arial"/>
          <w:sz w:val="24"/>
          <w:szCs w:val="24"/>
          <w:lang w:val="en-GB"/>
        </w:rPr>
        <w:t>Strategic Investment Recommendation</w:t>
      </w:r>
      <w:bookmarkEnd w:id="30"/>
    </w:p>
    <w:p w14:paraId="14E1E8BD" w14:textId="5C00FF6B" w:rsidR="007934B6" w:rsidRPr="00DB4937" w:rsidRDefault="007934B6" w:rsidP="009355E0">
      <w:pPr>
        <w:spacing w:line="360" w:lineRule="auto"/>
        <w:jc w:val="both"/>
        <w:rPr>
          <w:rFonts w:ascii="Arial" w:hAnsi="Arial" w:cs="Arial"/>
          <w:lang w:val="en-GB"/>
        </w:rPr>
      </w:pPr>
      <w:r w:rsidRPr="00DB4937">
        <w:rPr>
          <w:rFonts w:ascii="Arial" w:hAnsi="Arial" w:cs="Arial"/>
          <w:lang w:val="en-GB"/>
        </w:rPr>
        <w:t>Given that General Electronics is an entity with a limited capital base, poor profitability and high cost of capital, investment decisions need to be rigorous, value-oriented and well-applied towards the long-term recovery targets</w:t>
      </w:r>
      <w:r w:rsidR="00C271A4" w:rsidRPr="00DB4937">
        <w:rPr>
          <w:rFonts w:ascii="Arial" w:hAnsi="Arial" w:cs="Arial"/>
          <w:lang w:val="en-GB"/>
        </w:rPr>
        <w:t xml:space="preserve"> (Lidia, 2020)</w:t>
      </w:r>
      <w:r w:rsidRPr="00DB4937">
        <w:rPr>
          <w:rFonts w:ascii="Arial" w:hAnsi="Arial" w:cs="Arial"/>
          <w:lang w:val="en-GB"/>
        </w:rPr>
        <w:t xml:space="preserve">. The quantitative appraisal outcomes have </w:t>
      </w:r>
      <w:r w:rsidR="00982E1A" w:rsidRPr="00DB4937">
        <w:rPr>
          <w:rFonts w:ascii="Arial" w:hAnsi="Arial" w:cs="Arial"/>
          <w:lang w:val="en-GB"/>
        </w:rPr>
        <w:t>mainstream</w:t>
      </w:r>
      <w:r w:rsidRPr="00DB4937">
        <w:rPr>
          <w:rFonts w:ascii="Arial" w:hAnsi="Arial" w:cs="Arial"/>
          <w:lang w:val="en-GB"/>
        </w:rPr>
        <w:t xml:space="preserve"> rated Project C as the most preferred project based on NPV, PI, IRR and ARR tests, even though it has a higher start-up capital and a demonstrated fluctuation in its cash flows. On capital rationing, Project C will be the best utilisation of limited capital to maximise the shareholder value, but not exceed the capital limit of 60 million.</w:t>
      </w:r>
    </w:p>
    <w:p w14:paraId="39AA4512" w14:textId="77777777" w:rsidR="007934B6" w:rsidRPr="00DB4937" w:rsidRDefault="007934B6" w:rsidP="009355E0">
      <w:pPr>
        <w:spacing w:line="360" w:lineRule="auto"/>
        <w:jc w:val="both"/>
        <w:rPr>
          <w:rFonts w:ascii="Arial" w:hAnsi="Arial" w:cs="Arial"/>
          <w:lang w:val="en-GB"/>
        </w:rPr>
      </w:pPr>
      <w:r w:rsidRPr="00DB4937">
        <w:rPr>
          <w:rFonts w:ascii="Arial" w:hAnsi="Arial" w:cs="Arial"/>
          <w:lang w:val="en-GB"/>
        </w:rPr>
        <w:t>Project A can only be seen as a second choice in case the risk is extremely low or in case the liquidity situation becomes worse. Project B is unanimously not to be acquired because it does not correspond to minimum financial performance levels and would only increase the value erosion in an already financially strained organisation.</w:t>
      </w:r>
    </w:p>
    <w:p w14:paraId="41545613" w14:textId="77777777" w:rsidR="009355E0" w:rsidRPr="00DB4937" w:rsidRDefault="009355E0">
      <w:pPr>
        <w:rPr>
          <w:rFonts w:ascii="Arial" w:hAnsi="Arial" w:cs="Arial"/>
          <w:lang w:val="en-GB"/>
        </w:rPr>
      </w:pPr>
      <w:r w:rsidRPr="00DB4937">
        <w:rPr>
          <w:rFonts w:ascii="Arial" w:hAnsi="Arial" w:cs="Arial"/>
          <w:lang w:val="en-GB"/>
        </w:rPr>
        <w:br w:type="page"/>
      </w:r>
    </w:p>
    <w:p w14:paraId="54289609" w14:textId="58C965D4" w:rsidR="007934B6" w:rsidRPr="00DB4937" w:rsidRDefault="007934B6" w:rsidP="009355E0">
      <w:pPr>
        <w:pStyle w:val="Heading1"/>
        <w:rPr>
          <w:rFonts w:ascii="Arial" w:hAnsi="Arial" w:cs="Arial"/>
          <w:sz w:val="24"/>
          <w:szCs w:val="24"/>
          <w:lang w:val="en-GB"/>
        </w:rPr>
      </w:pPr>
      <w:bookmarkStart w:id="31" w:name="_Toc217237312"/>
      <w:r w:rsidRPr="00DB4937">
        <w:rPr>
          <w:rFonts w:ascii="Arial" w:hAnsi="Arial" w:cs="Arial"/>
          <w:sz w:val="24"/>
          <w:szCs w:val="24"/>
          <w:lang w:val="en-GB"/>
        </w:rPr>
        <w:lastRenderedPageBreak/>
        <w:t>Conclusion</w:t>
      </w:r>
      <w:bookmarkEnd w:id="31"/>
    </w:p>
    <w:p w14:paraId="6FAD2F97" w14:textId="01C104D1" w:rsidR="002630CC" w:rsidRPr="00DB4937" w:rsidRDefault="009355E0" w:rsidP="009355E0">
      <w:pPr>
        <w:spacing w:line="360" w:lineRule="auto"/>
        <w:jc w:val="both"/>
        <w:rPr>
          <w:rFonts w:ascii="Arial" w:hAnsi="Arial" w:cs="Arial"/>
          <w:lang w:val="en-GB"/>
        </w:rPr>
      </w:pPr>
      <w:r w:rsidRPr="00DB4937">
        <w:rPr>
          <w:rFonts w:ascii="Arial" w:hAnsi="Arial" w:cs="Arial"/>
          <w:lang w:val="en-GB"/>
        </w:rPr>
        <w:t>In conclusion,</w:t>
      </w:r>
      <w:r w:rsidR="007934B6" w:rsidRPr="00DB4937">
        <w:rPr>
          <w:rFonts w:ascii="Arial" w:hAnsi="Arial" w:cs="Arial"/>
          <w:lang w:val="en-GB"/>
        </w:rPr>
        <w:t xml:space="preserve"> General Electronics is experiencing endemic structural problems, but not a cyclical weakness. The relentless decrease in revenues, decrease in the margin, diminished liquidity, and increase in leverage have significantly exposed financial distress risk, which is attested by the trend in ratios and the Altman Z-Score. Although the company is still viable in terms of its operational capacity and strategic capabilities, it needs blunt financial restructuring, strict control of its working capital, and careful choice of capital investment to clean up before it gets back on its feet. Capital rationing has value-based investment appraisal, which helps to prioritise projects that have high NPV and strategic fit. A balance between financial discipline and ethical, internationally consistent decision-making will be the key to sustainable recovery.</w:t>
      </w:r>
    </w:p>
    <w:p w14:paraId="76F4C511" w14:textId="77777777" w:rsidR="007934B6" w:rsidRPr="00DB4937" w:rsidRDefault="007934B6" w:rsidP="009355E0">
      <w:pPr>
        <w:spacing w:line="360" w:lineRule="auto"/>
        <w:jc w:val="both"/>
        <w:rPr>
          <w:rFonts w:ascii="Arial" w:hAnsi="Arial" w:cs="Arial"/>
          <w:lang w:val="en-GB"/>
        </w:rPr>
      </w:pPr>
    </w:p>
    <w:p w14:paraId="535738EF" w14:textId="77777777" w:rsidR="007934B6" w:rsidRPr="00DB4937" w:rsidRDefault="007934B6" w:rsidP="009355E0">
      <w:pPr>
        <w:spacing w:line="360" w:lineRule="auto"/>
        <w:jc w:val="both"/>
        <w:rPr>
          <w:rFonts w:ascii="Arial" w:hAnsi="Arial" w:cs="Arial"/>
          <w:lang w:val="en-GB"/>
        </w:rPr>
      </w:pPr>
    </w:p>
    <w:p w14:paraId="5CC033F7" w14:textId="77777777" w:rsidR="009355E0" w:rsidRPr="00DB4937" w:rsidRDefault="009355E0">
      <w:pPr>
        <w:rPr>
          <w:rFonts w:ascii="Arial" w:hAnsi="Arial" w:cs="Arial"/>
          <w:lang w:val="en-GB"/>
        </w:rPr>
      </w:pPr>
      <w:r w:rsidRPr="00DB4937">
        <w:rPr>
          <w:rFonts w:ascii="Arial" w:hAnsi="Arial" w:cs="Arial"/>
          <w:lang w:val="en-GB"/>
        </w:rPr>
        <w:br w:type="page"/>
      </w:r>
    </w:p>
    <w:p w14:paraId="542D3F89" w14:textId="64E26817" w:rsidR="007934B6" w:rsidRPr="00DB4937" w:rsidRDefault="007934B6" w:rsidP="009355E0">
      <w:pPr>
        <w:pStyle w:val="Heading1"/>
        <w:rPr>
          <w:rFonts w:ascii="Arial" w:hAnsi="Arial" w:cs="Arial"/>
          <w:sz w:val="24"/>
          <w:szCs w:val="24"/>
          <w:lang w:val="en-GB"/>
        </w:rPr>
      </w:pPr>
      <w:bookmarkStart w:id="32" w:name="_Toc217237313"/>
      <w:r w:rsidRPr="00DB4937">
        <w:rPr>
          <w:rFonts w:ascii="Arial" w:hAnsi="Arial" w:cs="Arial"/>
          <w:sz w:val="24"/>
          <w:szCs w:val="24"/>
          <w:lang w:val="en-GB"/>
        </w:rPr>
        <w:lastRenderedPageBreak/>
        <w:t>References</w:t>
      </w:r>
      <w:bookmarkEnd w:id="32"/>
    </w:p>
    <w:p w14:paraId="7D0D7D2A"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Blessing, H. and Sakouvogui, G., 2023. Impact of liquidity and solvency ratios on financial performance: a comprehensive analysis. </w:t>
      </w:r>
      <w:r w:rsidRPr="00DB4937">
        <w:rPr>
          <w:rFonts w:ascii="Arial" w:hAnsi="Arial" w:cs="Arial"/>
          <w:i/>
          <w:iCs/>
          <w:lang w:val="en-GB"/>
        </w:rPr>
        <w:t>Indonesia Auditing Research Journal</w:t>
      </w:r>
      <w:r w:rsidRPr="00DB4937">
        <w:rPr>
          <w:rFonts w:ascii="Arial" w:hAnsi="Arial" w:cs="Arial"/>
          <w:lang w:val="en-GB"/>
        </w:rPr>
        <w:t>, </w:t>
      </w:r>
      <w:r w:rsidRPr="00DB4937">
        <w:rPr>
          <w:rFonts w:ascii="Arial" w:hAnsi="Arial" w:cs="Arial"/>
          <w:i/>
          <w:iCs/>
          <w:lang w:val="en-GB"/>
        </w:rPr>
        <w:t>12</w:t>
      </w:r>
      <w:r w:rsidRPr="00DB4937">
        <w:rPr>
          <w:rFonts w:ascii="Arial" w:hAnsi="Arial" w:cs="Arial"/>
          <w:lang w:val="en-GB"/>
        </w:rPr>
        <w:t>(3), pp.102-115.</w:t>
      </w:r>
    </w:p>
    <w:p w14:paraId="0987A3C1"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Dai, H., Li, N., Wang, Y. and Zhao, X., 2022, March. The analysis of three main investment criteria: NPV IRR and payback period. In </w:t>
      </w:r>
      <w:r w:rsidRPr="00DB4937">
        <w:rPr>
          <w:rFonts w:ascii="Arial" w:hAnsi="Arial" w:cs="Arial"/>
          <w:i/>
          <w:iCs/>
          <w:lang w:val="en-GB"/>
        </w:rPr>
        <w:t>2022 7th International Conference on Financial Innovation and Economic Development (ICFIED 2022)</w:t>
      </w:r>
      <w:r w:rsidRPr="00DB4937">
        <w:rPr>
          <w:rFonts w:ascii="Arial" w:hAnsi="Arial" w:cs="Arial"/>
          <w:lang w:val="en-GB"/>
        </w:rPr>
        <w:t> (pp. 185-189). Atlantis Press.</w:t>
      </w:r>
    </w:p>
    <w:p w14:paraId="33A1E161"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Ginting, E.S., 2021. Ratio-Based Financial Performance Analysis of PT. Mustika Ratu, Tbk. </w:t>
      </w:r>
      <w:r w:rsidRPr="00DB4937">
        <w:rPr>
          <w:rFonts w:ascii="Arial" w:hAnsi="Arial" w:cs="Arial"/>
          <w:i/>
          <w:iCs/>
          <w:lang w:val="en-GB"/>
        </w:rPr>
        <w:t>Enrichment: Journal of Management</w:t>
      </w:r>
      <w:r w:rsidRPr="00DB4937">
        <w:rPr>
          <w:rFonts w:ascii="Arial" w:hAnsi="Arial" w:cs="Arial"/>
          <w:lang w:val="en-GB"/>
        </w:rPr>
        <w:t>, </w:t>
      </w:r>
      <w:r w:rsidRPr="00DB4937">
        <w:rPr>
          <w:rFonts w:ascii="Arial" w:hAnsi="Arial" w:cs="Arial"/>
          <w:i/>
          <w:iCs/>
          <w:lang w:val="en-GB"/>
        </w:rPr>
        <w:t>11</w:t>
      </w:r>
      <w:r w:rsidRPr="00DB4937">
        <w:rPr>
          <w:rFonts w:ascii="Arial" w:hAnsi="Arial" w:cs="Arial"/>
          <w:lang w:val="en-GB"/>
        </w:rPr>
        <w:t>(2), pp.456-462.</w:t>
      </w:r>
    </w:p>
    <w:p w14:paraId="64501DE7"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Huang, J., Tong, J., Wang, P. and Zheng, X., 2022, March. Application and comparison of NPV and IRR methods in the company investment decision. In </w:t>
      </w:r>
      <w:r w:rsidRPr="00DB4937">
        <w:rPr>
          <w:rFonts w:ascii="Arial" w:hAnsi="Arial" w:cs="Arial"/>
          <w:i/>
          <w:iCs/>
          <w:lang w:val="en-GB"/>
        </w:rPr>
        <w:t>2022 7th International Conference on Financial Innovation and Economic Development (ICFIED 2022)</w:t>
      </w:r>
      <w:r w:rsidRPr="00DB4937">
        <w:rPr>
          <w:rFonts w:ascii="Arial" w:hAnsi="Arial" w:cs="Arial"/>
          <w:lang w:val="en-GB"/>
        </w:rPr>
        <w:t> (pp. 71-78). Atlantis Press.</w:t>
      </w:r>
    </w:p>
    <w:p w14:paraId="709814AF"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Irma Christiana, S.E., 2020. Financial ratio in the analysis of earnings management. </w:t>
      </w:r>
      <w:r w:rsidRPr="00DB4937">
        <w:rPr>
          <w:rFonts w:ascii="Arial" w:hAnsi="Arial" w:cs="Arial"/>
          <w:i/>
          <w:iCs/>
          <w:lang w:val="en-GB"/>
        </w:rPr>
        <w:t>International Journal of Accounting &amp; Finance in Asia Pasific</w:t>
      </w:r>
      <w:r w:rsidRPr="00DB4937">
        <w:rPr>
          <w:rFonts w:ascii="Arial" w:hAnsi="Arial" w:cs="Arial"/>
          <w:lang w:val="en-GB"/>
        </w:rPr>
        <w:t>.</w:t>
      </w:r>
    </w:p>
    <w:p w14:paraId="155E81C0"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Jung, H., Kwon, Y.D. and Noh, J.W., 2022. Financial burden of catastrophic health expenditure on households with chronic diseases: financial ratio analysis. </w:t>
      </w:r>
      <w:r w:rsidRPr="00DB4937">
        <w:rPr>
          <w:rFonts w:ascii="Arial" w:hAnsi="Arial" w:cs="Arial"/>
          <w:i/>
          <w:iCs/>
          <w:lang w:val="en-GB"/>
        </w:rPr>
        <w:t>BMC health services research</w:t>
      </w:r>
      <w:r w:rsidRPr="00DB4937">
        <w:rPr>
          <w:rFonts w:ascii="Arial" w:hAnsi="Arial" w:cs="Arial"/>
          <w:lang w:val="en-GB"/>
        </w:rPr>
        <w:t>, </w:t>
      </w:r>
      <w:r w:rsidRPr="00DB4937">
        <w:rPr>
          <w:rFonts w:ascii="Arial" w:hAnsi="Arial" w:cs="Arial"/>
          <w:i/>
          <w:iCs/>
          <w:lang w:val="en-GB"/>
        </w:rPr>
        <w:t>22</w:t>
      </w:r>
      <w:r w:rsidRPr="00DB4937">
        <w:rPr>
          <w:rFonts w:ascii="Arial" w:hAnsi="Arial" w:cs="Arial"/>
          <w:lang w:val="en-GB"/>
        </w:rPr>
        <w:t>(1), p.568.</w:t>
      </w:r>
    </w:p>
    <w:p w14:paraId="65A4661C"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Li, Q., Li, Q., Xu, D. and Zhou, S., 2022, March. A Systematic Literature Review on the Traditional NPV Model and Its Improved Versions. In </w:t>
      </w:r>
      <w:r w:rsidRPr="00DB4937">
        <w:rPr>
          <w:rFonts w:ascii="Arial" w:hAnsi="Arial" w:cs="Arial"/>
          <w:i/>
          <w:iCs/>
          <w:lang w:val="en-GB"/>
        </w:rPr>
        <w:t>2022 7th International Conference on Financial Innovation and Economic Development (ICFIED 2022)</w:t>
      </w:r>
      <w:r w:rsidRPr="00DB4937">
        <w:rPr>
          <w:rFonts w:ascii="Arial" w:hAnsi="Arial" w:cs="Arial"/>
          <w:lang w:val="en-GB"/>
        </w:rPr>
        <w:t> (pp. 2487-2492). Atlantis Press.</w:t>
      </w:r>
    </w:p>
    <w:p w14:paraId="6EEE2553"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Li, X., 2025, August. NPV vs. IRR: Comparison of Pros and Cons in Investment Decisions. In </w:t>
      </w:r>
      <w:r w:rsidRPr="00DB4937">
        <w:rPr>
          <w:rFonts w:ascii="Arial" w:hAnsi="Arial" w:cs="Arial"/>
          <w:i/>
          <w:iCs/>
          <w:lang w:val="en-GB"/>
        </w:rPr>
        <w:t>2025 5th International Conference on Enterprise Management and Economic Development (ICEMED 2025)</w:t>
      </w:r>
      <w:r w:rsidRPr="00DB4937">
        <w:rPr>
          <w:rFonts w:ascii="Arial" w:hAnsi="Arial" w:cs="Arial"/>
          <w:lang w:val="en-GB"/>
        </w:rPr>
        <w:t> (pp. 983-991). Atlantis Press.</w:t>
      </w:r>
    </w:p>
    <w:p w14:paraId="411AC33C"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Lidia, V.E.S.A., 2020. The net present value and the optimal solution of linear programming in investment decisions. </w:t>
      </w:r>
      <w:r w:rsidRPr="00DB4937">
        <w:rPr>
          <w:rFonts w:ascii="Arial" w:hAnsi="Arial" w:cs="Arial"/>
          <w:i/>
          <w:iCs/>
          <w:lang w:val="en-GB"/>
        </w:rPr>
        <w:t>Annals of the University of Oradea, Economic Science Series</w:t>
      </w:r>
      <w:r w:rsidRPr="00DB4937">
        <w:rPr>
          <w:rFonts w:ascii="Arial" w:hAnsi="Arial" w:cs="Arial"/>
          <w:lang w:val="en-GB"/>
        </w:rPr>
        <w:t>, </w:t>
      </w:r>
      <w:r w:rsidRPr="00DB4937">
        <w:rPr>
          <w:rFonts w:ascii="Arial" w:hAnsi="Arial" w:cs="Arial"/>
          <w:i/>
          <w:iCs/>
          <w:lang w:val="en-GB"/>
        </w:rPr>
        <w:t>29</w:t>
      </w:r>
      <w:r w:rsidRPr="00DB4937">
        <w:rPr>
          <w:rFonts w:ascii="Arial" w:hAnsi="Arial" w:cs="Arial"/>
          <w:lang w:val="en-GB"/>
        </w:rPr>
        <w:t>(2), pp.135-145.</w:t>
      </w:r>
    </w:p>
    <w:p w14:paraId="3AC0A5CC"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lastRenderedPageBreak/>
        <w:t>Lin, J., 2023. A Comparative Study on the Application of NPV and IRR in Financial Market Investment Decision. </w:t>
      </w:r>
      <w:r w:rsidRPr="00DB4937">
        <w:rPr>
          <w:rFonts w:ascii="Arial" w:hAnsi="Arial" w:cs="Arial"/>
          <w:i/>
          <w:iCs/>
          <w:lang w:val="en-GB"/>
        </w:rPr>
        <w:t>Academic Journal of Business &amp; Management</w:t>
      </w:r>
      <w:r w:rsidRPr="00DB4937">
        <w:rPr>
          <w:rFonts w:ascii="Arial" w:hAnsi="Arial" w:cs="Arial"/>
          <w:lang w:val="en-GB"/>
        </w:rPr>
        <w:t>, </w:t>
      </w:r>
      <w:r w:rsidRPr="00DB4937">
        <w:rPr>
          <w:rFonts w:ascii="Arial" w:hAnsi="Arial" w:cs="Arial"/>
          <w:i/>
          <w:iCs/>
          <w:lang w:val="en-GB"/>
        </w:rPr>
        <w:t>5</w:t>
      </w:r>
      <w:r w:rsidRPr="00DB4937">
        <w:rPr>
          <w:rFonts w:ascii="Arial" w:hAnsi="Arial" w:cs="Arial"/>
          <w:lang w:val="en-GB"/>
        </w:rPr>
        <w:t>(4), pp.51-54.</w:t>
      </w:r>
    </w:p>
    <w:p w14:paraId="0BA54427"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Liu, Q., 2022, March. Sensitivity analysis and investment decision making under uncertainty based on NPV method. In </w:t>
      </w:r>
      <w:r w:rsidRPr="00DB4937">
        <w:rPr>
          <w:rFonts w:ascii="Arial" w:hAnsi="Arial" w:cs="Arial"/>
          <w:i/>
          <w:iCs/>
          <w:lang w:val="en-GB"/>
        </w:rPr>
        <w:t>2022 7th International Conference on Financial Innovation and Economic Development (ICFIED 2022)</w:t>
      </w:r>
      <w:r w:rsidRPr="00DB4937">
        <w:rPr>
          <w:rFonts w:ascii="Arial" w:hAnsi="Arial" w:cs="Arial"/>
          <w:lang w:val="en-GB"/>
        </w:rPr>
        <w:t> (pp. 1861-1865). Atlantis Press.</w:t>
      </w:r>
    </w:p>
    <w:p w14:paraId="5E3432C1"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Maguni, W., Mulu, B., Turmudi, H.M., Insawan, H. and Ni'mah, F., 2020. Analysis of Financial Ratio on Profitability Level (Return on Equity) in PT. Bank Muamalat Indonesia TBK. </w:t>
      </w:r>
      <w:r w:rsidRPr="00DB4937">
        <w:rPr>
          <w:rFonts w:ascii="Arial" w:hAnsi="Arial" w:cs="Arial"/>
          <w:i/>
          <w:iCs/>
          <w:lang w:val="en-GB"/>
        </w:rPr>
        <w:t>Al-Ulum</w:t>
      </w:r>
      <w:r w:rsidRPr="00DB4937">
        <w:rPr>
          <w:rFonts w:ascii="Arial" w:hAnsi="Arial" w:cs="Arial"/>
          <w:lang w:val="en-GB"/>
        </w:rPr>
        <w:t>, </w:t>
      </w:r>
      <w:r w:rsidRPr="00DB4937">
        <w:rPr>
          <w:rFonts w:ascii="Arial" w:hAnsi="Arial" w:cs="Arial"/>
          <w:i/>
          <w:iCs/>
          <w:lang w:val="en-GB"/>
        </w:rPr>
        <w:t>20</w:t>
      </w:r>
      <w:r w:rsidRPr="00DB4937">
        <w:rPr>
          <w:rFonts w:ascii="Arial" w:hAnsi="Arial" w:cs="Arial"/>
          <w:lang w:val="en-GB"/>
        </w:rPr>
        <w:t>(1), pp.191-211.</w:t>
      </w:r>
    </w:p>
    <w:p w14:paraId="138C04DC"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Robert, C.H., Jennifer, L.K. and Todd, M., 2023. </w:t>
      </w:r>
      <w:r w:rsidRPr="00DB4937">
        <w:rPr>
          <w:rFonts w:ascii="Arial" w:hAnsi="Arial" w:cs="Arial"/>
          <w:i/>
          <w:iCs/>
          <w:lang w:val="en-GB"/>
        </w:rPr>
        <w:t>Analysis for financial management</w:t>
      </w:r>
      <w:r w:rsidRPr="00DB4937">
        <w:rPr>
          <w:rFonts w:ascii="Arial" w:hAnsi="Arial" w:cs="Arial"/>
          <w:lang w:val="en-GB"/>
        </w:rPr>
        <w:t>. McGraw-Hill Education.</w:t>
      </w:r>
    </w:p>
    <w:p w14:paraId="7DA3313A"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Sneps-Sneppe, M., 2023, May. Use of criteria NPV and IRR for choosing among investment projects. In </w:t>
      </w:r>
      <w:r w:rsidRPr="00DB4937">
        <w:rPr>
          <w:rFonts w:ascii="Arial" w:hAnsi="Arial" w:cs="Arial"/>
          <w:i/>
          <w:iCs/>
          <w:lang w:val="en-GB"/>
        </w:rPr>
        <w:t>22nd International Scientific Conference Engineering for Rural Development Proceedings</w:t>
      </w:r>
      <w:r w:rsidRPr="00DB4937">
        <w:rPr>
          <w:rFonts w:ascii="Arial" w:hAnsi="Arial" w:cs="Arial"/>
          <w:lang w:val="en-GB"/>
        </w:rPr>
        <w:t> (pp. 745-750).</w:t>
      </w:r>
    </w:p>
    <w:p w14:paraId="78A47EF2"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Wang, Z., 2021, December. Evaluating the Accuracy of Net Present Value and Initial Rate of Return Investment Rules. In </w:t>
      </w:r>
      <w:r w:rsidRPr="00DB4937">
        <w:rPr>
          <w:rFonts w:ascii="Arial" w:hAnsi="Arial" w:cs="Arial"/>
          <w:i/>
          <w:iCs/>
          <w:lang w:val="en-GB"/>
        </w:rPr>
        <w:t>2021 3rd International Conference on Economic Management and Cultural Industry (ICEMCI 2021)</w:t>
      </w:r>
      <w:r w:rsidRPr="00DB4937">
        <w:rPr>
          <w:rFonts w:ascii="Arial" w:hAnsi="Arial" w:cs="Arial"/>
          <w:lang w:val="en-GB"/>
        </w:rPr>
        <w:t> (pp. 1319-1322). Atlantis Press.</w:t>
      </w:r>
    </w:p>
    <w:p w14:paraId="59A6F3F0" w14:textId="77777777" w:rsidR="009355E0" w:rsidRPr="00DB4937" w:rsidRDefault="009355E0" w:rsidP="009355E0">
      <w:pPr>
        <w:spacing w:line="360" w:lineRule="auto"/>
        <w:jc w:val="both"/>
        <w:rPr>
          <w:rFonts w:ascii="Arial" w:hAnsi="Arial" w:cs="Arial"/>
          <w:lang w:val="en-GB"/>
        </w:rPr>
      </w:pPr>
      <w:r w:rsidRPr="00DB4937">
        <w:rPr>
          <w:rFonts w:ascii="Arial" w:hAnsi="Arial" w:cs="Arial"/>
          <w:lang w:val="en-GB"/>
        </w:rPr>
        <w:t>Yunus, I. and Lukum, A., 2021, April. Comparative analysis of financial performance before and after acquisition. In </w:t>
      </w:r>
      <w:r w:rsidRPr="00DB4937">
        <w:rPr>
          <w:rFonts w:ascii="Arial" w:hAnsi="Arial" w:cs="Arial"/>
          <w:i/>
          <w:iCs/>
          <w:lang w:val="en-GB"/>
        </w:rPr>
        <w:t>7th Regional Accounting Conference (KRA 2020)</w:t>
      </w:r>
      <w:r w:rsidRPr="00DB4937">
        <w:rPr>
          <w:rFonts w:ascii="Arial" w:hAnsi="Arial" w:cs="Arial"/>
          <w:lang w:val="en-GB"/>
        </w:rPr>
        <w:t> (pp. 175-186). Atlantis Press.</w:t>
      </w:r>
    </w:p>
    <w:p w14:paraId="74E918EC" w14:textId="47370319" w:rsidR="009355E0" w:rsidRPr="00DB4937" w:rsidRDefault="009355E0" w:rsidP="009355E0">
      <w:pPr>
        <w:spacing w:line="360" w:lineRule="auto"/>
        <w:jc w:val="both"/>
        <w:rPr>
          <w:rFonts w:ascii="Arial" w:hAnsi="Arial" w:cs="Arial"/>
          <w:lang w:val="en-GB"/>
        </w:rPr>
      </w:pPr>
      <w:r w:rsidRPr="00DB4937">
        <w:rPr>
          <w:rFonts w:ascii="Arial" w:hAnsi="Arial" w:cs="Arial"/>
          <w:lang w:val="en-GB"/>
        </w:rPr>
        <w:t>Zhang, L., Fakieh, B. and Shang, L.I., 2022. Financial management of asset-liability ratio of small-and medium-sized enterprises in dynamic nonlinear system. </w:t>
      </w:r>
      <w:r w:rsidRPr="00DB4937">
        <w:rPr>
          <w:rFonts w:ascii="Arial" w:hAnsi="Arial" w:cs="Arial"/>
          <w:i/>
          <w:iCs/>
          <w:lang w:val="en-GB"/>
        </w:rPr>
        <w:t>Fractals</w:t>
      </w:r>
      <w:r w:rsidRPr="00DB4937">
        <w:rPr>
          <w:rFonts w:ascii="Arial" w:hAnsi="Arial" w:cs="Arial"/>
          <w:lang w:val="en-GB"/>
        </w:rPr>
        <w:t>, </w:t>
      </w:r>
      <w:r w:rsidRPr="00DB4937">
        <w:rPr>
          <w:rFonts w:ascii="Arial" w:hAnsi="Arial" w:cs="Arial"/>
          <w:i/>
          <w:iCs/>
          <w:lang w:val="en-GB"/>
        </w:rPr>
        <w:t>30</w:t>
      </w:r>
      <w:r w:rsidRPr="00DB4937">
        <w:rPr>
          <w:rFonts w:ascii="Arial" w:hAnsi="Arial" w:cs="Arial"/>
          <w:lang w:val="en-GB"/>
        </w:rPr>
        <w:t>(02), p.2240064.</w:t>
      </w:r>
    </w:p>
    <w:p w14:paraId="247EBC10" w14:textId="77777777" w:rsidR="009355E0" w:rsidRPr="00DB4937" w:rsidRDefault="009355E0">
      <w:pPr>
        <w:rPr>
          <w:rFonts w:ascii="Arial" w:hAnsi="Arial" w:cs="Arial"/>
          <w:lang w:val="en-GB"/>
        </w:rPr>
      </w:pPr>
      <w:r w:rsidRPr="00DB4937">
        <w:rPr>
          <w:rFonts w:ascii="Arial" w:hAnsi="Arial" w:cs="Arial"/>
          <w:lang w:val="en-GB"/>
        </w:rPr>
        <w:br w:type="page"/>
      </w:r>
    </w:p>
    <w:p w14:paraId="0C5F8326" w14:textId="0F8119E9" w:rsidR="009355E0" w:rsidRPr="00DB4937" w:rsidRDefault="009355E0" w:rsidP="009355E0">
      <w:pPr>
        <w:pStyle w:val="Heading1"/>
        <w:rPr>
          <w:rFonts w:ascii="Arial" w:hAnsi="Arial" w:cs="Arial"/>
          <w:sz w:val="24"/>
          <w:szCs w:val="24"/>
          <w:lang w:val="en-GB"/>
        </w:rPr>
      </w:pPr>
      <w:bookmarkStart w:id="33" w:name="_Toc217237314"/>
      <w:r w:rsidRPr="00DB4937">
        <w:rPr>
          <w:rFonts w:ascii="Arial" w:hAnsi="Arial" w:cs="Arial"/>
          <w:sz w:val="24"/>
          <w:szCs w:val="24"/>
          <w:lang w:val="en-GB"/>
        </w:rPr>
        <w:lastRenderedPageBreak/>
        <w:t>Appendices</w:t>
      </w:r>
      <w:bookmarkEnd w:id="33"/>
    </w:p>
    <w:p w14:paraId="2F55E16D" w14:textId="4C77DAAF" w:rsidR="009355E0" w:rsidRPr="00DB4937" w:rsidRDefault="009355E0" w:rsidP="009355E0">
      <w:pPr>
        <w:pStyle w:val="Heading2"/>
        <w:rPr>
          <w:rFonts w:ascii="Arial" w:hAnsi="Arial" w:cs="Arial"/>
          <w:sz w:val="24"/>
          <w:szCs w:val="24"/>
          <w:lang w:val="en-GB"/>
        </w:rPr>
      </w:pPr>
      <w:bookmarkStart w:id="34" w:name="_Toc217237315"/>
      <w:r w:rsidRPr="00DB4937">
        <w:rPr>
          <w:rFonts w:ascii="Arial" w:hAnsi="Arial" w:cs="Arial"/>
          <w:sz w:val="24"/>
          <w:szCs w:val="24"/>
          <w:lang w:val="en-GB"/>
        </w:rPr>
        <w:t>Appendix A: Ration Analysis</w:t>
      </w:r>
      <w:bookmarkEnd w:id="34"/>
    </w:p>
    <w:p w14:paraId="0547F68F" w14:textId="77777777" w:rsidR="00037491" w:rsidRPr="00DB4937" w:rsidRDefault="00037491" w:rsidP="00037491">
      <w:pPr>
        <w:spacing w:line="360" w:lineRule="auto"/>
        <w:jc w:val="both"/>
        <w:rPr>
          <w:rFonts w:ascii="Arial" w:hAnsi="Arial" w:cs="Arial"/>
          <w:b/>
          <w:bCs/>
        </w:rPr>
      </w:pPr>
      <w:r w:rsidRPr="00DB4937">
        <w:rPr>
          <w:rFonts w:ascii="Arial" w:hAnsi="Arial" w:cs="Arial"/>
          <w:b/>
          <w:bCs/>
        </w:rPr>
        <w:t>1) Profitability ratios</w:t>
      </w:r>
    </w:p>
    <w:p w14:paraId="34CA7B9B" w14:textId="77777777" w:rsidR="00037491" w:rsidRPr="00DB4937" w:rsidRDefault="00037491" w:rsidP="00037491">
      <w:pPr>
        <w:spacing w:line="360" w:lineRule="auto"/>
        <w:jc w:val="both"/>
        <w:rPr>
          <w:rFonts w:ascii="Arial" w:hAnsi="Arial" w:cs="Arial"/>
        </w:rPr>
      </w:pPr>
      <w:r w:rsidRPr="00DB4937">
        <w:rPr>
          <w:rFonts w:ascii="Arial" w:hAnsi="Arial" w:cs="Arial"/>
          <w:b/>
          <w:bCs/>
        </w:rPr>
        <w:t>Formulas</w:t>
      </w:r>
    </w:p>
    <w:p w14:paraId="56F4B0DD" w14:textId="77777777" w:rsidR="00037491" w:rsidRPr="00DB4937" w:rsidRDefault="00037491" w:rsidP="00037491">
      <w:pPr>
        <w:numPr>
          <w:ilvl w:val="0"/>
          <w:numId w:val="1"/>
        </w:numPr>
        <w:spacing w:line="360" w:lineRule="auto"/>
        <w:jc w:val="both"/>
        <w:rPr>
          <w:rFonts w:ascii="Arial" w:hAnsi="Arial" w:cs="Arial"/>
        </w:rPr>
      </w:pPr>
      <w:r w:rsidRPr="00DB4937">
        <w:rPr>
          <w:rFonts w:ascii="Arial" w:hAnsi="Arial" w:cs="Arial"/>
          <w:b/>
          <w:bCs/>
        </w:rPr>
        <w:t>Gross margin</w:t>
      </w:r>
      <w:r w:rsidRPr="00DB4937">
        <w:rPr>
          <w:rFonts w:ascii="Arial" w:hAnsi="Arial" w:cs="Arial"/>
        </w:rPr>
        <w:t xml:space="preserve"> = Gross profit / Net sales</w:t>
      </w:r>
    </w:p>
    <w:p w14:paraId="0431FA09" w14:textId="77777777" w:rsidR="00037491" w:rsidRPr="00DB4937" w:rsidRDefault="00037491" w:rsidP="00037491">
      <w:pPr>
        <w:numPr>
          <w:ilvl w:val="0"/>
          <w:numId w:val="1"/>
        </w:numPr>
        <w:spacing w:line="360" w:lineRule="auto"/>
        <w:jc w:val="both"/>
        <w:rPr>
          <w:rFonts w:ascii="Arial" w:hAnsi="Arial" w:cs="Arial"/>
        </w:rPr>
      </w:pPr>
      <w:r w:rsidRPr="00DB4937">
        <w:rPr>
          <w:rFonts w:ascii="Arial" w:hAnsi="Arial" w:cs="Arial"/>
          <w:b/>
          <w:bCs/>
        </w:rPr>
        <w:t>Operating margin</w:t>
      </w:r>
      <w:r w:rsidRPr="00DB4937">
        <w:rPr>
          <w:rFonts w:ascii="Arial" w:hAnsi="Arial" w:cs="Arial"/>
        </w:rPr>
        <w:t xml:space="preserve"> = Operating income (EBIT) / Net sales</w:t>
      </w:r>
    </w:p>
    <w:p w14:paraId="0C51E664" w14:textId="77777777" w:rsidR="00037491" w:rsidRPr="00DB4937" w:rsidRDefault="00037491" w:rsidP="00037491">
      <w:pPr>
        <w:numPr>
          <w:ilvl w:val="0"/>
          <w:numId w:val="1"/>
        </w:numPr>
        <w:spacing w:line="360" w:lineRule="auto"/>
        <w:jc w:val="both"/>
        <w:rPr>
          <w:rFonts w:ascii="Arial" w:hAnsi="Arial" w:cs="Arial"/>
        </w:rPr>
      </w:pPr>
      <w:r w:rsidRPr="00DB4937">
        <w:rPr>
          <w:rFonts w:ascii="Arial" w:hAnsi="Arial" w:cs="Arial"/>
          <w:b/>
          <w:bCs/>
        </w:rPr>
        <w:t>Net margin</w:t>
      </w:r>
      <w:r w:rsidRPr="00DB4937">
        <w:rPr>
          <w:rFonts w:ascii="Arial" w:hAnsi="Arial" w:cs="Arial"/>
        </w:rPr>
        <w:t xml:space="preserve"> = Net income / Net sales</w:t>
      </w:r>
    </w:p>
    <w:p w14:paraId="3D0049DE" w14:textId="77777777" w:rsidR="00037491" w:rsidRPr="00DB4937" w:rsidRDefault="00037491" w:rsidP="00037491">
      <w:pPr>
        <w:numPr>
          <w:ilvl w:val="0"/>
          <w:numId w:val="1"/>
        </w:numPr>
        <w:spacing w:line="360" w:lineRule="auto"/>
        <w:jc w:val="both"/>
        <w:rPr>
          <w:rFonts w:ascii="Arial" w:hAnsi="Arial" w:cs="Arial"/>
        </w:rPr>
      </w:pPr>
      <w:r w:rsidRPr="00DB4937">
        <w:rPr>
          <w:rFonts w:ascii="Arial" w:hAnsi="Arial" w:cs="Arial"/>
          <w:b/>
          <w:bCs/>
        </w:rPr>
        <w:t>ROA</w:t>
      </w:r>
      <w:r w:rsidRPr="00DB4937">
        <w:rPr>
          <w:rFonts w:ascii="Arial" w:hAnsi="Arial" w:cs="Arial"/>
        </w:rPr>
        <w:t xml:space="preserve"> = Net income / Average total assets</w:t>
      </w:r>
    </w:p>
    <w:p w14:paraId="4F1EA4B0" w14:textId="77777777" w:rsidR="00037491" w:rsidRPr="00DB4937" w:rsidRDefault="00037491" w:rsidP="00037491">
      <w:pPr>
        <w:numPr>
          <w:ilvl w:val="0"/>
          <w:numId w:val="1"/>
        </w:numPr>
        <w:spacing w:line="360" w:lineRule="auto"/>
        <w:jc w:val="both"/>
        <w:rPr>
          <w:rFonts w:ascii="Arial" w:hAnsi="Arial" w:cs="Arial"/>
        </w:rPr>
      </w:pPr>
      <w:r w:rsidRPr="00DB4937">
        <w:rPr>
          <w:rFonts w:ascii="Arial" w:hAnsi="Arial" w:cs="Arial"/>
          <w:b/>
          <w:bCs/>
        </w:rPr>
        <w:t>ROE</w:t>
      </w:r>
      <w:r w:rsidRPr="00DB4937">
        <w:rPr>
          <w:rFonts w:ascii="Arial" w:hAnsi="Arial" w:cs="Arial"/>
        </w:rPr>
        <w:t xml:space="preserve"> = Net income / Average total equity</w:t>
      </w:r>
    </w:p>
    <w:tbl>
      <w:tblPr>
        <w:tblStyle w:val="TableGrid"/>
        <w:tblW w:w="0" w:type="auto"/>
        <w:tblLook w:val="04A0" w:firstRow="1" w:lastRow="0" w:firstColumn="1" w:lastColumn="0" w:noHBand="0" w:noVBand="1"/>
      </w:tblPr>
      <w:tblGrid>
        <w:gridCol w:w="2071"/>
        <w:gridCol w:w="977"/>
        <w:gridCol w:w="977"/>
        <w:gridCol w:w="897"/>
        <w:gridCol w:w="897"/>
        <w:gridCol w:w="897"/>
      </w:tblGrid>
      <w:tr w:rsidR="00037491" w:rsidRPr="00DB4937" w14:paraId="4061F881" w14:textId="77777777" w:rsidTr="00037491">
        <w:tc>
          <w:tcPr>
            <w:tcW w:w="0" w:type="auto"/>
            <w:hideMark/>
          </w:tcPr>
          <w:p w14:paraId="65A0C203"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Profitability</w:t>
            </w:r>
          </w:p>
        </w:tc>
        <w:tc>
          <w:tcPr>
            <w:tcW w:w="0" w:type="auto"/>
            <w:hideMark/>
          </w:tcPr>
          <w:p w14:paraId="633FD144"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2024</w:t>
            </w:r>
          </w:p>
        </w:tc>
        <w:tc>
          <w:tcPr>
            <w:tcW w:w="0" w:type="auto"/>
            <w:hideMark/>
          </w:tcPr>
          <w:p w14:paraId="224C184A"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2023</w:t>
            </w:r>
          </w:p>
        </w:tc>
        <w:tc>
          <w:tcPr>
            <w:tcW w:w="0" w:type="auto"/>
            <w:hideMark/>
          </w:tcPr>
          <w:p w14:paraId="5C4C88A7"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2022</w:t>
            </w:r>
          </w:p>
        </w:tc>
        <w:tc>
          <w:tcPr>
            <w:tcW w:w="0" w:type="auto"/>
            <w:hideMark/>
          </w:tcPr>
          <w:p w14:paraId="7F234A3A"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2021</w:t>
            </w:r>
          </w:p>
        </w:tc>
        <w:tc>
          <w:tcPr>
            <w:tcW w:w="0" w:type="auto"/>
            <w:hideMark/>
          </w:tcPr>
          <w:p w14:paraId="07E391ED"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2020</w:t>
            </w:r>
          </w:p>
        </w:tc>
      </w:tr>
      <w:tr w:rsidR="00037491" w:rsidRPr="00DB4937" w14:paraId="2A4AF803" w14:textId="77777777" w:rsidTr="00037491">
        <w:tc>
          <w:tcPr>
            <w:tcW w:w="0" w:type="auto"/>
            <w:hideMark/>
          </w:tcPr>
          <w:p w14:paraId="09874AAD" w14:textId="77777777" w:rsidR="00037491" w:rsidRPr="00DB4937" w:rsidRDefault="00037491" w:rsidP="00037491">
            <w:pPr>
              <w:spacing w:after="160" w:line="360" w:lineRule="auto"/>
              <w:jc w:val="both"/>
              <w:rPr>
                <w:rFonts w:ascii="Arial" w:hAnsi="Arial" w:cs="Arial"/>
              </w:rPr>
            </w:pPr>
            <w:r w:rsidRPr="00DB4937">
              <w:rPr>
                <w:rFonts w:ascii="Arial" w:hAnsi="Arial" w:cs="Arial"/>
              </w:rPr>
              <w:t>Gross margin</w:t>
            </w:r>
          </w:p>
        </w:tc>
        <w:tc>
          <w:tcPr>
            <w:tcW w:w="0" w:type="auto"/>
            <w:hideMark/>
          </w:tcPr>
          <w:p w14:paraId="26489236" w14:textId="77777777" w:rsidR="00037491" w:rsidRPr="00DB4937" w:rsidRDefault="00037491" w:rsidP="00037491">
            <w:pPr>
              <w:spacing w:after="160" w:line="360" w:lineRule="auto"/>
              <w:jc w:val="both"/>
              <w:rPr>
                <w:rFonts w:ascii="Arial" w:hAnsi="Arial" w:cs="Arial"/>
              </w:rPr>
            </w:pPr>
            <w:r w:rsidRPr="00DB4937">
              <w:rPr>
                <w:rFonts w:ascii="Arial" w:hAnsi="Arial" w:cs="Arial"/>
              </w:rPr>
              <w:t>28.9%</w:t>
            </w:r>
          </w:p>
        </w:tc>
        <w:tc>
          <w:tcPr>
            <w:tcW w:w="0" w:type="auto"/>
            <w:hideMark/>
          </w:tcPr>
          <w:p w14:paraId="491DE068" w14:textId="77777777" w:rsidR="00037491" w:rsidRPr="00DB4937" w:rsidRDefault="00037491" w:rsidP="00037491">
            <w:pPr>
              <w:spacing w:after="160" w:line="360" w:lineRule="auto"/>
              <w:jc w:val="both"/>
              <w:rPr>
                <w:rFonts w:ascii="Arial" w:hAnsi="Arial" w:cs="Arial"/>
              </w:rPr>
            </w:pPr>
            <w:r w:rsidRPr="00DB4937">
              <w:rPr>
                <w:rFonts w:ascii="Arial" w:hAnsi="Arial" w:cs="Arial"/>
              </w:rPr>
              <w:t>23.2%</w:t>
            </w:r>
          </w:p>
        </w:tc>
        <w:tc>
          <w:tcPr>
            <w:tcW w:w="0" w:type="auto"/>
            <w:hideMark/>
          </w:tcPr>
          <w:p w14:paraId="1A36D7DD" w14:textId="77777777" w:rsidR="00037491" w:rsidRPr="00DB4937" w:rsidRDefault="00037491" w:rsidP="00037491">
            <w:pPr>
              <w:spacing w:after="160" w:line="360" w:lineRule="auto"/>
              <w:jc w:val="both"/>
              <w:rPr>
                <w:rFonts w:ascii="Arial" w:hAnsi="Arial" w:cs="Arial"/>
              </w:rPr>
            </w:pPr>
            <w:r w:rsidRPr="00DB4937">
              <w:rPr>
                <w:rFonts w:ascii="Arial" w:hAnsi="Arial" w:cs="Arial"/>
              </w:rPr>
              <w:t>28.1%</w:t>
            </w:r>
          </w:p>
        </w:tc>
        <w:tc>
          <w:tcPr>
            <w:tcW w:w="0" w:type="auto"/>
            <w:hideMark/>
          </w:tcPr>
          <w:p w14:paraId="45040A35" w14:textId="77777777" w:rsidR="00037491" w:rsidRPr="00DB4937" w:rsidRDefault="00037491" w:rsidP="00037491">
            <w:pPr>
              <w:spacing w:after="160" w:line="360" w:lineRule="auto"/>
              <w:jc w:val="both"/>
              <w:rPr>
                <w:rFonts w:ascii="Arial" w:hAnsi="Arial" w:cs="Arial"/>
              </w:rPr>
            </w:pPr>
            <w:r w:rsidRPr="00DB4937">
              <w:rPr>
                <w:rFonts w:ascii="Arial" w:hAnsi="Arial" w:cs="Arial"/>
              </w:rPr>
              <w:t>28.8%</w:t>
            </w:r>
          </w:p>
        </w:tc>
        <w:tc>
          <w:tcPr>
            <w:tcW w:w="0" w:type="auto"/>
            <w:hideMark/>
          </w:tcPr>
          <w:p w14:paraId="470873B0" w14:textId="77777777" w:rsidR="00037491" w:rsidRPr="00DB4937" w:rsidRDefault="00037491" w:rsidP="00037491">
            <w:pPr>
              <w:spacing w:after="160" w:line="360" w:lineRule="auto"/>
              <w:jc w:val="both"/>
              <w:rPr>
                <w:rFonts w:ascii="Arial" w:hAnsi="Arial" w:cs="Arial"/>
              </w:rPr>
            </w:pPr>
            <w:r w:rsidRPr="00DB4937">
              <w:rPr>
                <w:rFonts w:ascii="Arial" w:hAnsi="Arial" w:cs="Arial"/>
              </w:rPr>
              <w:t>28.7%</w:t>
            </w:r>
          </w:p>
        </w:tc>
      </w:tr>
      <w:tr w:rsidR="00037491" w:rsidRPr="00DB4937" w14:paraId="6EFCAEAB" w14:textId="77777777" w:rsidTr="00037491">
        <w:tc>
          <w:tcPr>
            <w:tcW w:w="0" w:type="auto"/>
            <w:hideMark/>
          </w:tcPr>
          <w:p w14:paraId="19195319" w14:textId="77777777" w:rsidR="00037491" w:rsidRPr="00DB4937" w:rsidRDefault="00037491" w:rsidP="00037491">
            <w:pPr>
              <w:spacing w:after="160" w:line="360" w:lineRule="auto"/>
              <w:jc w:val="both"/>
              <w:rPr>
                <w:rFonts w:ascii="Arial" w:hAnsi="Arial" w:cs="Arial"/>
              </w:rPr>
            </w:pPr>
            <w:r w:rsidRPr="00DB4937">
              <w:rPr>
                <w:rFonts w:ascii="Arial" w:hAnsi="Arial" w:cs="Arial"/>
              </w:rPr>
              <w:t>Operating margin</w:t>
            </w:r>
          </w:p>
        </w:tc>
        <w:tc>
          <w:tcPr>
            <w:tcW w:w="0" w:type="auto"/>
            <w:hideMark/>
          </w:tcPr>
          <w:p w14:paraId="7B95AEE9" w14:textId="77777777" w:rsidR="00037491" w:rsidRPr="00DB4937" w:rsidRDefault="00037491" w:rsidP="00037491">
            <w:pPr>
              <w:spacing w:after="160" w:line="360" w:lineRule="auto"/>
              <w:jc w:val="both"/>
              <w:rPr>
                <w:rFonts w:ascii="Arial" w:hAnsi="Arial" w:cs="Arial"/>
              </w:rPr>
            </w:pPr>
            <w:r w:rsidRPr="00DB4937">
              <w:rPr>
                <w:rFonts w:ascii="Arial" w:hAnsi="Arial" w:cs="Arial"/>
              </w:rPr>
              <w:t>-3.9%</w:t>
            </w:r>
          </w:p>
        </w:tc>
        <w:tc>
          <w:tcPr>
            <w:tcW w:w="0" w:type="auto"/>
            <w:hideMark/>
          </w:tcPr>
          <w:p w14:paraId="38640FC4" w14:textId="77777777" w:rsidR="00037491" w:rsidRPr="00DB4937" w:rsidRDefault="00037491" w:rsidP="00037491">
            <w:pPr>
              <w:spacing w:after="160" w:line="360" w:lineRule="auto"/>
              <w:jc w:val="both"/>
              <w:rPr>
                <w:rFonts w:ascii="Arial" w:hAnsi="Arial" w:cs="Arial"/>
              </w:rPr>
            </w:pPr>
            <w:r w:rsidRPr="00DB4937">
              <w:rPr>
                <w:rFonts w:ascii="Arial" w:hAnsi="Arial" w:cs="Arial"/>
              </w:rPr>
              <w:t>-20.3%</w:t>
            </w:r>
          </w:p>
        </w:tc>
        <w:tc>
          <w:tcPr>
            <w:tcW w:w="0" w:type="auto"/>
            <w:hideMark/>
          </w:tcPr>
          <w:p w14:paraId="71BD9410" w14:textId="77777777" w:rsidR="00037491" w:rsidRPr="00DB4937" w:rsidRDefault="00037491" w:rsidP="00037491">
            <w:pPr>
              <w:spacing w:after="160" w:line="360" w:lineRule="auto"/>
              <w:jc w:val="both"/>
              <w:rPr>
                <w:rFonts w:ascii="Arial" w:hAnsi="Arial" w:cs="Arial"/>
              </w:rPr>
            </w:pPr>
            <w:r w:rsidRPr="00DB4937">
              <w:rPr>
                <w:rFonts w:ascii="Arial" w:hAnsi="Arial" w:cs="Arial"/>
              </w:rPr>
              <w:t>2.7%</w:t>
            </w:r>
          </w:p>
        </w:tc>
        <w:tc>
          <w:tcPr>
            <w:tcW w:w="0" w:type="auto"/>
            <w:hideMark/>
          </w:tcPr>
          <w:p w14:paraId="10E61D0E" w14:textId="77777777" w:rsidR="00037491" w:rsidRPr="00DB4937" w:rsidRDefault="00037491" w:rsidP="00037491">
            <w:pPr>
              <w:spacing w:after="160" w:line="360" w:lineRule="auto"/>
              <w:jc w:val="both"/>
              <w:rPr>
                <w:rFonts w:ascii="Arial" w:hAnsi="Arial" w:cs="Arial"/>
              </w:rPr>
            </w:pPr>
            <w:r w:rsidRPr="00DB4937">
              <w:rPr>
                <w:rFonts w:ascii="Arial" w:hAnsi="Arial" w:cs="Arial"/>
              </w:rPr>
              <w:t>3.9%</w:t>
            </w:r>
          </w:p>
        </w:tc>
        <w:tc>
          <w:tcPr>
            <w:tcW w:w="0" w:type="auto"/>
            <w:hideMark/>
          </w:tcPr>
          <w:p w14:paraId="66F563A5" w14:textId="77777777" w:rsidR="00037491" w:rsidRPr="00DB4937" w:rsidRDefault="00037491" w:rsidP="00037491">
            <w:pPr>
              <w:spacing w:after="160" w:line="360" w:lineRule="auto"/>
              <w:jc w:val="both"/>
              <w:rPr>
                <w:rFonts w:ascii="Arial" w:hAnsi="Arial" w:cs="Arial"/>
              </w:rPr>
            </w:pPr>
            <w:r w:rsidRPr="00DB4937">
              <w:rPr>
                <w:rFonts w:ascii="Arial" w:hAnsi="Arial" w:cs="Arial"/>
              </w:rPr>
              <w:t>6.1%</w:t>
            </w:r>
          </w:p>
        </w:tc>
      </w:tr>
      <w:tr w:rsidR="00037491" w:rsidRPr="00DB4937" w14:paraId="10D6F042" w14:textId="77777777" w:rsidTr="00037491">
        <w:tc>
          <w:tcPr>
            <w:tcW w:w="0" w:type="auto"/>
            <w:hideMark/>
          </w:tcPr>
          <w:p w14:paraId="6EC5CE61" w14:textId="77777777" w:rsidR="00037491" w:rsidRPr="00DB4937" w:rsidRDefault="00037491" w:rsidP="00037491">
            <w:pPr>
              <w:spacing w:after="160" w:line="360" w:lineRule="auto"/>
              <w:jc w:val="both"/>
              <w:rPr>
                <w:rFonts w:ascii="Arial" w:hAnsi="Arial" w:cs="Arial"/>
              </w:rPr>
            </w:pPr>
            <w:r w:rsidRPr="00DB4937">
              <w:rPr>
                <w:rFonts w:ascii="Arial" w:hAnsi="Arial" w:cs="Arial"/>
              </w:rPr>
              <w:t>Net margin</w:t>
            </w:r>
          </w:p>
        </w:tc>
        <w:tc>
          <w:tcPr>
            <w:tcW w:w="0" w:type="auto"/>
            <w:hideMark/>
          </w:tcPr>
          <w:p w14:paraId="358B4D9C" w14:textId="77777777" w:rsidR="00037491" w:rsidRPr="00DB4937" w:rsidRDefault="00037491" w:rsidP="00037491">
            <w:pPr>
              <w:spacing w:after="160" w:line="360" w:lineRule="auto"/>
              <w:jc w:val="both"/>
              <w:rPr>
                <w:rFonts w:ascii="Arial" w:hAnsi="Arial" w:cs="Arial"/>
              </w:rPr>
            </w:pPr>
            <w:r w:rsidRPr="00DB4937">
              <w:rPr>
                <w:rFonts w:ascii="Arial" w:hAnsi="Arial" w:cs="Arial"/>
              </w:rPr>
              <w:t>-6.1%</w:t>
            </w:r>
          </w:p>
        </w:tc>
        <w:tc>
          <w:tcPr>
            <w:tcW w:w="0" w:type="auto"/>
            <w:hideMark/>
          </w:tcPr>
          <w:p w14:paraId="3C2D2294" w14:textId="77777777" w:rsidR="00037491" w:rsidRPr="00DB4937" w:rsidRDefault="00037491" w:rsidP="00037491">
            <w:pPr>
              <w:spacing w:after="160" w:line="360" w:lineRule="auto"/>
              <w:jc w:val="both"/>
              <w:rPr>
                <w:rFonts w:ascii="Arial" w:hAnsi="Arial" w:cs="Arial"/>
              </w:rPr>
            </w:pPr>
            <w:r w:rsidRPr="00DB4937">
              <w:rPr>
                <w:rFonts w:ascii="Arial" w:hAnsi="Arial" w:cs="Arial"/>
              </w:rPr>
              <w:t>-23.4%</w:t>
            </w:r>
          </w:p>
        </w:tc>
        <w:tc>
          <w:tcPr>
            <w:tcW w:w="0" w:type="auto"/>
            <w:hideMark/>
          </w:tcPr>
          <w:p w14:paraId="2A94577E" w14:textId="77777777" w:rsidR="00037491" w:rsidRPr="00DB4937" w:rsidRDefault="00037491" w:rsidP="00037491">
            <w:pPr>
              <w:spacing w:after="160" w:line="360" w:lineRule="auto"/>
              <w:jc w:val="both"/>
              <w:rPr>
                <w:rFonts w:ascii="Arial" w:hAnsi="Arial" w:cs="Arial"/>
              </w:rPr>
            </w:pPr>
            <w:r w:rsidRPr="00DB4937">
              <w:rPr>
                <w:rFonts w:ascii="Arial" w:hAnsi="Arial" w:cs="Arial"/>
              </w:rPr>
              <w:t>0.1%</w:t>
            </w:r>
          </w:p>
        </w:tc>
        <w:tc>
          <w:tcPr>
            <w:tcW w:w="0" w:type="auto"/>
            <w:hideMark/>
          </w:tcPr>
          <w:p w14:paraId="17ED3A71" w14:textId="77777777" w:rsidR="00037491" w:rsidRPr="00DB4937" w:rsidRDefault="00037491" w:rsidP="00037491">
            <w:pPr>
              <w:spacing w:after="160" w:line="360" w:lineRule="auto"/>
              <w:jc w:val="both"/>
              <w:rPr>
                <w:rFonts w:ascii="Arial" w:hAnsi="Arial" w:cs="Arial"/>
              </w:rPr>
            </w:pPr>
            <w:r w:rsidRPr="00DB4937">
              <w:rPr>
                <w:rFonts w:ascii="Arial" w:hAnsi="Arial" w:cs="Arial"/>
              </w:rPr>
              <w:t>0.9%</w:t>
            </w:r>
          </w:p>
        </w:tc>
        <w:tc>
          <w:tcPr>
            <w:tcW w:w="0" w:type="auto"/>
            <w:hideMark/>
          </w:tcPr>
          <w:p w14:paraId="02E7C756" w14:textId="77777777" w:rsidR="00037491" w:rsidRPr="00DB4937" w:rsidRDefault="00037491" w:rsidP="00037491">
            <w:pPr>
              <w:spacing w:after="160" w:line="360" w:lineRule="auto"/>
              <w:jc w:val="both"/>
              <w:rPr>
                <w:rFonts w:ascii="Arial" w:hAnsi="Arial" w:cs="Arial"/>
              </w:rPr>
            </w:pPr>
            <w:r w:rsidRPr="00DB4937">
              <w:rPr>
                <w:rFonts w:ascii="Arial" w:hAnsi="Arial" w:cs="Arial"/>
              </w:rPr>
              <w:t>6.3%</w:t>
            </w:r>
          </w:p>
        </w:tc>
      </w:tr>
      <w:tr w:rsidR="00037491" w:rsidRPr="00DB4937" w14:paraId="13BEA0BC" w14:textId="77777777" w:rsidTr="00037491">
        <w:tc>
          <w:tcPr>
            <w:tcW w:w="0" w:type="auto"/>
            <w:hideMark/>
          </w:tcPr>
          <w:p w14:paraId="20CBC86E" w14:textId="77777777" w:rsidR="00037491" w:rsidRPr="00DB4937" w:rsidRDefault="00037491" w:rsidP="00037491">
            <w:pPr>
              <w:spacing w:after="160" w:line="360" w:lineRule="auto"/>
              <w:jc w:val="both"/>
              <w:rPr>
                <w:rFonts w:ascii="Arial" w:hAnsi="Arial" w:cs="Arial"/>
              </w:rPr>
            </w:pPr>
            <w:r w:rsidRPr="00DB4937">
              <w:rPr>
                <w:rFonts w:ascii="Arial" w:hAnsi="Arial" w:cs="Arial"/>
              </w:rPr>
              <w:t>ROA</w:t>
            </w:r>
          </w:p>
        </w:tc>
        <w:tc>
          <w:tcPr>
            <w:tcW w:w="0" w:type="auto"/>
            <w:hideMark/>
          </w:tcPr>
          <w:p w14:paraId="44D4F422" w14:textId="77777777" w:rsidR="00037491" w:rsidRPr="00DB4937" w:rsidRDefault="00037491" w:rsidP="00037491">
            <w:pPr>
              <w:spacing w:after="160" w:line="360" w:lineRule="auto"/>
              <w:jc w:val="both"/>
              <w:rPr>
                <w:rFonts w:ascii="Arial" w:hAnsi="Arial" w:cs="Arial"/>
              </w:rPr>
            </w:pPr>
            <w:r w:rsidRPr="00DB4937">
              <w:rPr>
                <w:rFonts w:ascii="Arial" w:hAnsi="Arial" w:cs="Arial"/>
              </w:rPr>
              <w:t>-7.1%</w:t>
            </w:r>
          </w:p>
        </w:tc>
        <w:tc>
          <w:tcPr>
            <w:tcW w:w="0" w:type="auto"/>
            <w:hideMark/>
          </w:tcPr>
          <w:p w14:paraId="38A6A3D4" w14:textId="77777777" w:rsidR="00037491" w:rsidRPr="00DB4937" w:rsidRDefault="00037491" w:rsidP="00037491">
            <w:pPr>
              <w:spacing w:after="160" w:line="360" w:lineRule="auto"/>
              <w:jc w:val="both"/>
              <w:rPr>
                <w:rFonts w:ascii="Arial" w:hAnsi="Arial" w:cs="Arial"/>
              </w:rPr>
            </w:pPr>
            <w:r w:rsidRPr="00DB4937">
              <w:rPr>
                <w:rFonts w:ascii="Arial" w:hAnsi="Arial" w:cs="Arial"/>
              </w:rPr>
              <w:t>-22.8%</w:t>
            </w:r>
          </w:p>
        </w:tc>
        <w:tc>
          <w:tcPr>
            <w:tcW w:w="0" w:type="auto"/>
            <w:hideMark/>
          </w:tcPr>
          <w:p w14:paraId="6BE7CFEF" w14:textId="77777777" w:rsidR="00037491" w:rsidRPr="00DB4937" w:rsidRDefault="00037491" w:rsidP="00037491">
            <w:pPr>
              <w:spacing w:after="160" w:line="360" w:lineRule="auto"/>
              <w:jc w:val="both"/>
              <w:rPr>
                <w:rFonts w:ascii="Arial" w:hAnsi="Arial" w:cs="Arial"/>
              </w:rPr>
            </w:pPr>
            <w:r w:rsidRPr="00DB4937">
              <w:rPr>
                <w:rFonts w:ascii="Arial" w:hAnsi="Arial" w:cs="Arial"/>
              </w:rPr>
              <w:t>0.1%</w:t>
            </w:r>
          </w:p>
        </w:tc>
        <w:tc>
          <w:tcPr>
            <w:tcW w:w="0" w:type="auto"/>
            <w:hideMark/>
          </w:tcPr>
          <w:p w14:paraId="3720EE73" w14:textId="77777777" w:rsidR="00037491" w:rsidRPr="00DB4937" w:rsidRDefault="00037491" w:rsidP="00037491">
            <w:pPr>
              <w:spacing w:after="160" w:line="360" w:lineRule="auto"/>
              <w:jc w:val="both"/>
              <w:rPr>
                <w:rFonts w:ascii="Arial" w:hAnsi="Arial" w:cs="Arial"/>
              </w:rPr>
            </w:pPr>
            <w:r w:rsidRPr="00DB4937">
              <w:rPr>
                <w:rFonts w:ascii="Arial" w:hAnsi="Arial" w:cs="Arial"/>
              </w:rPr>
              <w:t>1.0%</w:t>
            </w:r>
          </w:p>
        </w:tc>
        <w:tc>
          <w:tcPr>
            <w:tcW w:w="0" w:type="auto"/>
            <w:hideMark/>
          </w:tcPr>
          <w:p w14:paraId="0568778A" w14:textId="77777777" w:rsidR="00037491" w:rsidRPr="00DB4937" w:rsidRDefault="00037491" w:rsidP="00037491">
            <w:pPr>
              <w:spacing w:after="160" w:line="360" w:lineRule="auto"/>
              <w:jc w:val="both"/>
              <w:rPr>
                <w:rFonts w:ascii="Arial" w:hAnsi="Arial" w:cs="Arial"/>
              </w:rPr>
            </w:pPr>
            <w:r w:rsidRPr="00DB4937">
              <w:rPr>
                <w:rFonts w:ascii="Arial" w:hAnsi="Arial" w:cs="Arial"/>
              </w:rPr>
              <w:t>7.6%</w:t>
            </w:r>
          </w:p>
        </w:tc>
      </w:tr>
      <w:tr w:rsidR="00037491" w:rsidRPr="00DB4937" w14:paraId="354550F9" w14:textId="77777777" w:rsidTr="00037491">
        <w:tc>
          <w:tcPr>
            <w:tcW w:w="0" w:type="auto"/>
            <w:hideMark/>
          </w:tcPr>
          <w:p w14:paraId="1328F73C" w14:textId="77777777" w:rsidR="00037491" w:rsidRPr="00DB4937" w:rsidRDefault="00037491" w:rsidP="00037491">
            <w:pPr>
              <w:spacing w:after="160" w:line="360" w:lineRule="auto"/>
              <w:jc w:val="both"/>
              <w:rPr>
                <w:rFonts w:ascii="Arial" w:hAnsi="Arial" w:cs="Arial"/>
              </w:rPr>
            </w:pPr>
            <w:r w:rsidRPr="00DB4937">
              <w:rPr>
                <w:rFonts w:ascii="Arial" w:hAnsi="Arial" w:cs="Arial"/>
              </w:rPr>
              <w:t>ROE</w:t>
            </w:r>
          </w:p>
        </w:tc>
        <w:tc>
          <w:tcPr>
            <w:tcW w:w="0" w:type="auto"/>
            <w:hideMark/>
          </w:tcPr>
          <w:p w14:paraId="25A16F59" w14:textId="77777777" w:rsidR="00037491" w:rsidRPr="00DB4937" w:rsidRDefault="00037491" w:rsidP="00037491">
            <w:pPr>
              <w:spacing w:after="160" w:line="360" w:lineRule="auto"/>
              <w:jc w:val="both"/>
              <w:rPr>
                <w:rFonts w:ascii="Arial" w:hAnsi="Arial" w:cs="Arial"/>
              </w:rPr>
            </w:pPr>
            <w:r w:rsidRPr="00DB4937">
              <w:rPr>
                <w:rFonts w:ascii="Arial" w:hAnsi="Arial" w:cs="Arial"/>
              </w:rPr>
              <w:t>-14.5%</w:t>
            </w:r>
          </w:p>
        </w:tc>
        <w:tc>
          <w:tcPr>
            <w:tcW w:w="0" w:type="auto"/>
            <w:hideMark/>
          </w:tcPr>
          <w:p w14:paraId="3D3965CD" w14:textId="77777777" w:rsidR="00037491" w:rsidRPr="00DB4937" w:rsidRDefault="00037491" w:rsidP="00037491">
            <w:pPr>
              <w:spacing w:after="160" w:line="360" w:lineRule="auto"/>
              <w:jc w:val="both"/>
              <w:rPr>
                <w:rFonts w:ascii="Arial" w:hAnsi="Arial" w:cs="Arial"/>
              </w:rPr>
            </w:pPr>
            <w:r w:rsidRPr="00DB4937">
              <w:rPr>
                <w:rFonts w:ascii="Arial" w:hAnsi="Arial" w:cs="Arial"/>
              </w:rPr>
              <w:t>-43.9%</w:t>
            </w:r>
          </w:p>
        </w:tc>
        <w:tc>
          <w:tcPr>
            <w:tcW w:w="0" w:type="auto"/>
            <w:hideMark/>
          </w:tcPr>
          <w:p w14:paraId="5E03335A" w14:textId="77777777" w:rsidR="00037491" w:rsidRPr="00DB4937" w:rsidRDefault="00037491" w:rsidP="00037491">
            <w:pPr>
              <w:spacing w:after="160" w:line="360" w:lineRule="auto"/>
              <w:jc w:val="both"/>
              <w:rPr>
                <w:rFonts w:ascii="Arial" w:hAnsi="Arial" w:cs="Arial"/>
              </w:rPr>
            </w:pPr>
            <w:r w:rsidRPr="00DB4937">
              <w:rPr>
                <w:rFonts w:ascii="Arial" w:hAnsi="Arial" w:cs="Arial"/>
              </w:rPr>
              <w:t>0.1%</w:t>
            </w:r>
          </w:p>
        </w:tc>
        <w:tc>
          <w:tcPr>
            <w:tcW w:w="0" w:type="auto"/>
            <w:hideMark/>
          </w:tcPr>
          <w:p w14:paraId="3BD5E148" w14:textId="77777777" w:rsidR="00037491" w:rsidRPr="00DB4937" w:rsidRDefault="00037491" w:rsidP="00037491">
            <w:pPr>
              <w:spacing w:after="160" w:line="360" w:lineRule="auto"/>
              <w:jc w:val="both"/>
              <w:rPr>
                <w:rFonts w:ascii="Arial" w:hAnsi="Arial" w:cs="Arial"/>
              </w:rPr>
            </w:pPr>
            <w:r w:rsidRPr="00DB4937">
              <w:rPr>
                <w:rFonts w:ascii="Arial" w:hAnsi="Arial" w:cs="Arial"/>
              </w:rPr>
              <w:t>1.8%</w:t>
            </w:r>
          </w:p>
        </w:tc>
        <w:tc>
          <w:tcPr>
            <w:tcW w:w="0" w:type="auto"/>
            <w:hideMark/>
          </w:tcPr>
          <w:p w14:paraId="17305BFA" w14:textId="77777777" w:rsidR="00037491" w:rsidRPr="00DB4937" w:rsidRDefault="00037491" w:rsidP="00037491">
            <w:pPr>
              <w:spacing w:after="160" w:line="360" w:lineRule="auto"/>
              <w:jc w:val="both"/>
              <w:rPr>
                <w:rFonts w:ascii="Arial" w:hAnsi="Arial" w:cs="Arial"/>
              </w:rPr>
            </w:pPr>
            <w:r w:rsidRPr="00DB4937">
              <w:rPr>
                <w:rFonts w:ascii="Arial" w:hAnsi="Arial" w:cs="Arial"/>
              </w:rPr>
              <w:t>12.3%</w:t>
            </w:r>
          </w:p>
        </w:tc>
      </w:tr>
    </w:tbl>
    <w:p w14:paraId="603C9179" w14:textId="0B512BC3" w:rsidR="00037491" w:rsidRPr="00DB4937" w:rsidRDefault="00037491" w:rsidP="00037491">
      <w:pPr>
        <w:spacing w:line="360" w:lineRule="auto"/>
        <w:jc w:val="both"/>
        <w:rPr>
          <w:rFonts w:ascii="Arial" w:hAnsi="Arial" w:cs="Arial"/>
        </w:rPr>
      </w:pPr>
    </w:p>
    <w:p w14:paraId="0FB68354" w14:textId="77777777" w:rsidR="00037491" w:rsidRPr="00DB4937" w:rsidRDefault="00037491">
      <w:pPr>
        <w:rPr>
          <w:rFonts w:ascii="Arial" w:hAnsi="Arial" w:cs="Arial"/>
          <w:b/>
          <w:bCs/>
        </w:rPr>
      </w:pPr>
      <w:r w:rsidRPr="00DB4937">
        <w:rPr>
          <w:rFonts w:ascii="Arial" w:hAnsi="Arial" w:cs="Arial"/>
          <w:b/>
          <w:bCs/>
        </w:rPr>
        <w:br w:type="page"/>
      </w:r>
    </w:p>
    <w:p w14:paraId="0EA5C858" w14:textId="150C30BD" w:rsidR="00037491" w:rsidRPr="00DB4937" w:rsidRDefault="00037491" w:rsidP="00037491">
      <w:pPr>
        <w:spacing w:line="360" w:lineRule="auto"/>
        <w:jc w:val="both"/>
        <w:rPr>
          <w:rFonts w:ascii="Arial" w:hAnsi="Arial" w:cs="Arial"/>
          <w:b/>
          <w:bCs/>
        </w:rPr>
      </w:pPr>
      <w:r w:rsidRPr="00DB4937">
        <w:rPr>
          <w:rFonts w:ascii="Arial" w:hAnsi="Arial" w:cs="Arial"/>
          <w:b/>
          <w:bCs/>
        </w:rPr>
        <w:lastRenderedPageBreak/>
        <w:t>2) Liquidity ratios</w:t>
      </w:r>
    </w:p>
    <w:p w14:paraId="09039557" w14:textId="77777777" w:rsidR="00037491" w:rsidRPr="00DB4937" w:rsidRDefault="00037491" w:rsidP="00037491">
      <w:pPr>
        <w:spacing w:line="360" w:lineRule="auto"/>
        <w:jc w:val="both"/>
        <w:rPr>
          <w:rFonts w:ascii="Arial" w:hAnsi="Arial" w:cs="Arial"/>
        </w:rPr>
      </w:pPr>
      <w:r w:rsidRPr="00DB4937">
        <w:rPr>
          <w:rFonts w:ascii="Arial" w:hAnsi="Arial" w:cs="Arial"/>
          <w:b/>
          <w:bCs/>
        </w:rPr>
        <w:t>Formulas</w:t>
      </w:r>
    </w:p>
    <w:p w14:paraId="6984D503" w14:textId="77777777" w:rsidR="00037491" w:rsidRPr="00DB4937" w:rsidRDefault="00037491" w:rsidP="00037491">
      <w:pPr>
        <w:numPr>
          <w:ilvl w:val="0"/>
          <w:numId w:val="2"/>
        </w:numPr>
        <w:spacing w:line="360" w:lineRule="auto"/>
        <w:jc w:val="both"/>
        <w:rPr>
          <w:rFonts w:ascii="Arial" w:hAnsi="Arial" w:cs="Arial"/>
        </w:rPr>
      </w:pPr>
      <w:r w:rsidRPr="00DB4937">
        <w:rPr>
          <w:rFonts w:ascii="Arial" w:hAnsi="Arial" w:cs="Arial"/>
          <w:b/>
          <w:bCs/>
        </w:rPr>
        <w:t>Current ratio</w:t>
      </w:r>
      <w:r w:rsidRPr="00DB4937">
        <w:rPr>
          <w:rFonts w:ascii="Arial" w:hAnsi="Arial" w:cs="Arial"/>
        </w:rPr>
        <w:t xml:space="preserve"> = Total current assets / Total current liabilities</w:t>
      </w:r>
    </w:p>
    <w:p w14:paraId="27ECCCF3" w14:textId="77777777" w:rsidR="00037491" w:rsidRPr="00DB4937" w:rsidRDefault="00037491" w:rsidP="00037491">
      <w:pPr>
        <w:numPr>
          <w:ilvl w:val="0"/>
          <w:numId w:val="2"/>
        </w:numPr>
        <w:spacing w:line="360" w:lineRule="auto"/>
        <w:jc w:val="both"/>
        <w:rPr>
          <w:rFonts w:ascii="Arial" w:hAnsi="Arial" w:cs="Arial"/>
        </w:rPr>
      </w:pPr>
      <w:r w:rsidRPr="00DB4937">
        <w:rPr>
          <w:rFonts w:ascii="Arial" w:hAnsi="Arial" w:cs="Arial"/>
          <w:b/>
          <w:bCs/>
        </w:rPr>
        <w:t>Quick ratio</w:t>
      </w:r>
      <w:r w:rsidRPr="00DB4937">
        <w:rPr>
          <w:rFonts w:ascii="Arial" w:hAnsi="Arial" w:cs="Arial"/>
        </w:rPr>
        <w:t xml:space="preserve"> = (Cash + Accounts receivable + Contract assets + Income tax receivable) / Total current liabilities</w:t>
      </w:r>
    </w:p>
    <w:p w14:paraId="427F5F98" w14:textId="77777777" w:rsidR="00037491" w:rsidRPr="00DB4937" w:rsidRDefault="00037491" w:rsidP="00037491">
      <w:pPr>
        <w:numPr>
          <w:ilvl w:val="0"/>
          <w:numId w:val="2"/>
        </w:numPr>
        <w:spacing w:line="360" w:lineRule="auto"/>
        <w:jc w:val="both"/>
        <w:rPr>
          <w:rFonts w:ascii="Arial" w:hAnsi="Arial" w:cs="Arial"/>
        </w:rPr>
      </w:pPr>
      <w:r w:rsidRPr="00DB4937">
        <w:rPr>
          <w:rFonts w:ascii="Arial" w:hAnsi="Arial" w:cs="Arial"/>
          <w:b/>
          <w:bCs/>
        </w:rPr>
        <w:t>Cash ratio</w:t>
      </w:r>
      <w:r w:rsidRPr="00DB4937">
        <w:rPr>
          <w:rFonts w:ascii="Arial" w:hAnsi="Arial" w:cs="Arial"/>
        </w:rPr>
        <w:t xml:space="preserve"> = Cash / Total current liabilities</w:t>
      </w:r>
    </w:p>
    <w:tbl>
      <w:tblPr>
        <w:tblStyle w:val="TableGrid"/>
        <w:tblW w:w="0" w:type="auto"/>
        <w:tblLook w:val="04A0" w:firstRow="1" w:lastRow="0" w:firstColumn="1" w:lastColumn="0" w:noHBand="0" w:noVBand="1"/>
      </w:tblPr>
      <w:tblGrid>
        <w:gridCol w:w="1550"/>
        <w:gridCol w:w="750"/>
        <w:gridCol w:w="750"/>
        <w:gridCol w:w="750"/>
        <w:gridCol w:w="750"/>
        <w:gridCol w:w="750"/>
      </w:tblGrid>
      <w:tr w:rsidR="00037491" w:rsidRPr="00DB4937" w14:paraId="6C9E978D" w14:textId="77777777" w:rsidTr="00037491">
        <w:tc>
          <w:tcPr>
            <w:tcW w:w="0" w:type="auto"/>
            <w:hideMark/>
          </w:tcPr>
          <w:p w14:paraId="2B83117A"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Liquidity</w:t>
            </w:r>
          </w:p>
        </w:tc>
        <w:tc>
          <w:tcPr>
            <w:tcW w:w="0" w:type="auto"/>
            <w:hideMark/>
          </w:tcPr>
          <w:p w14:paraId="5E424531"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2024</w:t>
            </w:r>
          </w:p>
        </w:tc>
        <w:tc>
          <w:tcPr>
            <w:tcW w:w="0" w:type="auto"/>
            <w:hideMark/>
          </w:tcPr>
          <w:p w14:paraId="2F655AC5"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2023</w:t>
            </w:r>
          </w:p>
        </w:tc>
        <w:tc>
          <w:tcPr>
            <w:tcW w:w="0" w:type="auto"/>
            <w:hideMark/>
          </w:tcPr>
          <w:p w14:paraId="5E57F59B"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2022</w:t>
            </w:r>
          </w:p>
        </w:tc>
        <w:tc>
          <w:tcPr>
            <w:tcW w:w="0" w:type="auto"/>
            <w:hideMark/>
          </w:tcPr>
          <w:p w14:paraId="6F76246E"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2021</w:t>
            </w:r>
          </w:p>
        </w:tc>
        <w:tc>
          <w:tcPr>
            <w:tcW w:w="0" w:type="auto"/>
            <w:hideMark/>
          </w:tcPr>
          <w:p w14:paraId="22608A19"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2020</w:t>
            </w:r>
          </w:p>
        </w:tc>
      </w:tr>
      <w:tr w:rsidR="00037491" w:rsidRPr="00DB4937" w14:paraId="2FFC812C" w14:textId="77777777" w:rsidTr="00037491">
        <w:tc>
          <w:tcPr>
            <w:tcW w:w="0" w:type="auto"/>
            <w:hideMark/>
          </w:tcPr>
          <w:p w14:paraId="1B28FE73" w14:textId="77777777" w:rsidR="00037491" w:rsidRPr="00DB4937" w:rsidRDefault="00037491" w:rsidP="00037491">
            <w:pPr>
              <w:spacing w:after="160" w:line="360" w:lineRule="auto"/>
              <w:jc w:val="both"/>
              <w:rPr>
                <w:rFonts w:ascii="Arial" w:hAnsi="Arial" w:cs="Arial"/>
              </w:rPr>
            </w:pPr>
            <w:r w:rsidRPr="00DB4937">
              <w:rPr>
                <w:rFonts w:ascii="Arial" w:hAnsi="Arial" w:cs="Arial"/>
              </w:rPr>
              <w:t>Current ratio</w:t>
            </w:r>
          </w:p>
        </w:tc>
        <w:tc>
          <w:tcPr>
            <w:tcW w:w="0" w:type="auto"/>
            <w:hideMark/>
          </w:tcPr>
          <w:p w14:paraId="0EB64FEE" w14:textId="77777777" w:rsidR="00037491" w:rsidRPr="00DB4937" w:rsidRDefault="00037491" w:rsidP="00037491">
            <w:pPr>
              <w:spacing w:after="160" w:line="360" w:lineRule="auto"/>
              <w:jc w:val="both"/>
              <w:rPr>
                <w:rFonts w:ascii="Arial" w:hAnsi="Arial" w:cs="Arial"/>
              </w:rPr>
            </w:pPr>
            <w:r w:rsidRPr="00DB4937">
              <w:rPr>
                <w:rFonts w:ascii="Arial" w:hAnsi="Arial" w:cs="Arial"/>
              </w:rPr>
              <w:t>1.53</w:t>
            </w:r>
          </w:p>
        </w:tc>
        <w:tc>
          <w:tcPr>
            <w:tcW w:w="0" w:type="auto"/>
            <w:hideMark/>
          </w:tcPr>
          <w:p w14:paraId="03252240" w14:textId="77777777" w:rsidR="00037491" w:rsidRPr="00DB4937" w:rsidRDefault="00037491" w:rsidP="00037491">
            <w:pPr>
              <w:spacing w:after="160" w:line="360" w:lineRule="auto"/>
              <w:jc w:val="both"/>
              <w:rPr>
                <w:rFonts w:ascii="Arial" w:hAnsi="Arial" w:cs="Arial"/>
              </w:rPr>
            </w:pPr>
            <w:r w:rsidRPr="00DB4937">
              <w:rPr>
                <w:rFonts w:ascii="Arial" w:hAnsi="Arial" w:cs="Arial"/>
              </w:rPr>
              <w:t>1.61</w:t>
            </w:r>
          </w:p>
        </w:tc>
        <w:tc>
          <w:tcPr>
            <w:tcW w:w="0" w:type="auto"/>
            <w:hideMark/>
          </w:tcPr>
          <w:p w14:paraId="429F9AFC" w14:textId="77777777" w:rsidR="00037491" w:rsidRPr="00DB4937" w:rsidRDefault="00037491" w:rsidP="00037491">
            <w:pPr>
              <w:spacing w:after="160" w:line="360" w:lineRule="auto"/>
              <w:jc w:val="both"/>
              <w:rPr>
                <w:rFonts w:ascii="Arial" w:hAnsi="Arial" w:cs="Arial"/>
              </w:rPr>
            </w:pPr>
            <w:r w:rsidRPr="00DB4937">
              <w:rPr>
                <w:rFonts w:ascii="Arial" w:hAnsi="Arial" w:cs="Arial"/>
              </w:rPr>
              <w:t>1.56</w:t>
            </w:r>
          </w:p>
        </w:tc>
        <w:tc>
          <w:tcPr>
            <w:tcW w:w="0" w:type="auto"/>
            <w:hideMark/>
          </w:tcPr>
          <w:p w14:paraId="00099610" w14:textId="77777777" w:rsidR="00037491" w:rsidRPr="00DB4937" w:rsidRDefault="00037491" w:rsidP="00037491">
            <w:pPr>
              <w:spacing w:after="160" w:line="360" w:lineRule="auto"/>
              <w:jc w:val="both"/>
              <w:rPr>
                <w:rFonts w:ascii="Arial" w:hAnsi="Arial" w:cs="Arial"/>
              </w:rPr>
            </w:pPr>
            <w:r w:rsidRPr="00DB4937">
              <w:rPr>
                <w:rFonts w:ascii="Arial" w:hAnsi="Arial" w:cs="Arial"/>
              </w:rPr>
              <w:t>1.56</w:t>
            </w:r>
          </w:p>
        </w:tc>
        <w:tc>
          <w:tcPr>
            <w:tcW w:w="0" w:type="auto"/>
            <w:hideMark/>
          </w:tcPr>
          <w:p w14:paraId="0ACE8622" w14:textId="77777777" w:rsidR="00037491" w:rsidRPr="00DB4937" w:rsidRDefault="00037491" w:rsidP="00037491">
            <w:pPr>
              <w:spacing w:after="160" w:line="360" w:lineRule="auto"/>
              <w:jc w:val="both"/>
              <w:rPr>
                <w:rFonts w:ascii="Arial" w:hAnsi="Arial" w:cs="Arial"/>
              </w:rPr>
            </w:pPr>
            <w:r w:rsidRPr="00DB4937">
              <w:rPr>
                <w:rFonts w:ascii="Arial" w:hAnsi="Arial" w:cs="Arial"/>
              </w:rPr>
              <w:t>1.82</w:t>
            </w:r>
          </w:p>
        </w:tc>
      </w:tr>
      <w:tr w:rsidR="00037491" w:rsidRPr="00DB4937" w14:paraId="1AAB05B0" w14:textId="77777777" w:rsidTr="00037491">
        <w:tc>
          <w:tcPr>
            <w:tcW w:w="0" w:type="auto"/>
            <w:hideMark/>
          </w:tcPr>
          <w:p w14:paraId="04F44CAC" w14:textId="77777777" w:rsidR="00037491" w:rsidRPr="00DB4937" w:rsidRDefault="00037491" w:rsidP="00037491">
            <w:pPr>
              <w:spacing w:after="160" w:line="360" w:lineRule="auto"/>
              <w:jc w:val="both"/>
              <w:rPr>
                <w:rFonts w:ascii="Arial" w:hAnsi="Arial" w:cs="Arial"/>
              </w:rPr>
            </w:pPr>
            <w:r w:rsidRPr="00DB4937">
              <w:rPr>
                <w:rFonts w:ascii="Arial" w:hAnsi="Arial" w:cs="Arial"/>
              </w:rPr>
              <w:t>Quick ratio</w:t>
            </w:r>
          </w:p>
        </w:tc>
        <w:tc>
          <w:tcPr>
            <w:tcW w:w="0" w:type="auto"/>
            <w:hideMark/>
          </w:tcPr>
          <w:p w14:paraId="2B2E2206" w14:textId="77777777" w:rsidR="00037491" w:rsidRPr="00DB4937" w:rsidRDefault="00037491" w:rsidP="00037491">
            <w:pPr>
              <w:spacing w:after="160" w:line="360" w:lineRule="auto"/>
              <w:jc w:val="both"/>
              <w:rPr>
                <w:rFonts w:ascii="Arial" w:hAnsi="Arial" w:cs="Arial"/>
              </w:rPr>
            </w:pPr>
            <w:r w:rsidRPr="00DB4937">
              <w:rPr>
                <w:rFonts w:ascii="Arial" w:hAnsi="Arial" w:cs="Arial"/>
              </w:rPr>
              <w:t>0.97</w:t>
            </w:r>
          </w:p>
        </w:tc>
        <w:tc>
          <w:tcPr>
            <w:tcW w:w="0" w:type="auto"/>
            <w:hideMark/>
          </w:tcPr>
          <w:p w14:paraId="23DC1B38" w14:textId="77777777" w:rsidR="00037491" w:rsidRPr="00DB4937" w:rsidRDefault="00037491" w:rsidP="00037491">
            <w:pPr>
              <w:spacing w:after="160" w:line="360" w:lineRule="auto"/>
              <w:jc w:val="both"/>
              <w:rPr>
                <w:rFonts w:ascii="Arial" w:hAnsi="Arial" w:cs="Arial"/>
              </w:rPr>
            </w:pPr>
            <w:r w:rsidRPr="00DB4937">
              <w:rPr>
                <w:rFonts w:ascii="Arial" w:hAnsi="Arial" w:cs="Arial"/>
              </w:rPr>
              <w:t>1.01</w:t>
            </w:r>
          </w:p>
        </w:tc>
        <w:tc>
          <w:tcPr>
            <w:tcW w:w="0" w:type="auto"/>
            <w:hideMark/>
          </w:tcPr>
          <w:p w14:paraId="4E0D016B" w14:textId="77777777" w:rsidR="00037491" w:rsidRPr="00DB4937" w:rsidRDefault="00037491" w:rsidP="00037491">
            <w:pPr>
              <w:spacing w:after="160" w:line="360" w:lineRule="auto"/>
              <w:jc w:val="both"/>
              <w:rPr>
                <w:rFonts w:ascii="Arial" w:hAnsi="Arial" w:cs="Arial"/>
              </w:rPr>
            </w:pPr>
            <w:r w:rsidRPr="00DB4937">
              <w:rPr>
                <w:rFonts w:ascii="Arial" w:hAnsi="Arial" w:cs="Arial"/>
              </w:rPr>
              <w:t>0.88</w:t>
            </w:r>
          </w:p>
        </w:tc>
        <w:tc>
          <w:tcPr>
            <w:tcW w:w="0" w:type="auto"/>
            <w:hideMark/>
          </w:tcPr>
          <w:p w14:paraId="63FC4A0C" w14:textId="77777777" w:rsidR="00037491" w:rsidRPr="00DB4937" w:rsidRDefault="00037491" w:rsidP="00037491">
            <w:pPr>
              <w:spacing w:after="160" w:line="360" w:lineRule="auto"/>
              <w:jc w:val="both"/>
              <w:rPr>
                <w:rFonts w:ascii="Arial" w:hAnsi="Arial" w:cs="Arial"/>
              </w:rPr>
            </w:pPr>
            <w:r w:rsidRPr="00DB4937">
              <w:rPr>
                <w:rFonts w:ascii="Arial" w:hAnsi="Arial" w:cs="Arial"/>
              </w:rPr>
              <w:t>0.90</w:t>
            </w:r>
          </w:p>
        </w:tc>
        <w:tc>
          <w:tcPr>
            <w:tcW w:w="0" w:type="auto"/>
            <w:hideMark/>
          </w:tcPr>
          <w:p w14:paraId="60B1A8F1" w14:textId="77777777" w:rsidR="00037491" w:rsidRPr="00DB4937" w:rsidRDefault="00037491" w:rsidP="00037491">
            <w:pPr>
              <w:spacing w:after="160" w:line="360" w:lineRule="auto"/>
              <w:jc w:val="both"/>
              <w:rPr>
                <w:rFonts w:ascii="Arial" w:hAnsi="Arial" w:cs="Arial"/>
              </w:rPr>
            </w:pPr>
            <w:r w:rsidRPr="00DB4937">
              <w:rPr>
                <w:rFonts w:ascii="Arial" w:hAnsi="Arial" w:cs="Arial"/>
              </w:rPr>
              <w:t>1.11</w:t>
            </w:r>
          </w:p>
        </w:tc>
      </w:tr>
      <w:tr w:rsidR="00037491" w:rsidRPr="00DB4937" w14:paraId="25EBBA27" w14:textId="77777777" w:rsidTr="00037491">
        <w:tc>
          <w:tcPr>
            <w:tcW w:w="0" w:type="auto"/>
            <w:hideMark/>
          </w:tcPr>
          <w:p w14:paraId="2E05E623" w14:textId="77777777" w:rsidR="00037491" w:rsidRPr="00DB4937" w:rsidRDefault="00037491" w:rsidP="00037491">
            <w:pPr>
              <w:spacing w:after="160" w:line="360" w:lineRule="auto"/>
              <w:jc w:val="both"/>
              <w:rPr>
                <w:rFonts w:ascii="Arial" w:hAnsi="Arial" w:cs="Arial"/>
              </w:rPr>
            </w:pPr>
            <w:r w:rsidRPr="00DB4937">
              <w:rPr>
                <w:rFonts w:ascii="Arial" w:hAnsi="Arial" w:cs="Arial"/>
              </w:rPr>
              <w:t>Cash ratio</w:t>
            </w:r>
          </w:p>
        </w:tc>
        <w:tc>
          <w:tcPr>
            <w:tcW w:w="0" w:type="auto"/>
            <w:hideMark/>
          </w:tcPr>
          <w:p w14:paraId="335AA535" w14:textId="77777777" w:rsidR="00037491" w:rsidRPr="00DB4937" w:rsidRDefault="00037491" w:rsidP="00037491">
            <w:pPr>
              <w:spacing w:after="160" w:line="360" w:lineRule="auto"/>
              <w:jc w:val="both"/>
              <w:rPr>
                <w:rFonts w:ascii="Arial" w:hAnsi="Arial" w:cs="Arial"/>
              </w:rPr>
            </w:pPr>
            <w:r w:rsidRPr="00DB4937">
              <w:rPr>
                <w:rFonts w:ascii="Arial" w:hAnsi="Arial" w:cs="Arial"/>
              </w:rPr>
              <w:t>0.17</w:t>
            </w:r>
          </w:p>
        </w:tc>
        <w:tc>
          <w:tcPr>
            <w:tcW w:w="0" w:type="auto"/>
            <w:hideMark/>
          </w:tcPr>
          <w:p w14:paraId="3780A996" w14:textId="77777777" w:rsidR="00037491" w:rsidRPr="00DB4937" w:rsidRDefault="00037491" w:rsidP="00037491">
            <w:pPr>
              <w:spacing w:after="160" w:line="360" w:lineRule="auto"/>
              <w:jc w:val="both"/>
              <w:rPr>
                <w:rFonts w:ascii="Arial" w:hAnsi="Arial" w:cs="Arial"/>
              </w:rPr>
            </w:pPr>
            <w:r w:rsidRPr="00DB4937">
              <w:rPr>
                <w:rFonts w:ascii="Arial" w:hAnsi="Arial" w:cs="Arial"/>
              </w:rPr>
              <w:t>0.27</w:t>
            </w:r>
          </w:p>
        </w:tc>
        <w:tc>
          <w:tcPr>
            <w:tcW w:w="0" w:type="auto"/>
            <w:hideMark/>
          </w:tcPr>
          <w:p w14:paraId="5DF6B655" w14:textId="77777777" w:rsidR="00037491" w:rsidRPr="00DB4937" w:rsidRDefault="00037491" w:rsidP="00037491">
            <w:pPr>
              <w:spacing w:after="160" w:line="360" w:lineRule="auto"/>
              <w:jc w:val="both"/>
              <w:rPr>
                <w:rFonts w:ascii="Arial" w:hAnsi="Arial" w:cs="Arial"/>
              </w:rPr>
            </w:pPr>
            <w:r w:rsidRPr="00DB4937">
              <w:rPr>
                <w:rFonts w:ascii="Arial" w:hAnsi="Arial" w:cs="Arial"/>
              </w:rPr>
              <w:t>0.31</w:t>
            </w:r>
          </w:p>
        </w:tc>
        <w:tc>
          <w:tcPr>
            <w:tcW w:w="0" w:type="auto"/>
            <w:hideMark/>
          </w:tcPr>
          <w:p w14:paraId="5CBDC8B9" w14:textId="77777777" w:rsidR="00037491" w:rsidRPr="00DB4937" w:rsidRDefault="00037491" w:rsidP="00037491">
            <w:pPr>
              <w:spacing w:after="160" w:line="360" w:lineRule="auto"/>
              <w:jc w:val="both"/>
              <w:rPr>
                <w:rFonts w:ascii="Arial" w:hAnsi="Arial" w:cs="Arial"/>
              </w:rPr>
            </w:pPr>
            <w:r w:rsidRPr="00DB4937">
              <w:rPr>
                <w:rFonts w:ascii="Arial" w:hAnsi="Arial" w:cs="Arial"/>
              </w:rPr>
              <w:t>0.28</w:t>
            </w:r>
          </w:p>
        </w:tc>
        <w:tc>
          <w:tcPr>
            <w:tcW w:w="0" w:type="auto"/>
            <w:hideMark/>
          </w:tcPr>
          <w:p w14:paraId="77CA45FC" w14:textId="77777777" w:rsidR="00037491" w:rsidRPr="00DB4937" w:rsidRDefault="00037491" w:rsidP="00037491">
            <w:pPr>
              <w:spacing w:after="160" w:line="360" w:lineRule="auto"/>
              <w:jc w:val="both"/>
              <w:rPr>
                <w:rFonts w:ascii="Arial" w:hAnsi="Arial" w:cs="Arial"/>
              </w:rPr>
            </w:pPr>
            <w:r w:rsidRPr="00DB4937">
              <w:rPr>
                <w:rFonts w:ascii="Arial" w:hAnsi="Arial" w:cs="Arial"/>
              </w:rPr>
              <w:t>0.32</w:t>
            </w:r>
          </w:p>
        </w:tc>
      </w:tr>
    </w:tbl>
    <w:p w14:paraId="3F6B9774" w14:textId="0846B4E3" w:rsidR="00037491" w:rsidRPr="00DB4937" w:rsidRDefault="00037491" w:rsidP="00037491">
      <w:pPr>
        <w:spacing w:line="360" w:lineRule="auto"/>
        <w:jc w:val="both"/>
        <w:rPr>
          <w:rFonts w:ascii="Arial" w:hAnsi="Arial" w:cs="Arial"/>
        </w:rPr>
      </w:pPr>
    </w:p>
    <w:p w14:paraId="1D9E22F8" w14:textId="77777777" w:rsidR="00037491" w:rsidRPr="00DB4937" w:rsidRDefault="00037491" w:rsidP="00037491">
      <w:pPr>
        <w:spacing w:line="360" w:lineRule="auto"/>
        <w:jc w:val="both"/>
        <w:rPr>
          <w:rFonts w:ascii="Arial" w:hAnsi="Arial" w:cs="Arial"/>
          <w:b/>
          <w:bCs/>
        </w:rPr>
      </w:pPr>
      <w:r w:rsidRPr="00DB4937">
        <w:rPr>
          <w:rFonts w:ascii="Arial" w:hAnsi="Arial" w:cs="Arial"/>
          <w:b/>
          <w:bCs/>
        </w:rPr>
        <w:t>3) Efficiency ratios</w:t>
      </w:r>
    </w:p>
    <w:p w14:paraId="56B0582A" w14:textId="77777777" w:rsidR="00037491" w:rsidRPr="00DB4937" w:rsidRDefault="00037491" w:rsidP="00037491">
      <w:pPr>
        <w:spacing w:line="360" w:lineRule="auto"/>
        <w:jc w:val="both"/>
        <w:rPr>
          <w:rFonts w:ascii="Arial" w:hAnsi="Arial" w:cs="Arial"/>
        </w:rPr>
      </w:pPr>
      <w:r w:rsidRPr="00DB4937">
        <w:rPr>
          <w:rFonts w:ascii="Arial" w:hAnsi="Arial" w:cs="Arial"/>
          <w:b/>
          <w:bCs/>
        </w:rPr>
        <w:t>Formulas</w:t>
      </w:r>
    </w:p>
    <w:p w14:paraId="46331574"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Asset turnover</w:t>
      </w:r>
      <w:r w:rsidRPr="00DB4937">
        <w:rPr>
          <w:rFonts w:ascii="Arial" w:hAnsi="Arial" w:cs="Arial"/>
        </w:rPr>
        <w:t xml:space="preserve"> = Net sales / Average total assets</w:t>
      </w:r>
    </w:p>
    <w:p w14:paraId="30CAE6F2"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Inventory turnover</w:t>
      </w:r>
      <w:r w:rsidRPr="00DB4937">
        <w:rPr>
          <w:rFonts w:ascii="Arial" w:hAnsi="Arial" w:cs="Arial"/>
        </w:rPr>
        <w:t xml:space="preserve"> = Cost of sales / Average inventories</w:t>
      </w:r>
    </w:p>
    <w:p w14:paraId="730AA9A7"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Days inventory (DIO)</w:t>
      </w:r>
      <w:r w:rsidRPr="00DB4937">
        <w:rPr>
          <w:rFonts w:ascii="Arial" w:hAnsi="Arial" w:cs="Arial"/>
        </w:rPr>
        <w:t xml:space="preserve"> = 365 / Inventory turnover</w:t>
      </w:r>
    </w:p>
    <w:p w14:paraId="7B1B6067"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Receivables turnover</w:t>
      </w:r>
      <w:r w:rsidRPr="00DB4937">
        <w:rPr>
          <w:rFonts w:ascii="Arial" w:hAnsi="Arial" w:cs="Arial"/>
        </w:rPr>
        <w:t xml:space="preserve"> = Net sales / Average (Accounts receivable + Contract assets)</w:t>
      </w:r>
    </w:p>
    <w:p w14:paraId="644E4F9E"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DSO (days)</w:t>
      </w:r>
      <w:r w:rsidRPr="00DB4937">
        <w:rPr>
          <w:rFonts w:ascii="Arial" w:hAnsi="Arial" w:cs="Arial"/>
        </w:rPr>
        <w:t xml:space="preserve"> = 365 / Receivables turnover</w:t>
      </w:r>
    </w:p>
    <w:p w14:paraId="2B515883"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Payables turnover</w:t>
      </w:r>
      <w:r w:rsidRPr="00DB4937">
        <w:rPr>
          <w:rFonts w:ascii="Arial" w:hAnsi="Arial" w:cs="Arial"/>
        </w:rPr>
        <w:t xml:space="preserve"> = Cost of sales / Average accounts payable</w:t>
      </w:r>
    </w:p>
    <w:p w14:paraId="6ABD5395"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DPO (days)</w:t>
      </w:r>
      <w:r w:rsidRPr="00DB4937">
        <w:rPr>
          <w:rFonts w:ascii="Arial" w:hAnsi="Arial" w:cs="Arial"/>
        </w:rPr>
        <w:t xml:space="preserve"> = 365 / Payables turnover</w:t>
      </w:r>
    </w:p>
    <w:p w14:paraId="7C3C6B98" w14:textId="77777777" w:rsidR="00037491" w:rsidRPr="00DB4937" w:rsidRDefault="00037491" w:rsidP="00037491">
      <w:pPr>
        <w:numPr>
          <w:ilvl w:val="0"/>
          <w:numId w:val="3"/>
        </w:numPr>
        <w:spacing w:line="360" w:lineRule="auto"/>
        <w:jc w:val="both"/>
        <w:rPr>
          <w:rFonts w:ascii="Arial" w:hAnsi="Arial" w:cs="Arial"/>
        </w:rPr>
      </w:pPr>
      <w:r w:rsidRPr="00DB4937">
        <w:rPr>
          <w:rFonts w:ascii="Arial" w:hAnsi="Arial" w:cs="Arial"/>
          <w:b/>
          <w:bCs/>
        </w:rPr>
        <w:t>Cash conversion cycle (CCC)</w:t>
      </w:r>
      <w:r w:rsidRPr="00DB4937">
        <w:rPr>
          <w:rFonts w:ascii="Arial" w:hAnsi="Arial" w:cs="Arial"/>
        </w:rPr>
        <w:t xml:space="preserve"> = DIO + DSO − DPO</w:t>
      </w:r>
    </w:p>
    <w:tbl>
      <w:tblPr>
        <w:tblStyle w:val="TableGrid"/>
        <w:tblW w:w="0" w:type="auto"/>
        <w:tblLook w:val="04A0" w:firstRow="1" w:lastRow="0" w:firstColumn="1" w:lastColumn="0" w:noHBand="0" w:noVBand="1"/>
      </w:tblPr>
      <w:tblGrid>
        <w:gridCol w:w="3351"/>
        <w:gridCol w:w="817"/>
        <w:gridCol w:w="817"/>
        <w:gridCol w:w="817"/>
        <w:gridCol w:w="817"/>
        <w:gridCol w:w="817"/>
      </w:tblGrid>
      <w:tr w:rsidR="00037491" w:rsidRPr="00DB4937" w14:paraId="57E021E1" w14:textId="77777777" w:rsidTr="00037491">
        <w:tc>
          <w:tcPr>
            <w:tcW w:w="0" w:type="auto"/>
            <w:hideMark/>
          </w:tcPr>
          <w:p w14:paraId="34F898B6"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Efficiency</w:t>
            </w:r>
          </w:p>
        </w:tc>
        <w:tc>
          <w:tcPr>
            <w:tcW w:w="0" w:type="auto"/>
            <w:hideMark/>
          </w:tcPr>
          <w:p w14:paraId="40074693"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2024</w:t>
            </w:r>
          </w:p>
        </w:tc>
        <w:tc>
          <w:tcPr>
            <w:tcW w:w="0" w:type="auto"/>
            <w:hideMark/>
          </w:tcPr>
          <w:p w14:paraId="722B41AD"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2023</w:t>
            </w:r>
          </w:p>
        </w:tc>
        <w:tc>
          <w:tcPr>
            <w:tcW w:w="0" w:type="auto"/>
            <w:hideMark/>
          </w:tcPr>
          <w:p w14:paraId="0083869C"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2022</w:t>
            </w:r>
          </w:p>
        </w:tc>
        <w:tc>
          <w:tcPr>
            <w:tcW w:w="0" w:type="auto"/>
            <w:hideMark/>
          </w:tcPr>
          <w:p w14:paraId="50CFAC6B"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2021</w:t>
            </w:r>
          </w:p>
        </w:tc>
        <w:tc>
          <w:tcPr>
            <w:tcW w:w="0" w:type="auto"/>
            <w:hideMark/>
          </w:tcPr>
          <w:p w14:paraId="4A1662FB"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2020</w:t>
            </w:r>
          </w:p>
        </w:tc>
      </w:tr>
      <w:tr w:rsidR="00037491" w:rsidRPr="00DB4937" w14:paraId="29A5B8E0" w14:textId="77777777" w:rsidTr="00037491">
        <w:tc>
          <w:tcPr>
            <w:tcW w:w="0" w:type="auto"/>
            <w:hideMark/>
          </w:tcPr>
          <w:p w14:paraId="4C80A7C1" w14:textId="77777777" w:rsidR="00037491" w:rsidRPr="00DB4937" w:rsidRDefault="00037491" w:rsidP="00037491">
            <w:pPr>
              <w:spacing w:after="160" w:line="360" w:lineRule="auto"/>
              <w:jc w:val="both"/>
              <w:rPr>
                <w:rFonts w:ascii="Arial" w:hAnsi="Arial" w:cs="Arial"/>
              </w:rPr>
            </w:pPr>
            <w:r w:rsidRPr="00DB4937">
              <w:rPr>
                <w:rFonts w:ascii="Arial" w:hAnsi="Arial" w:cs="Arial"/>
              </w:rPr>
              <w:t>Asset turnover</w:t>
            </w:r>
          </w:p>
        </w:tc>
        <w:tc>
          <w:tcPr>
            <w:tcW w:w="0" w:type="auto"/>
            <w:hideMark/>
          </w:tcPr>
          <w:p w14:paraId="7EB069FB" w14:textId="77777777" w:rsidR="00037491" w:rsidRPr="00DB4937" w:rsidRDefault="00037491" w:rsidP="00037491">
            <w:pPr>
              <w:spacing w:after="160" w:line="360" w:lineRule="auto"/>
              <w:jc w:val="both"/>
              <w:rPr>
                <w:rFonts w:ascii="Arial" w:hAnsi="Arial" w:cs="Arial"/>
              </w:rPr>
            </w:pPr>
            <w:r w:rsidRPr="00DB4937">
              <w:rPr>
                <w:rFonts w:ascii="Arial" w:hAnsi="Arial" w:cs="Arial"/>
              </w:rPr>
              <w:t>1.16x</w:t>
            </w:r>
          </w:p>
        </w:tc>
        <w:tc>
          <w:tcPr>
            <w:tcW w:w="0" w:type="auto"/>
            <w:hideMark/>
          </w:tcPr>
          <w:p w14:paraId="50DEBE57" w14:textId="77777777" w:rsidR="00037491" w:rsidRPr="00DB4937" w:rsidRDefault="00037491" w:rsidP="00037491">
            <w:pPr>
              <w:spacing w:after="160" w:line="360" w:lineRule="auto"/>
              <w:jc w:val="both"/>
              <w:rPr>
                <w:rFonts w:ascii="Arial" w:hAnsi="Arial" w:cs="Arial"/>
              </w:rPr>
            </w:pPr>
            <w:r w:rsidRPr="00DB4937">
              <w:rPr>
                <w:rFonts w:ascii="Arial" w:hAnsi="Arial" w:cs="Arial"/>
              </w:rPr>
              <w:t>0.98x</w:t>
            </w:r>
          </w:p>
        </w:tc>
        <w:tc>
          <w:tcPr>
            <w:tcW w:w="0" w:type="auto"/>
            <w:hideMark/>
          </w:tcPr>
          <w:p w14:paraId="0C38E8B3" w14:textId="77777777" w:rsidR="00037491" w:rsidRPr="00DB4937" w:rsidRDefault="00037491" w:rsidP="00037491">
            <w:pPr>
              <w:spacing w:after="160" w:line="360" w:lineRule="auto"/>
              <w:jc w:val="both"/>
              <w:rPr>
                <w:rFonts w:ascii="Arial" w:hAnsi="Arial" w:cs="Arial"/>
              </w:rPr>
            </w:pPr>
            <w:r w:rsidRPr="00DB4937">
              <w:rPr>
                <w:rFonts w:ascii="Arial" w:hAnsi="Arial" w:cs="Arial"/>
              </w:rPr>
              <w:t>1.07x</w:t>
            </w:r>
          </w:p>
        </w:tc>
        <w:tc>
          <w:tcPr>
            <w:tcW w:w="0" w:type="auto"/>
            <w:hideMark/>
          </w:tcPr>
          <w:p w14:paraId="7E43CD60" w14:textId="77777777" w:rsidR="00037491" w:rsidRPr="00DB4937" w:rsidRDefault="00037491" w:rsidP="00037491">
            <w:pPr>
              <w:spacing w:after="160" w:line="360" w:lineRule="auto"/>
              <w:jc w:val="both"/>
              <w:rPr>
                <w:rFonts w:ascii="Arial" w:hAnsi="Arial" w:cs="Arial"/>
              </w:rPr>
            </w:pPr>
            <w:r w:rsidRPr="00DB4937">
              <w:rPr>
                <w:rFonts w:ascii="Arial" w:hAnsi="Arial" w:cs="Arial"/>
              </w:rPr>
              <w:t>1.18x</w:t>
            </w:r>
          </w:p>
        </w:tc>
        <w:tc>
          <w:tcPr>
            <w:tcW w:w="0" w:type="auto"/>
            <w:hideMark/>
          </w:tcPr>
          <w:p w14:paraId="0A2ADE7B" w14:textId="77777777" w:rsidR="00037491" w:rsidRPr="00DB4937" w:rsidRDefault="00037491" w:rsidP="00037491">
            <w:pPr>
              <w:spacing w:after="160" w:line="360" w:lineRule="auto"/>
              <w:jc w:val="both"/>
              <w:rPr>
                <w:rFonts w:ascii="Arial" w:hAnsi="Arial" w:cs="Arial"/>
              </w:rPr>
            </w:pPr>
            <w:r w:rsidRPr="00DB4937">
              <w:rPr>
                <w:rFonts w:ascii="Arial" w:hAnsi="Arial" w:cs="Arial"/>
              </w:rPr>
              <w:t>1.20x</w:t>
            </w:r>
          </w:p>
        </w:tc>
      </w:tr>
      <w:tr w:rsidR="00037491" w:rsidRPr="00DB4937" w14:paraId="3099BD4B" w14:textId="77777777" w:rsidTr="00037491">
        <w:tc>
          <w:tcPr>
            <w:tcW w:w="0" w:type="auto"/>
            <w:hideMark/>
          </w:tcPr>
          <w:p w14:paraId="55B238F3" w14:textId="77777777" w:rsidR="00037491" w:rsidRPr="00DB4937" w:rsidRDefault="00037491" w:rsidP="00037491">
            <w:pPr>
              <w:spacing w:after="160" w:line="360" w:lineRule="auto"/>
              <w:jc w:val="both"/>
              <w:rPr>
                <w:rFonts w:ascii="Arial" w:hAnsi="Arial" w:cs="Arial"/>
              </w:rPr>
            </w:pPr>
            <w:r w:rsidRPr="00DB4937">
              <w:rPr>
                <w:rFonts w:ascii="Arial" w:hAnsi="Arial" w:cs="Arial"/>
              </w:rPr>
              <w:lastRenderedPageBreak/>
              <w:t>Inventory turnover</w:t>
            </w:r>
          </w:p>
        </w:tc>
        <w:tc>
          <w:tcPr>
            <w:tcW w:w="0" w:type="auto"/>
            <w:hideMark/>
          </w:tcPr>
          <w:p w14:paraId="313F985F" w14:textId="77777777" w:rsidR="00037491" w:rsidRPr="00DB4937" w:rsidRDefault="00037491" w:rsidP="00037491">
            <w:pPr>
              <w:spacing w:after="160" w:line="360" w:lineRule="auto"/>
              <w:jc w:val="both"/>
              <w:rPr>
                <w:rFonts w:ascii="Arial" w:hAnsi="Arial" w:cs="Arial"/>
              </w:rPr>
            </w:pPr>
            <w:r w:rsidRPr="00DB4937">
              <w:rPr>
                <w:rFonts w:ascii="Arial" w:hAnsi="Arial" w:cs="Arial"/>
              </w:rPr>
              <w:t>3.35x</w:t>
            </w:r>
          </w:p>
        </w:tc>
        <w:tc>
          <w:tcPr>
            <w:tcW w:w="0" w:type="auto"/>
            <w:hideMark/>
          </w:tcPr>
          <w:p w14:paraId="6FC54309" w14:textId="77777777" w:rsidR="00037491" w:rsidRPr="00DB4937" w:rsidRDefault="00037491" w:rsidP="00037491">
            <w:pPr>
              <w:spacing w:after="160" w:line="360" w:lineRule="auto"/>
              <w:jc w:val="both"/>
              <w:rPr>
                <w:rFonts w:ascii="Arial" w:hAnsi="Arial" w:cs="Arial"/>
              </w:rPr>
            </w:pPr>
            <w:r w:rsidRPr="00DB4937">
              <w:rPr>
                <w:rFonts w:ascii="Arial" w:hAnsi="Arial" w:cs="Arial"/>
              </w:rPr>
              <w:t>2.83x</w:t>
            </w:r>
          </w:p>
        </w:tc>
        <w:tc>
          <w:tcPr>
            <w:tcW w:w="0" w:type="auto"/>
            <w:hideMark/>
          </w:tcPr>
          <w:p w14:paraId="7DA997E4" w14:textId="77777777" w:rsidR="00037491" w:rsidRPr="00DB4937" w:rsidRDefault="00037491" w:rsidP="00037491">
            <w:pPr>
              <w:spacing w:after="160" w:line="360" w:lineRule="auto"/>
              <w:jc w:val="both"/>
              <w:rPr>
                <w:rFonts w:ascii="Arial" w:hAnsi="Arial" w:cs="Arial"/>
              </w:rPr>
            </w:pPr>
            <w:r w:rsidRPr="00DB4937">
              <w:rPr>
                <w:rFonts w:ascii="Arial" w:hAnsi="Arial" w:cs="Arial"/>
              </w:rPr>
              <w:t>2.84x</w:t>
            </w:r>
          </w:p>
        </w:tc>
        <w:tc>
          <w:tcPr>
            <w:tcW w:w="0" w:type="auto"/>
            <w:hideMark/>
          </w:tcPr>
          <w:p w14:paraId="6E350E1F" w14:textId="77777777" w:rsidR="00037491" w:rsidRPr="00DB4937" w:rsidRDefault="00037491" w:rsidP="00037491">
            <w:pPr>
              <w:spacing w:after="160" w:line="360" w:lineRule="auto"/>
              <w:jc w:val="both"/>
              <w:rPr>
                <w:rFonts w:ascii="Arial" w:hAnsi="Arial" w:cs="Arial"/>
              </w:rPr>
            </w:pPr>
            <w:r w:rsidRPr="00DB4937">
              <w:rPr>
                <w:rFonts w:ascii="Arial" w:hAnsi="Arial" w:cs="Arial"/>
              </w:rPr>
              <w:t>3.36x</w:t>
            </w:r>
          </w:p>
        </w:tc>
        <w:tc>
          <w:tcPr>
            <w:tcW w:w="0" w:type="auto"/>
            <w:hideMark/>
          </w:tcPr>
          <w:p w14:paraId="046BA4B1" w14:textId="77777777" w:rsidR="00037491" w:rsidRPr="00DB4937" w:rsidRDefault="00037491" w:rsidP="00037491">
            <w:pPr>
              <w:spacing w:after="160" w:line="360" w:lineRule="auto"/>
              <w:jc w:val="both"/>
              <w:rPr>
                <w:rFonts w:ascii="Arial" w:hAnsi="Arial" w:cs="Arial"/>
              </w:rPr>
            </w:pPr>
            <w:r w:rsidRPr="00DB4937">
              <w:rPr>
                <w:rFonts w:ascii="Arial" w:hAnsi="Arial" w:cs="Arial"/>
              </w:rPr>
              <w:t>3.64x</w:t>
            </w:r>
          </w:p>
        </w:tc>
      </w:tr>
      <w:tr w:rsidR="00037491" w:rsidRPr="00DB4937" w14:paraId="0E15DCBA" w14:textId="77777777" w:rsidTr="00037491">
        <w:tc>
          <w:tcPr>
            <w:tcW w:w="0" w:type="auto"/>
            <w:hideMark/>
          </w:tcPr>
          <w:p w14:paraId="14FFB96B" w14:textId="77777777" w:rsidR="00037491" w:rsidRPr="00DB4937" w:rsidRDefault="00037491" w:rsidP="00037491">
            <w:pPr>
              <w:spacing w:after="160" w:line="360" w:lineRule="auto"/>
              <w:jc w:val="both"/>
              <w:rPr>
                <w:rFonts w:ascii="Arial" w:hAnsi="Arial" w:cs="Arial"/>
              </w:rPr>
            </w:pPr>
            <w:r w:rsidRPr="00DB4937">
              <w:rPr>
                <w:rFonts w:ascii="Arial" w:hAnsi="Arial" w:cs="Arial"/>
              </w:rPr>
              <w:t>Days inventory (DIO)</w:t>
            </w:r>
          </w:p>
        </w:tc>
        <w:tc>
          <w:tcPr>
            <w:tcW w:w="0" w:type="auto"/>
            <w:hideMark/>
          </w:tcPr>
          <w:p w14:paraId="3179092D" w14:textId="77777777" w:rsidR="00037491" w:rsidRPr="00DB4937" w:rsidRDefault="00037491" w:rsidP="00037491">
            <w:pPr>
              <w:spacing w:after="160" w:line="360" w:lineRule="auto"/>
              <w:jc w:val="both"/>
              <w:rPr>
                <w:rFonts w:ascii="Arial" w:hAnsi="Arial" w:cs="Arial"/>
              </w:rPr>
            </w:pPr>
            <w:r w:rsidRPr="00DB4937">
              <w:rPr>
                <w:rFonts w:ascii="Arial" w:hAnsi="Arial" w:cs="Arial"/>
              </w:rPr>
              <w:t>108.9</w:t>
            </w:r>
          </w:p>
        </w:tc>
        <w:tc>
          <w:tcPr>
            <w:tcW w:w="0" w:type="auto"/>
            <w:hideMark/>
          </w:tcPr>
          <w:p w14:paraId="0B61CBE2" w14:textId="77777777" w:rsidR="00037491" w:rsidRPr="00DB4937" w:rsidRDefault="00037491" w:rsidP="00037491">
            <w:pPr>
              <w:spacing w:after="160" w:line="360" w:lineRule="auto"/>
              <w:jc w:val="both"/>
              <w:rPr>
                <w:rFonts w:ascii="Arial" w:hAnsi="Arial" w:cs="Arial"/>
              </w:rPr>
            </w:pPr>
            <w:r w:rsidRPr="00DB4937">
              <w:rPr>
                <w:rFonts w:ascii="Arial" w:hAnsi="Arial" w:cs="Arial"/>
              </w:rPr>
              <w:t>129.1</w:t>
            </w:r>
          </w:p>
        </w:tc>
        <w:tc>
          <w:tcPr>
            <w:tcW w:w="0" w:type="auto"/>
            <w:hideMark/>
          </w:tcPr>
          <w:p w14:paraId="41D749FC" w14:textId="77777777" w:rsidR="00037491" w:rsidRPr="00DB4937" w:rsidRDefault="00037491" w:rsidP="00037491">
            <w:pPr>
              <w:spacing w:after="160" w:line="360" w:lineRule="auto"/>
              <w:jc w:val="both"/>
              <w:rPr>
                <w:rFonts w:ascii="Arial" w:hAnsi="Arial" w:cs="Arial"/>
              </w:rPr>
            </w:pPr>
            <w:r w:rsidRPr="00DB4937">
              <w:rPr>
                <w:rFonts w:ascii="Arial" w:hAnsi="Arial" w:cs="Arial"/>
              </w:rPr>
              <w:t>128.4</w:t>
            </w:r>
          </w:p>
        </w:tc>
        <w:tc>
          <w:tcPr>
            <w:tcW w:w="0" w:type="auto"/>
            <w:hideMark/>
          </w:tcPr>
          <w:p w14:paraId="7B3E1AD1" w14:textId="77777777" w:rsidR="00037491" w:rsidRPr="00DB4937" w:rsidRDefault="00037491" w:rsidP="00037491">
            <w:pPr>
              <w:spacing w:after="160" w:line="360" w:lineRule="auto"/>
              <w:jc w:val="both"/>
              <w:rPr>
                <w:rFonts w:ascii="Arial" w:hAnsi="Arial" w:cs="Arial"/>
              </w:rPr>
            </w:pPr>
            <w:r w:rsidRPr="00DB4937">
              <w:rPr>
                <w:rFonts w:ascii="Arial" w:hAnsi="Arial" w:cs="Arial"/>
              </w:rPr>
              <w:t>108.5</w:t>
            </w:r>
          </w:p>
        </w:tc>
        <w:tc>
          <w:tcPr>
            <w:tcW w:w="0" w:type="auto"/>
            <w:hideMark/>
          </w:tcPr>
          <w:p w14:paraId="1897AEB4" w14:textId="77777777" w:rsidR="00037491" w:rsidRPr="00DB4937" w:rsidRDefault="00037491" w:rsidP="00037491">
            <w:pPr>
              <w:spacing w:after="160" w:line="360" w:lineRule="auto"/>
              <w:jc w:val="both"/>
              <w:rPr>
                <w:rFonts w:ascii="Arial" w:hAnsi="Arial" w:cs="Arial"/>
              </w:rPr>
            </w:pPr>
            <w:r w:rsidRPr="00DB4937">
              <w:rPr>
                <w:rFonts w:ascii="Arial" w:hAnsi="Arial" w:cs="Arial"/>
              </w:rPr>
              <w:t>100.3</w:t>
            </w:r>
          </w:p>
        </w:tc>
      </w:tr>
      <w:tr w:rsidR="00037491" w:rsidRPr="00DB4937" w14:paraId="3B59BF4B" w14:textId="77777777" w:rsidTr="00037491">
        <w:tc>
          <w:tcPr>
            <w:tcW w:w="0" w:type="auto"/>
            <w:hideMark/>
          </w:tcPr>
          <w:p w14:paraId="77C17AEC" w14:textId="77777777" w:rsidR="00037491" w:rsidRPr="00DB4937" w:rsidRDefault="00037491" w:rsidP="00037491">
            <w:pPr>
              <w:spacing w:after="160" w:line="360" w:lineRule="auto"/>
              <w:jc w:val="both"/>
              <w:rPr>
                <w:rFonts w:ascii="Arial" w:hAnsi="Arial" w:cs="Arial"/>
              </w:rPr>
            </w:pPr>
            <w:r w:rsidRPr="00DB4937">
              <w:rPr>
                <w:rFonts w:ascii="Arial" w:hAnsi="Arial" w:cs="Arial"/>
              </w:rPr>
              <w:t>Receivables turnover</w:t>
            </w:r>
          </w:p>
        </w:tc>
        <w:tc>
          <w:tcPr>
            <w:tcW w:w="0" w:type="auto"/>
            <w:hideMark/>
          </w:tcPr>
          <w:p w14:paraId="5495A825" w14:textId="77777777" w:rsidR="00037491" w:rsidRPr="00DB4937" w:rsidRDefault="00037491" w:rsidP="00037491">
            <w:pPr>
              <w:spacing w:after="160" w:line="360" w:lineRule="auto"/>
              <w:jc w:val="both"/>
              <w:rPr>
                <w:rFonts w:ascii="Arial" w:hAnsi="Arial" w:cs="Arial"/>
              </w:rPr>
            </w:pPr>
            <w:r w:rsidRPr="00DB4937">
              <w:rPr>
                <w:rFonts w:ascii="Arial" w:hAnsi="Arial" w:cs="Arial"/>
              </w:rPr>
              <w:t>3.27x</w:t>
            </w:r>
          </w:p>
        </w:tc>
        <w:tc>
          <w:tcPr>
            <w:tcW w:w="0" w:type="auto"/>
            <w:hideMark/>
          </w:tcPr>
          <w:p w14:paraId="0C606963" w14:textId="77777777" w:rsidR="00037491" w:rsidRPr="00DB4937" w:rsidRDefault="00037491" w:rsidP="00037491">
            <w:pPr>
              <w:spacing w:after="160" w:line="360" w:lineRule="auto"/>
              <w:jc w:val="both"/>
              <w:rPr>
                <w:rFonts w:ascii="Arial" w:hAnsi="Arial" w:cs="Arial"/>
              </w:rPr>
            </w:pPr>
            <w:r w:rsidRPr="00DB4937">
              <w:rPr>
                <w:rFonts w:ascii="Arial" w:hAnsi="Arial" w:cs="Arial"/>
              </w:rPr>
              <w:t>3.55x</w:t>
            </w:r>
          </w:p>
        </w:tc>
        <w:tc>
          <w:tcPr>
            <w:tcW w:w="0" w:type="auto"/>
            <w:hideMark/>
          </w:tcPr>
          <w:p w14:paraId="69B7BB8D" w14:textId="77777777" w:rsidR="00037491" w:rsidRPr="00DB4937" w:rsidRDefault="00037491" w:rsidP="00037491">
            <w:pPr>
              <w:spacing w:after="160" w:line="360" w:lineRule="auto"/>
              <w:jc w:val="both"/>
              <w:rPr>
                <w:rFonts w:ascii="Arial" w:hAnsi="Arial" w:cs="Arial"/>
              </w:rPr>
            </w:pPr>
            <w:r w:rsidRPr="00DB4937">
              <w:rPr>
                <w:rFonts w:ascii="Arial" w:hAnsi="Arial" w:cs="Arial"/>
              </w:rPr>
              <w:t>4.26x</w:t>
            </w:r>
          </w:p>
        </w:tc>
        <w:tc>
          <w:tcPr>
            <w:tcW w:w="0" w:type="auto"/>
            <w:hideMark/>
          </w:tcPr>
          <w:p w14:paraId="48A30017" w14:textId="77777777" w:rsidR="00037491" w:rsidRPr="00DB4937" w:rsidRDefault="00037491" w:rsidP="00037491">
            <w:pPr>
              <w:spacing w:after="160" w:line="360" w:lineRule="auto"/>
              <w:jc w:val="both"/>
              <w:rPr>
                <w:rFonts w:ascii="Arial" w:hAnsi="Arial" w:cs="Arial"/>
              </w:rPr>
            </w:pPr>
            <w:r w:rsidRPr="00DB4937">
              <w:rPr>
                <w:rFonts w:ascii="Arial" w:hAnsi="Arial" w:cs="Arial"/>
              </w:rPr>
              <w:t>4.40x</w:t>
            </w:r>
          </w:p>
        </w:tc>
        <w:tc>
          <w:tcPr>
            <w:tcW w:w="0" w:type="auto"/>
            <w:hideMark/>
          </w:tcPr>
          <w:p w14:paraId="30475377" w14:textId="77777777" w:rsidR="00037491" w:rsidRPr="00DB4937" w:rsidRDefault="00037491" w:rsidP="00037491">
            <w:pPr>
              <w:spacing w:after="160" w:line="360" w:lineRule="auto"/>
              <w:jc w:val="both"/>
              <w:rPr>
                <w:rFonts w:ascii="Arial" w:hAnsi="Arial" w:cs="Arial"/>
              </w:rPr>
            </w:pPr>
            <w:r w:rsidRPr="00DB4937">
              <w:rPr>
                <w:rFonts w:ascii="Arial" w:hAnsi="Arial" w:cs="Arial"/>
              </w:rPr>
              <w:t>4.42x</w:t>
            </w:r>
          </w:p>
        </w:tc>
      </w:tr>
      <w:tr w:rsidR="00037491" w:rsidRPr="00DB4937" w14:paraId="4061C9A1" w14:textId="77777777" w:rsidTr="00037491">
        <w:tc>
          <w:tcPr>
            <w:tcW w:w="0" w:type="auto"/>
            <w:hideMark/>
          </w:tcPr>
          <w:p w14:paraId="7D0C6986" w14:textId="77777777" w:rsidR="00037491" w:rsidRPr="00DB4937" w:rsidRDefault="00037491" w:rsidP="00037491">
            <w:pPr>
              <w:spacing w:after="160" w:line="360" w:lineRule="auto"/>
              <w:jc w:val="both"/>
              <w:rPr>
                <w:rFonts w:ascii="Arial" w:hAnsi="Arial" w:cs="Arial"/>
              </w:rPr>
            </w:pPr>
            <w:r w:rsidRPr="00DB4937">
              <w:rPr>
                <w:rFonts w:ascii="Arial" w:hAnsi="Arial" w:cs="Arial"/>
              </w:rPr>
              <w:t>DSO (days)</w:t>
            </w:r>
          </w:p>
        </w:tc>
        <w:tc>
          <w:tcPr>
            <w:tcW w:w="0" w:type="auto"/>
            <w:hideMark/>
          </w:tcPr>
          <w:p w14:paraId="60392C3E" w14:textId="77777777" w:rsidR="00037491" w:rsidRPr="00DB4937" w:rsidRDefault="00037491" w:rsidP="00037491">
            <w:pPr>
              <w:spacing w:after="160" w:line="360" w:lineRule="auto"/>
              <w:jc w:val="both"/>
              <w:rPr>
                <w:rFonts w:ascii="Arial" w:hAnsi="Arial" w:cs="Arial"/>
              </w:rPr>
            </w:pPr>
            <w:r w:rsidRPr="00DB4937">
              <w:rPr>
                <w:rFonts w:ascii="Arial" w:hAnsi="Arial" w:cs="Arial"/>
              </w:rPr>
              <w:t>111.6</w:t>
            </w:r>
          </w:p>
        </w:tc>
        <w:tc>
          <w:tcPr>
            <w:tcW w:w="0" w:type="auto"/>
            <w:hideMark/>
          </w:tcPr>
          <w:p w14:paraId="0C633C64" w14:textId="77777777" w:rsidR="00037491" w:rsidRPr="00DB4937" w:rsidRDefault="00037491" w:rsidP="00037491">
            <w:pPr>
              <w:spacing w:after="160" w:line="360" w:lineRule="auto"/>
              <w:jc w:val="both"/>
              <w:rPr>
                <w:rFonts w:ascii="Arial" w:hAnsi="Arial" w:cs="Arial"/>
              </w:rPr>
            </w:pPr>
            <w:r w:rsidRPr="00DB4937">
              <w:rPr>
                <w:rFonts w:ascii="Arial" w:hAnsi="Arial" w:cs="Arial"/>
              </w:rPr>
              <w:t>102.9</w:t>
            </w:r>
          </w:p>
        </w:tc>
        <w:tc>
          <w:tcPr>
            <w:tcW w:w="0" w:type="auto"/>
            <w:hideMark/>
          </w:tcPr>
          <w:p w14:paraId="56107117" w14:textId="77777777" w:rsidR="00037491" w:rsidRPr="00DB4937" w:rsidRDefault="00037491" w:rsidP="00037491">
            <w:pPr>
              <w:spacing w:after="160" w:line="360" w:lineRule="auto"/>
              <w:jc w:val="both"/>
              <w:rPr>
                <w:rFonts w:ascii="Arial" w:hAnsi="Arial" w:cs="Arial"/>
              </w:rPr>
            </w:pPr>
            <w:r w:rsidRPr="00DB4937">
              <w:rPr>
                <w:rFonts w:ascii="Arial" w:hAnsi="Arial" w:cs="Arial"/>
              </w:rPr>
              <w:t>85.6</w:t>
            </w:r>
          </w:p>
        </w:tc>
        <w:tc>
          <w:tcPr>
            <w:tcW w:w="0" w:type="auto"/>
            <w:hideMark/>
          </w:tcPr>
          <w:p w14:paraId="4FCF5200" w14:textId="77777777" w:rsidR="00037491" w:rsidRPr="00DB4937" w:rsidRDefault="00037491" w:rsidP="00037491">
            <w:pPr>
              <w:spacing w:after="160" w:line="360" w:lineRule="auto"/>
              <w:jc w:val="both"/>
              <w:rPr>
                <w:rFonts w:ascii="Arial" w:hAnsi="Arial" w:cs="Arial"/>
              </w:rPr>
            </w:pPr>
            <w:r w:rsidRPr="00DB4937">
              <w:rPr>
                <w:rFonts w:ascii="Arial" w:hAnsi="Arial" w:cs="Arial"/>
              </w:rPr>
              <w:t>82.9</w:t>
            </w:r>
          </w:p>
        </w:tc>
        <w:tc>
          <w:tcPr>
            <w:tcW w:w="0" w:type="auto"/>
            <w:hideMark/>
          </w:tcPr>
          <w:p w14:paraId="5F89B140" w14:textId="77777777" w:rsidR="00037491" w:rsidRPr="00DB4937" w:rsidRDefault="00037491" w:rsidP="00037491">
            <w:pPr>
              <w:spacing w:after="160" w:line="360" w:lineRule="auto"/>
              <w:jc w:val="both"/>
              <w:rPr>
                <w:rFonts w:ascii="Arial" w:hAnsi="Arial" w:cs="Arial"/>
              </w:rPr>
            </w:pPr>
            <w:r w:rsidRPr="00DB4937">
              <w:rPr>
                <w:rFonts w:ascii="Arial" w:hAnsi="Arial" w:cs="Arial"/>
              </w:rPr>
              <w:t>82.6</w:t>
            </w:r>
          </w:p>
        </w:tc>
      </w:tr>
      <w:tr w:rsidR="00037491" w:rsidRPr="00DB4937" w14:paraId="2212F293" w14:textId="77777777" w:rsidTr="00037491">
        <w:tc>
          <w:tcPr>
            <w:tcW w:w="0" w:type="auto"/>
            <w:hideMark/>
          </w:tcPr>
          <w:p w14:paraId="0280F61D" w14:textId="77777777" w:rsidR="00037491" w:rsidRPr="00DB4937" w:rsidRDefault="00037491" w:rsidP="00037491">
            <w:pPr>
              <w:spacing w:after="160" w:line="360" w:lineRule="auto"/>
              <w:jc w:val="both"/>
              <w:rPr>
                <w:rFonts w:ascii="Arial" w:hAnsi="Arial" w:cs="Arial"/>
              </w:rPr>
            </w:pPr>
            <w:r w:rsidRPr="00DB4937">
              <w:rPr>
                <w:rFonts w:ascii="Arial" w:hAnsi="Arial" w:cs="Arial"/>
              </w:rPr>
              <w:t>Payables turnover</w:t>
            </w:r>
          </w:p>
        </w:tc>
        <w:tc>
          <w:tcPr>
            <w:tcW w:w="0" w:type="auto"/>
            <w:hideMark/>
          </w:tcPr>
          <w:p w14:paraId="286E7B19" w14:textId="77777777" w:rsidR="00037491" w:rsidRPr="00DB4937" w:rsidRDefault="00037491" w:rsidP="00037491">
            <w:pPr>
              <w:spacing w:after="160" w:line="360" w:lineRule="auto"/>
              <w:jc w:val="both"/>
              <w:rPr>
                <w:rFonts w:ascii="Arial" w:hAnsi="Arial" w:cs="Arial"/>
              </w:rPr>
            </w:pPr>
            <w:r w:rsidRPr="00DB4937">
              <w:rPr>
                <w:rFonts w:ascii="Arial" w:hAnsi="Arial" w:cs="Arial"/>
              </w:rPr>
              <w:t>4.35x</w:t>
            </w:r>
          </w:p>
        </w:tc>
        <w:tc>
          <w:tcPr>
            <w:tcW w:w="0" w:type="auto"/>
            <w:hideMark/>
          </w:tcPr>
          <w:p w14:paraId="31752947" w14:textId="77777777" w:rsidR="00037491" w:rsidRPr="00DB4937" w:rsidRDefault="00037491" w:rsidP="00037491">
            <w:pPr>
              <w:spacing w:after="160" w:line="360" w:lineRule="auto"/>
              <w:jc w:val="both"/>
              <w:rPr>
                <w:rFonts w:ascii="Arial" w:hAnsi="Arial" w:cs="Arial"/>
              </w:rPr>
            </w:pPr>
            <w:r w:rsidRPr="00DB4937">
              <w:rPr>
                <w:rFonts w:ascii="Arial" w:hAnsi="Arial" w:cs="Arial"/>
              </w:rPr>
              <w:t>4.62x</w:t>
            </w:r>
          </w:p>
        </w:tc>
        <w:tc>
          <w:tcPr>
            <w:tcW w:w="0" w:type="auto"/>
            <w:hideMark/>
          </w:tcPr>
          <w:p w14:paraId="76BD664D" w14:textId="77777777" w:rsidR="00037491" w:rsidRPr="00DB4937" w:rsidRDefault="00037491" w:rsidP="00037491">
            <w:pPr>
              <w:spacing w:after="160" w:line="360" w:lineRule="auto"/>
              <w:jc w:val="both"/>
              <w:rPr>
                <w:rFonts w:ascii="Arial" w:hAnsi="Arial" w:cs="Arial"/>
              </w:rPr>
            </w:pPr>
            <w:r w:rsidRPr="00DB4937">
              <w:rPr>
                <w:rFonts w:ascii="Arial" w:hAnsi="Arial" w:cs="Arial"/>
              </w:rPr>
              <w:t>5.17x</w:t>
            </w:r>
          </w:p>
        </w:tc>
        <w:tc>
          <w:tcPr>
            <w:tcW w:w="0" w:type="auto"/>
            <w:hideMark/>
          </w:tcPr>
          <w:p w14:paraId="5B0A8C2F" w14:textId="77777777" w:rsidR="00037491" w:rsidRPr="00DB4937" w:rsidRDefault="00037491" w:rsidP="00037491">
            <w:pPr>
              <w:spacing w:after="160" w:line="360" w:lineRule="auto"/>
              <w:jc w:val="both"/>
              <w:rPr>
                <w:rFonts w:ascii="Arial" w:hAnsi="Arial" w:cs="Arial"/>
              </w:rPr>
            </w:pPr>
            <w:r w:rsidRPr="00DB4937">
              <w:rPr>
                <w:rFonts w:ascii="Arial" w:hAnsi="Arial" w:cs="Arial"/>
              </w:rPr>
              <w:t>5.13x</w:t>
            </w:r>
          </w:p>
        </w:tc>
        <w:tc>
          <w:tcPr>
            <w:tcW w:w="0" w:type="auto"/>
            <w:hideMark/>
          </w:tcPr>
          <w:p w14:paraId="3EB0DCC9" w14:textId="77777777" w:rsidR="00037491" w:rsidRPr="00DB4937" w:rsidRDefault="00037491" w:rsidP="00037491">
            <w:pPr>
              <w:spacing w:after="160" w:line="360" w:lineRule="auto"/>
              <w:jc w:val="both"/>
              <w:rPr>
                <w:rFonts w:ascii="Arial" w:hAnsi="Arial" w:cs="Arial"/>
              </w:rPr>
            </w:pPr>
            <w:r w:rsidRPr="00DB4937">
              <w:rPr>
                <w:rFonts w:ascii="Arial" w:hAnsi="Arial" w:cs="Arial"/>
              </w:rPr>
              <w:t>5.27x</w:t>
            </w:r>
          </w:p>
        </w:tc>
      </w:tr>
      <w:tr w:rsidR="00037491" w:rsidRPr="00DB4937" w14:paraId="4C545453" w14:textId="77777777" w:rsidTr="00037491">
        <w:tc>
          <w:tcPr>
            <w:tcW w:w="0" w:type="auto"/>
            <w:hideMark/>
          </w:tcPr>
          <w:p w14:paraId="4BF0A5ED" w14:textId="77777777" w:rsidR="00037491" w:rsidRPr="00DB4937" w:rsidRDefault="00037491" w:rsidP="00037491">
            <w:pPr>
              <w:spacing w:after="160" w:line="360" w:lineRule="auto"/>
              <w:jc w:val="both"/>
              <w:rPr>
                <w:rFonts w:ascii="Arial" w:hAnsi="Arial" w:cs="Arial"/>
              </w:rPr>
            </w:pPr>
            <w:r w:rsidRPr="00DB4937">
              <w:rPr>
                <w:rFonts w:ascii="Arial" w:hAnsi="Arial" w:cs="Arial"/>
              </w:rPr>
              <w:t>DPO (days)</w:t>
            </w:r>
          </w:p>
        </w:tc>
        <w:tc>
          <w:tcPr>
            <w:tcW w:w="0" w:type="auto"/>
            <w:hideMark/>
          </w:tcPr>
          <w:p w14:paraId="6A1A5B99" w14:textId="77777777" w:rsidR="00037491" w:rsidRPr="00DB4937" w:rsidRDefault="00037491" w:rsidP="00037491">
            <w:pPr>
              <w:spacing w:after="160" w:line="360" w:lineRule="auto"/>
              <w:jc w:val="both"/>
              <w:rPr>
                <w:rFonts w:ascii="Arial" w:hAnsi="Arial" w:cs="Arial"/>
              </w:rPr>
            </w:pPr>
            <w:r w:rsidRPr="00DB4937">
              <w:rPr>
                <w:rFonts w:ascii="Arial" w:hAnsi="Arial" w:cs="Arial"/>
              </w:rPr>
              <w:t>83.9</w:t>
            </w:r>
          </w:p>
        </w:tc>
        <w:tc>
          <w:tcPr>
            <w:tcW w:w="0" w:type="auto"/>
            <w:hideMark/>
          </w:tcPr>
          <w:p w14:paraId="1038E902" w14:textId="77777777" w:rsidR="00037491" w:rsidRPr="00DB4937" w:rsidRDefault="00037491" w:rsidP="00037491">
            <w:pPr>
              <w:spacing w:after="160" w:line="360" w:lineRule="auto"/>
              <w:jc w:val="both"/>
              <w:rPr>
                <w:rFonts w:ascii="Arial" w:hAnsi="Arial" w:cs="Arial"/>
              </w:rPr>
            </w:pPr>
            <w:r w:rsidRPr="00DB4937">
              <w:rPr>
                <w:rFonts w:ascii="Arial" w:hAnsi="Arial" w:cs="Arial"/>
              </w:rPr>
              <w:t>79.0</w:t>
            </w:r>
          </w:p>
        </w:tc>
        <w:tc>
          <w:tcPr>
            <w:tcW w:w="0" w:type="auto"/>
            <w:hideMark/>
          </w:tcPr>
          <w:p w14:paraId="724F9ED5" w14:textId="77777777" w:rsidR="00037491" w:rsidRPr="00DB4937" w:rsidRDefault="00037491" w:rsidP="00037491">
            <w:pPr>
              <w:spacing w:after="160" w:line="360" w:lineRule="auto"/>
              <w:jc w:val="both"/>
              <w:rPr>
                <w:rFonts w:ascii="Arial" w:hAnsi="Arial" w:cs="Arial"/>
              </w:rPr>
            </w:pPr>
            <w:r w:rsidRPr="00DB4937">
              <w:rPr>
                <w:rFonts w:ascii="Arial" w:hAnsi="Arial" w:cs="Arial"/>
              </w:rPr>
              <w:t>70.6</w:t>
            </w:r>
          </w:p>
        </w:tc>
        <w:tc>
          <w:tcPr>
            <w:tcW w:w="0" w:type="auto"/>
            <w:hideMark/>
          </w:tcPr>
          <w:p w14:paraId="738D388D" w14:textId="77777777" w:rsidR="00037491" w:rsidRPr="00DB4937" w:rsidRDefault="00037491" w:rsidP="00037491">
            <w:pPr>
              <w:spacing w:after="160" w:line="360" w:lineRule="auto"/>
              <w:jc w:val="both"/>
              <w:rPr>
                <w:rFonts w:ascii="Arial" w:hAnsi="Arial" w:cs="Arial"/>
              </w:rPr>
            </w:pPr>
            <w:r w:rsidRPr="00DB4937">
              <w:rPr>
                <w:rFonts w:ascii="Arial" w:hAnsi="Arial" w:cs="Arial"/>
              </w:rPr>
              <w:t>71.2</w:t>
            </w:r>
          </w:p>
        </w:tc>
        <w:tc>
          <w:tcPr>
            <w:tcW w:w="0" w:type="auto"/>
            <w:hideMark/>
          </w:tcPr>
          <w:p w14:paraId="0BBF7E13" w14:textId="77777777" w:rsidR="00037491" w:rsidRPr="00DB4937" w:rsidRDefault="00037491" w:rsidP="00037491">
            <w:pPr>
              <w:spacing w:after="160" w:line="360" w:lineRule="auto"/>
              <w:jc w:val="both"/>
              <w:rPr>
                <w:rFonts w:ascii="Arial" w:hAnsi="Arial" w:cs="Arial"/>
              </w:rPr>
            </w:pPr>
            <w:r w:rsidRPr="00DB4937">
              <w:rPr>
                <w:rFonts w:ascii="Arial" w:hAnsi="Arial" w:cs="Arial"/>
              </w:rPr>
              <w:t>69.3</w:t>
            </w:r>
          </w:p>
        </w:tc>
      </w:tr>
      <w:tr w:rsidR="00037491" w:rsidRPr="00DB4937" w14:paraId="69A4D841" w14:textId="77777777" w:rsidTr="00037491">
        <w:tc>
          <w:tcPr>
            <w:tcW w:w="0" w:type="auto"/>
            <w:hideMark/>
          </w:tcPr>
          <w:p w14:paraId="5A33E18C" w14:textId="77777777" w:rsidR="00037491" w:rsidRPr="00DB4937" w:rsidRDefault="00037491" w:rsidP="00037491">
            <w:pPr>
              <w:spacing w:after="160" w:line="360" w:lineRule="auto"/>
              <w:jc w:val="both"/>
              <w:rPr>
                <w:rFonts w:ascii="Arial" w:hAnsi="Arial" w:cs="Arial"/>
              </w:rPr>
            </w:pPr>
            <w:r w:rsidRPr="00DB4937">
              <w:rPr>
                <w:rFonts w:ascii="Arial" w:hAnsi="Arial" w:cs="Arial"/>
              </w:rPr>
              <w:t>Cash conversion cycle (days)</w:t>
            </w:r>
          </w:p>
        </w:tc>
        <w:tc>
          <w:tcPr>
            <w:tcW w:w="0" w:type="auto"/>
            <w:hideMark/>
          </w:tcPr>
          <w:p w14:paraId="13609932" w14:textId="77777777" w:rsidR="00037491" w:rsidRPr="00DB4937" w:rsidRDefault="00037491" w:rsidP="00037491">
            <w:pPr>
              <w:spacing w:after="160" w:line="360" w:lineRule="auto"/>
              <w:jc w:val="both"/>
              <w:rPr>
                <w:rFonts w:ascii="Arial" w:hAnsi="Arial" w:cs="Arial"/>
              </w:rPr>
            </w:pPr>
            <w:r w:rsidRPr="00DB4937">
              <w:rPr>
                <w:rFonts w:ascii="Arial" w:hAnsi="Arial" w:cs="Arial"/>
              </w:rPr>
              <w:t>136.6</w:t>
            </w:r>
          </w:p>
        </w:tc>
        <w:tc>
          <w:tcPr>
            <w:tcW w:w="0" w:type="auto"/>
            <w:hideMark/>
          </w:tcPr>
          <w:p w14:paraId="7BE1C4C3" w14:textId="77777777" w:rsidR="00037491" w:rsidRPr="00DB4937" w:rsidRDefault="00037491" w:rsidP="00037491">
            <w:pPr>
              <w:spacing w:after="160" w:line="360" w:lineRule="auto"/>
              <w:jc w:val="both"/>
              <w:rPr>
                <w:rFonts w:ascii="Arial" w:hAnsi="Arial" w:cs="Arial"/>
              </w:rPr>
            </w:pPr>
            <w:r w:rsidRPr="00DB4937">
              <w:rPr>
                <w:rFonts w:ascii="Arial" w:hAnsi="Arial" w:cs="Arial"/>
              </w:rPr>
              <w:t>153.1</w:t>
            </w:r>
          </w:p>
        </w:tc>
        <w:tc>
          <w:tcPr>
            <w:tcW w:w="0" w:type="auto"/>
            <w:hideMark/>
          </w:tcPr>
          <w:p w14:paraId="1F46767C" w14:textId="77777777" w:rsidR="00037491" w:rsidRPr="00DB4937" w:rsidRDefault="00037491" w:rsidP="00037491">
            <w:pPr>
              <w:spacing w:after="160" w:line="360" w:lineRule="auto"/>
              <w:jc w:val="both"/>
              <w:rPr>
                <w:rFonts w:ascii="Arial" w:hAnsi="Arial" w:cs="Arial"/>
              </w:rPr>
            </w:pPr>
            <w:r w:rsidRPr="00DB4937">
              <w:rPr>
                <w:rFonts w:ascii="Arial" w:hAnsi="Arial" w:cs="Arial"/>
              </w:rPr>
              <w:t>143.3</w:t>
            </w:r>
          </w:p>
        </w:tc>
        <w:tc>
          <w:tcPr>
            <w:tcW w:w="0" w:type="auto"/>
            <w:hideMark/>
          </w:tcPr>
          <w:p w14:paraId="6D3C4072" w14:textId="77777777" w:rsidR="00037491" w:rsidRPr="00DB4937" w:rsidRDefault="00037491" w:rsidP="00037491">
            <w:pPr>
              <w:spacing w:after="160" w:line="360" w:lineRule="auto"/>
              <w:jc w:val="both"/>
              <w:rPr>
                <w:rFonts w:ascii="Arial" w:hAnsi="Arial" w:cs="Arial"/>
              </w:rPr>
            </w:pPr>
            <w:r w:rsidRPr="00DB4937">
              <w:rPr>
                <w:rFonts w:ascii="Arial" w:hAnsi="Arial" w:cs="Arial"/>
              </w:rPr>
              <w:t>120.2</w:t>
            </w:r>
          </w:p>
        </w:tc>
        <w:tc>
          <w:tcPr>
            <w:tcW w:w="0" w:type="auto"/>
            <w:hideMark/>
          </w:tcPr>
          <w:p w14:paraId="3B81479B" w14:textId="77777777" w:rsidR="00037491" w:rsidRPr="00DB4937" w:rsidRDefault="00037491" w:rsidP="00037491">
            <w:pPr>
              <w:spacing w:after="160" w:line="360" w:lineRule="auto"/>
              <w:jc w:val="both"/>
              <w:rPr>
                <w:rFonts w:ascii="Arial" w:hAnsi="Arial" w:cs="Arial"/>
              </w:rPr>
            </w:pPr>
            <w:r w:rsidRPr="00DB4937">
              <w:rPr>
                <w:rFonts w:ascii="Arial" w:hAnsi="Arial" w:cs="Arial"/>
              </w:rPr>
              <w:t>113.6</w:t>
            </w:r>
          </w:p>
        </w:tc>
      </w:tr>
    </w:tbl>
    <w:p w14:paraId="1B51E81E" w14:textId="0B821E7B" w:rsidR="00037491" w:rsidRPr="00DB4937" w:rsidRDefault="00037491" w:rsidP="00037491">
      <w:pPr>
        <w:spacing w:line="360" w:lineRule="auto"/>
        <w:jc w:val="both"/>
        <w:rPr>
          <w:rFonts w:ascii="Arial" w:hAnsi="Arial" w:cs="Arial"/>
        </w:rPr>
      </w:pPr>
    </w:p>
    <w:p w14:paraId="304298A6" w14:textId="77777777" w:rsidR="00037491" w:rsidRPr="00DB4937" w:rsidRDefault="00037491" w:rsidP="00037491">
      <w:pPr>
        <w:spacing w:line="360" w:lineRule="auto"/>
        <w:jc w:val="both"/>
        <w:rPr>
          <w:rFonts w:ascii="Arial" w:hAnsi="Arial" w:cs="Arial"/>
          <w:b/>
          <w:bCs/>
        </w:rPr>
      </w:pPr>
      <w:r w:rsidRPr="00DB4937">
        <w:rPr>
          <w:rFonts w:ascii="Arial" w:hAnsi="Arial" w:cs="Arial"/>
          <w:b/>
          <w:bCs/>
        </w:rPr>
        <w:t>4) Gearing (solvency) ratios</w:t>
      </w:r>
    </w:p>
    <w:p w14:paraId="05E6D24E" w14:textId="77777777" w:rsidR="00037491" w:rsidRPr="00DB4937" w:rsidRDefault="00037491" w:rsidP="00037491">
      <w:pPr>
        <w:spacing w:line="360" w:lineRule="auto"/>
        <w:jc w:val="both"/>
        <w:rPr>
          <w:rFonts w:ascii="Arial" w:hAnsi="Arial" w:cs="Arial"/>
        </w:rPr>
      </w:pPr>
      <w:r w:rsidRPr="00DB4937">
        <w:rPr>
          <w:rFonts w:ascii="Arial" w:hAnsi="Arial" w:cs="Arial"/>
          <w:b/>
          <w:bCs/>
        </w:rPr>
        <w:t>Formulas</w:t>
      </w:r>
    </w:p>
    <w:p w14:paraId="031E9E15" w14:textId="77777777" w:rsidR="00037491" w:rsidRPr="00DB4937" w:rsidRDefault="00037491" w:rsidP="00037491">
      <w:pPr>
        <w:numPr>
          <w:ilvl w:val="0"/>
          <w:numId w:val="4"/>
        </w:numPr>
        <w:spacing w:line="360" w:lineRule="auto"/>
        <w:jc w:val="both"/>
        <w:rPr>
          <w:rFonts w:ascii="Arial" w:hAnsi="Arial" w:cs="Arial"/>
        </w:rPr>
      </w:pPr>
      <w:r w:rsidRPr="00DB4937">
        <w:rPr>
          <w:rFonts w:ascii="Arial" w:hAnsi="Arial" w:cs="Arial"/>
          <w:b/>
          <w:bCs/>
        </w:rPr>
        <w:t>Liabilities / equity</w:t>
      </w:r>
      <w:r w:rsidRPr="00DB4937">
        <w:rPr>
          <w:rFonts w:ascii="Arial" w:hAnsi="Arial" w:cs="Arial"/>
        </w:rPr>
        <w:t xml:space="preserve"> = Total liabilities / Total equity</w:t>
      </w:r>
    </w:p>
    <w:p w14:paraId="48A33164" w14:textId="77777777" w:rsidR="00037491" w:rsidRPr="00DB4937" w:rsidRDefault="00037491" w:rsidP="00037491">
      <w:pPr>
        <w:numPr>
          <w:ilvl w:val="0"/>
          <w:numId w:val="4"/>
        </w:numPr>
        <w:spacing w:line="360" w:lineRule="auto"/>
        <w:jc w:val="both"/>
        <w:rPr>
          <w:rFonts w:ascii="Arial" w:hAnsi="Arial" w:cs="Arial"/>
        </w:rPr>
      </w:pPr>
      <w:r w:rsidRPr="00DB4937">
        <w:rPr>
          <w:rFonts w:ascii="Arial" w:hAnsi="Arial" w:cs="Arial"/>
          <w:b/>
          <w:bCs/>
        </w:rPr>
        <w:t>Interest-bearing debt / equity</w:t>
      </w:r>
      <w:r w:rsidRPr="00DB4937">
        <w:rPr>
          <w:rFonts w:ascii="Arial" w:hAnsi="Arial" w:cs="Arial"/>
        </w:rPr>
        <w:t xml:space="preserve"> = (Lines of credit + Operating lease obligations) / Total equity</w:t>
      </w:r>
    </w:p>
    <w:p w14:paraId="37AAB826" w14:textId="77777777" w:rsidR="00037491" w:rsidRPr="00DB4937" w:rsidRDefault="00037491" w:rsidP="00037491">
      <w:pPr>
        <w:numPr>
          <w:ilvl w:val="0"/>
          <w:numId w:val="4"/>
        </w:numPr>
        <w:spacing w:line="360" w:lineRule="auto"/>
        <w:jc w:val="both"/>
        <w:rPr>
          <w:rFonts w:ascii="Arial" w:hAnsi="Arial" w:cs="Arial"/>
        </w:rPr>
      </w:pPr>
      <w:r w:rsidRPr="00DB4937">
        <w:rPr>
          <w:rFonts w:ascii="Arial" w:hAnsi="Arial" w:cs="Arial"/>
          <w:b/>
          <w:bCs/>
        </w:rPr>
        <w:t>Equity ratio</w:t>
      </w:r>
      <w:r w:rsidRPr="00DB4937">
        <w:rPr>
          <w:rFonts w:ascii="Arial" w:hAnsi="Arial" w:cs="Arial"/>
        </w:rPr>
        <w:t xml:space="preserve"> = Total equity / Total assets</w:t>
      </w:r>
    </w:p>
    <w:p w14:paraId="2B676D16" w14:textId="77777777" w:rsidR="00037491" w:rsidRPr="00DB4937" w:rsidRDefault="00037491" w:rsidP="00037491">
      <w:pPr>
        <w:numPr>
          <w:ilvl w:val="0"/>
          <w:numId w:val="4"/>
        </w:numPr>
        <w:spacing w:line="360" w:lineRule="auto"/>
        <w:jc w:val="both"/>
        <w:rPr>
          <w:rFonts w:ascii="Arial" w:hAnsi="Arial" w:cs="Arial"/>
        </w:rPr>
      </w:pPr>
      <w:r w:rsidRPr="00DB4937">
        <w:rPr>
          <w:rFonts w:ascii="Arial" w:hAnsi="Arial" w:cs="Arial"/>
          <w:b/>
          <w:bCs/>
        </w:rPr>
        <w:t>Interest coverage</w:t>
      </w:r>
      <w:r w:rsidRPr="00DB4937">
        <w:rPr>
          <w:rFonts w:ascii="Arial" w:hAnsi="Arial" w:cs="Arial"/>
        </w:rPr>
        <w:t xml:space="preserve"> = EBIT (operating income) / |Net interest expense|</w:t>
      </w:r>
    </w:p>
    <w:tbl>
      <w:tblPr>
        <w:tblStyle w:val="TableGrid"/>
        <w:tblW w:w="0" w:type="auto"/>
        <w:tblLook w:val="04A0" w:firstRow="1" w:lastRow="0" w:firstColumn="1" w:lastColumn="0" w:noHBand="0" w:noVBand="1"/>
      </w:tblPr>
      <w:tblGrid>
        <w:gridCol w:w="3272"/>
        <w:gridCol w:w="1004"/>
        <w:gridCol w:w="897"/>
        <w:gridCol w:w="897"/>
        <w:gridCol w:w="897"/>
        <w:gridCol w:w="897"/>
      </w:tblGrid>
      <w:tr w:rsidR="00037491" w:rsidRPr="00DB4937" w14:paraId="70A8CB24" w14:textId="77777777" w:rsidTr="00037491">
        <w:tc>
          <w:tcPr>
            <w:tcW w:w="0" w:type="auto"/>
            <w:hideMark/>
          </w:tcPr>
          <w:p w14:paraId="39D0B252"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Gearing / Solvency</w:t>
            </w:r>
          </w:p>
        </w:tc>
        <w:tc>
          <w:tcPr>
            <w:tcW w:w="0" w:type="auto"/>
            <w:hideMark/>
          </w:tcPr>
          <w:p w14:paraId="1655B8A7"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2024</w:t>
            </w:r>
          </w:p>
        </w:tc>
        <w:tc>
          <w:tcPr>
            <w:tcW w:w="0" w:type="auto"/>
            <w:hideMark/>
          </w:tcPr>
          <w:p w14:paraId="71998F5E"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2023</w:t>
            </w:r>
          </w:p>
        </w:tc>
        <w:tc>
          <w:tcPr>
            <w:tcW w:w="0" w:type="auto"/>
            <w:hideMark/>
          </w:tcPr>
          <w:p w14:paraId="2B1E0BE6"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2022</w:t>
            </w:r>
          </w:p>
        </w:tc>
        <w:tc>
          <w:tcPr>
            <w:tcW w:w="0" w:type="auto"/>
            <w:hideMark/>
          </w:tcPr>
          <w:p w14:paraId="3ABB4F0C"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2021</w:t>
            </w:r>
          </w:p>
        </w:tc>
        <w:tc>
          <w:tcPr>
            <w:tcW w:w="0" w:type="auto"/>
            <w:hideMark/>
          </w:tcPr>
          <w:p w14:paraId="3ED446B1"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2020</w:t>
            </w:r>
          </w:p>
        </w:tc>
      </w:tr>
      <w:tr w:rsidR="00037491" w:rsidRPr="00DB4937" w14:paraId="4A061D23" w14:textId="77777777" w:rsidTr="00037491">
        <w:tc>
          <w:tcPr>
            <w:tcW w:w="0" w:type="auto"/>
            <w:hideMark/>
          </w:tcPr>
          <w:p w14:paraId="168611ED" w14:textId="77777777" w:rsidR="00037491" w:rsidRPr="00DB4937" w:rsidRDefault="00037491" w:rsidP="00037491">
            <w:pPr>
              <w:spacing w:after="160" w:line="360" w:lineRule="auto"/>
              <w:jc w:val="both"/>
              <w:rPr>
                <w:rFonts w:ascii="Arial" w:hAnsi="Arial" w:cs="Arial"/>
              </w:rPr>
            </w:pPr>
            <w:r w:rsidRPr="00DB4937">
              <w:rPr>
                <w:rFonts w:ascii="Arial" w:hAnsi="Arial" w:cs="Arial"/>
              </w:rPr>
              <w:t>Liabilities / equity</w:t>
            </w:r>
          </w:p>
        </w:tc>
        <w:tc>
          <w:tcPr>
            <w:tcW w:w="0" w:type="auto"/>
            <w:hideMark/>
          </w:tcPr>
          <w:p w14:paraId="306A6FAA" w14:textId="77777777" w:rsidR="00037491" w:rsidRPr="00DB4937" w:rsidRDefault="00037491" w:rsidP="00037491">
            <w:pPr>
              <w:spacing w:after="160" w:line="360" w:lineRule="auto"/>
              <w:jc w:val="both"/>
              <w:rPr>
                <w:rFonts w:ascii="Arial" w:hAnsi="Arial" w:cs="Arial"/>
              </w:rPr>
            </w:pPr>
            <w:r w:rsidRPr="00DB4937">
              <w:rPr>
                <w:rFonts w:ascii="Arial" w:hAnsi="Arial" w:cs="Arial"/>
              </w:rPr>
              <w:t>1.11</w:t>
            </w:r>
          </w:p>
        </w:tc>
        <w:tc>
          <w:tcPr>
            <w:tcW w:w="0" w:type="auto"/>
            <w:hideMark/>
          </w:tcPr>
          <w:p w14:paraId="7E4A99EE" w14:textId="77777777" w:rsidR="00037491" w:rsidRPr="00DB4937" w:rsidRDefault="00037491" w:rsidP="00037491">
            <w:pPr>
              <w:spacing w:after="160" w:line="360" w:lineRule="auto"/>
              <w:jc w:val="both"/>
              <w:rPr>
                <w:rFonts w:ascii="Arial" w:hAnsi="Arial" w:cs="Arial"/>
              </w:rPr>
            </w:pPr>
            <w:r w:rsidRPr="00DB4937">
              <w:rPr>
                <w:rFonts w:ascii="Arial" w:hAnsi="Arial" w:cs="Arial"/>
              </w:rPr>
              <w:t>0.99</w:t>
            </w:r>
          </w:p>
        </w:tc>
        <w:tc>
          <w:tcPr>
            <w:tcW w:w="0" w:type="auto"/>
            <w:hideMark/>
          </w:tcPr>
          <w:p w14:paraId="0F00431D" w14:textId="77777777" w:rsidR="00037491" w:rsidRPr="00DB4937" w:rsidRDefault="00037491" w:rsidP="00037491">
            <w:pPr>
              <w:spacing w:after="160" w:line="360" w:lineRule="auto"/>
              <w:jc w:val="both"/>
              <w:rPr>
                <w:rFonts w:ascii="Arial" w:hAnsi="Arial" w:cs="Arial"/>
              </w:rPr>
            </w:pPr>
            <w:r w:rsidRPr="00DB4937">
              <w:rPr>
                <w:rFonts w:ascii="Arial" w:hAnsi="Arial" w:cs="Arial"/>
              </w:rPr>
              <w:t>0.88</w:t>
            </w:r>
          </w:p>
        </w:tc>
        <w:tc>
          <w:tcPr>
            <w:tcW w:w="0" w:type="auto"/>
            <w:hideMark/>
          </w:tcPr>
          <w:p w14:paraId="181B688F" w14:textId="77777777" w:rsidR="00037491" w:rsidRPr="00DB4937" w:rsidRDefault="00037491" w:rsidP="00037491">
            <w:pPr>
              <w:spacing w:after="160" w:line="360" w:lineRule="auto"/>
              <w:jc w:val="both"/>
              <w:rPr>
                <w:rFonts w:ascii="Arial" w:hAnsi="Arial" w:cs="Arial"/>
              </w:rPr>
            </w:pPr>
            <w:r w:rsidRPr="00DB4937">
              <w:rPr>
                <w:rFonts w:ascii="Arial" w:hAnsi="Arial" w:cs="Arial"/>
              </w:rPr>
              <w:t>0.85</w:t>
            </w:r>
          </w:p>
        </w:tc>
        <w:tc>
          <w:tcPr>
            <w:tcW w:w="0" w:type="auto"/>
            <w:hideMark/>
          </w:tcPr>
          <w:p w14:paraId="6E86F230" w14:textId="77777777" w:rsidR="00037491" w:rsidRPr="00DB4937" w:rsidRDefault="00037491" w:rsidP="00037491">
            <w:pPr>
              <w:spacing w:after="160" w:line="360" w:lineRule="auto"/>
              <w:jc w:val="both"/>
              <w:rPr>
                <w:rFonts w:ascii="Arial" w:hAnsi="Arial" w:cs="Arial"/>
              </w:rPr>
            </w:pPr>
            <w:r w:rsidRPr="00DB4937">
              <w:rPr>
                <w:rFonts w:ascii="Arial" w:hAnsi="Arial" w:cs="Arial"/>
              </w:rPr>
              <w:t>0.63</w:t>
            </w:r>
          </w:p>
        </w:tc>
      </w:tr>
      <w:tr w:rsidR="00037491" w:rsidRPr="00DB4937" w14:paraId="3D4650A0" w14:textId="77777777" w:rsidTr="00037491">
        <w:tc>
          <w:tcPr>
            <w:tcW w:w="0" w:type="auto"/>
            <w:hideMark/>
          </w:tcPr>
          <w:p w14:paraId="6798B1BC" w14:textId="77777777" w:rsidR="00037491" w:rsidRPr="00DB4937" w:rsidRDefault="00037491" w:rsidP="00037491">
            <w:pPr>
              <w:spacing w:after="160" w:line="360" w:lineRule="auto"/>
              <w:jc w:val="both"/>
              <w:rPr>
                <w:rFonts w:ascii="Arial" w:hAnsi="Arial" w:cs="Arial"/>
              </w:rPr>
            </w:pPr>
            <w:r w:rsidRPr="00DB4937">
              <w:rPr>
                <w:rFonts w:ascii="Arial" w:hAnsi="Arial" w:cs="Arial"/>
              </w:rPr>
              <w:t>Interest-bearing debt / equity</w:t>
            </w:r>
          </w:p>
        </w:tc>
        <w:tc>
          <w:tcPr>
            <w:tcW w:w="0" w:type="auto"/>
            <w:hideMark/>
          </w:tcPr>
          <w:p w14:paraId="67E77A52" w14:textId="77777777" w:rsidR="00037491" w:rsidRPr="00DB4937" w:rsidRDefault="00037491" w:rsidP="00037491">
            <w:pPr>
              <w:spacing w:after="160" w:line="360" w:lineRule="auto"/>
              <w:jc w:val="both"/>
              <w:rPr>
                <w:rFonts w:ascii="Arial" w:hAnsi="Arial" w:cs="Arial"/>
              </w:rPr>
            </w:pPr>
            <w:r w:rsidRPr="00DB4937">
              <w:rPr>
                <w:rFonts w:ascii="Arial" w:hAnsi="Arial" w:cs="Arial"/>
              </w:rPr>
              <w:t>0.30</w:t>
            </w:r>
          </w:p>
        </w:tc>
        <w:tc>
          <w:tcPr>
            <w:tcW w:w="0" w:type="auto"/>
            <w:hideMark/>
          </w:tcPr>
          <w:p w14:paraId="364C93C0" w14:textId="77777777" w:rsidR="00037491" w:rsidRPr="00DB4937" w:rsidRDefault="00037491" w:rsidP="00037491">
            <w:pPr>
              <w:spacing w:after="160" w:line="360" w:lineRule="auto"/>
              <w:jc w:val="both"/>
              <w:rPr>
                <w:rFonts w:ascii="Arial" w:hAnsi="Arial" w:cs="Arial"/>
              </w:rPr>
            </w:pPr>
            <w:r w:rsidRPr="00DB4937">
              <w:rPr>
                <w:rFonts w:ascii="Arial" w:hAnsi="Arial" w:cs="Arial"/>
              </w:rPr>
              <w:t>0.38</w:t>
            </w:r>
          </w:p>
        </w:tc>
        <w:tc>
          <w:tcPr>
            <w:tcW w:w="0" w:type="auto"/>
            <w:hideMark/>
          </w:tcPr>
          <w:p w14:paraId="32CCFF2C" w14:textId="77777777" w:rsidR="00037491" w:rsidRPr="00DB4937" w:rsidRDefault="00037491" w:rsidP="00037491">
            <w:pPr>
              <w:spacing w:after="160" w:line="360" w:lineRule="auto"/>
              <w:jc w:val="both"/>
              <w:rPr>
                <w:rFonts w:ascii="Arial" w:hAnsi="Arial" w:cs="Arial"/>
              </w:rPr>
            </w:pPr>
            <w:r w:rsidRPr="00DB4937">
              <w:rPr>
                <w:rFonts w:ascii="Arial" w:hAnsi="Arial" w:cs="Arial"/>
              </w:rPr>
              <w:t>0.38</w:t>
            </w:r>
          </w:p>
        </w:tc>
        <w:tc>
          <w:tcPr>
            <w:tcW w:w="0" w:type="auto"/>
            <w:hideMark/>
          </w:tcPr>
          <w:p w14:paraId="7D660D54" w14:textId="77777777" w:rsidR="00037491" w:rsidRPr="00DB4937" w:rsidRDefault="00037491" w:rsidP="00037491">
            <w:pPr>
              <w:spacing w:after="160" w:line="360" w:lineRule="auto"/>
              <w:jc w:val="both"/>
              <w:rPr>
                <w:rFonts w:ascii="Arial" w:hAnsi="Arial" w:cs="Arial"/>
              </w:rPr>
            </w:pPr>
            <w:r w:rsidRPr="00DB4937">
              <w:rPr>
                <w:rFonts w:ascii="Arial" w:hAnsi="Arial" w:cs="Arial"/>
              </w:rPr>
              <w:t>0.25</w:t>
            </w:r>
          </w:p>
        </w:tc>
        <w:tc>
          <w:tcPr>
            <w:tcW w:w="0" w:type="auto"/>
            <w:hideMark/>
          </w:tcPr>
          <w:p w14:paraId="4F1A4142" w14:textId="77777777" w:rsidR="00037491" w:rsidRPr="00DB4937" w:rsidRDefault="00037491" w:rsidP="00037491">
            <w:pPr>
              <w:spacing w:after="160" w:line="360" w:lineRule="auto"/>
              <w:jc w:val="both"/>
              <w:rPr>
                <w:rFonts w:ascii="Arial" w:hAnsi="Arial" w:cs="Arial"/>
              </w:rPr>
            </w:pPr>
            <w:r w:rsidRPr="00DB4937">
              <w:rPr>
                <w:rFonts w:ascii="Arial" w:hAnsi="Arial" w:cs="Arial"/>
              </w:rPr>
              <w:t>0.11</w:t>
            </w:r>
          </w:p>
        </w:tc>
      </w:tr>
      <w:tr w:rsidR="00037491" w:rsidRPr="00DB4937" w14:paraId="17E84203" w14:textId="77777777" w:rsidTr="00037491">
        <w:tc>
          <w:tcPr>
            <w:tcW w:w="0" w:type="auto"/>
            <w:hideMark/>
          </w:tcPr>
          <w:p w14:paraId="4D8FE72F" w14:textId="77777777" w:rsidR="00037491" w:rsidRPr="00DB4937" w:rsidRDefault="00037491" w:rsidP="00037491">
            <w:pPr>
              <w:spacing w:after="160" w:line="360" w:lineRule="auto"/>
              <w:jc w:val="both"/>
              <w:rPr>
                <w:rFonts w:ascii="Arial" w:hAnsi="Arial" w:cs="Arial"/>
              </w:rPr>
            </w:pPr>
            <w:r w:rsidRPr="00DB4937">
              <w:rPr>
                <w:rFonts w:ascii="Arial" w:hAnsi="Arial" w:cs="Arial"/>
              </w:rPr>
              <w:t>Equity ratio</w:t>
            </w:r>
          </w:p>
        </w:tc>
        <w:tc>
          <w:tcPr>
            <w:tcW w:w="0" w:type="auto"/>
            <w:hideMark/>
          </w:tcPr>
          <w:p w14:paraId="24A4E6D8" w14:textId="77777777" w:rsidR="00037491" w:rsidRPr="00DB4937" w:rsidRDefault="00037491" w:rsidP="00037491">
            <w:pPr>
              <w:spacing w:after="160" w:line="360" w:lineRule="auto"/>
              <w:jc w:val="both"/>
              <w:rPr>
                <w:rFonts w:ascii="Arial" w:hAnsi="Arial" w:cs="Arial"/>
              </w:rPr>
            </w:pPr>
            <w:r w:rsidRPr="00DB4937">
              <w:rPr>
                <w:rFonts w:ascii="Arial" w:hAnsi="Arial" w:cs="Arial"/>
              </w:rPr>
              <w:t>47.4%</w:t>
            </w:r>
          </w:p>
        </w:tc>
        <w:tc>
          <w:tcPr>
            <w:tcW w:w="0" w:type="auto"/>
            <w:hideMark/>
          </w:tcPr>
          <w:p w14:paraId="6538AE1B" w14:textId="77777777" w:rsidR="00037491" w:rsidRPr="00DB4937" w:rsidRDefault="00037491" w:rsidP="00037491">
            <w:pPr>
              <w:spacing w:after="160" w:line="360" w:lineRule="auto"/>
              <w:jc w:val="both"/>
              <w:rPr>
                <w:rFonts w:ascii="Arial" w:hAnsi="Arial" w:cs="Arial"/>
              </w:rPr>
            </w:pPr>
            <w:r w:rsidRPr="00DB4937">
              <w:rPr>
                <w:rFonts w:ascii="Arial" w:hAnsi="Arial" w:cs="Arial"/>
              </w:rPr>
              <w:t>50.3%</w:t>
            </w:r>
          </w:p>
        </w:tc>
        <w:tc>
          <w:tcPr>
            <w:tcW w:w="0" w:type="auto"/>
            <w:hideMark/>
          </w:tcPr>
          <w:p w14:paraId="4A7C2025" w14:textId="77777777" w:rsidR="00037491" w:rsidRPr="00DB4937" w:rsidRDefault="00037491" w:rsidP="00037491">
            <w:pPr>
              <w:spacing w:after="160" w:line="360" w:lineRule="auto"/>
              <w:jc w:val="both"/>
              <w:rPr>
                <w:rFonts w:ascii="Arial" w:hAnsi="Arial" w:cs="Arial"/>
              </w:rPr>
            </w:pPr>
            <w:r w:rsidRPr="00DB4937">
              <w:rPr>
                <w:rFonts w:ascii="Arial" w:hAnsi="Arial" w:cs="Arial"/>
              </w:rPr>
              <w:t>53.2%</w:t>
            </w:r>
          </w:p>
        </w:tc>
        <w:tc>
          <w:tcPr>
            <w:tcW w:w="0" w:type="auto"/>
            <w:hideMark/>
          </w:tcPr>
          <w:p w14:paraId="16E9F938" w14:textId="77777777" w:rsidR="00037491" w:rsidRPr="00DB4937" w:rsidRDefault="00037491" w:rsidP="00037491">
            <w:pPr>
              <w:spacing w:after="160" w:line="360" w:lineRule="auto"/>
              <w:jc w:val="both"/>
              <w:rPr>
                <w:rFonts w:ascii="Arial" w:hAnsi="Arial" w:cs="Arial"/>
              </w:rPr>
            </w:pPr>
            <w:r w:rsidRPr="00DB4937">
              <w:rPr>
                <w:rFonts w:ascii="Arial" w:hAnsi="Arial" w:cs="Arial"/>
              </w:rPr>
              <w:t>54.1%</w:t>
            </w:r>
          </w:p>
        </w:tc>
        <w:tc>
          <w:tcPr>
            <w:tcW w:w="0" w:type="auto"/>
            <w:hideMark/>
          </w:tcPr>
          <w:p w14:paraId="290AA1A7" w14:textId="77777777" w:rsidR="00037491" w:rsidRPr="00DB4937" w:rsidRDefault="00037491" w:rsidP="00037491">
            <w:pPr>
              <w:spacing w:after="160" w:line="360" w:lineRule="auto"/>
              <w:jc w:val="both"/>
              <w:rPr>
                <w:rFonts w:ascii="Arial" w:hAnsi="Arial" w:cs="Arial"/>
              </w:rPr>
            </w:pPr>
            <w:r w:rsidRPr="00DB4937">
              <w:rPr>
                <w:rFonts w:ascii="Arial" w:hAnsi="Arial" w:cs="Arial"/>
              </w:rPr>
              <w:t>61.4%</w:t>
            </w:r>
          </w:p>
        </w:tc>
      </w:tr>
      <w:tr w:rsidR="00037491" w:rsidRPr="00DB4937" w14:paraId="7C62104A" w14:textId="77777777" w:rsidTr="00037491">
        <w:tc>
          <w:tcPr>
            <w:tcW w:w="0" w:type="auto"/>
            <w:hideMark/>
          </w:tcPr>
          <w:p w14:paraId="4439255C" w14:textId="77777777" w:rsidR="00037491" w:rsidRPr="00DB4937" w:rsidRDefault="00037491" w:rsidP="00037491">
            <w:pPr>
              <w:spacing w:after="160" w:line="360" w:lineRule="auto"/>
              <w:jc w:val="both"/>
              <w:rPr>
                <w:rFonts w:ascii="Arial" w:hAnsi="Arial" w:cs="Arial"/>
              </w:rPr>
            </w:pPr>
            <w:r w:rsidRPr="00DB4937">
              <w:rPr>
                <w:rFonts w:ascii="Arial" w:hAnsi="Arial" w:cs="Arial"/>
              </w:rPr>
              <w:t>Interest coverage (EBIT/</w:t>
            </w:r>
          </w:p>
        </w:tc>
        <w:tc>
          <w:tcPr>
            <w:tcW w:w="0" w:type="auto"/>
            <w:hideMark/>
          </w:tcPr>
          <w:p w14:paraId="5F5B2412" w14:textId="77777777" w:rsidR="00037491" w:rsidRPr="00DB4937" w:rsidRDefault="00037491" w:rsidP="00037491">
            <w:pPr>
              <w:spacing w:after="160" w:line="360" w:lineRule="auto"/>
              <w:jc w:val="both"/>
              <w:rPr>
                <w:rFonts w:ascii="Arial" w:hAnsi="Arial" w:cs="Arial"/>
              </w:rPr>
            </w:pPr>
            <w:r w:rsidRPr="00DB4937">
              <w:rPr>
                <w:rFonts w:ascii="Arial" w:hAnsi="Arial" w:cs="Arial"/>
              </w:rPr>
              <w:t>interest</w:t>
            </w:r>
          </w:p>
        </w:tc>
        <w:tc>
          <w:tcPr>
            <w:tcW w:w="0" w:type="auto"/>
            <w:hideMark/>
          </w:tcPr>
          <w:p w14:paraId="4683A4B9" w14:textId="77777777" w:rsidR="00037491" w:rsidRPr="00DB4937" w:rsidRDefault="00037491" w:rsidP="00037491">
            <w:pPr>
              <w:spacing w:after="160" w:line="360" w:lineRule="auto"/>
              <w:jc w:val="both"/>
              <w:rPr>
                <w:rFonts w:ascii="Arial" w:hAnsi="Arial" w:cs="Arial"/>
              </w:rPr>
            </w:pPr>
            <w:r w:rsidRPr="00DB4937">
              <w:rPr>
                <w:rFonts w:ascii="Arial" w:hAnsi="Arial" w:cs="Arial"/>
              </w:rPr>
              <w:t>)</w:t>
            </w:r>
          </w:p>
        </w:tc>
        <w:tc>
          <w:tcPr>
            <w:tcW w:w="0" w:type="auto"/>
            <w:hideMark/>
          </w:tcPr>
          <w:p w14:paraId="43533369" w14:textId="77777777" w:rsidR="00037491" w:rsidRPr="00DB4937" w:rsidRDefault="00037491" w:rsidP="00037491">
            <w:pPr>
              <w:spacing w:after="160" w:line="360" w:lineRule="auto"/>
              <w:jc w:val="both"/>
              <w:rPr>
                <w:rFonts w:ascii="Arial" w:hAnsi="Arial" w:cs="Arial"/>
              </w:rPr>
            </w:pPr>
            <w:r w:rsidRPr="00DB4937">
              <w:rPr>
                <w:rFonts w:ascii="Arial" w:hAnsi="Arial" w:cs="Arial"/>
              </w:rPr>
              <w:t>-4.55</w:t>
            </w:r>
          </w:p>
        </w:tc>
        <w:tc>
          <w:tcPr>
            <w:tcW w:w="0" w:type="auto"/>
            <w:hideMark/>
          </w:tcPr>
          <w:p w14:paraId="69E813B1" w14:textId="77777777" w:rsidR="00037491" w:rsidRPr="00DB4937" w:rsidRDefault="00037491" w:rsidP="00037491">
            <w:pPr>
              <w:spacing w:after="160" w:line="360" w:lineRule="auto"/>
              <w:jc w:val="both"/>
              <w:rPr>
                <w:rFonts w:ascii="Arial" w:hAnsi="Arial" w:cs="Arial"/>
              </w:rPr>
            </w:pPr>
            <w:r w:rsidRPr="00DB4937">
              <w:rPr>
                <w:rFonts w:ascii="Arial" w:hAnsi="Arial" w:cs="Arial"/>
              </w:rPr>
              <w:t>-19.69</w:t>
            </w:r>
          </w:p>
        </w:tc>
        <w:tc>
          <w:tcPr>
            <w:tcW w:w="0" w:type="auto"/>
            <w:hideMark/>
          </w:tcPr>
          <w:p w14:paraId="07485142" w14:textId="77777777" w:rsidR="00037491" w:rsidRPr="00DB4937" w:rsidRDefault="00037491" w:rsidP="00037491">
            <w:pPr>
              <w:spacing w:after="160" w:line="360" w:lineRule="auto"/>
              <w:jc w:val="both"/>
              <w:rPr>
                <w:rFonts w:ascii="Arial" w:hAnsi="Arial" w:cs="Arial"/>
              </w:rPr>
            </w:pPr>
            <w:r w:rsidRPr="00DB4937">
              <w:rPr>
                <w:rFonts w:ascii="Arial" w:hAnsi="Arial" w:cs="Arial"/>
              </w:rPr>
              <w:t>6.61</w:t>
            </w:r>
          </w:p>
        </w:tc>
      </w:tr>
    </w:tbl>
    <w:p w14:paraId="719F73AE" w14:textId="0A6D4C25" w:rsidR="00037491" w:rsidRPr="00DB4937" w:rsidRDefault="00037491" w:rsidP="00037491">
      <w:pPr>
        <w:spacing w:line="360" w:lineRule="auto"/>
        <w:jc w:val="both"/>
        <w:rPr>
          <w:rFonts w:ascii="Arial" w:hAnsi="Arial" w:cs="Arial"/>
        </w:rPr>
      </w:pPr>
    </w:p>
    <w:p w14:paraId="04D4F21D" w14:textId="77777777" w:rsidR="00037491" w:rsidRPr="00DB4937" w:rsidRDefault="00037491">
      <w:pPr>
        <w:rPr>
          <w:rFonts w:ascii="Arial" w:hAnsi="Arial" w:cs="Arial"/>
          <w:b/>
          <w:bCs/>
        </w:rPr>
      </w:pPr>
      <w:r w:rsidRPr="00DB4937">
        <w:rPr>
          <w:rFonts w:ascii="Arial" w:hAnsi="Arial" w:cs="Arial"/>
          <w:b/>
          <w:bCs/>
        </w:rPr>
        <w:br w:type="page"/>
      </w:r>
    </w:p>
    <w:p w14:paraId="0D25DAB7" w14:textId="67D8D7A0" w:rsidR="00037491" w:rsidRPr="00DB4937" w:rsidRDefault="00037491" w:rsidP="00037491">
      <w:pPr>
        <w:spacing w:line="360" w:lineRule="auto"/>
        <w:jc w:val="both"/>
        <w:rPr>
          <w:rFonts w:ascii="Arial" w:hAnsi="Arial" w:cs="Arial"/>
          <w:b/>
          <w:bCs/>
        </w:rPr>
      </w:pPr>
      <w:r w:rsidRPr="00DB4937">
        <w:rPr>
          <w:rFonts w:ascii="Arial" w:hAnsi="Arial" w:cs="Arial"/>
          <w:b/>
          <w:bCs/>
        </w:rPr>
        <w:lastRenderedPageBreak/>
        <w:t>5) Investment ratios (what can be done from the provided data)</w:t>
      </w:r>
    </w:p>
    <w:p w14:paraId="004465BE" w14:textId="77777777" w:rsidR="00037491" w:rsidRPr="00DB4937" w:rsidRDefault="00037491" w:rsidP="00037491">
      <w:pPr>
        <w:spacing w:line="360" w:lineRule="auto"/>
        <w:jc w:val="both"/>
        <w:rPr>
          <w:rFonts w:ascii="Arial" w:hAnsi="Arial" w:cs="Arial"/>
        </w:rPr>
      </w:pPr>
      <w:r w:rsidRPr="00DB4937">
        <w:rPr>
          <w:rFonts w:ascii="Arial" w:hAnsi="Arial" w:cs="Arial"/>
        </w:rPr>
        <w:t xml:space="preserve">You did </w:t>
      </w:r>
      <w:r w:rsidRPr="00DB4937">
        <w:rPr>
          <w:rFonts w:ascii="Arial" w:hAnsi="Arial" w:cs="Arial"/>
          <w:b/>
          <w:bCs/>
        </w:rPr>
        <w:t>not</w:t>
      </w:r>
      <w:r w:rsidRPr="00DB4937">
        <w:rPr>
          <w:rFonts w:ascii="Arial" w:hAnsi="Arial" w:cs="Arial"/>
        </w:rPr>
        <w:t xml:space="preserve"> provide market price/dividends, so </w:t>
      </w:r>
      <w:r w:rsidRPr="00DB4937">
        <w:rPr>
          <w:rFonts w:ascii="Arial" w:hAnsi="Arial" w:cs="Arial"/>
          <w:b/>
          <w:bCs/>
        </w:rPr>
        <w:t>P/E, dividend yield, dividend payout</w:t>
      </w:r>
      <w:r w:rsidRPr="00DB4937">
        <w:rPr>
          <w:rFonts w:ascii="Arial" w:hAnsi="Arial" w:cs="Arial"/>
        </w:rPr>
        <w:t xml:space="preserve"> can’t be calculated from this file alone. What we </w:t>
      </w:r>
      <w:r w:rsidRPr="00DB4937">
        <w:rPr>
          <w:rFonts w:ascii="Arial" w:hAnsi="Arial" w:cs="Arial"/>
          <w:i/>
          <w:iCs/>
        </w:rPr>
        <w:t>can</w:t>
      </w:r>
      <w:r w:rsidRPr="00DB4937">
        <w:rPr>
          <w:rFonts w:ascii="Arial" w:hAnsi="Arial" w:cs="Arial"/>
        </w:rPr>
        <w:t xml:space="preserve"> calculate:</w:t>
      </w:r>
    </w:p>
    <w:p w14:paraId="5AFFD388" w14:textId="77777777" w:rsidR="00037491" w:rsidRPr="00DB4937" w:rsidRDefault="00037491" w:rsidP="00037491">
      <w:pPr>
        <w:spacing w:line="360" w:lineRule="auto"/>
        <w:jc w:val="both"/>
        <w:rPr>
          <w:rFonts w:ascii="Arial" w:hAnsi="Arial" w:cs="Arial"/>
        </w:rPr>
      </w:pPr>
      <w:r w:rsidRPr="00DB4937">
        <w:rPr>
          <w:rFonts w:ascii="Arial" w:hAnsi="Arial" w:cs="Arial"/>
          <w:b/>
          <w:bCs/>
        </w:rPr>
        <w:t>Formulas</w:t>
      </w:r>
    </w:p>
    <w:p w14:paraId="2362FA60" w14:textId="77777777" w:rsidR="00037491" w:rsidRPr="00DB4937" w:rsidRDefault="00037491" w:rsidP="00037491">
      <w:pPr>
        <w:numPr>
          <w:ilvl w:val="0"/>
          <w:numId w:val="5"/>
        </w:numPr>
        <w:spacing w:line="360" w:lineRule="auto"/>
        <w:jc w:val="both"/>
        <w:rPr>
          <w:rFonts w:ascii="Arial" w:hAnsi="Arial" w:cs="Arial"/>
        </w:rPr>
      </w:pPr>
      <w:r w:rsidRPr="00DB4937">
        <w:rPr>
          <w:rFonts w:ascii="Arial" w:hAnsi="Arial" w:cs="Arial"/>
          <w:b/>
          <w:bCs/>
        </w:rPr>
        <w:t>Basic EPS</w:t>
      </w:r>
      <w:r w:rsidRPr="00DB4937">
        <w:rPr>
          <w:rFonts w:ascii="Arial" w:hAnsi="Arial" w:cs="Arial"/>
        </w:rPr>
        <w:t xml:space="preserve"> (given)</w:t>
      </w:r>
    </w:p>
    <w:p w14:paraId="272C014E" w14:textId="77777777" w:rsidR="00037491" w:rsidRPr="00DB4937" w:rsidRDefault="00037491" w:rsidP="00037491">
      <w:pPr>
        <w:numPr>
          <w:ilvl w:val="0"/>
          <w:numId w:val="5"/>
        </w:numPr>
        <w:spacing w:line="360" w:lineRule="auto"/>
        <w:jc w:val="both"/>
        <w:rPr>
          <w:rFonts w:ascii="Arial" w:hAnsi="Arial" w:cs="Arial"/>
        </w:rPr>
      </w:pPr>
      <w:r w:rsidRPr="00DB4937">
        <w:rPr>
          <w:rFonts w:ascii="Arial" w:hAnsi="Arial" w:cs="Arial"/>
          <w:b/>
          <w:bCs/>
        </w:rPr>
        <w:t>Diluted EPS</w:t>
      </w:r>
      <w:r w:rsidRPr="00DB4937">
        <w:rPr>
          <w:rFonts w:ascii="Arial" w:hAnsi="Arial" w:cs="Arial"/>
        </w:rPr>
        <w:t xml:space="preserve"> (given)</w:t>
      </w:r>
    </w:p>
    <w:p w14:paraId="5E3ACB4D" w14:textId="77777777" w:rsidR="00037491" w:rsidRPr="00DB4937" w:rsidRDefault="00037491" w:rsidP="00037491">
      <w:pPr>
        <w:numPr>
          <w:ilvl w:val="0"/>
          <w:numId w:val="5"/>
        </w:numPr>
        <w:spacing w:line="360" w:lineRule="auto"/>
        <w:jc w:val="both"/>
        <w:rPr>
          <w:rFonts w:ascii="Arial" w:hAnsi="Arial" w:cs="Arial"/>
        </w:rPr>
      </w:pPr>
      <w:r w:rsidRPr="00DB4937">
        <w:rPr>
          <w:rFonts w:ascii="Arial" w:hAnsi="Arial" w:cs="Arial"/>
          <w:b/>
          <w:bCs/>
        </w:rPr>
        <w:t>Book value per share (BVPS)</w:t>
      </w:r>
      <w:r w:rsidRPr="00DB4937">
        <w:rPr>
          <w:rFonts w:ascii="Arial" w:hAnsi="Arial" w:cs="Arial"/>
        </w:rPr>
        <w:t xml:space="preserve"> = Total equity / Basic shares</w:t>
      </w:r>
    </w:p>
    <w:tbl>
      <w:tblPr>
        <w:tblStyle w:val="TableGrid"/>
        <w:tblW w:w="0" w:type="auto"/>
        <w:tblLook w:val="04A0" w:firstRow="1" w:lastRow="0" w:firstColumn="1" w:lastColumn="0" w:noHBand="0" w:noVBand="1"/>
      </w:tblPr>
      <w:tblGrid>
        <w:gridCol w:w="4949"/>
        <w:gridCol w:w="799"/>
        <w:gridCol w:w="817"/>
        <w:gridCol w:w="817"/>
        <w:gridCol w:w="817"/>
        <w:gridCol w:w="817"/>
      </w:tblGrid>
      <w:tr w:rsidR="00037491" w:rsidRPr="00DB4937" w14:paraId="7AD4BFB3" w14:textId="77777777" w:rsidTr="00037491">
        <w:tc>
          <w:tcPr>
            <w:tcW w:w="0" w:type="auto"/>
            <w:hideMark/>
          </w:tcPr>
          <w:p w14:paraId="10962B22"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Investment</w:t>
            </w:r>
          </w:p>
        </w:tc>
        <w:tc>
          <w:tcPr>
            <w:tcW w:w="0" w:type="auto"/>
            <w:hideMark/>
          </w:tcPr>
          <w:p w14:paraId="6C0168E0"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2024</w:t>
            </w:r>
          </w:p>
        </w:tc>
        <w:tc>
          <w:tcPr>
            <w:tcW w:w="0" w:type="auto"/>
            <w:hideMark/>
          </w:tcPr>
          <w:p w14:paraId="0D215C0E"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2023</w:t>
            </w:r>
          </w:p>
        </w:tc>
        <w:tc>
          <w:tcPr>
            <w:tcW w:w="0" w:type="auto"/>
            <w:hideMark/>
          </w:tcPr>
          <w:p w14:paraId="53D5302B"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2022</w:t>
            </w:r>
          </w:p>
        </w:tc>
        <w:tc>
          <w:tcPr>
            <w:tcW w:w="0" w:type="auto"/>
            <w:hideMark/>
          </w:tcPr>
          <w:p w14:paraId="34A5CC78"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2021</w:t>
            </w:r>
          </w:p>
        </w:tc>
        <w:tc>
          <w:tcPr>
            <w:tcW w:w="0" w:type="auto"/>
            <w:hideMark/>
          </w:tcPr>
          <w:p w14:paraId="57A1F22E"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2020</w:t>
            </w:r>
          </w:p>
        </w:tc>
      </w:tr>
      <w:tr w:rsidR="00037491" w:rsidRPr="00DB4937" w14:paraId="4B37801E" w14:textId="77777777" w:rsidTr="00037491">
        <w:tc>
          <w:tcPr>
            <w:tcW w:w="0" w:type="auto"/>
            <w:hideMark/>
          </w:tcPr>
          <w:p w14:paraId="4ECB32EF" w14:textId="77777777" w:rsidR="00037491" w:rsidRPr="00DB4937" w:rsidRDefault="00037491" w:rsidP="00037491">
            <w:pPr>
              <w:spacing w:after="160" w:line="360" w:lineRule="auto"/>
              <w:jc w:val="both"/>
              <w:rPr>
                <w:rFonts w:ascii="Arial" w:hAnsi="Arial" w:cs="Arial"/>
              </w:rPr>
            </w:pPr>
            <w:r w:rsidRPr="00DB4937">
              <w:rPr>
                <w:rFonts w:ascii="Arial" w:hAnsi="Arial" w:cs="Arial"/>
              </w:rPr>
              <w:t>Basic EPS (£)</w:t>
            </w:r>
          </w:p>
        </w:tc>
        <w:tc>
          <w:tcPr>
            <w:tcW w:w="0" w:type="auto"/>
            <w:hideMark/>
          </w:tcPr>
          <w:p w14:paraId="646DCCDE" w14:textId="77777777" w:rsidR="00037491" w:rsidRPr="00DB4937" w:rsidRDefault="00037491" w:rsidP="00037491">
            <w:pPr>
              <w:spacing w:after="160" w:line="360" w:lineRule="auto"/>
              <w:jc w:val="both"/>
              <w:rPr>
                <w:rFonts w:ascii="Arial" w:hAnsi="Arial" w:cs="Arial"/>
              </w:rPr>
            </w:pPr>
            <w:r w:rsidRPr="00DB4937">
              <w:rPr>
                <w:rFonts w:ascii="Arial" w:hAnsi="Arial" w:cs="Arial"/>
              </w:rPr>
              <w:t>-1.85</w:t>
            </w:r>
          </w:p>
        </w:tc>
        <w:tc>
          <w:tcPr>
            <w:tcW w:w="0" w:type="auto"/>
            <w:hideMark/>
          </w:tcPr>
          <w:p w14:paraId="63595CE1" w14:textId="77777777" w:rsidR="00037491" w:rsidRPr="00DB4937" w:rsidRDefault="00037491" w:rsidP="00037491">
            <w:pPr>
              <w:spacing w:after="160" w:line="360" w:lineRule="auto"/>
              <w:jc w:val="both"/>
              <w:rPr>
                <w:rFonts w:ascii="Arial" w:hAnsi="Arial" w:cs="Arial"/>
              </w:rPr>
            </w:pPr>
            <w:r w:rsidRPr="00DB4937">
              <w:rPr>
                <w:rFonts w:ascii="Arial" w:hAnsi="Arial" w:cs="Arial"/>
              </w:rPr>
              <w:t>-7.64</w:t>
            </w:r>
          </w:p>
        </w:tc>
        <w:tc>
          <w:tcPr>
            <w:tcW w:w="0" w:type="auto"/>
            <w:hideMark/>
          </w:tcPr>
          <w:p w14:paraId="764D03B8" w14:textId="77777777" w:rsidR="00037491" w:rsidRPr="00DB4937" w:rsidRDefault="00037491" w:rsidP="00037491">
            <w:pPr>
              <w:spacing w:after="160" w:line="360" w:lineRule="auto"/>
              <w:jc w:val="both"/>
              <w:rPr>
                <w:rFonts w:ascii="Arial" w:hAnsi="Arial" w:cs="Arial"/>
              </w:rPr>
            </w:pPr>
            <w:r w:rsidRPr="00DB4937">
              <w:rPr>
                <w:rFonts w:ascii="Arial" w:hAnsi="Arial" w:cs="Arial"/>
              </w:rPr>
              <w:t>0.03</w:t>
            </w:r>
          </w:p>
        </w:tc>
        <w:tc>
          <w:tcPr>
            <w:tcW w:w="0" w:type="auto"/>
            <w:hideMark/>
          </w:tcPr>
          <w:p w14:paraId="03949DD6" w14:textId="77777777" w:rsidR="00037491" w:rsidRPr="00DB4937" w:rsidRDefault="00037491" w:rsidP="00037491">
            <w:pPr>
              <w:spacing w:after="160" w:line="360" w:lineRule="auto"/>
              <w:jc w:val="both"/>
              <w:rPr>
                <w:rFonts w:ascii="Arial" w:hAnsi="Arial" w:cs="Arial"/>
              </w:rPr>
            </w:pPr>
            <w:r w:rsidRPr="00DB4937">
              <w:rPr>
                <w:rFonts w:ascii="Arial" w:hAnsi="Arial" w:cs="Arial"/>
              </w:rPr>
              <w:t>0.39</w:t>
            </w:r>
          </w:p>
        </w:tc>
        <w:tc>
          <w:tcPr>
            <w:tcW w:w="0" w:type="auto"/>
            <w:hideMark/>
          </w:tcPr>
          <w:p w14:paraId="7777D51C" w14:textId="77777777" w:rsidR="00037491" w:rsidRPr="00DB4937" w:rsidRDefault="00037491" w:rsidP="00037491">
            <w:pPr>
              <w:spacing w:after="160" w:line="360" w:lineRule="auto"/>
              <w:jc w:val="both"/>
              <w:rPr>
                <w:rFonts w:ascii="Arial" w:hAnsi="Arial" w:cs="Arial"/>
              </w:rPr>
            </w:pPr>
            <w:r w:rsidRPr="00DB4937">
              <w:rPr>
                <w:rFonts w:ascii="Arial" w:hAnsi="Arial" w:cs="Arial"/>
              </w:rPr>
              <w:t>2.78</w:t>
            </w:r>
          </w:p>
        </w:tc>
      </w:tr>
      <w:tr w:rsidR="00037491" w:rsidRPr="00DB4937" w14:paraId="5766CB5A" w14:textId="77777777" w:rsidTr="00037491">
        <w:tc>
          <w:tcPr>
            <w:tcW w:w="0" w:type="auto"/>
            <w:hideMark/>
          </w:tcPr>
          <w:p w14:paraId="2B3ADCEF" w14:textId="77777777" w:rsidR="00037491" w:rsidRPr="00DB4937" w:rsidRDefault="00037491" w:rsidP="00037491">
            <w:pPr>
              <w:spacing w:after="160" w:line="360" w:lineRule="auto"/>
              <w:jc w:val="both"/>
              <w:rPr>
                <w:rFonts w:ascii="Arial" w:hAnsi="Arial" w:cs="Arial"/>
              </w:rPr>
            </w:pPr>
            <w:r w:rsidRPr="00DB4937">
              <w:rPr>
                <w:rFonts w:ascii="Arial" w:hAnsi="Arial" w:cs="Arial"/>
              </w:rPr>
              <w:t>Diluted EPS (£)</w:t>
            </w:r>
          </w:p>
        </w:tc>
        <w:tc>
          <w:tcPr>
            <w:tcW w:w="0" w:type="auto"/>
            <w:hideMark/>
          </w:tcPr>
          <w:p w14:paraId="0C3A9518" w14:textId="77777777" w:rsidR="00037491" w:rsidRPr="00DB4937" w:rsidRDefault="00037491" w:rsidP="00037491">
            <w:pPr>
              <w:spacing w:after="160" w:line="360" w:lineRule="auto"/>
              <w:jc w:val="both"/>
              <w:rPr>
                <w:rFonts w:ascii="Arial" w:hAnsi="Arial" w:cs="Arial"/>
              </w:rPr>
            </w:pPr>
            <w:r w:rsidRPr="00DB4937">
              <w:rPr>
                <w:rFonts w:ascii="Arial" w:hAnsi="Arial" w:cs="Arial"/>
              </w:rPr>
              <w:t>-1.85</w:t>
            </w:r>
          </w:p>
        </w:tc>
        <w:tc>
          <w:tcPr>
            <w:tcW w:w="0" w:type="auto"/>
            <w:hideMark/>
          </w:tcPr>
          <w:p w14:paraId="3E766C25" w14:textId="77777777" w:rsidR="00037491" w:rsidRPr="00DB4937" w:rsidRDefault="00037491" w:rsidP="00037491">
            <w:pPr>
              <w:spacing w:after="160" w:line="360" w:lineRule="auto"/>
              <w:jc w:val="both"/>
              <w:rPr>
                <w:rFonts w:ascii="Arial" w:hAnsi="Arial" w:cs="Arial"/>
              </w:rPr>
            </w:pPr>
            <w:r w:rsidRPr="00DB4937">
              <w:rPr>
                <w:rFonts w:ascii="Arial" w:hAnsi="Arial" w:cs="Arial"/>
              </w:rPr>
              <w:t>-7.64</w:t>
            </w:r>
          </w:p>
        </w:tc>
        <w:tc>
          <w:tcPr>
            <w:tcW w:w="0" w:type="auto"/>
            <w:hideMark/>
          </w:tcPr>
          <w:p w14:paraId="601FAAA5" w14:textId="77777777" w:rsidR="00037491" w:rsidRPr="00DB4937" w:rsidRDefault="00037491" w:rsidP="00037491">
            <w:pPr>
              <w:spacing w:after="160" w:line="360" w:lineRule="auto"/>
              <w:jc w:val="both"/>
              <w:rPr>
                <w:rFonts w:ascii="Arial" w:hAnsi="Arial" w:cs="Arial"/>
              </w:rPr>
            </w:pPr>
            <w:r w:rsidRPr="00DB4937">
              <w:rPr>
                <w:rFonts w:ascii="Arial" w:hAnsi="Arial" w:cs="Arial"/>
              </w:rPr>
              <w:t>0.03</w:t>
            </w:r>
          </w:p>
        </w:tc>
        <w:tc>
          <w:tcPr>
            <w:tcW w:w="0" w:type="auto"/>
            <w:hideMark/>
          </w:tcPr>
          <w:p w14:paraId="39E268AA" w14:textId="77777777" w:rsidR="00037491" w:rsidRPr="00DB4937" w:rsidRDefault="00037491" w:rsidP="00037491">
            <w:pPr>
              <w:spacing w:after="160" w:line="360" w:lineRule="auto"/>
              <w:jc w:val="both"/>
              <w:rPr>
                <w:rFonts w:ascii="Arial" w:hAnsi="Arial" w:cs="Arial"/>
              </w:rPr>
            </w:pPr>
            <w:r w:rsidRPr="00DB4937">
              <w:rPr>
                <w:rFonts w:ascii="Arial" w:hAnsi="Arial" w:cs="Arial"/>
              </w:rPr>
              <w:t>0.39</w:t>
            </w:r>
          </w:p>
        </w:tc>
        <w:tc>
          <w:tcPr>
            <w:tcW w:w="0" w:type="auto"/>
            <w:hideMark/>
          </w:tcPr>
          <w:p w14:paraId="3DD60ABD" w14:textId="77777777" w:rsidR="00037491" w:rsidRPr="00DB4937" w:rsidRDefault="00037491" w:rsidP="00037491">
            <w:pPr>
              <w:spacing w:after="160" w:line="360" w:lineRule="auto"/>
              <w:jc w:val="both"/>
              <w:rPr>
                <w:rFonts w:ascii="Arial" w:hAnsi="Arial" w:cs="Arial"/>
              </w:rPr>
            </w:pPr>
            <w:r w:rsidRPr="00DB4937">
              <w:rPr>
                <w:rFonts w:ascii="Arial" w:hAnsi="Arial" w:cs="Arial"/>
              </w:rPr>
              <w:t>2.72</w:t>
            </w:r>
          </w:p>
        </w:tc>
      </w:tr>
      <w:tr w:rsidR="00037491" w:rsidRPr="00DB4937" w14:paraId="2E863F23" w14:textId="77777777" w:rsidTr="00037491">
        <w:tc>
          <w:tcPr>
            <w:tcW w:w="0" w:type="auto"/>
            <w:hideMark/>
          </w:tcPr>
          <w:p w14:paraId="1D941B9B" w14:textId="77777777" w:rsidR="00037491" w:rsidRPr="00DB4937" w:rsidRDefault="00037491" w:rsidP="00037491">
            <w:pPr>
              <w:spacing w:after="160" w:line="360" w:lineRule="auto"/>
              <w:jc w:val="both"/>
              <w:rPr>
                <w:rFonts w:ascii="Arial" w:hAnsi="Arial" w:cs="Arial"/>
              </w:rPr>
            </w:pPr>
            <w:r w:rsidRPr="00DB4937">
              <w:rPr>
                <w:rFonts w:ascii="Arial" w:hAnsi="Arial" w:cs="Arial"/>
              </w:rPr>
              <w:t>Book value per share (£) = Equity / basic shares</w:t>
            </w:r>
          </w:p>
        </w:tc>
        <w:tc>
          <w:tcPr>
            <w:tcW w:w="0" w:type="auto"/>
            <w:hideMark/>
          </w:tcPr>
          <w:p w14:paraId="55F3CFF7" w14:textId="77777777" w:rsidR="00037491" w:rsidRPr="00DB4937" w:rsidRDefault="00037491" w:rsidP="00037491">
            <w:pPr>
              <w:spacing w:after="160" w:line="360" w:lineRule="auto"/>
              <w:jc w:val="both"/>
              <w:rPr>
                <w:rFonts w:ascii="Arial" w:hAnsi="Arial" w:cs="Arial"/>
              </w:rPr>
            </w:pPr>
            <w:r w:rsidRPr="00DB4937">
              <w:rPr>
                <w:rFonts w:ascii="Arial" w:hAnsi="Arial" w:cs="Arial"/>
              </w:rPr>
              <w:t>11.81</w:t>
            </w:r>
          </w:p>
        </w:tc>
        <w:tc>
          <w:tcPr>
            <w:tcW w:w="0" w:type="auto"/>
            <w:hideMark/>
          </w:tcPr>
          <w:p w14:paraId="057E1B96" w14:textId="77777777" w:rsidR="00037491" w:rsidRPr="00DB4937" w:rsidRDefault="00037491" w:rsidP="00037491">
            <w:pPr>
              <w:spacing w:after="160" w:line="360" w:lineRule="auto"/>
              <w:jc w:val="both"/>
              <w:rPr>
                <w:rFonts w:ascii="Arial" w:hAnsi="Arial" w:cs="Arial"/>
              </w:rPr>
            </w:pPr>
            <w:r w:rsidRPr="00DB4937">
              <w:rPr>
                <w:rFonts w:ascii="Arial" w:hAnsi="Arial" w:cs="Arial"/>
              </w:rPr>
              <w:t>13.92</w:t>
            </w:r>
          </w:p>
        </w:tc>
        <w:tc>
          <w:tcPr>
            <w:tcW w:w="0" w:type="auto"/>
            <w:hideMark/>
          </w:tcPr>
          <w:p w14:paraId="51F50FB3" w14:textId="77777777" w:rsidR="00037491" w:rsidRPr="00DB4937" w:rsidRDefault="00037491" w:rsidP="00037491">
            <w:pPr>
              <w:spacing w:after="160" w:line="360" w:lineRule="auto"/>
              <w:jc w:val="both"/>
              <w:rPr>
                <w:rFonts w:ascii="Arial" w:hAnsi="Arial" w:cs="Arial"/>
              </w:rPr>
            </w:pPr>
            <w:r w:rsidRPr="00DB4937">
              <w:rPr>
                <w:rFonts w:ascii="Arial" w:hAnsi="Arial" w:cs="Arial"/>
              </w:rPr>
              <w:t>21.13</w:t>
            </w:r>
          </w:p>
        </w:tc>
        <w:tc>
          <w:tcPr>
            <w:tcW w:w="0" w:type="auto"/>
            <w:hideMark/>
          </w:tcPr>
          <w:p w14:paraId="4168276F" w14:textId="77777777" w:rsidR="00037491" w:rsidRPr="00DB4937" w:rsidRDefault="00037491" w:rsidP="00037491">
            <w:pPr>
              <w:spacing w:after="160" w:line="360" w:lineRule="auto"/>
              <w:jc w:val="both"/>
              <w:rPr>
                <w:rFonts w:ascii="Arial" w:hAnsi="Arial" w:cs="Arial"/>
              </w:rPr>
            </w:pPr>
            <w:r w:rsidRPr="00DB4937">
              <w:rPr>
                <w:rFonts w:ascii="Arial" w:hAnsi="Arial" w:cs="Arial"/>
              </w:rPr>
              <w:t>20.49</w:t>
            </w:r>
          </w:p>
        </w:tc>
        <w:tc>
          <w:tcPr>
            <w:tcW w:w="0" w:type="auto"/>
            <w:hideMark/>
          </w:tcPr>
          <w:p w14:paraId="53BDAC42" w14:textId="77777777" w:rsidR="00037491" w:rsidRPr="00DB4937" w:rsidRDefault="00037491" w:rsidP="00037491">
            <w:pPr>
              <w:spacing w:after="160" w:line="360" w:lineRule="auto"/>
              <w:jc w:val="both"/>
              <w:rPr>
                <w:rFonts w:ascii="Arial" w:hAnsi="Arial" w:cs="Arial"/>
              </w:rPr>
            </w:pPr>
            <w:r w:rsidRPr="00DB4937">
              <w:rPr>
                <w:rFonts w:ascii="Arial" w:hAnsi="Arial" w:cs="Arial"/>
              </w:rPr>
              <w:t>22.55</w:t>
            </w:r>
          </w:p>
        </w:tc>
      </w:tr>
    </w:tbl>
    <w:p w14:paraId="737F85FF" w14:textId="2E105C4C" w:rsidR="00037491" w:rsidRPr="00DB4937" w:rsidRDefault="00037491" w:rsidP="00037491">
      <w:pPr>
        <w:spacing w:line="360" w:lineRule="auto"/>
        <w:jc w:val="both"/>
        <w:rPr>
          <w:rFonts w:ascii="Arial" w:hAnsi="Arial" w:cs="Arial"/>
        </w:rPr>
      </w:pPr>
    </w:p>
    <w:p w14:paraId="7E44885C" w14:textId="77777777" w:rsidR="00037491" w:rsidRPr="00DB4937" w:rsidRDefault="00037491" w:rsidP="00037491">
      <w:pPr>
        <w:spacing w:line="360" w:lineRule="auto"/>
        <w:jc w:val="both"/>
        <w:rPr>
          <w:rFonts w:ascii="Arial" w:hAnsi="Arial" w:cs="Arial"/>
          <w:b/>
          <w:bCs/>
        </w:rPr>
      </w:pPr>
      <w:r w:rsidRPr="00DB4937">
        <w:rPr>
          <w:rFonts w:ascii="Arial" w:hAnsi="Arial" w:cs="Arial"/>
          <w:b/>
          <w:bCs/>
        </w:rPr>
        <w:t>6) Cash flow ratios</w:t>
      </w:r>
    </w:p>
    <w:p w14:paraId="26303406" w14:textId="77777777" w:rsidR="00037491" w:rsidRPr="00DB4937" w:rsidRDefault="00037491" w:rsidP="00037491">
      <w:pPr>
        <w:spacing w:line="360" w:lineRule="auto"/>
        <w:jc w:val="both"/>
        <w:rPr>
          <w:rFonts w:ascii="Arial" w:hAnsi="Arial" w:cs="Arial"/>
        </w:rPr>
      </w:pPr>
      <w:r w:rsidRPr="00DB4937">
        <w:rPr>
          <w:rFonts w:ascii="Arial" w:hAnsi="Arial" w:cs="Arial"/>
          <w:b/>
          <w:bCs/>
        </w:rPr>
        <w:t>Formulas</w:t>
      </w:r>
    </w:p>
    <w:p w14:paraId="224894BC" w14:textId="77777777" w:rsidR="00037491" w:rsidRPr="00DB4937" w:rsidRDefault="00037491" w:rsidP="00037491">
      <w:pPr>
        <w:numPr>
          <w:ilvl w:val="0"/>
          <w:numId w:val="6"/>
        </w:numPr>
        <w:spacing w:line="360" w:lineRule="auto"/>
        <w:jc w:val="both"/>
        <w:rPr>
          <w:rFonts w:ascii="Arial" w:hAnsi="Arial" w:cs="Arial"/>
        </w:rPr>
      </w:pPr>
      <w:r w:rsidRPr="00DB4937">
        <w:rPr>
          <w:rFonts w:ascii="Arial" w:hAnsi="Arial" w:cs="Arial"/>
          <w:b/>
          <w:bCs/>
        </w:rPr>
        <w:t>CFO / Current liabilities</w:t>
      </w:r>
      <w:r w:rsidRPr="00DB4937">
        <w:rPr>
          <w:rFonts w:ascii="Arial" w:hAnsi="Arial" w:cs="Arial"/>
        </w:rPr>
        <w:t xml:space="preserve"> = Net cash from operating activities / Total current liabilities</w:t>
      </w:r>
    </w:p>
    <w:p w14:paraId="557EBFDF" w14:textId="77777777" w:rsidR="00037491" w:rsidRPr="00DB4937" w:rsidRDefault="00037491" w:rsidP="00037491">
      <w:pPr>
        <w:numPr>
          <w:ilvl w:val="0"/>
          <w:numId w:val="6"/>
        </w:numPr>
        <w:spacing w:line="360" w:lineRule="auto"/>
        <w:jc w:val="both"/>
        <w:rPr>
          <w:rFonts w:ascii="Arial" w:hAnsi="Arial" w:cs="Arial"/>
        </w:rPr>
      </w:pPr>
      <w:r w:rsidRPr="00DB4937">
        <w:rPr>
          <w:rFonts w:ascii="Arial" w:hAnsi="Arial" w:cs="Arial"/>
          <w:b/>
          <w:bCs/>
        </w:rPr>
        <w:t>CFO / Net income</w:t>
      </w:r>
      <w:r w:rsidRPr="00DB4937">
        <w:rPr>
          <w:rFonts w:ascii="Arial" w:hAnsi="Arial" w:cs="Arial"/>
        </w:rPr>
        <w:t xml:space="preserve"> = CFO / Net income</w:t>
      </w:r>
    </w:p>
    <w:p w14:paraId="7A93A41A" w14:textId="77777777" w:rsidR="00037491" w:rsidRPr="00DB4937" w:rsidRDefault="00037491" w:rsidP="00037491">
      <w:pPr>
        <w:numPr>
          <w:ilvl w:val="0"/>
          <w:numId w:val="6"/>
        </w:numPr>
        <w:spacing w:line="360" w:lineRule="auto"/>
        <w:jc w:val="both"/>
        <w:rPr>
          <w:rFonts w:ascii="Arial" w:hAnsi="Arial" w:cs="Arial"/>
        </w:rPr>
      </w:pPr>
      <w:r w:rsidRPr="00DB4937">
        <w:rPr>
          <w:rFonts w:ascii="Arial" w:hAnsi="Arial" w:cs="Arial"/>
          <w:b/>
          <w:bCs/>
        </w:rPr>
        <w:t>Free cash flow (FCF)</w:t>
      </w:r>
      <w:r w:rsidRPr="00DB4937">
        <w:rPr>
          <w:rFonts w:ascii="Arial" w:hAnsi="Arial" w:cs="Arial"/>
        </w:rPr>
        <w:t xml:space="preserve"> = CFO − Capex (PPE) − Capex (intangibles)</w:t>
      </w:r>
    </w:p>
    <w:p w14:paraId="0D0B6E56" w14:textId="77777777" w:rsidR="00037491" w:rsidRPr="00DB4937" w:rsidRDefault="00037491" w:rsidP="00037491">
      <w:pPr>
        <w:numPr>
          <w:ilvl w:val="1"/>
          <w:numId w:val="6"/>
        </w:numPr>
        <w:spacing w:line="360" w:lineRule="auto"/>
        <w:jc w:val="both"/>
        <w:rPr>
          <w:rFonts w:ascii="Arial" w:hAnsi="Arial" w:cs="Arial"/>
        </w:rPr>
      </w:pPr>
      <w:r w:rsidRPr="00DB4937">
        <w:rPr>
          <w:rFonts w:ascii="Arial" w:hAnsi="Arial" w:cs="Arial"/>
        </w:rPr>
        <w:t xml:space="preserve">Using: “Acquisition of property, plant and equipment” and “Acquisition of intangible assets” as capex lines. </w:t>
      </w:r>
    </w:p>
    <w:p w14:paraId="0A949A82" w14:textId="77777777" w:rsidR="00037491" w:rsidRPr="00DB4937" w:rsidRDefault="00037491" w:rsidP="00037491">
      <w:pPr>
        <w:spacing w:line="360" w:lineRule="auto"/>
        <w:jc w:val="both"/>
        <w:rPr>
          <w:rFonts w:ascii="Arial" w:hAnsi="Arial" w:cs="Arial"/>
        </w:rPr>
      </w:pPr>
      <w:r w:rsidRPr="00DB4937">
        <w:rPr>
          <w:rFonts w:ascii="Arial" w:hAnsi="Arial" w:cs="Arial"/>
        </w:rPr>
        <w:t>Financial Statement</w:t>
      </w:r>
    </w:p>
    <w:p w14:paraId="01F828B9" w14:textId="77777777" w:rsidR="00037491" w:rsidRPr="00DB4937" w:rsidRDefault="00037491" w:rsidP="00037491">
      <w:pPr>
        <w:numPr>
          <w:ilvl w:val="0"/>
          <w:numId w:val="6"/>
        </w:numPr>
        <w:spacing w:line="360" w:lineRule="auto"/>
        <w:jc w:val="both"/>
        <w:rPr>
          <w:rFonts w:ascii="Arial" w:hAnsi="Arial" w:cs="Arial"/>
        </w:rPr>
      </w:pPr>
      <w:r w:rsidRPr="00DB4937">
        <w:rPr>
          <w:rFonts w:ascii="Arial" w:hAnsi="Arial" w:cs="Arial"/>
          <w:b/>
          <w:bCs/>
        </w:rPr>
        <w:t>FCF margin</w:t>
      </w:r>
      <w:r w:rsidRPr="00DB4937">
        <w:rPr>
          <w:rFonts w:ascii="Arial" w:hAnsi="Arial" w:cs="Arial"/>
        </w:rPr>
        <w:t xml:space="preserve"> = FCF / Net sales</w:t>
      </w:r>
    </w:p>
    <w:tbl>
      <w:tblPr>
        <w:tblStyle w:val="TableGrid"/>
        <w:tblW w:w="0" w:type="auto"/>
        <w:tblLook w:val="04A0" w:firstRow="1" w:lastRow="0" w:firstColumn="1" w:lastColumn="0" w:noHBand="0" w:noVBand="1"/>
      </w:tblPr>
      <w:tblGrid>
        <w:gridCol w:w="3030"/>
        <w:gridCol w:w="951"/>
        <w:gridCol w:w="951"/>
        <w:gridCol w:w="951"/>
        <w:gridCol w:w="951"/>
        <w:gridCol w:w="951"/>
      </w:tblGrid>
      <w:tr w:rsidR="00037491" w:rsidRPr="00DB4937" w14:paraId="04185F1F" w14:textId="77777777" w:rsidTr="00037491">
        <w:tc>
          <w:tcPr>
            <w:tcW w:w="0" w:type="auto"/>
            <w:hideMark/>
          </w:tcPr>
          <w:p w14:paraId="283EFD3A"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Cash flow</w:t>
            </w:r>
          </w:p>
        </w:tc>
        <w:tc>
          <w:tcPr>
            <w:tcW w:w="0" w:type="auto"/>
            <w:hideMark/>
          </w:tcPr>
          <w:p w14:paraId="13856082"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2024</w:t>
            </w:r>
          </w:p>
        </w:tc>
        <w:tc>
          <w:tcPr>
            <w:tcW w:w="0" w:type="auto"/>
            <w:hideMark/>
          </w:tcPr>
          <w:p w14:paraId="7ED41BD0"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2023</w:t>
            </w:r>
          </w:p>
        </w:tc>
        <w:tc>
          <w:tcPr>
            <w:tcW w:w="0" w:type="auto"/>
            <w:hideMark/>
          </w:tcPr>
          <w:p w14:paraId="2A3BEA6F"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2022</w:t>
            </w:r>
          </w:p>
        </w:tc>
        <w:tc>
          <w:tcPr>
            <w:tcW w:w="0" w:type="auto"/>
            <w:hideMark/>
          </w:tcPr>
          <w:p w14:paraId="579D5F24"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2021</w:t>
            </w:r>
          </w:p>
        </w:tc>
        <w:tc>
          <w:tcPr>
            <w:tcW w:w="0" w:type="auto"/>
            <w:hideMark/>
          </w:tcPr>
          <w:p w14:paraId="4B57D878" w14:textId="77777777" w:rsidR="00037491" w:rsidRPr="00DB4937" w:rsidRDefault="00037491" w:rsidP="00037491">
            <w:pPr>
              <w:spacing w:after="160" w:line="360" w:lineRule="auto"/>
              <w:jc w:val="both"/>
              <w:rPr>
                <w:rFonts w:ascii="Arial" w:hAnsi="Arial" w:cs="Arial"/>
                <w:b/>
                <w:bCs/>
              </w:rPr>
            </w:pPr>
            <w:r w:rsidRPr="00DB4937">
              <w:rPr>
                <w:rFonts w:ascii="Arial" w:hAnsi="Arial" w:cs="Arial"/>
                <w:b/>
                <w:bCs/>
              </w:rPr>
              <w:t>2020</w:t>
            </w:r>
          </w:p>
        </w:tc>
      </w:tr>
      <w:tr w:rsidR="00037491" w:rsidRPr="00DB4937" w14:paraId="4F0D9C41" w14:textId="77777777" w:rsidTr="00037491">
        <w:tc>
          <w:tcPr>
            <w:tcW w:w="0" w:type="auto"/>
            <w:hideMark/>
          </w:tcPr>
          <w:p w14:paraId="3605CE7A" w14:textId="77777777" w:rsidR="00037491" w:rsidRPr="00DB4937" w:rsidRDefault="00037491" w:rsidP="00037491">
            <w:pPr>
              <w:spacing w:after="160" w:line="360" w:lineRule="auto"/>
              <w:jc w:val="both"/>
              <w:rPr>
                <w:rFonts w:ascii="Arial" w:hAnsi="Arial" w:cs="Arial"/>
              </w:rPr>
            </w:pPr>
            <w:r w:rsidRPr="00DB4937">
              <w:rPr>
                <w:rFonts w:ascii="Arial" w:hAnsi="Arial" w:cs="Arial"/>
              </w:rPr>
              <w:t>CFO (£m)</w:t>
            </w:r>
          </w:p>
        </w:tc>
        <w:tc>
          <w:tcPr>
            <w:tcW w:w="0" w:type="auto"/>
            <w:hideMark/>
          </w:tcPr>
          <w:p w14:paraId="17CEEA3A" w14:textId="77777777" w:rsidR="00037491" w:rsidRPr="00DB4937" w:rsidRDefault="00037491" w:rsidP="00037491">
            <w:pPr>
              <w:spacing w:after="160" w:line="360" w:lineRule="auto"/>
              <w:jc w:val="both"/>
              <w:rPr>
                <w:rFonts w:ascii="Arial" w:hAnsi="Arial" w:cs="Arial"/>
              </w:rPr>
            </w:pPr>
            <w:r w:rsidRPr="00DB4937">
              <w:rPr>
                <w:rFonts w:ascii="Arial" w:hAnsi="Arial" w:cs="Arial"/>
              </w:rPr>
              <w:t>14,822</w:t>
            </w:r>
          </w:p>
        </w:tc>
        <w:tc>
          <w:tcPr>
            <w:tcW w:w="0" w:type="auto"/>
            <w:hideMark/>
          </w:tcPr>
          <w:p w14:paraId="77FC669E" w14:textId="77777777" w:rsidR="00037491" w:rsidRPr="00DB4937" w:rsidRDefault="00037491" w:rsidP="00037491">
            <w:pPr>
              <w:spacing w:after="160" w:line="360" w:lineRule="auto"/>
              <w:jc w:val="both"/>
              <w:rPr>
                <w:rFonts w:ascii="Arial" w:hAnsi="Arial" w:cs="Arial"/>
              </w:rPr>
            </w:pPr>
            <w:r w:rsidRPr="00DB4937">
              <w:rPr>
                <w:rFonts w:ascii="Arial" w:hAnsi="Arial" w:cs="Arial"/>
              </w:rPr>
              <w:t>25,190</w:t>
            </w:r>
          </w:p>
        </w:tc>
        <w:tc>
          <w:tcPr>
            <w:tcW w:w="0" w:type="auto"/>
            <w:hideMark/>
          </w:tcPr>
          <w:p w14:paraId="28F9BA67" w14:textId="77777777" w:rsidR="00037491" w:rsidRPr="00DB4937" w:rsidRDefault="00037491" w:rsidP="00037491">
            <w:pPr>
              <w:spacing w:after="160" w:line="360" w:lineRule="auto"/>
              <w:jc w:val="both"/>
              <w:rPr>
                <w:rFonts w:ascii="Arial" w:hAnsi="Arial" w:cs="Arial"/>
              </w:rPr>
            </w:pPr>
            <w:r w:rsidRPr="00DB4937">
              <w:rPr>
                <w:rFonts w:ascii="Arial" w:hAnsi="Arial" w:cs="Arial"/>
              </w:rPr>
              <w:t>10,926</w:t>
            </w:r>
          </w:p>
        </w:tc>
        <w:tc>
          <w:tcPr>
            <w:tcW w:w="0" w:type="auto"/>
            <w:hideMark/>
          </w:tcPr>
          <w:p w14:paraId="0F70D6C4" w14:textId="77777777" w:rsidR="00037491" w:rsidRPr="00DB4937" w:rsidRDefault="00037491" w:rsidP="00037491">
            <w:pPr>
              <w:spacing w:after="160" w:line="360" w:lineRule="auto"/>
              <w:jc w:val="both"/>
              <w:rPr>
                <w:rFonts w:ascii="Arial" w:hAnsi="Arial" w:cs="Arial"/>
              </w:rPr>
            </w:pPr>
            <w:r w:rsidRPr="00DB4937">
              <w:rPr>
                <w:rFonts w:ascii="Arial" w:hAnsi="Arial" w:cs="Arial"/>
              </w:rPr>
              <w:t>40,283</w:t>
            </w:r>
          </w:p>
        </w:tc>
        <w:tc>
          <w:tcPr>
            <w:tcW w:w="0" w:type="auto"/>
            <w:hideMark/>
          </w:tcPr>
          <w:p w14:paraId="76EBCC68" w14:textId="77777777" w:rsidR="00037491" w:rsidRPr="00DB4937" w:rsidRDefault="00037491" w:rsidP="00037491">
            <w:pPr>
              <w:spacing w:after="160" w:line="360" w:lineRule="auto"/>
              <w:jc w:val="both"/>
              <w:rPr>
                <w:rFonts w:ascii="Arial" w:hAnsi="Arial" w:cs="Arial"/>
              </w:rPr>
            </w:pPr>
            <w:r w:rsidRPr="00DB4937">
              <w:rPr>
                <w:rFonts w:ascii="Arial" w:hAnsi="Arial" w:cs="Arial"/>
              </w:rPr>
              <w:t>73,392</w:t>
            </w:r>
          </w:p>
        </w:tc>
      </w:tr>
      <w:tr w:rsidR="00037491" w:rsidRPr="00DB4937" w14:paraId="5D4F6788" w14:textId="77777777" w:rsidTr="00037491">
        <w:tc>
          <w:tcPr>
            <w:tcW w:w="0" w:type="auto"/>
            <w:hideMark/>
          </w:tcPr>
          <w:p w14:paraId="583047CC" w14:textId="77777777" w:rsidR="00037491" w:rsidRPr="00DB4937" w:rsidRDefault="00037491" w:rsidP="00037491">
            <w:pPr>
              <w:spacing w:after="160" w:line="360" w:lineRule="auto"/>
              <w:jc w:val="both"/>
              <w:rPr>
                <w:rFonts w:ascii="Arial" w:hAnsi="Arial" w:cs="Arial"/>
              </w:rPr>
            </w:pPr>
            <w:r w:rsidRPr="00DB4937">
              <w:rPr>
                <w:rFonts w:ascii="Arial" w:hAnsi="Arial" w:cs="Arial"/>
              </w:rPr>
              <w:lastRenderedPageBreak/>
              <w:t>CFO / Current liabilities</w:t>
            </w:r>
          </w:p>
        </w:tc>
        <w:tc>
          <w:tcPr>
            <w:tcW w:w="0" w:type="auto"/>
            <w:hideMark/>
          </w:tcPr>
          <w:p w14:paraId="4F3F4350" w14:textId="77777777" w:rsidR="00037491" w:rsidRPr="00DB4937" w:rsidRDefault="00037491" w:rsidP="00037491">
            <w:pPr>
              <w:spacing w:after="160" w:line="360" w:lineRule="auto"/>
              <w:jc w:val="both"/>
              <w:rPr>
                <w:rFonts w:ascii="Arial" w:hAnsi="Arial" w:cs="Arial"/>
              </w:rPr>
            </w:pPr>
            <w:r w:rsidRPr="00DB4937">
              <w:rPr>
                <w:rFonts w:ascii="Arial" w:hAnsi="Arial" w:cs="Arial"/>
              </w:rPr>
              <w:t>0.09</w:t>
            </w:r>
          </w:p>
        </w:tc>
        <w:tc>
          <w:tcPr>
            <w:tcW w:w="0" w:type="auto"/>
            <w:hideMark/>
          </w:tcPr>
          <w:p w14:paraId="4906249C" w14:textId="77777777" w:rsidR="00037491" w:rsidRPr="00DB4937" w:rsidRDefault="00037491" w:rsidP="00037491">
            <w:pPr>
              <w:spacing w:after="160" w:line="360" w:lineRule="auto"/>
              <w:jc w:val="both"/>
              <w:rPr>
                <w:rFonts w:ascii="Arial" w:hAnsi="Arial" w:cs="Arial"/>
              </w:rPr>
            </w:pPr>
            <w:r w:rsidRPr="00DB4937">
              <w:rPr>
                <w:rFonts w:ascii="Arial" w:hAnsi="Arial" w:cs="Arial"/>
              </w:rPr>
              <w:t>0.16</w:t>
            </w:r>
          </w:p>
        </w:tc>
        <w:tc>
          <w:tcPr>
            <w:tcW w:w="0" w:type="auto"/>
            <w:hideMark/>
          </w:tcPr>
          <w:p w14:paraId="0BB758A1" w14:textId="77777777" w:rsidR="00037491" w:rsidRPr="00DB4937" w:rsidRDefault="00037491" w:rsidP="00037491">
            <w:pPr>
              <w:spacing w:after="160" w:line="360" w:lineRule="auto"/>
              <w:jc w:val="both"/>
              <w:rPr>
                <w:rFonts w:ascii="Arial" w:hAnsi="Arial" w:cs="Arial"/>
              </w:rPr>
            </w:pPr>
            <w:r w:rsidRPr="00DB4937">
              <w:rPr>
                <w:rFonts w:ascii="Arial" w:hAnsi="Arial" w:cs="Arial"/>
              </w:rPr>
              <w:t>0.05</w:t>
            </w:r>
          </w:p>
        </w:tc>
        <w:tc>
          <w:tcPr>
            <w:tcW w:w="0" w:type="auto"/>
            <w:hideMark/>
          </w:tcPr>
          <w:p w14:paraId="13CFD7CE" w14:textId="77777777" w:rsidR="00037491" w:rsidRPr="00DB4937" w:rsidRDefault="00037491" w:rsidP="00037491">
            <w:pPr>
              <w:spacing w:after="160" w:line="360" w:lineRule="auto"/>
              <w:jc w:val="both"/>
              <w:rPr>
                <w:rFonts w:ascii="Arial" w:hAnsi="Arial" w:cs="Arial"/>
              </w:rPr>
            </w:pPr>
            <w:r w:rsidRPr="00DB4937">
              <w:rPr>
                <w:rFonts w:ascii="Arial" w:hAnsi="Arial" w:cs="Arial"/>
              </w:rPr>
              <w:t>0.19</w:t>
            </w:r>
          </w:p>
        </w:tc>
        <w:tc>
          <w:tcPr>
            <w:tcW w:w="0" w:type="auto"/>
            <w:hideMark/>
          </w:tcPr>
          <w:p w14:paraId="2796BFF8" w14:textId="77777777" w:rsidR="00037491" w:rsidRPr="00DB4937" w:rsidRDefault="00037491" w:rsidP="00037491">
            <w:pPr>
              <w:spacing w:after="160" w:line="360" w:lineRule="auto"/>
              <w:jc w:val="both"/>
              <w:rPr>
                <w:rFonts w:ascii="Arial" w:hAnsi="Arial" w:cs="Arial"/>
              </w:rPr>
            </w:pPr>
            <w:r w:rsidRPr="00DB4937">
              <w:rPr>
                <w:rFonts w:ascii="Arial" w:hAnsi="Arial" w:cs="Arial"/>
              </w:rPr>
              <w:t>0.41</w:t>
            </w:r>
          </w:p>
        </w:tc>
      </w:tr>
      <w:tr w:rsidR="00037491" w:rsidRPr="00DB4937" w14:paraId="1934C779" w14:textId="77777777" w:rsidTr="00037491">
        <w:tc>
          <w:tcPr>
            <w:tcW w:w="0" w:type="auto"/>
            <w:hideMark/>
          </w:tcPr>
          <w:p w14:paraId="4A43AF76" w14:textId="77777777" w:rsidR="00037491" w:rsidRPr="00DB4937" w:rsidRDefault="00037491" w:rsidP="00037491">
            <w:pPr>
              <w:spacing w:after="160" w:line="360" w:lineRule="auto"/>
              <w:jc w:val="both"/>
              <w:rPr>
                <w:rFonts w:ascii="Arial" w:hAnsi="Arial" w:cs="Arial"/>
              </w:rPr>
            </w:pPr>
            <w:r w:rsidRPr="00DB4937">
              <w:rPr>
                <w:rFonts w:ascii="Arial" w:hAnsi="Arial" w:cs="Arial"/>
              </w:rPr>
              <w:t>CFO / Net income</w:t>
            </w:r>
          </w:p>
        </w:tc>
        <w:tc>
          <w:tcPr>
            <w:tcW w:w="0" w:type="auto"/>
            <w:hideMark/>
          </w:tcPr>
          <w:p w14:paraId="21AF20A7" w14:textId="77777777" w:rsidR="00037491" w:rsidRPr="00DB4937" w:rsidRDefault="00037491" w:rsidP="00037491">
            <w:pPr>
              <w:spacing w:after="160" w:line="360" w:lineRule="auto"/>
              <w:jc w:val="both"/>
              <w:rPr>
                <w:rFonts w:ascii="Arial" w:hAnsi="Arial" w:cs="Arial"/>
              </w:rPr>
            </w:pPr>
            <w:r w:rsidRPr="00DB4937">
              <w:rPr>
                <w:rFonts w:ascii="Arial" w:hAnsi="Arial" w:cs="Arial"/>
              </w:rPr>
              <w:t>-0.62</w:t>
            </w:r>
          </w:p>
        </w:tc>
        <w:tc>
          <w:tcPr>
            <w:tcW w:w="0" w:type="auto"/>
            <w:hideMark/>
          </w:tcPr>
          <w:p w14:paraId="568477E4" w14:textId="77777777" w:rsidR="00037491" w:rsidRPr="00DB4937" w:rsidRDefault="00037491" w:rsidP="00037491">
            <w:pPr>
              <w:spacing w:after="160" w:line="360" w:lineRule="auto"/>
              <w:jc w:val="both"/>
              <w:rPr>
                <w:rFonts w:ascii="Arial" w:hAnsi="Arial" w:cs="Arial"/>
              </w:rPr>
            </w:pPr>
            <w:r w:rsidRPr="00DB4937">
              <w:rPr>
                <w:rFonts w:ascii="Arial" w:hAnsi="Arial" w:cs="Arial"/>
              </w:rPr>
              <w:t>-0.26</w:t>
            </w:r>
          </w:p>
        </w:tc>
        <w:tc>
          <w:tcPr>
            <w:tcW w:w="0" w:type="auto"/>
            <w:hideMark/>
          </w:tcPr>
          <w:p w14:paraId="32F83BC6" w14:textId="77777777" w:rsidR="00037491" w:rsidRPr="00DB4937" w:rsidRDefault="00037491" w:rsidP="00037491">
            <w:pPr>
              <w:spacing w:after="160" w:line="360" w:lineRule="auto"/>
              <w:jc w:val="both"/>
              <w:rPr>
                <w:rFonts w:ascii="Arial" w:hAnsi="Arial" w:cs="Arial"/>
              </w:rPr>
            </w:pPr>
            <w:r w:rsidRPr="00DB4937">
              <w:rPr>
                <w:rFonts w:ascii="Arial" w:hAnsi="Arial" w:cs="Arial"/>
              </w:rPr>
              <w:t>26.85</w:t>
            </w:r>
          </w:p>
        </w:tc>
        <w:tc>
          <w:tcPr>
            <w:tcW w:w="0" w:type="auto"/>
            <w:hideMark/>
          </w:tcPr>
          <w:p w14:paraId="7819DB84" w14:textId="77777777" w:rsidR="00037491" w:rsidRPr="00DB4937" w:rsidRDefault="00037491" w:rsidP="00037491">
            <w:pPr>
              <w:spacing w:after="160" w:line="360" w:lineRule="auto"/>
              <w:jc w:val="both"/>
              <w:rPr>
                <w:rFonts w:ascii="Arial" w:hAnsi="Arial" w:cs="Arial"/>
              </w:rPr>
            </w:pPr>
            <w:r w:rsidRPr="00DB4937">
              <w:rPr>
                <w:rFonts w:ascii="Arial" w:hAnsi="Arial" w:cs="Arial"/>
              </w:rPr>
              <w:t>7.60</w:t>
            </w:r>
          </w:p>
        </w:tc>
        <w:tc>
          <w:tcPr>
            <w:tcW w:w="0" w:type="auto"/>
            <w:hideMark/>
          </w:tcPr>
          <w:p w14:paraId="130746D3" w14:textId="77777777" w:rsidR="00037491" w:rsidRPr="00DB4937" w:rsidRDefault="00037491" w:rsidP="00037491">
            <w:pPr>
              <w:spacing w:after="160" w:line="360" w:lineRule="auto"/>
              <w:jc w:val="both"/>
              <w:rPr>
                <w:rFonts w:ascii="Arial" w:hAnsi="Arial" w:cs="Arial"/>
              </w:rPr>
            </w:pPr>
            <w:r w:rsidRPr="00DB4937">
              <w:rPr>
                <w:rFonts w:ascii="Arial" w:hAnsi="Arial" w:cs="Arial"/>
              </w:rPr>
              <w:t>1.90</w:t>
            </w:r>
          </w:p>
        </w:tc>
      </w:tr>
      <w:tr w:rsidR="00037491" w:rsidRPr="00DB4937" w14:paraId="480E5194" w14:textId="77777777" w:rsidTr="00037491">
        <w:tc>
          <w:tcPr>
            <w:tcW w:w="0" w:type="auto"/>
            <w:hideMark/>
          </w:tcPr>
          <w:p w14:paraId="18D536FD" w14:textId="77777777" w:rsidR="00037491" w:rsidRPr="00DB4937" w:rsidRDefault="00037491" w:rsidP="00037491">
            <w:pPr>
              <w:spacing w:after="160" w:line="360" w:lineRule="auto"/>
              <w:jc w:val="both"/>
              <w:rPr>
                <w:rFonts w:ascii="Arial" w:hAnsi="Arial" w:cs="Arial"/>
              </w:rPr>
            </w:pPr>
            <w:r w:rsidRPr="00DB4937">
              <w:rPr>
                <w:rFonts w:ascii="Arial" w:hAnsi="Arial" w:cs="Arial"/>
              </w:rPr>
              <w:t>Free cash flow (FCF) (£m)</w:t>
            </w:r>
          </w:p>
        </w:tc>
        <w:tc>
          <w:tcPr>
            <w:tcW w:w="0" w:type="auto"/>
            <w:hideMark/>
          </w:tcPr>
          <w:p w14:paraId="46AB4D12" w14:textId="77777777" w:rsidR="00037491" w:rsidRPr="00DB4937" w:rsidRDefault="00037491" w:rsidP="00037491">
            <w:pPr>
              <w:spacing w:after="160" w:line="360" w:lineRule="auto"/>
              <w:jc w:val="both"/>
              <w:rPr>
                <w:rFonts w:ascii="Arial" w:hAnsi="Arial" w:cs="Arial"/>
              </w:rPr>
            </w:pPr>
            <w:r w:rsidRPr="00DB4937">
              <w:rPr>
                <w:rFonts w:ascii="Arial" w:hAnsi="Arial" w:cs="Arial"/>
              </w:rPr>
              <w:t>6,394</w:t>
            </w:r>
          </w:p>
        </w:tc>
        <w:tc>
          <w:tcPr>
            <w:tcW w:w="0" w:type="auto"/>
            <w:hideMark/>
          </w:tcPr>
          <w:p w14:paraId="34B8781E" w14:textId="77777777" w:rsidR="00037491" w:rsidRPr="00DB4937" w:rsidRDefault="00037491" w:rsidP="00037491">
            <w:pPr>
              <w:spacing w:after="160" w:line="360" w:lineRule="auto"/>
              <w:jc w:val="both"/>
              <w:rPr>
                <w:rFonts w:ascii="Arial" w:hAnsi="Arial" w:cs="Arial"/>
              </w:rPr>
            </w:pPr>
            <w:r w:rsidRPr="00DB4937">
              <w:rPr>
                <w:rFonts w:ascii="Arial" w:hAnsi="Arial" w:cs="Arial"/>
              </w:rPr>
              <w:t>11,313</w:t>
            </w:r>
          </w:p>
        </w:tc>
        <w:tc>
          <w:tcPr>
            <w:tcW w:w="0" w:type="auto"/>
            <w:hideMark/>
          </w:tcPr>
          <w:p w14:paraId="23E4E2CE" w14:textId="77777777" w:rsidR="00037491" w:rsidRPr="00DB4937" w:rsidRDefault="00037491" w:rsidP="00037491">
            <w:pPr>
              <w:spacing w:after="160" w:line="360" w:lineRule="auto"/>
              <w:jc w:val="both"/>
              <w:rPr>
                <w:rFonts w:ascii="Arial" w:hAnsi="Arial" w:cs="Arial"/>
              </w:rPr>
            </w:pPr>
            <w:r w:rsidRPr="00DB4937">
              <w:rPr>
                <w:rFonts w:ascii="Arial" w:hAnsi="Arial" w:cs="Arial"/>
              </w:rPr>
              <w:t>-9,659</w:t>
            </w:r>
          </w:p>
        </w:tc>
        <w:tc>
          <w:tcPr>
            <w:tcW w:w="0" w:type="auto"/>
            <w:hideMark/>
          </w:tcPr>
          <w:p w14:paraId="1EDDAC64" w14:textId="77777777" w:rsidR="00037491" w:rsidRPr="00DB4937" w:rsidRDefault="00037491" w:rsidP="00037491">
            <w:pPr>
              <w:spacing w:after="160" w:line="360" w:lineRule="auto"/>
              <w:jc w:val="both"/>
              <w:rPr>
                <w:rFonts w:ascii="Arial" w:hAnsi="Arial" w:cs="Arial"/>
              </w:rPr>
            </w:pPr>
            <w:r w:rsidRPr="00DB4937">
              <w:rPr>
                <w:rFonts w:ascii="Arial" w:hAnsi="Arial" w:cs="Arial"/>
              </w:rPr>
              <w:t>23,242</w:t>
            </w:r>
          </w:p>
        </w:tc>
        <w:tc>
          <w:tcPr>
            <w:tcW w:w="0" w:type="auto"/>
            <w:hideMark/>
          </w:tcPr>
          <w:p w14:paraId="392B2A9B" w14:textId="77777777" w:rsidR="00037491" w:rsidRPr="00DB4937" w:rsidRDefault="00037491" w:rsidP="00037491">
            <w:pPr>
              <w:spacing w:after="160" w:line="360" w:lineRule="auto"/>
              <w:jc w:val="both"/>
              <w:rPr>
                <w:rFonts w:ascii="Arial" w:hAnsi="Arial" w:cs="Arial"/>
              </w:rPr>
            </w:pPr>
            <w:r w:rsidRPr="00DB4937">
              <w:rPr>
                <w:rFonts w:ascii="Arial" w:hAnsi="Arial" w:cs="Arial"/>
              </w:rPr>
              <w:t>50,158</w:t>
            </w:r>
          </w:p>
        </w:tc>
      </w:tr>
      <w:tr w:rsidR="00037491" w:rsidRPr="00DB4937" w14:paraId="528397FF" w14:textId="77777777" w:rsidTr="00037491">
        <w:tc>
          <w:tcPr>
            <w:tcW w:w="0" w:type="auto"/>
            <w:hideMark/>
          </w:tcPr>
          <w:p w14:paraId="685C695D" w14:textId="77777777" w:rsidR="00037491" w:rsidRPr="00DB4937" w:rsidRDefault="00037491" w:rsidP="00037491">
            <w:pPr>
              <w:spacing w:after="160" w:line="360" w:lineRule="auto"/>
              <w:jc w:val="both"/>
              <w:rPr>
                <w:rFonts w:ascii="Arial" w:hAnsi="Arial" w:cs="Arial"/>
              </w:rPr>
            </w:pPr>
            <w:r w:rsidRPr="00DB4937">
              <w:rPr>
                <w:rFonts w:ascii="Arial" w:hAnsi="Arial" w:cs="Arial"/>
              </w:rPr>
              <w:t>FCF margin</w:t>
            </w:r>
          </w:p>
        </w:tc>
        <w:tc>
          <w:tcPr>
            <w:tcW w:w="0" w:type="auto"/>
            <w:hideMark/>
          </w:tcPr>
          <w:p w14:paraId="3C430361" w14:textId="77777777" w:rsidR="00037491" w:rsidRPr="00DB4937" w:rsidRDefault="00037491" w:rsidP="00037491">
            <w:pPr>
              <w:spacing w:after="160" w:line="360" w:lineRule="auto"/>
              <w:jc w:val="both"/>
              <w:rPr>
                <w:rFonts w:ascii="Arial" w:hAnsi="Arial" w:cs="Arial"/>
              </w:rPr>
            </w:pPr>
            <w:r w:rsidRPr="00DB4937">
              <w:rPr>
                <w:rFonts w:ascii="Arial" w:hAnsi="Arial" w:cs="Arial"/>
              </w:rPr>
              <w:t>1.6%</w:t>
            </w:r>
          </w:p>
        </w:tc>
        <w:tc>
          <w:tcPr>
            <w:tcW w:w="0" w:type="auto"/>
            <w:hideMark/>
          </w:tcPr>
          <w:p w14:paraId="71E57DF9" w14:textId="77777777" w:rsidR="00037491" w:rsidRPr="00DB4937" w:rsidRDefault="00037491" w:rsidP="00037491">
            <w:pPr>
              <w:spacing w:after="160" w:line="360" w:lineRule="auto"/>
              <w:jc w:val="both"/>
              <w:rPr>
                <w:rFonts w:ascii="Arial" w:hAnsi="Arial" w:cs="Arial"/>
              </w:rPr>
            </w:pPr>
            <w:r w:rsidRPr="00DB4937">
              <w:rPr>
                <w:rFonts w:ascii="Arial" w:hAnsi="Arial" w:cs="Arial"/>
              </w:rPr>
              <w:t>2.7%</w:t>
            </w:r>
          </w:p>
        </w:tc>
        <w:tc>
          <w:tcPr>
            <w:tcW w:w="0" w:type="auto"/>
            <w:hideMark/>
          </w:tcPr>
          <w:p w14:paraId="0C1E9C37" w14:textId="77777777" w:rsidR="00037491" w:rsidRPr="00DB4937" w:rsidRDefault="00037491" w:rsidP="00037491">
            <w:pPr>
              <w:spacing w:after="160" w:line="360" w:lineRule="auto"/>
              <w:jc w:val="both"/>
              <w:rPr>
                <w:rFonts w:ascii="Arial" w:hAnsi="Arial" w:cs="Arial"/>
              </w:rPr>
            </w:pPr>
            <w:r w:rsidRPr="00DB4937">
              <w:rPr>
                <w:rFonts w:ascii="Arial" w:hAnsi="Arial" w:cs="Arial"/>
              </w:rPr>
              <w:t>-1.8%</w:t>
            </w:r>
          </w:p>
        </w:tc>
        <w:tc>
          <w:tcPr>
            <w:tcW w:w="0" w:type="auto"/>
            <w:hideMark/>
          </w:tcPr>
          <w:p w14:paraId="0D5BAD0B" w14:textId="77777777" w:rsidR="00037491" w:rsidRPr="00DB4937" w:rsidRDefault="00037491" w:rsidP="00037491">
            <w:pPr>
              <w:spacing w:after="160" w:line="360" w:lineRule="auto"/>
              <w:jc w:val="both"/>
              <w:rPr>
                <w:rFonts w:ascii="Arial" w:hAnsi="Arial" w:cs="Arial"/>
              </w:rPr>
            </w:pPr>
            <w:r w:rsidRPr="00DB4937">
              <w:rPr>
                <w:rFonts w:ascii="Arial" w:hAnsi="Arial" w:cs="Arial"/>
              </w:rPr>
              <w:t>3.9%</w:t>
            </w:r>
          </w:p>
        </w:tc>
        <w:tc>
          <w:tcPr>
            <w:tcW w:w="0" w:type="auto"/>
            <w:hideMark/>
          </w:tcPr>
          <w:p w14:paraId="110A4847" w14:textId="77777777" w:rsidR="00037491" w:rsidRPr="00DB4937" w:rsidRDefault="00037491" w:rsidP="00037491">
            <w:pPr>
              <w:spacing w:after="160" w:line="360" w:lineRule="auto"/>
              <w:jc w:val="both"/>
              <w:rPr>
                <w:rFonts w:ascii="Arial" w:hAnsi="Arial" w:cs="Arial"/>
              </w:rPr>
            </w:pPr>
            <w:r w:rsidRPr="00DB4937">
              <w:rPr>
                <w:rFonts w:ascii="Arial" w:hAnsi="Arial" w:cs="Arial"/>
              </w:rPr>
              <w:t>8.2%</w:t>
            </w:r>
          </w:p>
        </w:tc>
      </w:tr>
    </w:tbl>
    <w:p w14:paraId="7437C221" w14:textId="598550AC" w:rsidR="009355E0" w:rsidRPr="00DB4937" w:rsidRDefault="009355E0" w:rsidP="009355E0">
      <w:pPr>
        <w:spacing w:line="360" w:lineRule="auto"/>
        <w:jc w:val="both"/>
        <w:rPr>
          <w:rFonts w:ascii="Arial" w:hAnsi="Arial" w:cs="Arial"/>
        </w:rPr>
      </w:pPr>
    </w:p>
    <w:p w14:paraId="6A74B604" w14:textId="77777777" w:rsidR="009355E0" w:rsidRPr="00DB4937" w:rsidRDefault="009355E0">
      <w:pPr>
        <w:rPr>
          <w:rFonts w:ascii="Arial" w:hAnsi="Arial" w:cs="Arial"/>
          <w:lang w:val="en-GB"/>
        </w:rPr>
      </w:pPr>
      <w:r w:rsidRPr="00DB4937">
        <w:rPr>
          <w:rFonts w:ascii="Arial" w:hAnsi="Arial" w:cs="Arial"/>
          <w:lang w:val="en-GB"/>
        </w:rPr>
        <w:br w:type="page"/>
      </w:r>
    </w:p>
    <w:p w14:paraId="3163B78C" w14:textId="2A1F26C7" w:rsidR="009355E0" w:rsidRPr="00DB4937" w:rsidRDefault="009355E0" w:rsidP="009355E0">
      <w:pPr>
        <w:pStyle w:val="Heading2"/>
        <w:rPr>
          <w:rFonts w:ascii="Arial" w:hAnsi="Arial" w:cs="Arial"/>
          <w:sz w:val="24"/>
          <w:szCs w:val="24"/>
          <w:lang w:val="en-GB"/>
        </w:rPr>
      </w:pPr>
      <w:bookmarkStart w:id="35" w:name="_Toc217237316"/>
      <w:r w:rsidRPr="00DB4937">
        <w:rPr>
          <w:rFonts w:ascii="Arial" w:hAnsi="Arial" w:cs="Arial"/>
          <w:sz w:val="24"/>
          <w:szCs w:val="24"/>
          <w:lang w:val="en-GB"/>
        </w:rPr>
        <w:lastRenderedPageBreak/>
        <w:t>Appendix B: Investment appraisal calculations</w:t>
      </w:r>
      <w:bookmarkEnd w:id="35"/>
    </w:p>
    <w:p w14:paraId="361C8FE2" w14:textId="24E7335C" w:rsidR="009355E0" w:rsidRPr="00DB4937" w:rsidRDefault="009355E0" w:rsidP="009355E0">
      <w:pPr>
        <w:spacing w:line="360" w:lineRule="auto"/>
        <w:jc w:val="both"/>
        <w:rPr>
          <w:rFonts w:ascii="Arial" w:hAnsi="Arial" w:cs="Arial"/>
          <w:lang w:val="en-GB"/>
        </w:rPr>
      </w:pPr>
      <w:r w:rsidRPr="00DB4937">
        <w:rPr>
          <w:rFonts w:ascii="Arial" w:hAnsi="Arial" w:cs="Arial"/>
          <w:noProof/>
          <w:lang w:val="en-GB"/>
        </w:rPr>
        <w:drawing>
          <wp:inline distT="0" distB="0" distL="0" distR="0" wp14:anchorId="54AA0C10" wp14:editId="797CF5BC">
            <wp:extent cx="5731510" cy="3504565"/>
            <wp:effectExtent l="0" t="0" r="2540" b="635"/>
            <wp:docPr id="849878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878665" name=""/>
                    <pic:cNvPicPr/>
                  </pic:nvPicPr>
                  <pic:blipFill>
                    <a:blip r:embed="rId9"/>
                    <a:stretch>
                      <a:fillRect/>
                    </a:stretch>
                  </pic:blipFill>
                  <pic:spPr>
                    <a:xfrm>
                      <a:off x="0" y="0"/>
                      <a:ext cx="5731510" cy="3504565"/>
                    </a:xfrm>
                    <a:prstGeom prst="rect">
                      <a:avLst/>
                    </a:prstGeom>
                  </pic:spPr>
                </pic:pic>
              </a:graphicData>
            </a:graphic>
          </wp:inline>
        </w:drawing>
      </w:r>
    </w:p>
    <w:sectPr w:rsidR="009355E0" w:rsidRPr="00DB4937" w:rsidSect="00C271A4">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8090B" w14:textId="77777777" w:rsidR="00866853" w:rsidRDefault="00866853" w:rsidP="009355E0">
      <w:pPr>
        <w:spacing w:after="0" w:line="240" w:lineRule="auto"/>
      </w:pPr>
      <w:r>
        <w:separator/>
      </w:r>
    </w:p>
  </w:endnote>
  <w:endnote w:type="continuationSeparator" w:id="0">
    <w:p w14:paraId="648E24CE" w14:textId="77777777" w:rsidR="00866853" w:rsidRDefault="00866853" w:rsidP="00935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296790"/>
      <w:docPartObj>
        <w:docPartGallery w:val="Page Numbers (Bottom of Page)"/>
        <w:docPartUnique/>
      </w:docPartObj>
    </w:sdtPr>
    <w:sdtEndPr>
      <w:rPr>
        <w:noProof/>
      </w:rPr>
    </w:sdtEndPr>
    <w:sdtContent>
      <w:p w14:paraId="4BB4FCBE" w14:textId="2E549807" w:rsidR="009355E0" w:rsidRDefault="009355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2EDD4A" w14:textId="77777777" w:rsidR="009355E0" w:rsidRDefault="00935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06F84" w14:textId="77777777" w:rsidR="00866853" w:rsidRDefault="00866853" w:rsidP="009355E0">
      <w:pPr>
        <w:spacing w:after="0" w:line="240" w:lineRule="auto"/>
      </w:pPr>
      <w:r>
        <w:separator/>
      </w:r>
    </w:p>
  </w:footnote>
  <w:footnote w:type="continuationSeparator" w:id="0">
    <w:p w14:paraId="583305CC" w14:textId="77777777" w:rsidR="00866853" w:rsidRDefault="00866853" w:rsidP="00935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4165"/>
    <w:multiLevelType w:val="multilevel"/>
    <w:tmpl w:val="ED8A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E70CC"/>
    <w:multiLevelType w:val="multilevel"/>
    <w:tmpl w:val="2948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824C2"/>
    <w:multiLevelType w:val="multilevel"/>
    <w:tmpl w:val="D820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6240D"/>
    <w:multiLevelType w:val="multilevel"/>
    <w:tmpl w:val="5C5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0A5A58"/>
    <w:multiLevelType w:val="multilevel"/>
    <w:tmpl w:val="63902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1C619F"/>
    <w:multiLevelType w:val="multilevel"/>
    <w:tmpl w:val="A102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545960">
    <w:abstractNumId w:val="5"/>
  </w:num>
  <w:num w:numId="2" w16cid:durableId="1211574910">
    <w:abstractNumId w:val="1"/>
  </w:num>
  <w:num w:numId="3" w16cid:durableId="115879140">
    <w:abstractNumId w:val="0"/>
  </w:num>
  <w:num w:numId="4" w16cid:durableId="1994483313">
    <w:abstractNumId w:val="2"/>
  </w:num>
  <w:num w:numId="5" w16cid:durableId="193809166">
    <w:abstractNumId w:val="3"/>
  </w:num>
  <w:num w:numId="6" w16cid:durableId="1577473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0CC"/>
    <w:rsid w:val="00037491"/>
    <w:rsid w:val="00050B93"/>
    <w:rsid w:val="000700FC"/>
    <w:rsid w:val="002630CC"/>
    <w:rsid w:val="002729A1"/>
    <w:rsid w:val="002F1F5D"/>
    <w:rsid w:val="003F77FE"/>
    <w:rsid w:val="00471600"/>
    <w:rsid w:val="00505BB9"/>
    <w:rsid w:val="006E54EE"/>
    <w:rsid w:val="00765676"/>
    <w:rsid w:val="007934B6"/>
    <w:rsid w:val="007D23EC"/>
    <w:rsid w:val="00866853"/>
    <w:rsid w:val="008A451D"/>
    <w:rsid w:val="008F5283"/>
    <w:rsid w:val="009355E0"/>
    <w:rsid w:val="0095480B"/>
    <w:rsid w:val="00982E1A"/>
    <w:rsid w:val="00C271A4"/>
    <w:rsid w:val="00CC154F"/>
    <w:rsid w:val="00D60BD7"/>
    <w:rsid w:val="00D87D0D"/>
    <w:rsid w:val="00DB4937"/>
    <w:rsid w:val="00F710F7"/>
    <w:rsid w:val="00FA6233"/>
    <w:rsid w:val="00FC2EAB"/>
    <w:rsid w:val="00FC4D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C8F4E"/>
  <w15:chartTrackingRefBased/>
  <w15:docId w15:val="{DFD8DD01-FBE5-4DE6-AD20-373C902F2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1A4"/>
    <w:pPr>
      <w:keepNext/>
      <w:keepLines/>
      <w:spacing w:before="360" w:after="80" w:line="360" w:lineRule="auto"/>
      <w:jc w:val="both"/>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9355E0"/>
    <w:pPr>
      <w:keepNext/>
      <w:keepLines/>
      <w:spacing w:before="160" w:after="80" w:line="360" w:lineRule="auto"/>
      <w:jc w:val="both"/>
      <w:outlineLvl w:val="1"/>
    </w:pPr>
    <w:rPr>
      <w:rFonts w:ascii="Times New Roman" w:eastAsiaTheme="majorEastAsia" w:hAnsi="Times New Roman" w:cstheme="majorBidi"/>
      <w:b/>
      <w:color w:val="385623" w:themeColor="accent6" w:themeShade="80"/>
      <w:sz w:val="28"/>
      <w:szCs w:val="32"/>
    </w:rPr>
  </w:style>
  <w:style w:type="paragraph" w:styleId="Heading3">
    <w:name w:val="heading 3"/>
    <w:basedOn w:val="Normal"/>
    <w:next w:val="Normal"/>
    <w:link w:val="Heading3Char"/>
    <w:uiPriority w:val="9"/>
    <w:unhideWhenUsed/>
    <w:qFormat/>
    <w:rsid w:val="009355E0"/>
    <w:pPr>
      <w:keepNext/>
      <w:keepLines/>
      <w:spacing w:before="160" w:after="80" w:line="360" w:lineRule="auto"/>
      <w:jc w:val="both"/>
      <w:outlineLvl w:val="2"/>
    </w:pPr>
    <w:rPr>
      <w:rFonts w:ascii="Times New Roman" w:eastAsiaTheme="majorEastAsia" w:hAnsi="Times New Roman" w:cstheme="majorBidi"/>
      <w:b/>
      <w:color w:val="000000" w:themeColor="text1"/>
      <w:sz w:val="28"/>
      <w:szCs w:val="28"/>
    </w:rPr>
  </w:style>
  <w:style w:type="paragraph" w:styleId="Heading4">
    <w:name w:val="heading 4"/>
    <w:basedOn w:val="Normal"/>
    <w:next w:val="Normal"/>
    <w:link w:val="Heading4Char"/>
    <w:uiPriority w:val="9"/>
    <w:semiHidden/>
    <w:unhideWhenUsed/>
    <w:qFormat/>
    <w:rsid w:val="002630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30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3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1A4"/>
    <w:rPr>
      <w:rFonts w:ascii="Times New Roman" w:eastAsiaTheme="majorEastAsia" w:hAnsi="Times New Roman" w:cstheme="majorBidi"/>
      <w:b/>
      <w:color w:val="2F5496" w:themeColor="accent1" w:themeShade="BF"/>
      <w:sz w:val="28"/>
      <w:szCs w:val="40"/>
    </w:rPr>
  </w:style>
  <w:style w:type="character" w:customStyle="1" w:styleId="Heading2Char">
    <w:name w:val="Heading 2 Char"/>
    <w:basedOn w:val="DefaultParagraphFont"/>
    <w:link w:val="Heading2"/>
    <w:uiPriority w:val="9"/>
    <w:rsid w:val="009355E0"/>
    <w:rPr>
      <w:rFonts w:ascii="Times New Roman" w:eastAsiaTheme="majorEastAsia" w:hAnsi="Times New Roman" w:cstheme="majorBidi"/>
      <w:b/>
      <w:color w:val="385623" w:themeColor="accent6" w:themeShade="80"/>
      <w:sz w:val="28"/>
      <w:szCs w:val="32"/>
    </w:rPr>
  </w:style>
  <w:style w:type="character" w:customStyle="1" w:styleId="Heading3Char">
    <w:name w:val="Heading 3 Char"/>
    <w:basedOn w:val="DefaultParagraphFont"/>
    <w:link w:val="Heading3"/>
    <w:uiPriority w:val="9"/>
    <w:rsid w:val="009355E0"/>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uiPriority w:val="9"/>
    <w:semiHidden/>
    <w:rsid w:val="002630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30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3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0CC"/>
    <w:rPr>
      <w:rFonts w:eastAsiaTheme="majorEastAsia" w:cstheme="majorBidi"/>
      <w:color w:val="272727" w:themeColor="text1" w:themeTint="D8"/>
    </w:rPr>
  </w:style>
  <w:style w:type="paragraph" w:styleId="Title">
    <w:name w:val="Title"/>
    <w:basedOn w:val="Normal"/>
    <w:next w:val="Normal"/>
    <w:link w:val="TitleChar"/>
    <w:uiPriority w:val="10"/>
    <w:qFormat/>
    <w:rsid w:val="00263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0CC"/>
    <w:pPr>
      <w:spacing w:before="160"/>
      <w:jc w:val="center"/>
    </w:pPr>
    <w:rPr>
      <w:i/>
      <w:iCs/>
      <w:color w:val="404040" w:themeColor="text1" w:themeTint="BF"/>
    </w:rPr>
  </w:style>
  <w:style w:type="character" w:customStyle="1" w:styleId="QuoteChar">
    <w:name w:val="Quote Char"/>
    <w:basedOn w:val="DefaultParagraphFont"/>
    <w:link w:val="Quote"/>
    <w:uiPriority w:val="29"/>
    <w:rsid w:val="002630CC"/>
    <w:rPr>
      <w:i/>
      <w:iCs/>
      <w:color w:val="404040" w:themeColor="text1" w:themeTint="BF"/>
    </w:rPr>
  </w:style>
  <w:style w:type="paragraph" w:styleId="ListParagraph">
    <w:name w:val="List Paragraph"/>
    <w:basedOn w:val="Normal"/>
    <w:uiPriority w:val="34"/>
    <w:qFormat/>
    <w:rsid w:val="002630CC"/>
    <w:pPr>
      <w:ind w:left="720"/>
      <w:contextualSpacing/>
    </w:pPr>
  </w:style>
  <w:style w:type="character" w:styleId="IntenseEmphasis">
    <w:name w:val="Intense Emphasis"/>
    <w:basedOn w:val="DefaultParagraphFont"/>
    <w:uiPriority w:val="21"/>
    <w:qFormat/>
    <w:rsid w:val="002630CC"/>
    <w:rPr>
      <w:i/>
      <w:iCs/>
      <w:color w:val="2F5496" w:themeColor="accent1" w:themeShade="BF"/>
    </w:rPr>
  </w:style>
  <w:style w:type="paragraph" w:styleId="IntenseQuote">
    <w:name w:val="Intense Quote"/>
    <w:basedOn w:val="Normal"/>
    <w:next w:val="Normal"/>
    <w:link w:val="IntenseQuoteChar"/>
    <w:uiPriority w:val="30"/>
    <w:qFormat/>
    <w:rsid w:val="002630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30CC"/>
    <w:rPr>
      <w:i/>
      <w:iCs/>
      <w:color w:val="2F5496" w:themeColor="accent1" w:themeShade="BF"/>
    </w:rPr>
  </w:style>
  <w:style w:type="character" w:styleId="IntenseReference">
    <w:name w:val="Intense Reference"/>
    <w:basedOn w:val="DefaultParagraphFont"/>
    <w:uiPriority w:val="32"/>
    <w:qFormat/>
    <w:rsid w:val="002630CC"/>
    <w:rPr>
      <w:b/>
      <w:bCs/>
      <w:smallCaps/>
      <w:color w:val="2F5496" w:themeColor="accent1" w:themeShade="BF"/>
      <w:spacing w:val="5"/>
    </w:rPr>
  </w:style>
  <w:style w:type="paragraph" w:styleId="NoSpacing">
    <w:name w:val="No Spacing"/>
    <w:uiPriority w:val="1"/>
    <w:qFormat/>
    <w:rsid w:val="00C271A4"/>
    <w:pPr>
      <w:spacing w:after="0" w:line="240" w:lineRule="auto"/>
    </w:pPr>
  </w:style>
  <w:style w:type="paragraph" w:styleId="Header">
    <w:name w:val="header"/>
    <w:basedOn w:val="Normal"/>
    <w:link w:val="HeaderChar"/>
    <w:uiPriority w:val="99"/>
    <w:unhideWhenUsed/>
    <w:rsid w:val="00935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5E0"/>
  </w:style>
  <w:style w:type="paragraph" w:styleId="Footer">
    <w:name w:val="footer"/>
    <w:basedOn w:val="Normal"/>
    <w:link w:val="FooterChar"/>
    <w:uiPriority w:val="99"/>
    <w:unhideWhenUsed/>
    <w:rsid w:val="00935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5E0"/>
  </w:style>
  <w:style w:type="table" w:styleId="PlainTable1">
    <w:name w:val="Plain Table 1"/>
    <w:basedOn w:val="TableNormal"/>
    <w:uiPriority w:val="41"/>
    <w:rsid w:val="009355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9355E0"/>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9355E0"/>
    <w:pPr>
      <w:spacing w:after="100"/>
    </w:pPr>
  </w:style>
  <w:style w:type="paragraph" w:styleId="TOC2">
    <w:name w:val="toc 2"/>
    <w:basedOn w:val="Normal"/>
    <w:next w:val="Normal"/>
    <w:autoRedefine/>
    <w:uiPriority w:val="39"/>
    <w:unhideWhenUsed/>
    <w:rsid w:val="009355E0"/>
    <w:pPr>
      <w:spacing w:after="100"/>
      <w:ind w:left="240"/>
    </w:pPr>
  </w:style>
  <w:style w:type="paragraph" w:styleId="TOC3">
    <w:name w:val="toc 3"/>
    <w:basedOn w:val="Normal"/>
    <w:next w:val="Normal"/>
    <w:autoRedefine/>
    <w:uiPriority w:val="39"/>
    <w:unhideWhenUsed/>
    <w:rsid w:val="009355E0"/>
    <w:pPr>
      <w:spacing w:after="100"/>
      <w:ind w:left="480"/>
    </w:pPr>
  </w:style>
  <w:style w:type="character" w:styleId="Hyperlink">
    <w:name w:val="Hyperlink"/>
    <w:basedOn w:val="DefaultParagraphFont"/>
    <w:uiPriority w:val="99"/>
    <w:unhideWhenUsed/>
    <w:rsid w:val="009355E0"/>
    <w:rPr>
      <w:color w:val="0563C1" w:themeColor="hyperlink"/>
      <w:u w:val="single"/>
    </w:rPr>
  </w:style>
  <w:style w:type="table" w:styleId="TableGrid">
    <w:name w:val="Table Grid"/>
    <w:basedOn w:val="TableNormal"/>
    <w:uiPriority w:val="39"/>
    <w:rsid w:val="00037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B848D-F2E0-46D0-A37F-2FA82B48B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30</Pages>
  <Words>6631</Words>
  <Characters>37800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Ahram Parvej Shanto</cp:lastModifiedBy>
  <cp:revision>9</cp:revision>
  <dcterms:created xsi:type="dcterms:W3CDTF">2025-12-18T03:01:00Z</dcterms:created>
  <dcterms:modified xsi:type="dcterms:W3CDTF">2025-12-21T13:54:00Z</dcterms:modified>
</cp:coreProperties>
</file>