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A5F23" w:rsidRDefault="000D1631" w:rsidP="000D1631">
      <w:pPr>
        <w:spacing w:line="360" w:lineRule="auto"/>
        <w:jc w:val="center"/>
        <w:rPr>
          <w:rFonts w:ascii="Times New Roman" w:hAnsi="Times New Roman" w:cs="Times New Roman"/>
          <w:b/>
          <w:sz w:val="32"/>
          <w:szCs w:val="32"/>
        </w:rPr>
      </w:pPr>
      <w:r>
        <w:rPr>
          <w:noProof/>
        </w:rPr>
        <w:drawing>
          <wp:inline distT="0" distB="0" distL="0" distR="0" wp14:anchorId="2193A688" wp14:editId="17E586EE">
            <wp:extent cx="4271645" cy="15157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t="18038" b="18169"/>
                    <a:stretch/>
                  </pic:blipFill>
                  <pic:spPr bwMode="auto">
                    <a:xfrm>
                      <a:off x="0" y="0"/>
                      <a:ext cx="4271645" cy="1515745"/>
                    </a:xfrm>
                    <a:prstGeom prst="rect">
                      <a:avLst/>
                    </a:prstGeom>
                    <a:noFill/>
                    <a:ln>
                      <a:noFill/>
                    </a:ln>
                    <a:extLst>
                      <a:ext uri="{53640926-AAD7-44D8-BBD7-CCE9431645EC}">
                        <a14:shadowObscured xmlns:a14="http://schemas.microsoft.com/office/drawing/2010/main"/>
                      </a:ext>
                    </a:extLst>
                  </pic:spPr>
                </pic:pic>
              </a:graphicData>
            </a:graphic>
          </wp:inline>
        </w:drawing>
      </w:r>
    </w:p>
    <w:p w:rsidR="00F54710" w:rsidRDefault="009A5F23" w:rsidP="002C41B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CERTHE LAW AND LEGAL PRACTICE, PROFESSIONAL POLICING</w:t>
      </w:r>
    </w:p>
    <w:p w:rsidR="00F54710" w:rsidRDefault="00F54710" w:rsidP="002C41B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BMPL4005, BMLW4006</w:t>
      </w:r>
    </w:p>
    <w:p w:rsidR="00F54710" w:rsidRDefault="00F54710" w:rsidP="002C41B0">
      <w:pPr>
        <w:spacing w:line="360" w:lineRule="auto"/>
        <w:jc w:val="center"/>
        <w:rPr>
          <w:rFonts w:ascii="Times New Roman" w:hAnsi="Times New Roman" w:cs="Times New Roman"/>
          <w:b/>
          <w:sz w:val="32"/>
          <w:szCs w:val="32"/>
        </w:rPr>
      </w:pPr>
    </w:p>
    <w:p w:rsidR="00F54710" w:rsidRDefault="00F54710" w:rsidP="002C41B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LEGAL PROCESS</w:t>
      </w:r>
    </w:p>
    <w:p w:rsidR="009A5F23" w:rsidRDefault="002C41B0" w:rsidP="002C41B0">
      <w:pPr>
        <w:spacing w:line="360" w:lineRule="auto"/>
        <w:jc w:val="center"/>
        <w:rPr>
          <w:rFonts w:ascii="Times New Roman" w:hAnsi="Times New Roman" w:cs="Times New Roman"/>
          <w:b/>
          <w:sz w:val="32"/>
          <w:szCs w:val="32"/>
        </w:rPr>
      </w:pPr>
      <w:r w:rsidRPr="009A5F23">
        <w:rPr>
          <w:rFonts w:ascii="Times New Roman" w:hAnsi="Times New Roman" w:cs="Times New Roman"/>
          <w:b/>
          <w:sz w:val="52"/>
          <w:szCs w:val="52"/>
        </w:rPr>
        <w:t>THE MAGISTRACY</w:t>
      </w:r>
    </w:p>
    <w:p w:rsidR="009A5F23" w:rsidRDefault="009A5F23" w:rsidP="002C41B0">
      <w:pPr>
        <w:spacing w:line="360" w:lineRule="auto"/>
        <w:jc w:val="center"/>
        <w:rPr>
          <w:rFonts w:ascii="Times New Roman" w:hAnsi="Times New Roman" w:cs="Times New Roman"/>
          <w:b/>
          <w:sz w:val="32"/>
          <w:szCs w:val="32"/>
        </w:rPr>
      </w:pPr>
    </w:p>
    <w:p w:rsidR="009A5F23" w:rsidRDefault="009A5F23" w:rsidP="002C41B0">
      <w:pPr>
        <w:spacing w:line="360" w:lineRule="auto"/>
        <w:jc w:val="center"/>
        <w:rPr>
          <w:rFonts w:ascii="Times New Roman" w:hAnsi="Times New Roman" w:cs="Times New Roman"/>
          <w:b/>
          <w:sz w:val="32"/>
          <w:szCs w:val="32"/>
        </w:rPr>
      </w:pPr>
    </w:p>
    <w:p w:rsidR="009A5F23" w:rsidRDefault="009A5F23" w:rsidP="002C41B0">
      <w:pPr>
        <w:spacing w:line="360" w:lineRule="auto"/>
        <w:jc w:val="center"/>
        <w:rPr>
          <w:rFonts w:ascii="Times New Roman" w:hAnsi="Times New Roman" w:cs="Times New Roman"/>
          <w:b/>
          <w:sz w:val="32"/>
          <w:szCs w:val="32"/>
        </w:rPr>
      </w:pPr>
    </w:p>
    <w:p w:rsidR="009A5F23" w:rsidRDefault="009A5F23" w:rsidP="002C41B0">
      <w:pPr>
        <w:spacing w:line="360" w:lineRule="auto"/>
        <w:jc w:val="center"/>
        <w:rPr>
          <w:rFonts w:ascii="Times New Roman" w:hAnsi="Times New Roman" w:cs="Times New Roman"/>
          <w:b/>
          <w:sz w:val="32"/>
          <w:szCs w:val="32"/>
        </w:rPr>
      </w:pPr>
    </w:p>
    <w:p w:rsidR="009A5F23" w:rsidRDefault="009A5F23" w:rsidP="002C41B0">
      <w:pPr>
        <w:spacing w:line="360" w:lineRule="auto"/>
        <w:jc w:val="center"/>
        <w:rPr>
          <w:rFonts w:ascii="Times New Roman" w:hAnsi="Times New Roman" w:cs="Times New Roman"/>
          <w:b/>
          <w:sz w:val="32"/>
          <w:szCs w:val="32"/>
        </w:rPr>
      </w:pPr>
    </w:p>
    <w:p w:rsidR="002C41B0" w:rsidRPr="002C41B0" w:rsidRDefault="009A5F23" w:rsidP="002C41B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STUDENT NAME: </w:t>
      </w:r>
      <w:r>
        <w:rPr>
          <w:rFonts w:ascii="Times New Roman" w:hAnsi="Times New Roman" w:cs="Times New Roman"/>
          <w:b/>
          <w:sz w:val="32"/>
          <w:szCs w:val="32"/>
        </w:rPr>
        <w:br/>
        <w:t xml:space="preserve">STUDENT ID: </w:t>
      </w:r>
      <w:r w:rsidR="002C41B0" w:rsidRPr="002C41B0">
        <w:rPr>
          <w:rFonts w:ascii="Times New Roman" w:hAnsi="Times New Roman" w:cs="Times New Roman"/>
          <w:b/>
          <w:sz w:val="32"/>
          <w:szCs w:val="32"/>
        </w:rPr>
        <w:br w:type="page"/>
      </w:r>
    </w:p>
    <w:p w:rsidR="002C41B0" w:rsidRPr="002C41B0" w:rsidRDefault="002C41B0" w:rsidP="002C41B0">
      <w:pPr>
        <w:spacing w:line="360" w:lineRule="auto"/>
        <w:jc w:val="center"/>
        <w:rPr>
          <w:rFonts w:ascii="Times New Roman" w:hAnsi="Times New Roman" w:cs="Times New Roman"/>
          <w:b/>
          <w:sz w:val="24"/>
          <w:szCs w:val="24"/>
        </w:rPr>
      </w:pPr>
      <w:r w:rsidRPr="002C41B0">
        <w:rPr>
          <w:rFonts w:ascii="Times New Roman" w:hAnsi="Times New Roman" w:cs="Times New Roman"/>
          <w:b/>
          <w:sz w:val="24"/>
          <w:szCs w:val="24"/>
        </w:rPr>
        <w:lastRenderedPageBreak/>
        <w:t>Table of contents</w:t>
      </w:r>
    </w:p>
    <w:p w:rsidR="002C41B0" w:rsidRPr="002C41B0" w:rsidRDefault="002C41B0" w:rsidP="002C41B0">
      <w:pPr>
        <w:pStyle w:val="TOC1"/>
        <w:tabs>
          <w:tab w:val="right" w:leader="dot" w:pos="9016"/>
        </w:tabs>
        <w:spacing w:line="360" w:lineRule="auto"/>
        <w:jc w:val="both"/>
        <w:rPr>
          <w:rFonts w:ascii="Times New Roman" w:hAnsi="Times New Roman" w:cs="Times New Roman"/>
          <w:noProof/>
          <w:sz w:val="24"/>
          <w:szCs w:val="24"/>
        </w:rPr>
      </w:pPr>
      <w:r w:rsidRPr="002C41B0">
        <w:rPr>
          <w:rFonts w:ascii="Times New Roman" w:hAnsi="Times New Roman" w:cs="Times New Roman"/>
          <w:sz w:val="24"/>
          <w:szCs w:val="24"/>
        </w:rPr>
        <w:fldChar w:fldCharType="begin"/>
      </w:r>
      <w:r w:rsidRPr="002C41B0">
        <w:rPr>
          <w:rFonts w:ascii="Times New Roman" w:hAnsi="Times New Roman" w:cs="Times New Roman"/>
          <w:sz w:val="24"/>
          <w:szCs w:val="24"/>
        </w:rPr>
        <w:instrText xml:space="preserve"> TOC \o "1-3" \h \z \u </w:instrText>
      </w:r>
      <w:r w:rsidRPr="002C41B0">
        <w:rPr>
          <w:rFonts w:ascii="Times New Roman" w:hAnsi="Times New Roman" w:cs="Times New Roman"/>
          <w:sz w:val="24"/>
          <w:szCs w:val="24"/>
        </w:rPr>
        <w:fldChar w:fldCharType="separate"/>
      </w:r>
      <w:hyperlink w:anchor="_Toc133234741" w:history="1">
        <w:r w:rsidRPr="002C41B0">
          <w:rPr>
            <w:rStyle w:val="Hyperlink"/>
            <w:rFonts w:ascii="Times New Roman" w:hAnsi="Times New Roman" w:cs="Times New Roman"/>
            <w:noProof/>
            <w:color w:val="auto"/>
            <w:sz w:val="24"/>
            <w:szCs w:val="24"/>
          </w:rPr>
          <w:t>Introduction</w:t>
        </w:r>
        <w:r w:rsidRPr="002C41B0">
          <w:rPr>
            <w:rFonts w:ascii="Times New Roman" w:hAnsi="Times New Roman" w:cs="Times New Roman"/>
            <w:noProof/>
            <w:webHidden/>
            <w:sz w:val="24"/>
            <w:szCs w:val="24"/>
          </w:rPr>
          <w:tab/>
        </w:r>
        <w:r w:rsidRPr="002C41B0">
          <w:rPr>
            <w:rFonts w:ascii="Times New Roman" w:hAnsi="Times New Roman" w:cs="Times New Roman"/>
            <w:noProof/>
            <w:webHidden/>
            <w:sz w:val="24"/>
            <w:szCs w:val="24"/>
          </w:rPr>
          <w:fldChar w:fldCharType="begin"/>
        </w:r>
        <w:r w:rsidRPr="002C41B0">
          <w:rPr>
            <w:rFonts w:ascii="Times New Roman" w:hAnsi="Times New Roman" w:cs="Times New Roman"/>
            <w:noProof/>
            <w:webHidden/>
            <w:sz w:val="24"/>
            <w:szCs w:val="24"/>
          </w:rPr>
          <w:instrText xml:space="preserve"> PAGEREF _Toc133234741 \h </w:instrText>
        </w:r>
        <w:r w:rsidRPr="002C41B0">
          <w:rPr>
            <w:rFonts w:ascii="Times New Roman" w:hAnsi="Times New Roman" w:cs="Times New Roman"/>
            <w:noProof/>
            <w:webHidden/>
            <w:sz w:val="24"/>
            <w:szCs w:val="24"/>
          </w:rPr>
        </w:r>
        <w:r w:rsidRPr="002C41B0">
          <w:rPr>
            <w:rFonts w:ascii="Times New Roman" w:hAnsi="Times New Roman" w:cs="Times New Roman"/>
            <w:noProof/>
            <w:webHidden/>
            <w:sz w:val="24"/>
            <w:szCs w:val="24"/>
          </w:rPr>
          <w:fldChar w:fldCharType="separate"/>
        </w:r>
        <w:r w:rsidRPr="002C41B0">
          <w:rPr>
            <w:rFonts w:ascii="Times New Roman" w:hAnsi="Times New Roman" w:cs="Times New Roman"/>
            <w:noProof/>
            <w:webHidden/>
            <w:sz w:val="24"/>
            <w:szCs w:val="24"/>
          </w:rPr>
          <w:t>2</w:t>
        </w:r>
        <w:r w:rsidRPr="002C41B0">
          <w:rPr>
            <w:rFonts w:ascii="Times New Roman" w:hAnsi="Times New Roman" w:cs="Times New Roman"/>
            <w:noProof/>
            <w:webHidden/>
            <w:sz w:val="24"/>
            <w:szCs w:val="24"/>
          </w:rPr>
          <w:fldChar w:fldCharType="end"/>
        </w:r>
      </w:hyperlink>
    </w:p>
    <w:p w:rsidR="002C41B0" w:rsidRPr="002C41B0" w:rsidRDefault="00000000" w:rsidP="002C41B0">
      <w:pPr>
        <w:pStyle w:val="TOC1"/>
        <w:tabs>
          <w:tab w:val="right" w:leader="dot" w:pos="9016"/>
        </w:tabs>
        <w:spacing w:line="360" w:lineRule="auto"/>
        <w:jc w:val="both"/>
        <w:rPr>
          <w:rFonts w:ascii="Times New Roman" w:hAnsi="Times New Roman" w:cs="Times New Roman"/>
          <w:noProof/>
          <w:sz w:val="24"/>
          <w:szCs w:val="24"/>
        </w:rPr>
      </w:pPr>
      <w:hyperlink w:anchor="_Toc133234742" w:history="1">
        <w:r w:rsidR="002C41B0" w:rsidRPr="002C41B0">
          <w:rPr>
            <w:rStyle w:val="Hyperlink"/>
            <w:rFonts w:ascii="Times New Roman" w:hAnsi="Times New Roman" w:cs="Times New Roman"/>
            <w:noProof/>
            <w:color w:val="auto"/>
            <w:sz w:val="24"/>
            <w:szCs w:val="24"/>
          </w:rPr>
          <w:t>Knowledge and understanding of relevant legislation and legal process including the relationship between legislation and policies and practices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_Toc133234742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2</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1"/>
        <w:tabs>
          <w:tab w:val="right" w:leader="dot" w:pos="9016"/>
        </w:tabs>
        <w:spacing w:line="360" w:lineRule="auto"/>
        <w:jc w:val="both"/>
        <w:rPr>
          <w:rFonts w:ascii="Times New Roman" w:hAnsi="Times New Roman" w:cs="Times New Roman"/>
          <w:noProof/>
          <w:sz w:val="24"/>
          <w:szCs w:val="24"/>
        </w:rPr>
      </w:pPr>
      <w:hyperlink w:anchor="_Toc133234743" w:history="1">
        <w:r w:rsidR="002C41B0" w:rsidRPr="002C41B0">
          <w:rPr>
            <w:rStyle w:val="Hyperlink"/>
            <w:rFonts w:ascii="Times New Roman" w:hAnsi="Times New Roman" w:cs="Times New Roman"/>
            <w:noProof/>
            <w:color w:val="auto"/>
            <w:sz w:val="24"/>
            <w:szCs w:val="24"/>
          </w:rPr>
          <w:t>Identification and evaluation of fundamental legal techniques of reasoning from precedent and interpreting statutes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_Toc133234743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3</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234744" w:history="1">
        <w:r w:rsidR="002C41B0" w:rsidRPr="002C41B0">
          <w:rPr>
            <w:rStyle w:val="Hyperlink"/>
            <w:rFonts w:ascii="Times New Roman" w:hAnsi="Times New Roman" w:cs="Times New Roman"/>
            <w:noProof/>
            <w:color w:val="auto"/>
            <w:sz w:val="24"/>
            <w:szCs w:val="24"/>
          </w:rPr>
          <w:t>Discussion about the magistrate of the United Kingdom and their responsibilities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_Toc133234744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3</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234745" w:history="1">
        <w:r w:rsidR="002C41B0" w:rsidRPr="002C41B0">
          <w:rPr>
            <w:rStyle w:val="Hyperlink"/>
            <w:rFonts w:ascii="Times New Roman" w:hAnsi="Times New Roman" w:cs="Times New Roman"/>
            <w:noProof/>
            <w:color w:val="auto"/>
            <w:sz w:val="24"/>
            <w:szCs w:val="24"/>
          </w:rPr>
          <w:t>Thesis and court closures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_Toc133234745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4</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234746" w:history="1">
        <w:r w:rsidR="002C41B0" w:rsidRPr="002C41B0">
          <w:rPr>
            <w:rStyle w:val="Hyperlink"/>
            <w:rFonts w:ascii="Times New Roman" w:hAnsi="Times New Roman" w:cs="Times New Roman"/>
            <w:noProof/>
            <w:color w:val="auto"/>
            <w:sz w:val="24"/>
            <w:szCs w:val="24"/>
          </w:rPr>
          <w:t>Evidence of other advantages and disadvantages regarding legislation and policies and practices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_Toc133234746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4</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33234747" w:history="1">
        <w:r w:rsidR="002C41B0" w:rsidRPr="002C41B0">
          <w:rPr>
            <w:rStyle w:val="Hyperlink"/>
            <w:rFonts w:ascii="Times New Roman" w:hAnsi="Times New Roman" w:cs="Times New Roman"/>
            <w:noProof/>
            <w:color w:val="auto"/>
            <w:sz w:val="24"/>
            <w:szCs w:val="24"/>
          </w:rPr>
          <w:t>Reform</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_Toc133234747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4</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1"/>
        <w:tabs>
          <w:tab w:val="right" w:leader="dot" w:pos="9016"/>
        </w:tabs>
        <w:spacing w:line="360" w:lineRule="auto"/>
        <w:jc w:val="both"/>
        <w:rPr>
          <w:rFonts w:ascii="Times New Roman" w:hAnsi="Times New Roman" w:cs="Times New Roman"/>
          <w:noProof/>
          <w:sz w:val="24"/>
          <w:szCs w:val="24"/>
        </w:rPr>
      </w:pPr>
      <w:hyperlink w:anchor="_Toc133234748" w:history="1">
        <w:r w:rsidR="002C41B0" w:rsidRPr="002C41B0">
          <w:rPr>
            <w:rStyle w:val="Hyperlink"/>
            <w:rFonts w:ascii="Times New Roman" w:hAnsi="Times New Roman" w:cs="Times New Roman"/>
            <w:noProof/>
            <w:color w:val="auto"/>
            <w:sz w:val="24"/>
            <w:szCs w:val="24"/>
          </w:rPr>
          <w:t>Conclusion</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_Toc133234748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5</w:t>
        </w:r>
        <w:r w:rsidR="002C41B0" w:rsidRPr="002C41B0">
          <w:rPr>
            <w:rFonts w:ascii="Times New Roman" w:hAnsi="Times New Roman" w:cs="Times New Roman"/>
            <w:noProof/>
            <w:webHidden/>
            <w:sz w:val="24"/>
            <w:szCs w:val="24"/>
          </w:rPr>
          <w:fldChar w:fldCharType="end"/>
        </w:r>
      </w:hyperlink>
    </w:p>
    <w:p w:rsidR="002C41B0" w:rsidRPr="002C41B0" w:rsidRDefault="00000000" w:rsidP="002C41B0">
      <w:pPr>
        <w:pStyle w:val="TOC1"/>
        <w:tabs>
          <w:tab w:val="right" w:leader="dot" w:pos="9016"/>
        </w:tabs>
        <w:spacing w:line="360" w:lineRule="auto"/>
        <w:jc w:val="both"/>
        <w:rPr>
          <w:rFonts w:ascii="Times New Roman" w:hAnsi="Times New Roman" w:cs="Times New Roman"/>
          <w:noProof/>
          <w:sz w:val="24"/>
          <w:szCs w:val="24"/>
        </w:rPr>
      </w:pPr>
      <w:hyperlink w:anchor="_Toc133234749" w:history="1">
        <w:r w:rsidR="002C41B0" w:rsidRPr="002C41B0">
          <w:rPr>
            <w:rStyle w:val="Hyperlink"/>
            <w:rFonts w:ascii="Times New Roman" w:hAnsi="Times New Roman" w:cs="Times New Roman"/>
            <w:noProof/>
            <w:color w:val="auto"/>
            <w:sz w:val="24"/>
            <w:szCs w:val="24"/>
          </w:rPr>
          <w:t>References</w:t>
        </w:r>
        <w:r w:rsidR="002C41B0" w:rsidRPr="002C41B0">
          <w:rPr>
            <w:rFonts w:ascii="Times New Roman" w:hAnsi="Times New Roman" w:cs="Times New Roman"/>
            <w:noProof/>
            <w:webHidden/>
            <w:sz w:val="24"/>
            <w:szCs w:val="24"/>
          </w:rPr>
          <w:tab/>
        </w:r>
        <w:r w:rsidR="002C41B0" w:rsidRPr="002C41B0">
          <w:rPr>
            <w:rFonts w:ascii="Times New Roman" w:hAnsi="Times New Roman" w:cs="Times New Roman"/>
            <w:noProof/>
            <w:webHidden/>
            <w:sz w:val="24"/>
            <w:szCs w:val="24"/>
          </w:rPr>
          <w:fldChar w:fldCharType="begin"/>
        </w:r>
        <w:r w:rsidR="002C41B0" w:rsidRPr="002C41B0">
          <w:rPr>
            <w:rFonts w:ascii="Times New Roman" w:hAnsi="Times New Roman" w:cs="Times New Roman"/>
            <w:noProof/>
            <w:webHidden/>
            <w:sz w:val="24"/>
            <w:szCs w:val="24"/>
          </w:rPr>
          <w:instrText xml:space="preserve"> PAGEREF _Toc133234749 \h </w:instrText>
        </w:r>
        <w:r w:rsidR="002C41B0" w:rsidRPr="002C41B0">
          <w:rPr>
            <w:rFonts w:ascii="Times New Roman" w:hAnsi="Times New Roman" w:cs="Times New Roman"/>
            <w:noProof/>
            <w:webHidden/>
            <w:sz w:val="24"/>
            <w:szCs w:val="24"/>
          </w:rPr>
        </w:r>
        <w:r w:rsidR="002C41B0" w:rsidRPr="002C41B0">
          <w:rPr>
            <w:rFonts w:ascii="Times New Roman" w:hAnsi="Times New Roman" w:cs="Times New Roman"/>
            <w:noProof/>
            <w:webHidden/>
            <w:sz w:val="24"/>
            <w:szCs w:val="24"/>
          </w:rPr>
          <w:fldChar w:fldCharType="separate"/>
        </w:r>
        <w:r w:rsidR="002C41B0" w:rsidRPr="002C41B0">
          <w:rPr>
            <w:rFonts w:ascii="Times New Roman" w:hAnsi="Times New Roman" w:cs="Times New Roman"/>
            <w:noProof/>
            <w:webHidden/>
            <w:sz w:val="24"/>
            <w:szCs w:val="24"/>
          </w:rPr>
          <w:t>6</w:t>
        </w:r>
        <w:r w:rsidR="002C41B0" w:rsidRPr="002C41B0">
          <w:rPr>
            <w:rFonts w:ascii="Times New Roman" w:hAnsi="Times New Roman" w:cs="Times New Roman"/>
            <w:noProof/>
            <w:webHidden/>
            <w:sz w:val="24"/>
            <w:szCs w:val="24"/>
          </w:rPr>
          <w:fldChar w:fldCharType="end"/>
        </w:r>
      </w:hyperlink>
    </w:p>
    <w:p w:rsidR="002C41B0" w:rsidRPr="002C41B0" w:rsidRDefault="002C41B0" w:rsidP="002C41B0">
      <w:pPr>
        <w:spacing w:line="360" w:lineRule="auto"/>
        <w:jc w:val="both"/>
        <w:rPr>
          <w:rFonts w:ascii="Times New Roman" w:eastAsiaTheme="majorEastAsia" w:hAnsi="Times New Roman" w:cs="Times New Roman"/>
          <w:b/>
          <w:bCs/>
          <w:sz w:val="24"/>
          <w:szCs w:val="24"/>
        </w:rPr>
      </w:pPr>
      <w:r w:rsidRPr="002C41B0">
        <w:rPr>
          <w:rFonts w:ascii="Times New Roman" w:hAnsi="Times New Roman" w:cs="Times New Roman"/>
          <w:sz w:val="24"/>
          <w:szCs w:val="24"/>
        </w:rPr>
        <w:fldChar w:fldCharType="end"/>
      </w:r>
      <w:r w:rsidRPr="002C41B0">
        <w:rPr>
          <w:rFonts w:ascii="Times New Roman" w:hAnsi="Times New Roman" w:cs="Times New Roman"/>
          <w:sz w:val="24"/>
          <w:szCs w:val="24"/>
        </w:rPr>
        <w:br w:type="page"/>
      </w:r>
    </w:p>
    <w:p w:rsidR="00BD0140" w:rsidRPr="002C41B0" w:rsidRDefault="00E36D2D" w:rsidP="002C41B0">
      <w:pPr>
        <w:pStyle w:val="Heading1"/>
        <w:spacing w:line="360" w:lineRule="auto"/>
        <w:jc w:val="both"/>
        <w:rPr>
          <w:rFonts w:ascii="Times New Roman" w:hAnsi="Times New Roman" w:cs="Times New Roman"/>
          <w:color w:val="auto"/>
          <w:sz w:val="24"/>
          <w:szCs w:val="24"/>
        </w:rPr>
      </w:pPr>
      <w:bookmarkStart w:id="0" w:name="_Toc133234741"/>
      <w:r w:rsidRPr="002C41B0">
        <w:rPr>
          <w:rFonts w:ascii="Times New Roman" w:hAnsi="Times New Roman" w:cs="Times New Roman"/>
          <w:color w:val="auto"/>
          <w:sz w:val="24"/>
          <w:szCs w:val="24"/>
        </w:rPr>
        <w:lastRenderedPageBreak/>
        <w:t>Introduction</w:t>
      </w:r>
      <w:bookmarkEnd w:id="0"/>
    </w:p>
    <w:p w:rsidR="00BD0140" w:rsidRPr="002C41B0" w:rsidRDefault="00E36D2D" w:rsidP="002C41B0">
      <w:pPr>
        <w:pStyle w:val="NormalWeb"/>
        <w:spacing w:before="240" w:beforeAutospacing="0" w:after="240" w:afterAutospacing="0" w:line="360" w:lineRule="auto"/>
        <w:jc w:val="both"/>
      </w:pPr>
      <w:r w:rsidRPr="002C41B0">
        <w:t xml:space="preserve">In this assignment, various aspects of the legislation and the legal procedure of the United Kingdom are to be discussed. The main laws are passed by the legislative body of the United Kingdom. The Scottish Parliament, UK Acts, Northern Ireland Assembly and the Welsh Parliament all fall under this. The legislations are also called statutes which are made by the body or person under the authority which is included in the primary legislation. Most of the acts which are passed by the parliament are referred to as the "Public General Acts", "Private Acts" and "Local Acts". The general and the public acts are passed by the Parliament for providing laws all over the UK. </w:t>
      </w:r>
    </w:p>
    <w:p w:rsidR="00BD0140" w:rsidRPr="002C41B0" w:rsidRDefault="00E36D2D" w:rsidP="002C41B0">
      <w:pPr>
        <w:pStyle w:val="Heading1"/>
        <w:spacing w:line="360" w:lineRule="auto"/>
        <w:jc w:val="both"/>
        <w:rPr>
          <w:rFonts w:ascii="Times New Roman" w:hAnsi="Times New Roman" w:cs="Times New Roman"/>
          <w:color w:val="auto"/>
          <w:sz w:val="24"/>
          <w:szCs w:val="24"/>
        </w:rPr>
      </w:pPr>
      <w:bookmarkStart w:id="1" w:name="_Toc133234742"/>
      <w:r w:rsidRPr="002C41B0">
        <w:rPr>
          <w:rFonts w:ascii="Times New Roman" w:hAnsi="Times New Roman" w:cs="Times New Roman"/>
          <w:color w:val="auto"/>
          <w:sz w:val="24"/>
          <w:szCs w:val="24"/>
        </w:rPr>
        <w:t>Knowledge and understanding of relevant legislation and legal process including the relationship between legislation and policies and practices</w:t>
      </w:r>
      <w:bookmarkEnd w:id="1"/>
    </w:p>
    <w:p w:rsidR="00BD0140" w:rsidRPr="002C41B0" w:rsidRDefault="00E36D2D" w:rsidP="002C41B0">
      <w:pPr>
        <w:pStyle w:val="NormalWeb"/>
        <w:spacing w:before="240" w:beforeAutospacing="0" w:after="240" w:afterAutospacing="0" w:line="360" w:lineRule="auto"/>
        <w:jc w:val="both"/>
      </w:pPr>
      <w:r w:rsidRPr="002C41B0">
        <w:t>The relevant legislation on legal processes comprises relationships between the policies and practices also.</w:t>
      </w:r>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The primary legislation is divided into two types which are public general acts that comprise 25 to 50 public acts every year. Since the year 1999, the public general acts have been accompanied with the help of certain explanatory notes that provides a clear set of actions through which the acts will be implemented for achieving proper law and order. The personal and local act helps in affecting our particular person, locality or body. There are less than 5 laws which are passed every year for railways, borrows, canal companies and also enclosed property or land</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 xml:space="preserve"> (Williams, 2020)</w:t>
      </w:r>
      <w:r w:rsidRPr="002C41B0">
        <w:rPr>
          <w:rFonts w:ascii="Times New Roman" w:hAnsi="Times New Roman" w:cs="Times New Roman"/>
          <w:sz w:val="24"/>
          <w:szCs w:val="24"/>
        </w:rPr>
        <w:t>. Personal acts are considered to be a very crucial method to obtaining a divorce.</w:t>
      </w:r>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The modern typical public general acts include different parts like the title, chapter number, purpose of fact, the body of the act, date of ascent, and length of the act. It also includes certain states that include interpretation, commencement, scheduling information and repealing the amendments which result from the act. The statute starts as a bill which is introduced in the House of Parliament but has to be passed from both places to become the act</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(Pollock et al., 2020)</w:t>
      </w:r>
      <w:r w:rsidRPr="002C41B0">
        <w:rPr>
          <w:rFonts w:ascii="Times New Roman" w:hAnsi="Times New Roman" w:cs="Times New Roman"/>
          <w:sz w:val="24"/>
          <w:szCs w:val="24"/>
        </w:rPr>
        <w:t>. It is the responsibility of the Lord to agree to the amendments which will be prevailing in the upcoming years. The procedures of the standard House of Commons include:</w:t>
      </w:r>
    </w:p>
    <w:p w:rsidR="00BD0140" w:rsidRPr="002C41B0" w:rsidRDefault="00E36D2D" w:rsidP="002C41B0">
      <w:pPr>
        <w:pStyle w:val="NormalWeb"/>
        <w:numPr>
          <w:ilvl w:val="0"/>
          <w:numId w:val="1"/>
        </w:numPr>
        <w:spacing w:before="240" w:beforeAutospacing="0" w:after="0" w:afterAutospacing="0" w:line="360" w:lineRule="auto"/>
        <w:jc w:val="both"/>
        <w:textAlignment w:val="baseline"/>
      </w:pPr>
      <w:r w:rsidRPr="002C41B0">
        <w:t>The first reading includes a formal announcement through which the bill is presented.</w:t>
      </w:r>
    </w:p>
    <w:p w:rsidR="00BD0140" w:rsidRPr="002C41B0" w:rsidRDefault="00E36D2D" w:rsidP="002C41B0">
      <w:pPr>
        <w:pStyle w:val="NormalWeb"/>
        <w:numPr>
          <w:ilvl w:val="0"/>
          <w:numId w:val="1"/>
        </w:numPr>
        <w:spacing w:before="0" w:beforeAutospacing="0" w:after="0" w:afterAutospacing="0" w:line="360" w:lineRule="auto"/>
        <w:jc w:val="both"/>
        <w:textAlignment w:val="baseline"/>
      </w:pPr>
      <w:r w:rsidRPr="002C41B0">
        <w:lastRenderedPageBreak/>
        <w:t>The second reading includes the stage of debate where the purpose related to the legislation will be discussed.</w:t>
      </w:r>
    </w:p>
    <w:p w:rsidR="00BD0140" w:rsidRPr="002C41B0" w:rsidRDefault="00E36D2D" w:rsidP="002C41B0">
      <w:pPr>
        <w:pStyle w:val="NormalWeb"/>
        <w:numPr>
          <w:ilvl w:val="0"/>
          <w:numId w:val="1"/>
        </w:numPr>
        <w:spacing w:before="0" w:beforeAutospacing="0" w:after="0" w:afterAutospacing="0" w:line="360" w:lineRule="auto"/>
        <w:jc w:val="both"/>
        <w:textAlignment w:val="baseline"/>
      </w:pPr>
      <w:r w:rsidRPr="002C41B0">
        <w:t>The committee stage is established for considering the bill according to the clauses.</w:t>
      </w:r>
    </w:p>
    <w:p w:rsidR="00BD0140" w:rsidRPr="002C41B0" w:rsidRDefault="00E36D2D" w:rsidP="002C41B0">
      <w:pPr>
        <w:pStyle w:val="NormalWeb"/>
        <w:numPr>
          <w:ilvl w:val="0"/>
          <w:numId w:val="1"/>
        </w:numPr>
        <w:spacing w:before="0" w:beforeAutospacing="0" w:after="0" w:afterAutospacing="0" w:line="360" w:lineRule="auto"/>
        <w:jc w:val="both"/>
        <w:textAlignment w:val="baseline"/>
      </w:pPr>
      <w:r w:rsidRPr="002C41B0">
        <w:t>The report stage is where the review of the bill will be done or amended by the committee.</w:t>
      </w:r>
    </w:p>
    <w:p w:rsidR="00BD0140" w:rsidRPr="002C41B0" w:rsidRDefault="00E36D2D" w:rsidP="002C41B0">
      <w:pPr>
        <w:pStyle w:val="NormalWeb"/>
        <w:numPr>
          <w:ilvl w:val="0"/>
          <w:numId w:val="1"/>
        </w:numPr>
        <w:spacing w:before="0" w:beforeAutospacing="0" w:after="240" w:afterAutospacing="0" w:line="360" w:lineRule="auto"/>
        <w:jc w:val="both"/>
        <w:textAlignment w:val="baseline"/>
      </w:pPr>
      <w:r w:rsidRPr="002C41B0">
        <w:t>The third reading helps in reviewing the permits and amendments which is used for proceeding to the next house.</w:t>
      </w:r>
    </w:p>
    <w:p w:rsidR="00BD0140" w:rsidRPr="002C41B0" w:rsidRDefault="00E36D2D" w:rsidP="002C41B0">
      <w:pPr>
        <w:pStyle w:val="Heading1"/>
        <w:spacing w:line="360" w:lineRule="auto"/>
        <w:jc w:val="both"/>
        <w:rPr>
          <w:rFonts w:ascii="Times New Roman" w:hAnsi="Times New Roman" w:cs="Times New Roman"/>
          <w:color w:val="auto"/>
          <w:sz w:val="24"/>
          <w:szCs w:val="24"/>
        </w:rPr>
      </w:pPr>
      <w:bookmarkStart w:id="2" w:name="_Toc133234743"/>
      <w:r w:rsidRPr="002C41B0">
        <w:rPr>
          <w:rFonts w:ascii="Times New Roman" w:hAnsi="Times New Roman" w:cs="Times New Roman"/>
          <w:color w:val="auto"/>
          <w:sz w:val="24"/>
          <w:szCs w:val="24"/>
        </w:rPr>
        <w:t>Identification and evaluation of fundamental legal techniques of reasoning from precedent and interpreting statutes</w:t>
      </w:r>
      <w:bookmarkEnd w:id="2"/>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The laws which are created by the parliaments are interpreted by the judges through the use of statutory interpretation. The draftsman draws up statutes Endeavors for ensuring an unambiguous meaning. The statutes also make use of awarding that comes up with proper meanings regarding the progression of society which is very much applicable in today's time. The errors which are unnoticed by the parliament and statutes will not be covering the requirement for interpretation of the rules. The rules include the golden rule, literal rule, purposive approach and mischief rule. For statutory interpretation, the courts will be relying upon presumptions, intrinsic, language and extrinsic aids</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(Le and Rühmkorf,2019)</w:t>
      </w:r>
      <w:r w:rsidRPr="002C41B0">
        <w:rPr>
          <w:rFonts w:ascii="Times New Roman" w:hAnsi="Times New Roman" w:cs="Times New Roman"/>
          <w:sz w:val="24"/>
          <w:szCs w:val="24"/>
        </w:rPr>
        <w:t>. The presumptions are considered to be the common law which is used for amendment unless the acts will show the intention. The parliament will not be retrospectively responsible for the amendment of the laws. It can be said that the law is considered to be our structure which is built upon moral and social rules. The statutory interpretation is considered to be the rules which are utilized for several activities and maintaining etiquette in a particular environment. They will be responsible to guide and regulate any kind of action or behaviour.</w:t>
      </w:r>
    </w:p>
    <w:p w:rsidR="00BD0140" w:rsidRPr="002C41B0" w:rsidRDefault="00E36D2D" w:rsidP="002C41B0">
      <w:pPr>
        <w:pStyle w:val="Heading2"/>
        <w:spacing w:line="360" w:lineRule="auto"/>
        <w:jc w:val="both"/>
        <w:rPr>
          <w:rFonts w:ascii="Times New Roman" w:hAnsi="Times New Roman" w:cs="Times New Roman"/>
          <w:color w:val="auto"/>
          <w:sz w:val="24"/>
          <w:szCs w:val="24"/>
        </w:rPr>
      </w:pPr>
      <w:bookmarkStart w:id="3" w:name="_Toc133234744"/>
      <w:r w:rsidRPr="002C41B0">
        <w:rPr>
          <w:rFonts w:ascii="Times New Roman" w:hAnsi="Times New Roman" w:cs="Times New Roman"/>
          <w:color w:val="auto"/>
          <w:sz w:val="24"/>
          <w:szCs w:val="24"/>
        </w:rPr>
        <w:t>Discussion about the magistrate of the United Kingdom and their responsibilities</w:t>
      </w:r>
      <w:bookmarkEnd w:id="3"/>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 xml:space="preserve">The magistrates are referred to as the justices of the peace. They are individuals who come from different walks of life and are passionate about making a difference in their local community. The legal </w:t>
      </w:r>
      <w:r w:rsidR="002C41B0" w:rsidRPr="002C41B0">
        <w:rPr>
          <w:rFonts w:ascii="Times New Roman" w:hAnsi="Times New Roman" w:cs="Times New Roman"/>
          <w:sz w:val="24"/>
          <w:szCs w:val="24"/>
        </w:rPr>
        <w:t>decisions which are done in Wale</w:t>
      </w:r>
      <w:r w:rsidRPr="002C41B0">
        <w:rPr>
          <w:rFonts w:ascii="Times New Roman" w:hAnsi="Times New Roman" w:cs="Times New Roman"/>
          <w:sz w:val="24"/>
          <w:szCs w:val="24"/>
        </w:rPr>
        <w:t>s and England are not decided by judges. It is made by people who come from ordinary classes and have no connection with the legal profession</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 xml:space="preserve"> (Safarov, 2019)</w:t>
      </w:r>
      <w:r w:rsidRPr="002C41B0">
        <w:rPr>
          <w:rFonts w:ascii="Times New Roman" w:hAnsi="Times New Roman" w:cs="Times New Roman"/>
          <w:sz w:val="24"/>
          <w:szCs w:val="24"/>
        </w:rPr>
        <w:t>. The main responsibilities of the magistrate of the United Kingdom are:</w:t>
      </w:r>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lastRenderedPageBreak/>
        <w:t>Making impartial, fair and transparent decisions</w:t>
      </w:r>
      <w:r w:rsidR="00542318">
        <w:rPr>
          <w:rFonts w:ascii="Times New Roman" w:hAnsi="Times New Roman" w:cs="Times New Roman"/>
          <w:sz w:val="24"/>
          <w:szCs w:val="24"/>
        </w:rPr>
        <w:t xml:space="preserve"> is the responsibility of the magistrate</w:t>
      </w:r>
      <w:r w:rsidRPr="002C41B0">
        <w:rPr>
          <w:rFonts w:ascii="Times New Roman" w:hAnsi="Times New Roman" w:cs="Times New Roman"/>
          <w:sz w:val="24"/>
          <w:szCs w:val="24"/>
        </w:rPr>
        <w:t>. The magistrates are responsible to take proper opinions which are impartial, unbiased and transparent. It should follow a proper approach by making deliberation the reasons</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(Jones et al., 2019)</w:t>
      </w:r>
      <w:r w:rsidRPr="002C41B0">
        <w:rPr>
          <w:rFonts w:ascii="Times New Roman" w:hAnsi="Times New Roman" w:cs="Times New Roman"/>
          <w:sz w:val="24"/>
          <w:szCs w:val="24"/>
        </w:rPr>
        <w:t>. The magistrate should also have the capability to assimilate huge amounts of information and identification of some relevant issues.</w:t>
      </w:r>
    </w:p>
    <w:p w:rsidR="002C41B0" w:rsidRPr="002C41B0" w:rsidRDefault="00E36D2D" w:rsidP="002C41B0">
      <w:pPr>
        <w:pStyle w:val="NormalWeb"/>
        <w:numPr>
          <w:ilvl w:val="0"/>
          <w:numId w:val="2"/>
        </w:numPr>
        <w:spacing w:before="0" w:beforeAutospacing="0" w:after="0" w:afterAutospacing="0" w:line="360" w:lineRule="auto"/>
        <w:jc w:val="both"/>
        <w:textAlignment w:val="baseline"/>
      </w:pPr>
      <w:r w:rsidRPr="002C41B0">
        <w:t>Understanding and also an appreciation of various perspectives is the responsibility of the magistrate. They should be capable of appreciating and recognizing different perspectives and dealing with different persons compassionately by showing genuine empathy and understanding regarding the situation.</w:t>
      </w:r>
    </w:p>
    <w:p w:rsidR="00BD0140" w:rsidRPr="002C41B0" w:rsidRDefault="00E36D2D" w:rsidP="002C41B0">
      <w:pPr>
        <w:pStyle w:val="NormalWeb"/>
        <w:numPr>
          <w:ilvl w:val="0"/>
          <w:numId w:val="2"/>
        </w:numPr>
        <w:spacing w:before="0" w:beforeAutospacing="0" w:after="0" w:afterAutospacing="0" w:line="360" w:lineRule="auto"/>
        <w:jc w:val="both"/>
        <w:textAlignment w:val="baseline"/>
      </w:pPr>
      <w:r w:rsidRPr="002C41B0">
        <w:t>The magistrate should have the capability to communicate with respect and sensitivity. They should listen attentively and actively by classification of opinions. They should also try to adapt their communication style for matching the situations and articulation of rationality for proper decisions</w:t>
      </w:r>
      <w:r w:rsidR="002C41B0" w:rsidRPr="002C41B0">
        <w:t xml:space="preserve"> </w:t>
      </w:r>
      <w:r w:rsidR="002C41B0" w:rsidRPr="002C41B0">
        <w:rPr>
          <w:shd w:val="clear" w:color="auto" w:fill="FFFFFF"/>
        </w:rPr>
        <w:t>(Moodie et al., 2019)</w:t>
      </w:r>
      <w:r w:rsidRPr="002C41B0">
        <w:t>. They should try to seize the opportunity to maintain and learn competence and make use of effective strategies for the maintenance of personal well-being.</w:t>
      </w:r>
    </w:p>
    <w:p w:rsidR="00BD0140" w:rsidRPr="002C41B0" w:rsidRDefault="00E36D2D" w:rsidP="002C41B0">
      <w:pPr>
        <w:pStyle w:val="NormalWeb"/>
        <w:numPr>
          <w:ilvl w:val="0"/>
          <w:numId w:val="2"/>
        </w:numPr>
        <w:spacing w:before="0" w:beforeAutospacing="0" w:after="240" w:afterAutospacing="0" w:line="360" w:lineRule="auto"/>
        <w:jc w:val="both"/>
        <w:textAlignment w:val="baseline"/>
      </w:pPr>
      <w:r w:rsidRPr="002C41B0">
        <w:t>The magistrate should be dependable and approachable. They should have the capability for instilling confidence and trust in efficiently working in the profession. They should be encouraged to properly engage and participation in the decision-making process and must appropriately challenge any kind of prejudice.</w:t>
      </w:r>
    </w:p>
    <w:p w:rsidR="00BD0140" w:rsidRPr="002C41B0" w:rsidRDefault="00E36D2D" w:rsidP="002C41B0">
      <w:pPr>
        <w:pStyle w:val="Heading2"/>
        <w:spacing w:line="360" w:lineRule="auto"/>
        <w:jc w:val="both"/>
        <w:rPr>
          <w:rFonts w:ascii="Times New Roman" w:hAnsi="Times New Roman" w:cs="Times New Roman"/>
          <w:color w:val="auto"/>
          <w:sz w:val="24"/>
          <w:szCs w:val="24"/>
        </w:rPr>
      </w:pPr>
      <w:bookmarkStart w:id="4" w:name="_Toc133234745"/>
      <w:r w:rsidRPr="002C41B0">
        <w:rPr>
          <w:rFonts w:ascii="Times New Roman" w:hAnsi="Times New Roman" w:cs="Times New Roman"/>
          <w:color w:val="auto"/>
          <w:sz w:val="24"/>
          <w:szCs w:val="24"/>
        </w:rPr>
        <w:t>Thesis and court closures</w:t>
      </w:r>
      <w:bookmarkEnd w:id="4"/>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The HM courts and the Tribunals Services have raised funds for improving the court system. They have thought about the introduction of digital services which will be sold under the used court buildings. The government has made the plans for closing more than 77 courts by the year 2025-2026 based upon the report published by the National Audit Office</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(Webb et al., 2020)</w:t>
      </w:r>
      <w:r w:rsidRPr="002C41B0">
        <w:rPr>
          <w:rFonts w:ascii="Times New Roman" w:hAnsi="Times New Roman" w:cs="Times New Roman"/>
          <w:sz w:val="24"/>
          <w:szCs w:val="24"/>
        </w:rPr>
        <w:t>. The court closures are having a negative impact on the users of the court the impact of the court users comprises of:</w:t>
      </w:r>
    </w:p>
    <w:p w:rsidR="00BD0140" w:rsidRPr="002C41B0" w:rsidRDefault="00E36D2D" w:rsidP="002C41B0">
      <w:pPr>
        <w:pStyle w:val="NormalWeb"/>
        <w:numPr>
          <w:ilvl w:val="0"/>
          <w:numId w:val="3"/>
        </w:numPr>
        <w:spacing w:before="240" w:beforeAutospacing="0" w:after="0" w:afterAutospacing="0" w:line="360" w:lineRule="auto"/>
        <w:jc w:val="both"/>
        <w:textAlignment w:val="baseline"/>
      </w:pPr>
      <w:r w:rsidRPr="002C41B0">
        <w:t>People with low income</w:t>
      </w:r>
    </w:p>
    <w:p w:rsidR="00BD0140" w:rsidRPr="002C41B0" w:rsidRDefault="00E36D2D" w:rsidP="002C41B0">
      <w:pPr>
        <w:pStyle w:val="NormalWeb"/>
        <w:numPr>
          <w:ilvl w:val="0"/>
          <w:numId w:val="3"/>
        </w:numPr>
        <w:spacing w:before="0" w:beforeAutospacing="0" w:after="0" w:afterAutospacing="0" w:line="360" w:lineRule="auto"/>
        <w:jc w:val="both"/>
        <w:textAlignment w:val="baseline"/>
      </w:pPr>
      <w:r w:rsidRPr="002C41B0">
        <w:t>People have mobility issues and disabilities.</w:t>
      </w:r>
    </w:p>
    <w:p w:rsidR="00BD0140" w:rsidRPr="002C41B0" w:rsidRDefault="00E36D2D" w:rsidP="002C41B0">
      <w:pPr>
        <w:pStyle w:val="NormalWeb"/>
        <w:numPr>
          <w:ilvl w:val="0"/>
          <w:numId w:val="3"/>
        </w:numPr>
        <w:spacing w:before="0" w:beforeAutospacing="0" w:after="0" w:afterAutospacing="0" w:line="360" w:lineRule="auto"/>
        <w:jc w:val="both"/>
        <w:textAlignment w:val="baseline"/>
      </w:pPr>
      <w:r w:rsidRPr="002C41B0">
        <w:t>With caring responsibility and children</w:t>
      </w:r>
    </w:p>
    <w:p w:rsidR="00BD0140" w:rsidRPr="002C41B0" w:rsidRDefault="00E36D2D" w:rsidP="002C41B0">
      <w:pPr>
        <w:pStyle w:val="NormalWeb"/>
        <w:numPr>
          <w:ilvl w:val="0"/>
          <w:numId w:val="3"/>
        </w:numPr>
        <w:spacing w:before="0" w:beforeAutospacing="0" w:after="0" w:afterAutospacing="0" w:line="360" w:lineRule="auto"/>
        <w:jc w:val="both"/>
        <w:textAlignment w:val="baseline"/>
      </w:pPr>
      <w:r w:rsidRPr="002C41B0">
        <w:t>Belonging to rural areas and without access to transportation.</w:t>
      </w:r>
    </w:p>
    <w:p w:rsidR="00BD0140" w:rsidRPr="002C41B0" w:rsidRDefault="00E36D2D" w:rsidP="002C41B0">
      <w:pPr>
        <w:pStyle w:val="NormalWeb"/>
        <w:numPr>
          <w:ilvl w:val="0"/>
          <w:numId w:val="3"/>
        </w:numPr>
        <w:spacing w:before="0" w:beforeAutospacing="0" w:after="0" w:afterAutospacing="0" w:line="360" w:lineRule="auto"/>
        <w:jc w:val="both"/>
        <w:textAlignment w:val="baseline"/>
      </w:pPr>
      <w:r w:rsidRPr="002C41B0">
        <w:t>People who own any business.</w:t>
      </w:r>
    </w:p>
    <w:p w:rsidR="00BD0140" w:rsidRPr="002C41B0" w:rsidRDefault="00E36D2D" w:rsidP="002C41B0">
      <w:pPr>
        <w:pStyle w:val="NormalWeb"/>
        <w:numPr>
          <w:ilvl w:val="0"/>
          <w:numId w:val="3"/>
        </w:numPr>
        <w:spacing w:before="0" w:beforeAutospacing="0" w:after="240" w:afterAutospacing="0" w:line="360" w:lineRule="auto"/>
        <w:jc w:val="both"/>
        <w:textAlignment w:val="baseline"/>
      </w:pPr>
      <w:r w:rsidRPr="002C41B0">
        <w:t xml:space="preserve">Relying upon interpreters and less willing to attend court. </w:t>
      </w:r>
    </w:p>
    <w:p w:rsidR="00BD0140" w:rsidRPr="002C41B0" w:rsidRDefault="00E36D2D" w:rsidP="002C41B0">
      <w:pPr>
        <w:pStyle w:val="Heading2"/>
        <w:spacing w:line="360" w:lineRule="auto"/>
        <w:jc w:val="both"/>
        <w:rPr>
          <w:rFonts w:ascii="Times New Roman" w:hAnsi="Times New Roman" w:cs="Times New Roman"/>
          <w:color w:val="auto"/>
          <w:sz w:val="24"/>
          <w:szCs w:val="24"/>
        </w:rPr>
      </w:pPr>
      <w:bookmarkStart w:id="5" w:name="_Toc133234746"/>
      <w:r w:rsidRPr="002C41B0">
        <w:rPr>
          <w:rFonts w:ascii="Times New Roman" w:hAnsi="Times New Roman" w:cs="Times New Roman"/>
          <w:color w:val="auto"/>
          <w:sz w:val="24"/>
          <w:szCs w:val="24"/>
        </w:rPr>
        <w:lastRenderedPageBreak/>
        <w:t>Evidence of other advantages and disadvantages regarding legislation and policies and practices</w:t>
      </w:r>
      <w:bookmarkEnd w:id="5"/>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The main advantage of the legislation and the policies includes upholding the theories regarding the Supremacy of the Parliament. The Judges have to adopt the literal rule which will prevent any kind of absurd outcomes. The functions have to be kept separate and should adopt a purposive approach that will help to fill the gaps in the Parliament. The use of proper legislation and policies by the lawyers will help in predicting the outcome of the case and will also provide confidence to the clients</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 xml:space="preserve"> (Cole et al., 2019)</w:t>
      </w:r>
      <w:r w:rsidRPr="002C41B0">
        <w:rPr>
          <w:rFonts w:ascii="Times New Roman" w:hAnsi="Times New Roman" w:cs="Times New Roman"/>
          <w:sz w:val="24"/>
          <w:szCs w:val="24"/>
        </w:rPr>
        <w:t xml:space="preserve">. The literal laws and the policies have to be precise enough and will take the wording which will undermine the certainties in the law. </w:t>
      </w:r>
    </w:p>
    <w:p w:rsidR="00BD0140" w:rsidRPr="002C41B0" w:rsidRDefault="00E36D2D" w:rsidP="002C41B0">
      <w:pPr>
        <w:pStyle w:val="NormalWeb"/>
        <w:spacing w:before="240" w:beforeAutospacing="0" w:after="240" w:afterAutospacing="0" w:line="360" w:lineRule="auto"/>
        <w:jc w:val="both"/>
      </w:pPr>
      <w:r w:rsidRPr="002C41B0">
        <w:t xml:space="preserve">The main disadvantage of the legislation and the policies will lead to unjust and absurd results. The statute will not be able to impersonate any person who will be entitled for voting. Another main disadvantage regarding the law is that it could produce some ridiculous actions which cannot be the real intention of the parliament. The legislative process is also very slow which will give rise to complexities and time. Emergency legislation can occasionally pass quickly and sometimes it will take months and years to become the act. </w:t>
      </w:r>
    </w:p>
    <w:p w:rsidR="00BD0140" w:rsidRPr="002C41B0" w:rsidRDefault="00E36D2D" w:rsidP="002C41B0">
      <w:pPr>
        <w:pStyle w:val="Heading2"/>
        <w:spacing w:line="360" w:lineRule="auto"/>
        <w:jc w:val="both"/>
        <w:rPr>
          <w:rFonts w:ascii="Times New Roman" w:hAnsi="Times New Roman" w:cs="Times New Roman"/>
          <w:color w:val="auto"/>
          <w:sz w:val="24"/>
          <w:szCs w:val="24"/>
        </w:rPr>
      </w:pPr>
      <w:bookmarkStart w:id="6" w:name="_Toc133234747"/>
      <w:r w:rsidRPr="002C41B0">
        <w:rPr>
          <w:rFonts w:ascii="Times New Roman" w:hAnsi="Times New Roman" w:cs="Times New Roman"/>
          <w:color w:val="auto"/>
          <w:sz w:val="24"/>
          <w:szCs w:val="24"/>
        </w:rPr>
        <w:t>Reform</w:t>
      </w:r>
      <w:bookmarkEnd w:id="6"/>
    </w:p>
    <w:p w:rsidR="00BD0140" w:rsidRPr="002C41B0" w:rsidRDefault="00E36D2D"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rPr>
        <w:t xml:space="preserve">To promote the fast growth of the economy legislation and policies regarding tax revenue and wages have to be generated. It is the responsibility of the Law Commission to make a constant review of the laws of Wales and England to bring about certain necessary changes. It is the responsibility of the parliament to ensure that the laws are simple, fair and highly cost-effective to make improvements in society. </w:t>
      </w:r>
      <w:r w:rsidR="002C41B0" w:rsidRPr="002C41B0">
        <w:rPr>
          <w:rFonts w:ascii="Times New Roman" w:hAnsi="Times New Roman" w:cs="Times New Roman"/>
          <w:sz w:val="24"/>
          <w:szCs w:val="24"/>
        </w:rPr>
        <w:t xml:space="preserve">For statutory interpretation, the courts will be relying upon presumptions, intrinsic, language and extrinsic aids. The presumptions are considered to be the common law which is used for amendment unless the acts will show the intention. </w:t>
      </w:r>
      <w:r w:rsidRPr="002C41B0">
        <w:rPr>
          <w:rFonts w:ascii="Times New Roman" w:hAnsi="Times New Roman" w:cs="Times New Roman"/>
          <w:sz w:val="24"/>
          <w:szCs w:val="24"/>
        </w:rPr>
        <w:t>The Protocol and the Law Commission Act 2008 came into effect in January 2010</w:t>
      </w:r>
      <w:r w:rsidR="002C41B0" w:rsidRPr="002C41B0">
        <w:rPr>
          <w:rFonts w:ascii="Times New Roman" w:hAnsi="Times New Roman" w:cs="Times New Roman"/>
          <w:sz w:val="24"/>
          <w:szCs w:val="24"/>
        </w:rPr>
        <w:t xml:space="preserve"> </w:t>
      </w:r>
      <w:r w:rsidR="002C41B0" w:rsidRPr="002C41B0">
        <w:rPr>
          <w:rFonts w:ascii="Times New Roman" w:hAnsi="Times New Roman" w:cs="Times New Roman"/>
          <w:sz w:val="24"/>
          <w:szCs w:val="24"/>
          <w:shd w:val="clear" w:color="auto" w:fill="FFFFFF"/>
        </w:rPr>
        <w:t>(Broad and Turnbull, 2019)</w:t>
      </w:r>
      <w:r w:rsidRPr="002C41B0">
        <w:rPr>
          <w:rFonts w:ascii="Times New Roman" w:hAnsi="Times New Roman" w:cs="Times New Roman"/>
          <w:sz w:val="24"/>
          <w:szCs w:val="24"/>
        </w:rPr>
        <w:t xml:space="preserve">. This has caused the improvement of the ratios related to recommendations which are being implemented. </w:t>
      </w:r>
    </w:p>
    <w:p w:rsidR="00BD0140" w:rsidRPr="002C41B0" w:rsidRDefault="00E36D2D" w:rsidP="002C41B0">
      <w:pPr>
        <w:pStyle w:val="Heading1"/>
        <w:spacing w:line="360" w:lineRule="auto"/>
        <w:jc w:val="both"/>
        <w:rPr>
          <w:rFonts w:ascii="Times New Roman" w:hAnsi="Times New Roman" w:cs="Times New Roman"/>
          <w:color w:val="auto"/>
          <w:sz w:val="24"/>
          <w:szCs w:val="24"/>
        </w:rPr>
      </w:pPr>
      <w:bookmarkStart w:id="7" w:name="_Toc133234748"/>
      <w:r w:rsidRPr="002C41B0">
        <w:rPr>
          <w:rFonts w:ascii="Times New Roman" w:hAnsi="Times New Roman" w:cs="Times New Roman"/>
          <w:color w:val="auto"/>
          <w:sz w:val="24"/>
          <w:szCs w:val="24"/>
        </w:rPr>
        <w:t>Conclusion</w:t>
      </w:r>
      <w:bookmarkEnd w:id="7"/>
    </w:p>
    <w:p w:rsidR="00BD0140" w:rsidRPr="002C41B0" w:rsidRDefault="00E36D2D" w:rsidP="002C41B0">
      <w:pPr>
        <w:pStyle w:val="NormalWeb"/>
        <w:spacing w:before="240" w:beforeAutospacing="0" w:after="240" w:afterAutospacing="0" w:line="360" w:lineRule="auto"/>
        <w:jc w:val="both"/>
      </w:pPr>
      <w:r w:rsidRPr="002C41B0">
        <w:t xml:space="preserve"> It can be concluded that the approaches towards the laws must be effective enough that they should interpret the EU laws. The statutory interpretation of the court should be relying upon the language, presumption, </w:t>
      </w:r>
      <w:r w:rsidR="005900D4">
        <w:t>and extrinsic and intrinsic add</w:t>
      </w:r>
      <w:r w:rsidRPr="002C41B0">
        <w:t xml:space="preserve">. The parliament should not be </w:t>
      </w:r>
      <w:r w:rsidRPr="002C41B0">
        <w:lastRenderedPageBreak/>
        <w:t xml:space="preserve">retrospective about the laws. The laws must be effectively built upon certain structures which include moral and social rules. There are various legal factors also which will help in the application and the interpretation of the rules and must not suggest the rigidity of results. The legislation and the policies should all together allow for the contemplation and consideration of the case. </w:t>
      </w:r>
    </w:p>
    <w:p w:rsidR="002C41B0" w:rsidRPr="002C41B0" w:rsidRDefault="002C41B0" w:rsidP="002C41B0">
      <w:pPr>
        <w:spacing w:line="360" w:lineRule="auto"/>
        <w:jc w:val="both"/>
        <w:rPr>
          <w:rFonts w:ascii="Times New Roman" w:hAnsi="Times New Roman" w:cs="Times New Roman"/>
          <w:sz w:val="24"/>
          <w:szCs w:val="24"/>
        </w:rPr>
      </w:pPr>
      <w:r w:rsidRPr="002C41B0">
        <w:rPr>
          <w:rFonts w:ascii="Times New Roman" w:hAnsi="Times New Roman" w:cs="Times New Roman"/>
          <w:sz w:val="24"/>
          <w:szCs w:val="24"/>
        </w:rPr>
        <w:br w:type="page"/>
      </w:r>
    </w:p>
    <w:p w:rsidR="00C249FE" w:rsidRPr="002C41B0" w:rsidRDefault="002C41B0" w:rsidP="002C41B0">
      <w:pPr>
        <w:pStyle w:val="Heading1"/>
        <w:spacing w:line="360" w:lineRule="auto"/>
        <w:jc w:val="both"/>
        <w:rPr>
          <w:rFonts w:ascii="Times New Roman" w:hAnsi="Times New Roman" w:cs="Times New Roman"/>
          <w:color w:val="auto"/>
          <w:sz w:val="24"/>
          <w:szCs w:val="24"/>
        </w:rPr>
      </w:pPr>
      <w:bookmarkStart w:id="8" w:name="_Toc133234749"/>
      <w:r w:rsidRPr="002C41B0">
        <w:rPr>
          <w:rFonts w:ascii="Times New Roman" w:hAnsi="Times New Roman" w:cs="Times New Roman"/>
          <w:color w:val="auto"/>
          <w:sz w:val="24"/>
          <w:szCs w:val="24"/>
        </w:rPr>
        <w:lastRenderedPageBreak/>
        <w:t>References</w:t>
      </w:r>
      <w:bookmarkEnd w:id="8"/>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Broad, R. and Turnbull, N., (2019). From human trafficking to modern slavery: The development of anti-trafficking policy in the UK. </w:t>
      </w:r>
      <w:r w:rsidRPr="002C41B0">
        <w:rPr>
          <w:rFonts w:ascii="Times New Roman" w:hAnsi="Times New Roman" w:cs="Times New Roman"/>
          <w:i/>
          <w:iCs/>
          <w:sz w:val="24"/>
          <w:szCs w:val="24"/>
          <w:shd w:val="clear" w:color="auto" w:fill="FFFFFF"/>
        </w:rPr>
        <w:t>European Journal on Criminal Policy and Research</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25</w:t>
      </w:r>
      <w:r w:rsidRPr="002C41B0">
        <w:rPr>
          <w:rFonts w:ascii="Times New Roman" w:hAnsi="Times New Roman" w:cs="Times New Roman"/>
          <w:sz w:val="24"/>
          <w:szCs w:val="24"/>
          <w:shd w:val="clear" w:color="auto" w:fill="FFFFFF"/>
        </w:rPr>
        <w:t>, pp.119-133.</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 xml:space="preserve">Cole, C., </w:t>
      </w:r>
      <w:proofErr w:type="spellStart"/>
      <w:r w:rsidRPr="002C41B0">
        <w:rPr>
          <w:rFonts w:ascii="Times New Roman" w:hAnsi="Times New Roman" w:cs="Times New Roman"/>
          <w:sz w:val="24"/>
          <w:szCs w:val="24"/>
          <w:shd w:val="clear" w:color="auto" w:fill="FFFFFF"/>
        </w:rPr>
        <w:t>Gnanapragasam</w:t>
      </w:r>
      <w:proofErr w:type="spellEnd"/>
      <w:r w:rsidRPr="002C41B0">
        <w:rPr>
          <w:rFonts w:ascii="Times New Roman" w:hAnsi="Times New Roman" w:cs="Times New Roman"/>
          <w:sz w:val="24"/>
          <w:szCs w:val="24"/>
          <w:shd w:val="clear" w:color="auto" w:fill="FFFFFF"/>
        </w:rPr>
        <w:t>, A., Cooper, T. and Singh, J., (2019). An assessment of achievements of the WEEE Directive in promoting movement up the waste hierarchy: experiences in the UK. </w:t>
      </w:r>
      <w:r w:rsidRPr="002C41B0">
        <w:rPr>
          <w:rFonts w:ascii="Times New Roman" w:hAnsi="Times New Roman" w:cs="Times New Roman"/>
          <w:i/>
          <w:iCs/>
          <w:sz w:val="24"/>
          <w:szCs w:val="24"/>
          <w:shd w:val="clear" w:color="auto" w:fill="FFFFFF"/>
        </w:rPr>
        <w:t>Waste Management</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87</w:t>
      </w:r>
      <w:r w:rsidRPr="002C41B0">
        <w:rPr>
          <w:rFonts w:ascii="Times New Roman" w:hAnsi="Times New Roman" w:cs="Times New Roman"/>
          <w:sz w:val="24"/>
          <w:szCs w:val="24"/>
          <w:shd w:val="clear" w:color="auto" w:fill="FFFFFF"/>
        </w:rPr>
        <w:t>, pp.417-427.</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Jones, K.H., Ford, D.V., Thompson, S. and Lyons, R.A., (2019). A profile of the SAIL databank on the UK secure research platform. </w:t>
      </w:r>
      <w:r w:rsidRPr="002C41B0">
        <w:rPr>
          <w:rFonts w:ascii="Times New Roman" w:hAnsi="Times New Roman" w:cs="Times New Roman"/>
          <w:i/>
          <w:iCs/>
          <w:sz w:val="24"/>
          <w:szCs w:val="24"/>
          <w:shd w:val="clear" w:color="auto" w:fill="FFFFFF"/>
        </w:rPr>
        <w:t>International journal of population data science</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4</w:t>
      </w:r>
      <w:r w:rsidRPr="002C41B0">
        <w:rPr>
          <w:rFonts w:ascii="Times New Roman" w:hAnsi="Times New Roman" w:cs="Times New Roman"/>
          <w:sz w:val="24"/>
          <w:szCs w:val="24"/>
          <w:shd w:val="clear" w:color="auto" w:fill="FFFFFF"/>
        </w:rPr>
        <w:t>(2).</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proofErr w:type="spellStart"/>
      <w:r w:rsidRPr="002C41B0">
        <w:rPr>
          <w:rFonts w:ascii="Times New Roman" w:hAnsi="Times New Roman" w:cs="Times New Roman"/>
          <w:sz w:val="24"/>
          <w:szCs w:val="24"/>
          <w:shd w:val="clear" w:color="auto" w:fill="FFFFFF"/>
        </w:rPr>
        <w:t>LeBaron</w:t>
      </w:r>
      <w:proofErr w:type="spellEnd"/>
      <w:r w:rsidRPr="002C41B0">
        <w:rPr>
          <w:rFonts w:ascii="Times New Roman" w:hAnsi="Times New Roman" w:cs="Times New Roman"/>
          <w:sz w:val="24"/>
          <w:szCs w:val="24"/>
          <w:shd w:val="clear" w:color="auto" w:fill="FFFFFF"/>
        </w:rPr>
        <w:t xml:space="preserve">, G. and </w:t>
      </w:r>
      <w:proofErr w:type="spellStart"/>
      <w:r w:rsidRPr="002C41B0">
        <w:rPr>
          <w:rFonts w:ascii="Times New Roman" w:hAnsi="Times New Roman" w:cs="Times New Roman"/>
          <w:sz w:val="24"/>
          <w:szCs w:val="24"/>
          <w:shd w:val="clear" w:color="auto" w:fill="FFFFFF"/>
        </w:rPr>
        <w:t>Rühmkorf</w:t>
      </w:r>
      <w:proofErr w:type="spellEnd"/>
      <w:r w:rsidRPr="002C41B0">
        <w:rPr>
          <w:rFonts w:ascii="Times New Roman" w:hAnsi="Times New Roman" w:cs="Times New Roman"/>
          <w:sz w:val="24"/>
          <w:szCs w:val="24"/>
          <w:shd w:val="clear" w:color="auto" w:fill="FFFFFF"/>
        </w:rPr>
        <w:t>, A., (2019). The domestic politics of corporate accountability legislation: Struggles over the 2015 UK Modern Slavery Act. </w:t>
      </w:r>
      <w:r w:rsidRPr="002C41B0">
        <w:rPr>
          <w:rFonts w:ascii="Times New Roman" w:hAnsi="Times New Roman" w:cs="Times New Roman"/>
          <w:i/>
          <w:iCs/>
          <w:sz w:val="24"/>
          <w:szCs w:val="24"/>
          <w:shd w:val="clear" w:color="auto" w:fill="FFFFFF"/>
        </w:rPr>
        <w:t>Socio-Economic Review</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17</w:t>
      </w:r>
      <w:r w:rsidRPr="002C41B0">
        <w:rPr>
          <w:rFonts w:ascii="Times New Roman" w:hAnsi="Times New Roman" w:cs="Times New Roman"/>
          <w:sz w:val="24"/>
          <w:szCs w:val="24"/>
          <w:shd w:val="clear" w:color="auto" w:fill="FFFFFF"/>
        </w:rPr>
        <w:t>(3), pp.709-743.</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 xml:space="preserve">Moodie, C., Hoek, J., </w:t>
      </w:r>
      <w:proofErr w:type="spellStart"/>
      <w:r w:rsidRPr="002C41B0">
        <w:rPr>
          <w:rFonts w:ascii="Times New Roman" w:hAnsi="Times New Roman" w:cs="Times New Roman"/>
          <w:sz w:val="24"/>
          <w:szCs w:val="24"/>
          <w:shd w:val="clear" w:color="auto" w:fill="FFFFFF"/>
        </w:rPr>
        <w:t>Scheffels</w:t>
      </w:r>
      <w:proofErr w:type="spellEnd"/>
      <w:r w:rsidRPr="002C41B0">
        <w:rPr>
          <w:rFonts w:ascii="Times New Roman" w:hAnsi="Times New Roman" w:cs="Times New Roman"/>
          <w:sz w:val="24"/>
          <w:szCs w:val="24"/>
          <w:shd w:val="clear" w:color="auto" w:fill="FFFFFF"/>
        </w:rPr>
        <w:t xml:space="preserve">, J., </w:t>
      </w:r>
      <w:proofErr w:type="spellStart"/>
      <w:r w:rsidRPr="002C41B0">
        <w:rPr>
          <w:rFonts w:ascii="Times New Roman" w:hAnsi="Times New Roman" w:cs="Times New Roman"/>
          <w:sz w:val="24"/>
          <w:szCs w:val="24"/>
          <w:shd w:val="clear" w:color="auto" w:fill="FFFFFF"/>
        </w:rPr>
        <w:t>Gallopel-Morvan</w:t>
      </w:r>
      <w:proofErr w:type="spellEnd"/>
      <w:r w:rsidRPr="002C41B0">
        <w:rPr>
          <w:rFonts w:ascii="Times New Roman" w:hAnsi="Times New Roman" w:cs="Times New Roman"/>
          <w:sz w:val="24"/>
          <w:szCs w:val="24"/>
          <w:shd w:val="clear" w:color="auto" w:fill="FFFFFF"/>
        </w:rPr>
        <w:t xml:space="preserve">, K. and </w:t>
      </w:r>
      <w:proofErr w:type="spellStart"/>
      <w:r w:rsidRPr="002C41B0">
        <w:rPr>
          <w:rFonts w:ascii="Times New Roman" w:hAnsi="Times New Roman" w:cs="Times New Roman"/>
          <w:sz w:val="24"/>
          <w:szCs w:val="24"/>
          <w:shd w:val="clear" w:color="auto" w:fill="FFFFFF"/>
        </w:rPr>
        <w:t>Lindorff</w:t>
      </w:r>
      <w:proofErr w:type="spellEnd"/>
      <w:r w:rsidRPr="002C41B0">
        <w:rPr>
          <w:rFonts w:ascii="Times New Roman" w:hAnsi="Times New Roman" w:cs="Times New Roman"/>
          <w:sz w:val="24"/>
          <w:szCs w:val="24"/>
          <w:shd w:val="clear" w:color="auto" w:fill="FFFFFF"/>
        </w:rPr>
        <w:t>, K., (2019). Plain packaging: legislative differences in Australia, France, the UK, New Zealand and Norway, and options for strengthening regulations. </w:t>
      </w:r>
      <w:r w:rsidRPr="002C41B0">
        <w:rPr>
          <w:rFonts w:ascii="Times New Roman" w:hAnsi="Times New Roman" w:cs="Times New Roman"/>
          <w:i/>
          <w:iCs/>
          <w:sz w:val="24"/>
          <w:szCs w:val="24"/>
          <w:shd w:val="clear" w:color="auto" w:fill="FFFFFF"/>
        </w:rPr>
        <w:t>Tobacco control</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28</w:t>
      </w:r>
      <w:r w:rsidRPr="002C41B0">
        <w:rPr>
          <w:rFonts w:ascii="Times New Roman" w:hAnsi="Times New Roman" w:cs="Times New Roman"/>
          <w:sz w:val="24"/>
          <w:szCs w:val="24"/>
          <w:shd w:val="clear" w:color="auto" w:fill="FFFFFF"/>
        </w:rPr>
        <w:t>(5), pp.485-492.</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 xml:space="preserve">Pollock, A.M., Roderick, P., Cheng, K.K. and </w:t>
      </w:r>
      <w:proofErr w:type="spellStart"/>
      <w:r w:rsidRPr="002C41B0">
        <w:rPr>
          <w:rFonts w:ascii="Times New Roman" w:hAnsi="Times New Roman" w:cs="Times New Roman"/>
          <w:sz w:val="24"/>
          <w:szCs w:val="24"/>
          <w:shd w:val="clear" w:color="auto" w:fill="FFFFFF"/>
        </w:rPr>
        <w:t>Pankhania</w:t>
      </w:r>
      <w:proofErr w:type="spellEnd"/>
      <w:r w:rsidRPr="002C41B0">
        <w:rPr>
          <w:rFonts w:ascii="Times New Roman" w:hAnsi="Times New Roman" w:cs="Times New Roman"/>
          <w:sz w:val="24"/>
          <w:szCs w:val="24"/>
          <w:shd w:val="clear" w:color="auto" w:fill="FFFFFF"/>
        </w:rPr>
        <w:t>, B., (2020). Covid-19: why is the UK government ignoring WHO’s advice?. </w:t>
      </w:r>
      <w:proofErr w:type="spellStart"/>
      <w:r w:rsidRPr="002C41B0">
        <w:rPr>
          <w:rFonts w:ascii="Times New Roman" w:hAnsi="Times New Roman" w:cs="Times New Roman"/>
          <w:i/>
          <w:iCs/>
          <w:sz w:val="24"/>
          <w:szCs w:val="24"/>
          <w:shd w:val="clear" w:color="auto" w:fill="FFFFFF"/>
        </w:rPr>
        <w:t>Bmj</w:t>
      </w:r>
      <w:proofErr w:type="spellEnd"/>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368</w:t>
      </w:r>
      <w:r w:rsidRPr="002C41B0">
        <w:rPr>
          <w:rFonts w:ascii="Times New Roman" w:hAnsi="Times New Roman" w:cs="Times New Roman"/>
          <w:sz w:val="24"/>
          <w:szCs w:val="24"/>
          <w:shd w:val="clear" w:color="auto" w:fill="FFFFFF"/>
        </w:rPr>
        <w:t>.</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Safarov, I., (2019). Institutional dimensions of open government data implementation: Evidence from the Netherlands, Sweden, and the UK. </w:t>
      </w:r>
      <w:r w:rsidRPr="002C41B0">
        <w:rPr>
          <w:rFonts w:ascii="Times New Roman" w:hAnsi="Times New Roman" w:cs="Times New Roman"/>
          <w:i/>
          <w:iCs/>
          <w:sz w:val="24"/>
          <w:szCs w:val="24"/>
          <w:shd w:val="clear" w:color="auto" w:fill="FFFFFF"/>
        </w:rPr>
        <w:t>Public Performance &amp; Management Review</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42</w:t>
      </w:r>
      <w:r w:rsidRPr="002C41B0">
        <w:rPr>
          <w:rFonts w:ascii="Times New Roman" w:hAnsi="Times New Roman" w:cs="Times New Roman"/>
          <w:sz w:val="24"/>
          <w:szCs w:val="24"/>
          <w:shd w:val="clear" w:color="auto" w:fill="FFFFFF"/>
        </w:rPr>
        <w:t>(2), pp.305-328.</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 xml:space="preserve">Webb, T.E. and Geyer, R., (2020). The Drafters’ dance: The complexity of drafting legislation and the limitations of ‘Plain </w:t>
      </w:r>
      <w:proofErr w:type="spellStart"/>
      <w:r w:rsidRPr="002C41B0">
        <w:rPr>
          <w:rFonts w:ascii="Times New Roman" w:hAnsi="Times New Roman" w:cs="Times New Roman"/>
          <w:sz w:val="24"/>
          <w:szCs w:val="24"/>
          <w:shd w:val="clear" w:color="auto" w:fill="FFFFFF"/>
        </w:rPr>
        <w:t>Language’and</w:t>
      </w:r>
      <w:proofErr w:type="spellEnd"/>
      <w:r w:rsidRPr="002C41B0">
        <w:rPr>
          <w:rFonts w:ascii="Times New Roman" w:hAnsi="Times New Roman" w:cs="Times New Roman"/>
          <w:sz w:val="24"/>
          <w:szCs w:val="24"/>
          <w:shd w:val="clear" w:color="auto" w:fill="FFFFFF"/>
        </w:rPr>
        <w:t xml:space="preserve"> ‘Good </w:t>
      </w:r>
      <w:proofErr w:type="spellStart"/>
      <w:r w:rsidRPr="002C41B0">
        <w:rPr>
          <w:rFonts w:ascii="Times New Roman" w:hAnsi="Times New Roman" w:cs="Times New Roman"/>
          <w:sz w:val="24"/>
          <w:szCs w:val="24"/>
          <w:shd w:val="clear" w:color="auto" w:fill="FFFFFF"/>
        </w:rPr>
        <w:t>Law’initiatives</w:t>
      </w:r>
      <w:proofErr w:type="spellEnd"/>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Statute Law Review</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41</w:t>
      </w:r>
      <w:r w:rsidRPr="002C41B0">
        <w:rPr>
          <w:rFonts w:ascii="Times New Roman" w:hAnsi="Times New Roman" w:cs="Times New Roman"/>
          <w:sz w:val="24"/>
          <w:szCs w:val="24"/>
          <w:shd w:val="clear" w:color="auto" w:fill="FFFFFF"/>
        </w:rPr>
        <w:t>(2), pp.129-158.</w:t>
      </w:r>
    </w:p>
    <w:p w:rsidR="002C41B0" w:rsidRPr="002C41B0" w:rsidRDefault="002C41B0" w:rsidP="002C41B0">
      <w:pPr>
        <w:spacing w:line="360" w:lineRule="auto"/>
        <w:jc w:val="both"/>
        <w:rPr>
          <w:rFonts w:ascii="Times New Roman" w:hAnsi="Times New Roman" w:cs="Times New Roman"/>
          <w:sz w:val="24"/>
          <w:szCs w:val="24"/>
          <w:shd w:val="clear" w:color="auto" w:fill="FFFFFF"/>
        </w:rPr>
      </w:pPr>
      <w:r w:rsidRPr="002C41B0">
        <w:rPr>
          <w:rFonts w:ascii="Times New Roman" w:hAnsi="Times New Roman" w:cs="Times New Roman"/>
          <w:sz w:val="24"/>
          <w:szCs w:val="24"/>
          <w:shd w:val="clear" w:color="auto" w:fill="FFFFFF"/>
        </w:rPr>
        <w:t>Williams, J., (2020). Revisiting decision-making: A new case for legislation?. </w:t>
      </w:r>
      <w:r w:rsidRPr="002C41B0">
        <w:rPr>
          <w:rFonts w:ascii="Times New Roman" w:hAnsi="Times New Roman" w:cs="Times New Roman"/>
          <w:i/>
          <w:iCs/>
          <w:sz w:val="24"/>
          <w:szCs w:val="24"/>
          <w:shd w:val="clear" w:color="auto" w:fill="FFFFFF"/>
        </w:rPr>
        <w:t>Journal of Elder Law and Capacity</w:t>
      </w:r>
      <w:r w:rsidRPr="002C41B0">
        <w:rPr>
          <w:rFonts w:ascii="Times New Roman" w:hAnsi="Times New Roman" w:cs="Times New Roman"/>
          <w:sz w:val="24"/>
          <w:szCs w:val="24"/>
          <w:shd w:val="clear" w:color="auto" w:fill="FFFFFF"/>
        </w:rPr>
        <w:t>, </w:t>
      </w:r>
      <w:r w:rsidRPr="002C41B0">
        <w:rPr>
          <w:rFonts w:ascii="Times New Roman" w:hAnsi="Times New Roman" w:cs="Times New Roman"/>
          <w:i/>
          <w:iCs/>
          <w:sz w:val="24"/>
          <w:szCs w:val="24"/>
          <w:shd w:val="clear" w:color="auto" w:fill="FFFFFF"/>
        </w:rPr>
        <w:t>2020</w:t>
      </w:r>
      <w:r w:rsidRPr="002C41B0">
        <w:rPr>
          <w:rFonts w:ascii="Times New Roman" w:hAnsi="Times New Roman" w:cs="Times New Roman"/>
          <w:sz w:val="24"/>
          <w:szCs w:val="24"/>
          <w:shd w:val="clear" w:color="auto" w:fill="FFFFFF"/>
        </w:rPr>
        <w:t>(Winter), pp.64-80.</w:t>
      </w:r>
    </w:p>
    <w:p w:rsidR="002C41B0" w:rsidRPr="002C41B0" w:rsidRDefault="002C41B0" w:rsidP="002C41B0">
      <w:pPr>
        <w:spacing w:line="360" w:lineRule="auto"/>
        <w:jc w:val="both"/>
        <w:rPr>
          <w:rFonts w:ascii="Times New Roman" w:hAnsi="Times New Roman" w:cs="Times New Roman"/>
          <w:sz w:val="24"/>
          <w:szCs w:val="24"/>
        </w:rPr>
      </w:pPr>
    </w:p>
    <w:sectPr w:rsidR="002C41B0" w:rsidRPr="002C41B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6F86" w:rsidRDefault="00796F86" w:rsidP="002C41B0">
      <w:pPr>
        <w:spacing w:after="0" w:line="240" w:lineRule="auto"/>
      </w:pPr>
      <w:r>
        <w:separator/>
      </w:r>
    </w:p>
  </w:endnote>
  <w:endnote w:type="continuationSeparator" w:id="0">
    <w:p w:rsidR="00796F86" w:rsidRDefault="00796F86" w:rsidP="002C4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091984"/>
      <w:docPartObj>
        <w:docPartGallery w:val="Page Numbers (Bottom of Page)"/>
        <w:docPartUnique/>
      </w:docPartObj>
    </w:sdtPr>
    <w:sdtEndPr>
      <w:rPr>
        <w:color w:val="808080" w:themeColor="background1" w:themeShade="80"/>
        <w:spacing w:val="60"/>
      </w:rPr>
    </w:sdtEndPr>
    <w:sdtContent>
      <w:p w:rsidR="002C41B0" w:rsidRDefault="002C41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900D4" w:rsidRPr="005900D4">
          <w:rPr>
            <w:b/>
            <w:bCs/>
            <w:noProof/>
          </w:rPr>
          <w:t>6</w:t>
        </w:r>
        <w:r>
          <w:rPr>
            <w:b/>
            <w:bCs/>
            <w:noProof/>
          </w:rPr>
          <w:fldChar w:fldCharType="end"/>
        </w:r>
        <w:r>
          <w:rPr>
            <w:b/>
            <w:bCs/>
          </w:rPr>
          <w:t xml:space="preserve"> | </w:t>
        </w:r>
        <w:r>
          <w:rPr>
            <w:color w:val="808080" w:themeColor="background1" w:themeShade="80"/>
            <w:spacing w:val="60"/>
          </w:rPr>
          <w:t>Page</w:t>
        </w:r>
      </w:p>
    </w:sdtContent>
  </w:sdt>
  <w:p w:rsidR="002C41B0" w:rsidRDefault="002C4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6F86" w:rsidRDefault="00796F86" w:rsidP="002C41B0">
      <w:pPr>
        <w:spacing w:after="0" w:line="240" w:lineRule="auto"/>
      </w:pPr>
      <w:r>
        <w:separator/>
      </w:r>
    </w:p>
  </w:footnote>
  <w:footnote w:type="continuationSeparator" w:id="0">
    <w:p w:rsidR="00796F86" w:rsidRDefault="00796F86" w:rsidP="002C4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3775A"/>
    <w:multiLevelType w:val="multilevel"/>
    <w:tmpl w:val="0D36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A77943"/>
    <w:multiLevelType w:val="multilevel"/>
    <w:tmpl w:val="B408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997D0C"/>
    <w:multiLevelType w:val="multilevel"/>
    <w:tmpl w:val="205EF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8722699">
    <w:abstractNumId w:val="2"/>
  </w:num>
  <w:num w:numId="2" w16cid:durableId="1693069615">
    <w:abstractNumId w:val="1"/>
  </w:num>
  <w:num w:numId="3" w16cid:durableId="273440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0140"/>
    <w:rsid w:val="000D1631"/>
    <w:rsid w:val="000D5C1D"/>
    <w:rsid w:val="002C41B0"/>
    <w:rsid w:val="00542318"/>
    <w:rsid w:val="005900D4"/>
    <w:rsid w:val="00796F86"/>
    <w:rsid w:val="009A5F23"/>
    <w:rsid w:val="00BD0140"/>
    <w:rsid w:val="00C249FE"/>
    <w:rsid w:val="00E36D2D"/>
    <w:rsid w:val="00F547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DC9E"/>
  <w15:docId w15:val="{3F4A5CFC-7939-4FE9-973F-95672BA85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41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41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D01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C41B0"/>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C41B0"/>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2C41B0"/>
    <w:pPr>
      <w:spacing w:after="100"/>
    </w:pPr>
  </w:style>
  <w:style w:type="paragraph" w:styleId="TOC2">
    <w:name w:val="toc 2"/>
    <w:basedOn w:val="Normal"/>
    <w:next w:val="Normal"/>
    <w:autoRedefine/>
    <w:uiPriority w:val="39"/>
    <w:unhideWhenUsed/>
    <w:rsid w:val="002C41B0"/>
    <w:pPr>
      <w:spacing w:after="100"/>
      <w:ind w:left="220"/>
    </w:pPr>
  </w:style>
  <w:style w:type="character" w:styleId="Hyperlink">
    <w:name w:val="Hyperlink"/>
    <w:basedOn w:val="DefaultParagraphFont"/>
    <w:uiPriority w:val="99"/>
    <w:unhideWhenUsed/>
    <w:rsid w:val="002C41B0"/>
    <w:rPr>
      <w:color w:val="0000FF" w:themeColor="hyperlink"/>
      <w:u w:val="single"/>
    </w:rPr>
  </w:style>
  <w:style w:type="paragraph" w:styleId="Header">
    <w:name w:val="header"/>
    <w:basedOn w:val="Normal"/>
    <w:link w:val="HeaderChar"/>
    <w:uiPriority w:val="99"/>
    <w:unhideWhenUsed/>
    <w:rsid w:val="002C4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1B0"/>
    <w:rPr>
      <w:lang w:val="en-GB"/>
    </w:rPr>
  </w:style>
  <w:style w:type="paragraph" w:styleId="Footer">
    <w:name w:val="footer"/>
    <w:basedOn w:val="Normal"/>
    <w:link w:val="FooterChar"/>
    <w:uiPriority w:val="99"/>
    <w:unhideWhenUsed/>
    <w:rsid w:val="002C4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1B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01F8D8-F4CE-4E78-B528-CD4E2F7C2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2023-04-24T07:51:00Z</dcterms:created>
  <dcterms:modified xsi:type="dcterms:W3CDTF">2023-04-28T03:28:00Z</dcterms:modified>
</cp:coreProperties>
</file>