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56F48" w14:textId="77777777" w:rsidR="00D83CD0" w:rsidRDefault="00D83CD0" w:rsidP="00D83CD0">
      <w:pPr>
        <w:rPr>
          <w:lang w:val="en-US"/>
        </w:rPr>
      </w:pPr>
    </w:p>
    <w:p w14:paraId="59089578" w14:textId="6AC85241" w:rsidR="00A84A3A" w:rsidRPr="00014BBA" w:rsidRDefault="00A84A3A" w:rsidP="00A84A3A">
      <w:pPr>
        <w:jc w:val="center"/>
        <w:rPr>
          <w:rFonts w:cstheme="minorHAnsi"/>
          <w:b/>
          <w:bCs/>
          <w:sz w:val="24"/>
          <w:szCs w:val="24"/>
        </w:rPr>
      </w:pPr>
      <w:r w:rsidRPr="00014BBA">
        <w:rPr>
          <w:rFonts w:cstheme="minorHAnsi"/>
          <w:b/>
          <w:bCs/>
          <w:sz w:val="24"/>
          <w:szCs w:val="24"/>
        </w:rPr>
        <w:t xml:space="preserve">HPLA7017 Assignment </w:t>
      </w:r>
      <w:r>
        <w:rPr>
          <w:rFonts w:cstheme="minorHAnsi"/>
          <w:b/>
          <w:bCs/>
          <w:sz w:val="24"/>
          <w:szCs w:val="24"/>
        </w:rPr>
        <w:t>2</w:t>
      </w:r>
      <w:r w:rsidRPr="00014BBA">
        <w:rPr>
          <w:rFonts w:cstheme="minorHAnsi"/>
          <w:b/>
          <w:bCs/>
          <w:sz w:val="24"/>
          <w:szCs w:val="24"/>
        </w:rPr>
        <w:t xml:space="preserve">: Literary Analysis of Chapters </w:t>
      </w:r>
      <w:r>
        <w:rPr>
          <w:rFonts w:cstheme="minorHAnsi"/>
          <w:b/>
          <w:bCs/>
          <w:sz w:val="24"/>
          <w:szCs w:val="24"/>
        </w:rPr>
        <w:t>40</w:t>
      </w:r>
      <w:r w:rsidRPr="00014BBA">
        <w:rPr>
          <w:rFonts w:cstheme="minorHAnsi"/>
          <w:b/>
          <w:bCs/>
          <w:sz w:val="24"/>
          <w:szCs w:val="24"/>
        </w:rPr>
        <w:t xml:space="preserve"> and </w:t>
      </w:r>
      <w:r>
        <w:rPr>
          <w:rFonts w:cstheme="minorHAnsi"/>
          <w:b/>
          <w:bCs/>
          <w:sz w:val="24"/>
          <w:szCs w:val="24"/>
        </w:rPr>
        <w:t>41</w:t>
      </w:r>
      <w:r w:rsidRPr="00014BBA">
        <w:rPr>
          <w:rFonts w:cstheme="minorHAnsi"/>
          <w:b/>
          <w:bCs/>
          <w:sz w:val="24"/>
          <w:szCs w:val="24"/>
        </w:rPr>
        <w:t xml:space="preserve"> of Petronius’ Satyricon</w:t>
      </w:r>
    </w:p>
    <w:p w14:paraId="02E9A917" w14:textId="77777777" w:rsidR="00A84A3A" w:rsidRPr="00A84A3A" w:rsidRDefault="00A84A3A" w:rsidP="00D83CD0"/>
    <w:p w14:paraId="5FA5F0C3" w14:textId="6F9003AB" w:rsidR="008C0318" w:rsidRDefault="00D83CD0" w:rsidP="00D83CD0">
      <w:pPr>
        <w:rPr>
          <w:lang w:val="en-US"/>
        </w:rPr>
      </w:pPr>
      <w:r>
        <w:rPr>
          <w:lang w:val="en-US"/>
        </w:rPr>
        <w:t>Like any other part of the Satyric</w:t>
      </w:r>
      <w:r w:rsidR="00F9006A">
        <w:rPr>
          <w:lang w:val="en-US"/>
        </w:rPr>
        <w:t>on</w:t>
      </w:r>
      <w:r>
        <w:rPr>
          <w:lang w:val="en-US"/>
        </w:rPr>
        <w:t xml:space="preserve">, chapters (or fragments) 40 and 41 are rich in </w:t>
      </w:r>
      <w:r w:rsidR="008454F8">
        <w:rPr>
          <w:lang w:val="en-US"/>
        </w:rPr>
        <w:t xml:space="preserve">theatre, </w:t>
      </w:r>
      <w:r>
        <w:rPr>
          <w:lang w:val="en-US"/>
        </w:rPr>
        <w:t xml:space="preserve">character and </w:t>
      </w:r>
      <w:r w:rsidR="00D82690">
        <w:rPr>
          <w:lang w:val="en-US"/>
        </w:rPr>
        <w:t>event</w:t>
      </w:r>
      <w:r>
        <w:rPr>
          <w:lang w:val="en-US"/>
        </w:rPr>
        <w:t xml:space="preserve">. Situated </w:t>
      </w:r>
      <w:r w:rsidR="00A30EB8">
        <w:rPr>
          <w:lang w:val="en-US"/>
        </w:rPr>
        <w:t>well into</w:t>
      </w:r>
      <w:r>
        <w:rPr>
          <w:lang w:val="en-US"/>
        </w:rPr>
        <w:t xml:space="preserve"> the feast they contain </w:t>
      </w:r>
      <w:r>
        <w:rPr>
          <w:i/>
          <w:iCs/>
          <w:lang w:val="en-US"/>
        </w:rPr>
        <w:t>inter alia</w:t>
      </w:r>
      <w:r>
        <w:rPr>
          <w:lang w:val="en-US"/>
        </w:rPr>
        <w:t xml:space="preserve"> </w:t>
      </w:r>
      <w:r w:rsidR="00547AAA">
        <w:rPr>
          <w:lang w:val="en-US"/>
        </w:rPr>
        <w:t>Trimalchio</w:t>
      </w:r>
      <w:r w:rsidR="00E46D98">
        <w:rPr>
          <w:lang w:val="en-US"/>
        </w:rPr>
        <w:t xml:space="preserve"> </w:t>
      </w:r>
      <w:r w:rsidR="00547AAA">
        <w:rPr>
          <w:lang w:val="en-US"/>
        </w:rPr>
        <w:t xml:space="preserve">stage managing </w:t>
      </w:r>
      <w:r>
        <w:rPr>
          <w:lang w:val="en-US"/>
        </w:rPr>
        <w:t xml:space="preserve">the fascinating incident of the pig with the hat and </w:t>
      </w:r>
      <w:r w:rsidR="005673F5">
        <w:rPr>
          <w:lang w:val="en-US"/>
        </w:rPr>
        <w:t xml:space="preserve">they </w:t>
      </w:r>
      <w:r>
        <w:rPr>
          <w:lang w:val="en-US"/>
        </w:rPr>
        <w:t>occupy an interesting point where T</w:t>
      </w:r>
      <w:r w:rsidR="00A30EB8">
        <w:rPr>
          <w:lang w:val="en-US"/>
        </w:rPr>
        <w:t>rimalchio</w:t>
      </w:r>
      <w:r>
        <w:rPr>
          <w:lang w:val="en-US"/>
        </w:rPr>
        <w:t xml:space="preserve"> temporarily leaves the room </w:t>
      </w:r>
      <w:r w:rsidR="000676EF">
        <w:rPr>
          <w:lang w:val="en-US"/>
        </w:rPr>
        <w:t>while</w:t>
      </w:r>
      <w:r>
        <w:rPr>
          <w:lang w:val="en-US"/>
        </w:rPr>
        <w:t xml:space="preserve"> the other guests talk among themselves</w:t>
      </w:r>
      <w:r w:rsidR="00547AAA">
        <w:rPr>
          <w:lang w:val="en-US"/>
        </w:rPr>
        <w:t xml:space="preserve"> in the vernacular Latin of the freedmen</w:t>
      </w:r>
      <w:r>
        <w:rPr>
          <w:lang w:val="en-US"/>
        </w:rPr>
        <w:t xml:space="preserve">.  </w:t>
      </w:r>
      <w:r w:rsidR="00A30EB8">
        <w:rPr>
          <w:lang w:val="en-US"/>
        </w:rPr>
        <w:t xml:space="preserve">They also </w:t>
      </w:r>
      <w:r w:rsidR="00547AAA">
        <w:rPr>
          <w:lang w:val="en-US"/>
        </w:rPr>
        <w:t>suggest</w:t>
      </w:r>
      <w:r w:rsidR="00A30EB8">
        <w:rPr>
          <w:lang w:val="en-US"/>
        </w:rPr>
        <w:t xml:space="preserve"> insights</w:t>
      </w:r>
      <w:r w:rsidR="005673F5">
        <w:rPr>
          <w:lang w:val="en-US"/>
        </w:rPr>
        <w:t xml:space="preserve"> -</w:t>
      </w:r>
      <w:r w:rsidR="00547AAA">
        <w:rPr>
          <w:lang w:val="en-US"/>
        </w:rPr>
        <w:t xml:space="preserve"> and </w:t>
      </w:r>
      <w:r w:rsidR="005673F5">
        <w:rPr>
          <w:lang w:val="en-US"/>
        </w:rPr>
        <w:t xml:space="preserve">present </w:t>
      </w:r>
      <w:r w:rsidR="00547AAA">
        <w:rPr>
          <w:lang w:val="en-US"/>
        </w:rPr>
        <w:t>further questions</w:t>
      </w:r>
      <w:r w:rsidR="005673F5">
        <w:rPr>
          <w:lang w:val="en-US"/>
        </w:rPr>
        <w:t xml:space="preserve"> -</w:t>
      </w:r>
      <w:r w:rsidR="00A30EB8">
        <w:rPr>
          <w:lang w:val="en-US"/>
        </w:rPr>
        <w:t xml:space="preserve"> into the characters of Encolpius and Trimalchio</w:t>
      </w:r>
      <w:r w:rsidR="00DA7057">
        <w:rPr>
          <w:lang w:val="en-US"/>
        </w:rPr>
        <w:t xml:space="preserve">, while </w:t>
      </w:r>
      <w:r w:rsidR="00E46D98">
        <w:rPr>
          <w:lang w:val="en-US"/>
        </w:rPr>
        <w:t xml:space="preserve">also </w:t>
      </w:r>
      <w:r w:rsidR="00DA7057">
        <w:rPr>
          <w:lang w:val="en-US"/>
        </w:rPr>
        <w:t xml:space="preserve">hinting at broader </w:t>
      </w:r>
      <w:proofErr w:type="spellStart"/>
      <w:r w:rsidR="00DA7057">
        <w:rPr>
          <w:lang w:val="en-US"/>
        </w:rPr>
        <w:t>Satyrican</w:t>
      </w:r>
      <w:proofErr w:type="spellEnd"/>
      <w:r w:rsidR="00DA7057">
        <w:rPr>
          <w:lang w:val="en-US"/>
        </w:rPr>
        <w:t xml:space="preserve"> themes and ideas</w:t>
      </w:r>
      <w:r w:rsidR="00A30EB8">
        <w:rPr>
          <w:lang w:val="en-US"/>
        </w:rPr>
        <w:t>. These I will deal with roug</w:t>
      </w:r>
      <w:r w:rsidR="008454F8">
        <w:rPr>
          <w:lang w:val="en-US"/>
        </w:rPr>
        <w:t>h</w:t>
      </w:r>
      <w:r w:rsidR="00A30EB8">
        <w:rPr>
          <w:lang w:val="en-US"/>
        </w:rPr>
        <w:t>ly in the order in which they arise.</w:t>
      </w:r>
    </w:p>
    <w:p w14:paraId="769EFA43" w14:textId="6BC100B2" w:rsidR="00C94876" w:rsidRDefault="00D83CD0" w:rsidP="00D83CD0">
      <w:pPr>
        <w:rPr>
          <w:lang w:val="en-US"/>
        </w:rPr>
      </w:pPr>
      <w:r>
        <w:rPr>
          <w:lang w:val="en-US"/>
        </w:rPr>
        <w:t xml:space="preserve">Chapter 40 opens with a hearty </w:t>
      </w:r>
      <w:r>
        <w:rPr>
          <w:i/>
          <w:iCs/>
          <w:lang w:val="en-US"/>
        </w:rPr>
        <w:t>Sophos!</w:t>
      </w:r>
      <w:r>
        <w:rPr>
          <w:lang w:val="en-US"/>
        </w:rPr>
        <w:t xml:space="preserve"> from all the diners, congratulating Trimalchio </w:t>
      </w:r>
      <w:r w:rsidR="00D82690">
        <w:rPr>
          <w:lang w:val="en-US"/>
        </w:rPr>
        <w:t>again</w:t>
      </w:r>
      <w:r>
        <w:rPr>
          <w:lang w:val="en-US"/>
        </w:rPr>
        <w:t xml:space="preserve"> (the first in 39.6) for </w:t>
      </w:r>
      <w:r w:rsidR="005801F6">
        <w:rPr>
          <w:lang w:val="en-US"/>
        </w:rPr>
        <w:t>explaining</w:t>
      </w:r>
      <w:r>
        <w:rPr>
          <w:lang w:val="en-US"/>
        </w:rPr>
        <w:t xml:space="preserve"> how people born under the different signs of the zodiac have different characteristics</w:t>
      </w:r>
      <w:r w:rsidR="005801F6">
        <w:rPr>
          <w:lang w:val="en-US"/>
        </w:rPr>
        <w:t xml:space="preserve"> and for being </w:t>
      </w:r>
      <w:r>
        <w:rPr>
          <w:lang w:val="en-US"/>
        </w:rPr>
        <w:t>a greater astronomer (</w:t>
      </w:r>
      <w:proofErr w:type="spellStart"/>
      <w:r>
        <w:rPr>
          <w:i/>
          <w:iCs/>
          <w:lang w:val="en-US"/>
        </w:rPr>
        <w:t>mathematicus</w:t>
      </w:r>
      <w:proofErr w:type="spellEnd"/>
      <w:r>
        <w:rPr>
          <w:i/>
          <w:iCs/>
          <w:lang w:val="en-US"/>
        </w:rPr>
        <w:t xml:space="preserve">) </w:t>
      </w:r>
      <w:r>
        <w:rPr>
          <w:lang w:val="en-US"/>
        </w:rPr>
        <w:t xml:space="preserve">than the well-known Hipparchus and Aratus. </w:t>
      </w:r>
      <w:r w:rsidR="00E46D98">
        <w:rPr>
          <w:lang w:val="en-US"/>
        </w:rPr>
        <w:t>Trimalchio</w:t>
      </w:r>
      <w:r>
        <w:rPr>
          <w:lang w:val="en-US"/>
        </w:rPr>
        <w:t xml:space="preserve"> is showing off, of course, but the applause was well-deserved, and not just for this. Throughout the feast Trimalchio has been providing integrated visual, auditory and gastronomical entertainment on a grand scale. All the elements of theatre are present: the (captive) audience who</w:t>
      </w:r>
      <w:r w:rsidR="009154D4">
        <w:rPr>
          <w:lang w:val="en-US"/>
        </w:rPr>
        <w:t>,</w:t>
      </w:r>
      <w:r>
        <w:rPr>
          <w:lang w:val="en-US"/>
        </w:rPr>
        <w:t xml:space="preserve"> by </w:t>
      </w:r>
      <w:r w:rsidR="00D82690">
        <w:rPr>
          <w:lang w:val="en-US"/>
        </w:rPr>
        <w:t>sharing the feast</w:t>
      </w:r>
      <w:r>
        <w:rPr>
          <w:lang w:val="en-US"/>
        </w:rPr>
        <w:t xml:space="preserve">, are part of the performance, while Trimalchio is director, stage manager and </w:t>
      </w:r>
      <w:r w:rsidR="0078672A">
        <w:rPr>
          <w:lang w:val="en-US"/>
        </w:rPr>
        <w:t>chief performer</w:t>
      </w:r>
      <w:r>
        <w:rPr>
          <w:lang w:val="en-US"/>
        </w:rPr>
        <w:t xml:space="preserve">.  Then, even before the applause has died down the triclinium is converted to a hunting scene: suitably embroidered tapestries are spread on the couches, live </w:t>
      </w:r>
      <w:r>
        <w:t>hunting dogs run around the tables, live birds fly out of a roasted wild boar to be chased by hunters with nets (how the birds were still alive isn’t explained.)</w:t>
      </w:r>
      <w:r>
        <w:rPr>
          <w:lang w:val="en-US"/>
        </w:rPr>
        <w:t xml:space="preserve"> The food and the performances have clearly been planned and prepared in </w:t>
      </w:r>
      <w:proofErr w:type="gramStart"/>
      <w:r>
        <w:rPr>
          <w:lang w:val="en-US"/>
        </w:rPr>
        <w:t>great detail</w:t>
      </w:r>
      <w:proofErr w:type="gramEnd"/>
      <w:r>
        <w:rPr>
          <w:lang w:val="en-US"/>
        </w:rPr>
        <w:t xml:space="preserve"> and one marvels at the skills of the cooks </w:t>
      </w:r>
      <w:r w:rsidR="00F50F12">
        <w:rPr>
          <w:lang w:val="en-US"/>
        </w:rPr>
        <w:t>and others</w:t>
      </w:r>
      <w:r>
        <w:rPr>
          <w:lang w:val="en-US"/>
        </w:rPr>
        <w:t xml:space="preserve">. </w:t>
      </w:r>
      <w:r w:rsidR="00316B29">
        <w:rPr>
          <w:lang w:val="en-US"/>
        </w:rPr>
        <w:t xml:space="preserve">Indeed, </w:t>
      </w:r>
      <w:r>
        <w:rPr>
          <w:lang w:val="en-US"/>
        </w:rPr>
        <w:t xml:space="preserve">the whole </w:t>
      </w:r>
      <w:r>
        <w:rPr>
          <w:i/>
          <w:iCs/>
          <w:lang w:val="en-US"/>
        </w:rPr>
        <w:t>ministerium</w:t>
      </w:r>
      <w:r w:rsidR="00A611C3">
        <w:rPr>
          <w:lang w:val="en-US"/>
        </w:rPr>
        <w:t xml:space="preserve"> -</w:t>
      </w:r>
      <w:r>
        <w:rPr>
          <w:lang w:val="en-US"/>
        </w:rPr>
        <w:t xml:space="preserve"> the preparation and serving of food </w:t>
      </w:r>
      <w:r w:rsidR="00F50F12">
        <w:rPr>
          <w:lang w:val="en-US"/>
        </w:rPr>
        <w:t xml:space="preserve">- </w:t>
      </w:r>
      <w:r w:rsidR="00A611C3">
        <w:rPr>
          <w:lang w:val="en-US"/>
        </w:rPr>
        <w:t>became</w:t>
      </w:r>
      <w:r>
        <w:rPr>
          <w:lang w:val="en-US"/>
        </w:rPr>
        <w:t xml:space="preserve"> more specialized in first century Rome</w:t>
      </w:r>
      <w:r w:rsidR="00316B29">
        <w:rPr>
          <w:lang w:val="en-US"/>
        </w:rPr>
        <w:t xml:space="preserve"> (Rosati 1999</w:t>
      </w:r>
      <w:r w:rsidR="00787D77">
        <w:rPr>
          <w:lang w:val="en-US"/>
        </w:rPr>
        <w:t>,</w:t>
      </w:r>
      <w:r w:rsidR="00316B29">
        <w:rPr>
          <w:lang w:val="en-US"/>
        </w:rPr>
        <w:t xml:space="preserve"> p90</w:t>
      </w:r>
      <w:r w:rsidR="000676EF">
        <w:rPr>
          <w:lang w:val="en-US"/>
        </w:rPr>
        <w:t xml:space="preserve"> </w:t>
      </w:r>
      <w:r w:rsidR="000676EF">
        <w:rPr>
          <w:rStyle w:val="FootnoteReference"/>
          <w:lang w:val="en-US"/>
        </w:rPr>
        <w:footnoteReference w:id="1"/>
      </w:r>
      <w:r w:rsidR="00316B29">
        <w:rPr>
          <w:lang w:val="en-US"/>
        </w:rPr>
        <w:t>)</w:t>
      </w:r>
      <w:r>
        <w:rPr>
          <w:lang w:val="en-US"/>
        </w:rPr>
        <w:t xml:space="preserve">; and even the carver who cut the birds </w:t>
      </w:r>
      <w:r w:rsidR="00C94876">
        <w:rPr>
          <w:lang w:val="en-US"/>
        </w:rPr>
        <w:t xml:space="preserve">in 37.7 </w:t>
      </w:r>
      <w:r>
        <w:rPr>
          <w:lang w:val="en-US"/>
        </w:rPr>
        <w:t xml:space="preserve">was replaced by a huntsman-like </w:t>
      </w:r>
      <w:r>
        <w:rPr>
          <w:i/>
          <w:iCs/>
          <w:lang w:val="en-US"/>
        </w:rPr>
        <w:t xml:space="preserve">barbatus </w:t>
      </w:r>
      <w:proofErr w:type="spellStart"/>
      <w:r>
        <w:rPr>
          <w:i/>
          <w:iCs/>
          <w:lang w:val="en-US"/>
        </w:rPr>
        <w:t>ingens</w:t>
      </w:r>
      <w:proofErr w:type="spellEnd"/>
      <w:r>
        <w:rPr>
          <w:lang w:val="en-US"/>
        </w:rPr>
        <w:t xml:space="preserve"> complete with </w:t>
      </w:r>
      <w:proofErr w:type="spellStart"/>
      <w:r>
        <w:rPr>
          <w:i/>
          <w:iCs/>
          <w:lang w:val="en-US"/>
        </w:rPr>
        <w:t>venatorius</w:t>
      </w:r>
      <w:proofErr w:type="spellEnd"/>
      <w:r>
        <w:rPr>
          <w:i/>
          <w:iCs/>
          <w:lang w:val="en-US"/>
        </w:rPr>
        <w:t xml:space="preserve"> </w:t>
      </w:r>
      <w:proofErr w:type="spellStart"/>
      <w:r>
        <w:rPr>
          <w:i/>
          <w:iCs/>
          <w:lang w:val="en-US"/>
        </w:rPr>
        <w:t>cultrus</w:t>
      </w:r>
      <w:proofErr w:type="spellEnd"/>
      <w:r w:rsidR="00C94876">
        <w:rPr>
          <w:i/>
          <w:iCs/>
          <w:lang w:val="en-US"/>
        </w:rPr>
        <w:t>.</w:t>
      </w:r>
      <w:r>
        <w:rPr>
          <w:lang w:val="en-US"/>
        </w:rPr>
        <w:t xml:space="preserve"> Most impressive is the way ingredients are made to look like something else: for example, </w:t>
      </w:r>
      <w:r w:rsidR="00D82690">
        <w:rPr>
          <w:lang w:val="en-US"/>
        </w:rPr>
        <w:t xml:space="preserve">suckling </w:t>
      </w:r>
      <w:r>
        <w:rPr>
          <w:lang w:val="en-US"/>
        </w:rPr>
        <w:t xml:space="preserve">piglets made of cake, not meat. </w:t>
      </w:r>
      <w:r w:rsidR="00A611C3">
        <w:rPr>
          <w:lang w:val="en-US"/>
        </w:rPr>
        <w:t>It</w:t>
      </w:r>
      <w:r w:rsidR="00A611C3">
        <w:t xml:space="preserve"> has been suggested by Rosati (1999, p98</w:t>
      </w:r>
      <w:r w:rsidR="000676EF">
        <w:rPr>
          <w:rStyle w:val="FootnoteReference"/>
        </w:rPr>
        <w:footnoteReference w:id="2"/>
      </w:r>
      <w:r w:rsidR="00A611C3">
        <w:t xml:space="preserve">) that he is </w:t>
      </w:r>
      <w:r w:rsidR="00F50F12">
        <w:t xml:space="preserve">going beyond entertainment and </w:t>
      </w:r>
      <w:r w:rsidR="00A611C3">
        <w:t>even demonstrating power over nature, or its sublimation.</w:t>
      </w:r>
    </w:p>
    <w:p w14:paraId="57F0BB42" w14:textId="706F976F" w:rsidR="00D83CD0" w:rsidRDefault="00D83CD0" w:rsidP="00D83CD0">
      <w:pPr>
        <w:rPr>
          <w:lang w:val="en-US"/>
        </w:rPr>
      </w:pPr>
      <w:r>
        <w:rPr>
          <w:lang w:val="en-US"/>
        </w:rPr>
        <w:t>However, one must not imagine Trimalchio</w:t>
      </w:r>
      <w:r w:rsidR="00D82690">
        <w:rPr>
          <w:lang w:val="en-US"/>
        </w:rPr>
        <w:t xml:space="preserve"> was unique in providing such a feast</w:t>
      </w:r>
      <w:r w:rsidR="00A611C3">
        <w:rPr>
          <w:lang w:val="en-US"/>
        </w:rPr>
        <w:t>. D</w:t>
      </w:r>
      <w:r>
        <w:rPr>
          <w:lang w:val="en-US"/>
        </w:rPr>
        <w:t>uring the Empire period Romans had moved away from their frugal dining</w:t>
      </w:r>
      <w:r w:rsidR="0025134B">
        <w:rPr>
          <w:lang w:val="en-US"/>
        </w:rPr>
        <w:t xml:space="preserve"> habits of</w:t>
      </w:r>
      <w:r>
        <w:rPr>
          <w:lang w:val="en-US"/>
        </w:rPr>
        <w:t xml:space="preserve"> the Republic and</w:t>
      </w:r>
      <w:r>
        <w:t xml:space="preserve"> meals </w:t>
      </w:r>
      <w:r w:rsidR="005673F5">
        <w:t>bec</w:t>
      </w:r>
      <w:r w:rsidR="00C94876">
        <w:t>a</w:t>
      </w:r>
      <w:r w:rsidR="005673F5">
        <w:t xml:space="preserve">me </w:t>
      </w:r>
      <w:r>
        <w:t xml:space="preserve">more elaborate and sumptuous. </w:t>
      </w:r>
      <w:r w:rsidR="00F50F12">
        <w:t>(</w:t>
      </w:r>
      <w:r>
        <w:t>Perhaps not surprising in the age of Nero when acting and theatre was a such big deal, and the entertainment ranged from dancers and singers to readings of Vergil and Homer, according to class and inclination.</w:t>
      </w:r>
      <w:r w:rsidR="00F50F12">
        <w:t>)</w:t>
      </w:r>
      <w:r>
        <w:t xml:space="preserve">  </w:t>
      </w:r>
      <w:r>
        <w:rPr>
          <w:lang w:val="en-US"/>
        </w:rPr>
        <w:t>The early chapters</w:t>
      </w:r>
      <w:r w:rsidR="005673F5">
        <w:rPr>
          <w:lang w:val="en-US"/>
        </w:rPr>
        <w:t xml:space="preserve"> </w:t>
      </w:r>
      <w:r>
        <w:rPr>
          <w:lang w:val="en-US"/>
        </w:rPr>
        <w:t>of the feast w</w:t>
      </w:r>
      <w:r w:rsidR="005673F5">
        <w:rPr>
          <w:lang w:val="en-US"/>
        </w:rPr>
        <w:t>ere</w:t>
      </w:r>
      <w:r>
        <w:rPr>
          <w:lang w:val="en-US"/>
        </w:rPr>
        <w:t xml:space="preserve"> marked by a sense of the unreal, as </w:t>
      </w:r>
      <w:r w:rsidR="00F73201">
        <w:rPr>
          <w:lang w:val="en-US"/>
        </w:rPr>
        <w:t>nothing</w:t>
      </w:r>
      <w:r>
        <w:rPr>
          <w:lang w:val="en-US"/>
        </w:rPr>
        <w:t xml:space="preserve"> Encolpius</w:t>
      </w:r>
      <w:r w:rsidR="00F73201">
        <w:rPr>
          <w:lang w:val="en-US"/>
        </w:rPr>
        <w:t xml:space="preserve"> encountered was quite what it seemed</w:t>
      </w:r>
      <w:r w:rsidR="00A611C3">
        <w:rPr>
          <w:lang w:val="en-US"/>
        </w:rPr>
        <w:t>.</w:t>
      </w:r>
      <w:r w:rsidR="00D82690">
        <w:t xml:space="preserve"> </w:t>
      </w:r>
      <w:r w:rsidR="00F73201">
        <w:t>However,</w:t>
      </w:r>
      <w:r>
        <w:t xml:space="preserve"> by the middle of chapter 41, although the surprises continue, the readers’ sense of wonder may fade a little, or is numbed, as it all becomes the new normal. </w:t>
      </w:r>
      <w:r w:rsidR="005673F5">
        <w:t xml:space="preserve">By </w:t>
      </w:r>
      <w:r w:rsidR="00D82690">
        <w:t>now</w:t>
      </w:r>
      <w:r w:rsidR="005673F5">
        <w:t xml:space="preserve"> the feast has become increasingly crowded a</w:t>
      </w:r>
      <w:r w:rsidR="009154D4">
        <w:t>n</w:t>
      </w:r>
      <w:r w:rsidR="005673F5">
        <w:t xml:space="preserve">d noisy, with </w:t>
      </w:r>
      <w:r>
        <w:t>Trimalchio and his guests, waiters, serving boys, servants toing and froing, the hunter/carver, a pack of hunting dogs, birds flying around and hunters with nets catching them</w:t>
      </w:r>
      <w:r w:rsidR="009154D4">
        <w:t xml:space="preserve">, </w:t>
      </w:r>
      <w:r w:rsidR="005673F5">
        <w:t>and music and poetry</w:t>
      </w:r>
      <w:r>
        <w:t xml:space="preserve">. Nevertheless, </w:t>
      </w:r>
      <w:r>
        <w:rPr>
          <w:lang w:val="en-US"/>
        </w:rPr>
        <w:t xml:space="preserve">even if dinner at Trimalchio’s may at times seem chaotic, I suspect </w:t>
      </w:r>
      <w:r>
        <w:rPr>
          <w:lang w:val="en-US"/>
        </w:rPr>
        <w:lastRenderedPageBreak/>
        <w:t>he has a better grip on proceedings than it appears</w:t>
      </w:r>
      <w:r w:rsidR="00E96DD9">
        <w:rPr>
          <w:lang w:val="en-US"/>
        </w:rPr>
        <w:t>. As Trimalchio himself said at 39.15 “</w:t>
      </w:r>
      <w:r w:rsidR="00E96DD9" w:rsidRPr="00E96DD9">
        <w:rPr>
          <w:i/>
          <w:iCs/>
          <w:lang w:val="en-US"/>
        </w:rPr>
        <w:t xml:space="preserve">nihil sine ratione </w:t>
      </w:r>
      <w:proofErr w:type="spellStart"/>
      <w:r w:rsidR="00E96DD9" w:rsidRPr="00E96DD9">
        <w:rPr>
          <w:i/>
          <w:iCs/>
          <w:lang w:val="en-US"/>
        </w:rPr>
        <w:t>facio</w:t>
      </w:r>
      <w:proofErr w:type="spellEnd"/>
      <w:r w:rsidR="00E96DD9" w:rsidRPr="00E96DD9">
        <w:rPr>
          <w:i/>
          <w:iCs/>
          <w:lang w:val="en-US"/>
        </w:rPr>
        <w:t>”.</w:t>
      </w:r>
      <w:r w:rsidR="00E96DD9">
        <w:rPr>
          <w:lang w:val="en-US"/>
        </w:rPr>
        <w:t xml:space="preserve"> </w:t>
      </w:r>
      <w:r w:rsidR="00F73201">
        <w:rPr>
          <w:lang w:val="en-US"/>
        </w:rPr>
        <w:t xml:space="preserve"> </w:t>
      </w:r>
      <w:r w:rsidR="00E96DD9">
        <w:rPr>
          <w:lang w:val="en-US"/>
        </w:rPr>
        <w:t>W</w:t>
      </w:r>
      <w:r w:rsidR="00553D64">
        <w:rPr>
          <w:lang w:val="en-US"/>
        </w:rPr>
        <w:t>e should give praise where it is due.</w:t>
      </w:r>
      <w:r>
        <w:rPr>
          <w:lang w:val="en-US"/>
        </w:rPr>
        <w:t xml:space="preserve"> </w:t>
      </w:r>
    </w:p>
    <w:p w14:paraId="7A945C0F" w14:textId="24135679" w:rsidR="00D83CD0" w:rsidRDefault="00D83CD0" w:rsidP="00D83CD0">
      <w:r>
        <w:t xml:space="preserve">The above-mentioned wild boar (variously referred to as </w:t>
      </w:r>
      <w:r w:rsidRPr="00F9006A">
        <w:rPr>
          <w:i/>
          <w:iCs/>
        </w:rPr>
        <w:t>aper</w:t>
      </w:r>
      <w:r>
        <w:t xml:space="preserve">, </w:t>
      </w:r>
      <w:proofErr w:type="spellStart"/>
      <w:r w:rsidRPr="00F9006A">
        <w:rPr>
          <w:i/>
          <w:iCs/>
        </w:rPr>
        <w:t>porcus</w:t>
      </w:r>
      <w:proofErr w:type="spellEnd"/>
      <w:r>
        <w:t xml:space="preserve"> and </w:t>
      </w:r>
      <w:r w:rsidRPr="00F9006A">
        <w:rPr>
          <w:i/>
          <w:iCs/>
        </w:rPr>
        <w:t>scrofa</w:t>
      </w:r>
      <w:r>
        <w:t xml:space="preserve">) was brought in </w:t>
      </w:r>
      <w:r w:rsidR="00661D73">
        <w:t xml:space="preserve">(40.3) </w:t>
      </w:r>
      <w:r>
        <w:t>on a large tray</w:t>
      </w:r>
      <w:r w:rsidR="009D1E69">
        <w:t xml:space="preserve"> wearing </w:t>
      </w:r>
      <w:r w:rsidR="00661D73">
        <w:t>a</w:t>
      </w:r>
      <w:r>
        <w:t xml:space="preserve"> cap. </w:t>
      </w:r>
      <w:r w:rsidR="00F9006A">
        <w:t>I</w:t>
      </w:r>
      <w:r>
        <w:t>t is hard to overstate the significance of the cap. It is the</w:t>
      </w:r>
      <w:r w:rsidRPr="00661D73">
        <w:rPr>
          <w:i/>
          <w:iCs/>
        </w:rPr>
        <w:t xml:space="preserve"> </w:t>
      </w:r>
      <w:proofErr w:type="spellStart"/>
      <w:r w:rsidRPr="00661D73">
        <w:rPr>
          <w:i/>
          <w:iCs/>
        </w:rPr>
        <w:t>pilleus</w:t>
      </w:r>
      <w:proofErr w:type="spellEnd"/>
      <w:r>
        <w:t xml:space="preserve">, </w:t>
      </w:r>
      <w:r w:rsidR="00661D73">
        <w:t xml:space="preserve">the symbolic pointed cap </w:t>
      </w:r>
      <w:r>
        <w:t xml:space="preserve">worn by slaves on their manumission to freedman status, something which Trimalchio himself had undergone. Bodel in his book </w:t>
      </w:r>
      <w:r w:rsidR="00787D77">
        <w:t>E</w:t>
      </w:r>
      <w:r>
        <w:t xml:space="preserve">pigraphic </w:t>
      </w:r>
      <w:r w:rsidR="00787D77">
        <w:t>E</w:t>
      </w:r>
      <w:r>
        <w:t>vidence describes how in ancient Rome people were either good citizen-soldiers or slaves and even after manumission freedmen still carried the taint of slavery, most notably he said the “boorish Trimalchio”</w:t>
      </w:r>
      <w:r w:rsidR="001D44AF" w:rsidRPr="001D44AF">
        <w:t xml:space="preserve"> </w:t>
      </w:r>
      <w:r w:rsidR="001D44AF">
        <w:t>(2001, pp107-8</w:t>
      </w:r>
      <w:r w:rsidR="000676EF">
        <w:rPr>
          <w:rStyle w:val="FootnoteReference"/>
        </w:rPr>
        <w:footnoteReference w:id="3"/>
      </w:r>
      <w:r w:rsidR="001D44AF">
        <w:t>)</w:t>
      </w:r>
      <w:r>
        <w:t xml:space="preserve">.  The freedmen remained a distinct group within Roman society: never patrician, no matter how wealthy, nor even plebian, but generally ranking alongside the </w:t>
      </w:r>
      <w:proofErr w:type="spellStart"/>
      <w:r>
        <w:rPr>
          <w:i/>
          <w:iCs/>
        </w:rPr>
        <w:t>humiles</w:t>
      </w:r>
      <w:proofErr w:type="spellEnd"/>
      <w:r>
        <w:t xml:space="preserve">, the lowest of the low. </w:t>
      </w:r>
      <w:proofErr w:type="spellStart"/>
      <w:r w:rsidR="004C07F4">
        <w:t>Despige</w:t>
      </w:r>
      <w:proofErr w:type="spellEnd"/>
      <w:r w:rsidR="004C07F4">
        <w:t xml:space="preserve"> this, h</w:t>
      </w:r>
      <w:r w:rsidR="004A2AE7">
        <w:t>owever, they are</w:t>
      </w:r>
      <w:r w:rsidR="004C07F4">
        <w:t>, according to Ramsby,</w:t>
      </w:r>
      <w:r w:rsidR="004A2AE7">
        <w:t xml:space="preserve"> wealthy, energetic and talented; they are a force to be reckoned with and they represent a threat to the Roman aristocracy</w:t>
      </w:r>
      <w:r w:rsidR="006D1DA6">
        <w:t xml:space="preserve"> (2007</w:t>
      </w:r>
      <w:r w:rsidR="00787D77">
        <w:t>,</w:t>
      </w:r>
      <w:r w:rsidR="004A2AE7">
        <w:t xml:space="preserve"> p67</w:t>
      </w:r>
      <w:r w:rsidR="000676EF">
        <w:rPr>
          <w:rStyle w:val="FootnoteReference"/>
        </w:rPr>
        <w:footnoteReference w:id="4"/>
      </w:r>
      <w:r w:rsidR="006D1DA6">
        <w:t>)</w:t>
      </w:r>
      <w:r w:rsidR="004A2AE7">
        <w:t xml:space="preserve">. </w:t>
      </w:r>
      <w:r w:rsidR="000676EF">
        <w:t>However true</w:t>
      </w:r>
      <w:r w:rsidR="004A2AE7">
        <w:t>,</w:t>
      </w:r>
      <w:r>
        <w:t xml:space="preserve"> Trimalchio </w:t>
      </w:r>
      <w:r w:rsidR="004A2AE7">
        <w:t xml:space="preserve">at least </w:t>
      </w:r>
      <w:r>
        <w:t xml:space="preserve">appears very keen to rise above this. A first suggestion of this came in </w:t>
      </w:r>
      <w:r w:rsidR="00661D73">
        <w:t>chapter 29</w:t>
      </w:r>
      <w:r>
        <w:t xml:space="preserve"> with the </w:t>
      </w:r>
      <w:r w:rsidR="00661D73">
        <w:t>series</w:t>
      </w:r>
      <w:r>
        <w:t xml:space="preserve"> of panels showing </w:t>
      </w:r>
      <w:r w:rsidR="00462E02">
        <w:t>Trimalchio’s</w:t>
      </w:r>
      <w:r w:rsidR="00661D73">
        <w:t xml:space="preserve"> </w:t>
      </w:r>
      <w:r>
        <w:t xml:space="preserve">progression from a slave market to apprenticeship and </w:t>
      </w:r>
      <w:r w:rsidR="00661D73">
        <w:t xml:space="preserve">his </w:t>
      </w:r>
      <w:r>
        <w:t>final elevation as a paymaster. And the boar had also been freed (</w:t>
      </w:r>
      <w:proofErr w:type="spellStart"/>
      <w:r>
        <w:rPr>
          <w:i/>
          <w:iCs/>
        </w:rPr>
        <w:t>dimissus</w:t>
      </w:r>
      <w:proofErr w:type="spellEnd"/>
      <w:r>
        <w:t>) by the previous day’s diners (at least for a day). A slave boy imitating Bacchus then enters delivering grapes and Trimalchio order</w:t>
      </w:r>
      <w:r w:rsidR="00661D73">
        <w:t>s</w:t>
      </w:r>
      <w:r>
        <w:t xml:space="preserve"> him – “</w:t>
      </w:r>
      <w:proofErr w:type="spellStart"/>
      <w:r>
        <w:rPr>
          <w:i/>
          <w:iCs/>
        </w:rPr>
        <w:t>Dionyse</w:t>
      </w:r>
      <w:proofErr w:type="spellEnd"/>
      <w:r>
        <w:rPr>
          <w:i/>
          <w:iCs/>
        </w:rPr>
        <w:t xml:space="preserve"> liber </w:t>
      </w:r>
      <w:proofErr w:type="spellStart"/>
      <w:r>
        <w:rPr>
          <w:i/>
          <w:iCs/>
        </w:rPr>
        <w:t>esto</w:t>
      </w:r>
      <w:proofErr w:type="spellEnd"/>
      <w:r>
        <w:t>”. Whereupon the slave snatches the cap from the pig and puts it on his own head, prompting Trimalchio to say to his guests: “</w:t>
      </w:r>
      <w:r>
        <w:rPr>
          <w:i/>
          <w:iCs/>
        </w:rPr>
        <w:t xml:space="preserve">Non </w:t>
      </w:r>
      <w:proofErr w:type="spellStart"/>
      <w:r>
        <w:rPr>
          <w:i/>
          <w:iCs/>
        </w:rPr>
        <w:t>negabitis</w:t>
      </w:r>
      <w:proofErr w:type="spellEnd"/>
      <w:r>
        <w:rPr>
          <w:i/>
          <w:iCs/>
        </w:rPr>
        <w:t xml:space="preserve"> me habere Liberum </w:t>
      </w:r>
      <w:proofErr w:type="spellStart"/>
      <w:r>
        <w:rPr>
          <w:i/>
          <w:iCs/>
        </w:rPr>
        <w:t>patrem</w:t>
      </w:r>
      <w:proofErr w:type="spellEnd"/>
      <w:r>
        <w:rPr>
          <w:i/>
          <w:iCs/>
        </w:rPr>
        <w:t xml:space="preserve">.” </w:t>
      </w:r>
      <w:r>
        <w:t xml:space="preserve">This </w:t>
      </w:r>
      <w:r w:rsidR="00661D73">
        <w:t xml:space="preserve">can be confusing. </w:t>
      </w:r>
      <w:r>
        <w:t>Rick Newton</w:t>
      </w:r>
      <w:r w:rsidR="00661D73">
        <w:t xml:space="preserve"> </w:t>
      </w:r>
      <w:r>
        <w:t xml:space="preserve">while exploring the meaning of the hapax </w:t>
      </w:r>
      <w:proofErr w:type="spellStart"/>
      <w:r w:rsidRPr="00661D73">
        <w:rPr>
          <w:i/>
          <w:iCs/>
        </w:rPr>
        <w:t>bacalusias</w:t>
      </w:r>
      <w:proofErr w:type="spellEnd"/>
      <w:r w:rsidR="00661D73">
        <w:rPr>
          <w:i/>
          <w:iCs/>
        </w:rPr>
        <w:t>,</w:t>
      </w:r>
      <w:r>
        <w:t xml:space="preserve"> argues that “the slave becomes "free" by "freeing" the boar of its cap of manumission and placing it on his own head”</w:t>
      </w:r>
      <w:r w:rsidR="008F4E06">
        <w:t xml:space="preserve"> (1992, p248</w:t>
      </w:r>
      <w:r w:rsidR="005A6CA4">
        <w:rPr>
          <w:rStyle w:val="FootnoteReference"/>
        </w:rPr>
        <w:footnoteReference w:id="5"/>
      </w:r>
      <w:r w:rsidR="008F4E06">
        <w:t>)</w:t>
      </w:r>
      <w:r>
        <w:t>.</w:t>
      </w:r>
      <w:r w:rsidR="00661D73">
        <w:t xml:space="preserve"> </w:t>
      </w:r>
      <w:r>
        <w:t>In his commentary on the Satyric</w:t>
      </w:r>
      <w:r w:rsidR="008F4E06">
        <w:t>on</w:t>
      </w:r>
      <w:r>
        <w:t xml:space="preserve"> Steadman notes that Bacchus is often called </w:t>
      </w:r>
      <w:proofErr w:type="spellStart"/>
      <w:r w:rsidRPr="008F4E06">
        <w:rPr>
          <w:i/>
          <w:iCs/>
        </w:rPr>
        <w:t>Līber</w:t>
      </w:r>
      <w:proofErr w:type="spellEnd"/>
      <w:r w:rsidRPr="008F4E06">
        <w:rPr>
          <w:i/>
          <w:iCs/>
        </w:rPr>
        <w:t xml:space="preserve"> </w:t>
      </w:r>
      <w:r>
        <w:t xml:space="preserve">or </w:t>
      </w:r>
      <w:proofErr w:type="spellStart"/>
      <w:r w:rsidRPr="008F4E06">
        <w:rPr>
          <w:i/>
          <w:iCs/>
        </w:rPr>
        <w:t>Līber</w:t>
      </w:r>
      <w:proofErr w:type="spellEnd"/>
      <w:r w:rsidRPr="008F4E06">
        <w:rPr>
          <w:i/>
          <w:iCs/>
        </w:rPr>
        <w:t xml:space="preserve"> Pater</w:t>
      </w:r>
      <w:r>
        <w:t xml:space="preserve"> and that thereby “in an elaborate wordplay, Trimalchio associates a relationship with Bacchus with the freeing of a slave.”</w:t>
      </w:r>
      <w:r w:rsidR="008F4E06">
        <w:t xml:space="preserve"> (2018, p31</w:t>
      </w:r>
      <w:r w:rsidR="005A6CA4">
        <w:rPr>
          <w:rStyle w:val="FootnoteReference"/>
        </w:rPr>
        <w:footnoteReference w:id="6"/>
      </w:r>
      <w:r w:rsidR="008F4E06">
        <w:t xml:space="preserve">) </w:t>
      </w:r>
      <w:r>
        <w:t>But Trimalchio owns the slave, so when he says he has a ‘free father’ he is simultaneously equating his slave with his free(born) father, which means that Trimalchio was freeborn (</w:t>
      </w:r>
      <w:r w:rsidRPr="007C4C75">
        <w:rPr>
          <w:i/>
          <w:iCs/>
        </w:rPr>
        <w:t>liber</w:t>
      </w:r>
      <w:r>
        <w:t xml:space="preserve">), rather than freed </w:t>
      </w:r>
      <w:r w:rsidRPr="007C4C75">
        <w:rPr>
          <w:i/>
          <w:iCs/>
        </w:rPr>
        <w:t>(</w:t>
      </w:r>
      <w:proofErr w:type="spellStart"/>
      <w:r w:rsidRPr="007C4C75">
        <w:rPr>
          <w:i/>
          <w:iCs/>
        </w:rPr>
        <w:t>libertus</w:t>
      </w:r>
      <w:proofErr w:type="spellEnd"/>
      <w:r>
        <w:t>), as the pig was.</w:t>
      </w:r>
      <w:r w:rsidR="00661D73">
        <w:t xml:space="preserve"> If</w:t>
      </w:r>
      <w:r>
        <w:t xml:space="preserve"> Trimalchio is to shake of</w:t>
      </w:r>
      <w:r w:rsidR="005673F5">
        <w:t>f</w:t>
      </w:r>
      <w:r>
        <w:t xml:space="preserve"> the stigma of his past as slave he needs to promote the idea of having been freeborn, and that is what he is doing here. </w:t>
      </w:r>
    </w:p>
    <w:p w14:paraId="11D260FC" w14:textId="7332B46F" w:rsidR="00AC48A7" w:rsidRDefault="00DA7057" w:rsidP="00D83CD0">
      <w:r>
        <w:t xml:space="preserve">A further insight into Trimalchio is suggested in 40.9 after he leaves for the toilet and Encolpius writes: </w:t>
      </w:r>
    </w:p>
    <w:p w14:paraId="557B97E9" w14:textId="4F8D5E01" w:rsidR="00AC48A7" w:rsidRDefault="008C0318" w:rsidP="00D83CD0">
      <w:r>
        <w:t xml:space="preserve">             </w:t>
      </w:r>
      <w:r w:rsidR="00DA7057">
        <w:t>“</w:t>
      </w:r>
      <w:r w:rsidR="00DA7057">
        <w:rPr>
          <w:i/>
          <w:iCs/>
        </w:rPr>
        <w:t xml:space="preserve">Nos </w:t>
      </w:r>
      <w:proofErr w:type="spellStart"/>
      <w:r w:rsidR="00DA7057">
        <w:rPr>
          <w:i/>
          <w:iCs/>
        </w:rPr>
        <w:t>libertatem</w:t>
      </w:r>
      <w:proofErr w:type="spellEnd"/>
      <w:r w:rsidR="00DA7057">
        <w:rPr>
          <w:i/>
          <w:iCs/>
        </w:rPr>
        <w:t xml:space="preserve"> sine </w:t>
      </w:r>
      <w:proofErr w:type="spellStart"/>
      <w:r w:rsidR="00DA7057">
        <w:rPr>
          <w:i/>
          <w:iCs/>
        </w:rPr>
        <w:t>tyranno</w:t>
      </w:r>
      <w:proofErr w:type="spellEnd"/>
      <w:r w:rsidR="00DA7057">
        <w:rPr>
          <w:i/>
          <w:iCs/>
        </w:rPr>
        <w:t xml:space="preserve"> </w:t>
      </w:r>
      <w:proofErr w:type="spellStart"/>
      <w:r w:rsidR="00DA7057">
        <w:rPr>
          <w:i/>
          <w:iCs/>
        </w:rPr>
        <w:t>nacti</w:t>
      </w:r>
      <w:proofErr w:type="spellEnd"/>
      <w:r w:rsidR="00DA7057">
        <w:rPr>
          <w:i/>
          <w:iCs/>
        </w:rPr>
        <w:t xml:space="preserve"> </w:t>
      </w:r>
      <w:proofErr w:type="spellStart"/>
      <w:r w:rsidR="00DA7057">
        <w:rPr>
          <w:i/>
          <w:iCs/>
        </w:rPr>
        <w:t>coepimus</w:t>
      </w:r>
      <w:proofErr w:type="spellEnd"/>
      <w:r w:rsidR="00DA7057">
        <w:rPr>
          <w:i/>
          <w:iCs/>
        </w:rPr>
        <w:t xml:space="preserve"> </w:t>
      </w:r>
      <w:proofErr w:type="spellStart"/>
      <w:r w:rsidR="00DA7057">
        <w:rPr>
          <w:i/>
          <w:iCs/>
        </w:rPr>
        <w:t>invitatre</w:t>
      </w:r>
      <w:proofErr w:type="spellEnd"/>
      <w:r w:rsidR="00DA7057">
        <w:rPr>
          <w:i/>
          <w:iCs/>
        </w:rPr>
        <w:t xml:space="preserve"> </w:t>
      </w:r>
      <w:proofErr w:type="spellStart"/>
      <w:r w:rsidR="00DA7057">
        <w:rPr>
          <w:i/>
          <w:iCs/>
        </w:rPr>
        <w:t>convivarum</w:t>
      </w:r>
      <w:proofErr w:type="spellEnd"/>
      <w:r w:rsidR="00DA7057">
        <w:rPr>
          <w:i/>
          <w:iCs/>
        </w:rPr>
        <w:t xml:space="preserve"> sermons</w:t>
      </w:r>
      <w:r w:rsidR="00DA7057">
        <w:t>”</w:t>
      </w:r>
      <w:r w:rsidR="00AC48A7">
        <w:t>.</w:t>
      </w:r>
    </w:p>
    <w:p w14:paraId="1062EF71" w14:textId="3DC491F1" w:rsidR="00DA7057" w:rsidRDefault="00AC48A7" w:rsidP="00D83CD0">
      <w:r>
        <w:lastRenderedPageBreak/>
        <w:t>This</w:t>
      </w:r>
      <w:r w:rsidR="00DA7057">
        <w:t xml:space="preserve"> begs the question, why didn’t the guests feel free to chat among themselves in his presence?   The clue must lie in the word </w:t>
      </w:r>
      <w:proofErr w:type="spellStart"/>
      <w:r w:rsidR="00DA7057">
        <w:rPr>
          <w:i/>
          <w:iCs/>
        </w:rPr>
        <w:t>tyrannus</w:t>
      </w:r>
      <w:proofErr w:type="spellEnd"/>
      <w:r w:rsidR="00DA7057">
        <w:t xml:space="preserve">, which </w:t>
      </w:r>
      <w:r>
        <w:t>is only slightly less threatening than</w:t>
      </w:r>
      <w:r w:rsidR="00DA7057">
        <w:t xml:space="preserve"> its modern derivative.  Perhaps Encolpius is being a little sarcastic: Trimalchio is certainly the dominant figure in the room, overbearing and garrulous, full of his own boasting</w:t>
      </w:r>
      <w:r w:rsidR="004C07F4">
        <w:t xml:space="preserve"> and bravado</w:t>
      </w:r>
      <w:r w:rsidR="00DA7057">
        <w:t>, perhaps to the extent that he</w:t>
      </w:r>
      <w:r w:rsidR="001D44AF">
        <w:t xml:space="preserve"> really</w:t>
      </w:r>
      <w:r w:rsidR="00DA7057">
        <w:t xml:space="preserve"> does inhibit free conversation. Whatever the reason, the freedmen</w:t>
      </w:r>
      <w:r w:rsidR="005673F5">
        <w:t xml:space="preserve">, now </w:t>
      </w:r>
      <w:r w:rsidR="004C07F4">
        <w:t>relieved</w:t>
      </w:r>
      <w:r w:rsidR="005673F5">
        <w:t xml:space="preserve"> of his presence,</w:t>
      </w:r>
      <w:r w:rsidR="00DA7057">
        <w:t xml:space="preserve"> embark on </w:t>
      </w:r>
      <w:r w:rsidR="004108A0">
        <w:t xml:space="preserve">their own </w:t>
      </w:r>
      <w:r w:rsidR="00DA7057">
        <w:t xml:space="preserve">discussion. </w:t>
      </w:r>
    </w:p>
    <w:p w14:paraId="289CA3A3" w14:textId="391F9987" w:rsidR="00D83CD0" w:rsidRDefault="00D83CD0" w:rsidP="00D83CD0">
      <w:r>
        <w:t xml:space="preserve">But while other diners are enjoying the music and the dates, Encolpius falls silent (41.1), trying to ponder the meaning of the </w:t>
      </w:r>
      <w:proofErr w:type="spellStart"/>
      <w:r w:rsidRPr="00661D73">
        <w:rPr>
          <w:i/>
          <w:iCs/>
        </w:rPr>
        <w:t>pilleus</w:t>
      </w:r>
      <w:proofErr w:type="spellEnd"/>
      <w:r>
        <w:t xml:space="preserve"> and the pig. Unable to fathom an answer himself he steels himself (</w:t>
      </w:r>
      <w:proofErr w:type="spellStart"/>
      <w:r w:rsidRPr="007C4C75">
        <w:rPr>
          <w:i/>
          <w:iCs/>
        </w:rPr>
        <w:t>duravit</w:t>
      </w:r>
      <w:proofErr w:type="spellEnd"/>
      <w:r>
        <w:t>) to ask the informant who was so helpful in chapter 3</w:t>
      </w:r>
      <w:r w:rsidR="00462E02">
        <w:t>7</w:t>
      </w:r>
      <w:r>
        <w:t>, who</w:t>
      </w:r>
      <w:r w:rsidR="00661D73">
        <w:t xml:space="preserve"> </w:t>
      </w:r>
      <w:r>
        <w:t>explains. E</w:t>
      </w:r>
      <w:r w:rsidR="007C4C75">
        <w:t>ncolpius</w:t>
      </w:r>
      <w:r>
        <w:t xml:space="preserve"> immediately feels </w:t>
      </w:r>
      <w:proofErr w:type="gramStart"/>
      <w:r>
        <w:t>foolish</w:t>
      </w:r>
      <w:proofErr w:type="gramEnd"/>
      <w:r>
        <w:t xml:space="preserve"> and resolves stay silent for fear of appearing foolish before </w:t>
      </w:r>
      <w:proofErr w:type="spellStart"/>
      <w:r>
        <w:rPr>
          <w:i/>
          <w:iCs/>
        </w:rPr>
        <w:t>honestos</w:t>
      </w:r>
      <w:proofErr w:type="spellEnd"/>
      <w:r>
        <w:t>. Exactly why he calls th</w:t>
      </w:r>
      <w:r w:rsidR="004108A0">
        <w:t>em</w:t>
      </w:r>
      <w:r>
        <w:t xml:space="preserve"> this is </w:t>
      </w:r>
      <w:r w:rsidR="00661D73">
        <w:t>unclear</w:t>
      </w:r>
      <w:r>
        <w:t xml:space="preserve">. </w:t>
      </w:r>
      <w:r w:rsidR="00462E02">
        <w:t>Does</w:t>
      </w:r>
      <w:r>
        <w:t xml:space="preserve"> he really</w:t>
      </w:r>
      <w:r w:rsidR="00661D73">
        <w:t xml:space="preserve"> </w:t>
      </w:r>
      <w:r>
        <w:t>consider them his betters</w:t>
      </w:r>
      <w:r w:rsidR="00661D73">
        <w:t>, o</w:t>
      </w:r>
      <w:r>
        <w:t xml:space="preserve">r </w:t>
      </w:r>
      <w:r w:rsidR="00661D73">
        <w:t>he is</w:t>
      </w:r>
      <w:r>
        <w:t xml:space="preserve"> being sarcastic</w:t>
      </w:r>
      <w:r w:rsidR="001D44AF">
        <w:t xml:space="preserve"> (again)?</w:t>
      </w:r>
      <w:r>
        <w:t xml:space="preserve"> If the former, is his judgement impaired by being so overwhelmed </w:t>
      </w:r>
      <w:r w:rsidR="001D44AF">
        <w:t>and</w:t>
      </w:r>
      <w:r>
        <w:t xml:space="preserve"> intimidated by the guests and their antics? </w:t>
      </w:r>
      <w:r w:rsidR="001D44AF">
        <w:t>Either way,</w:t>
      </w:r>
      <w:r>
        <w:t xml:space="preserve"> </w:t>
      </w:r>
      <w:r w:rsidR="001D44AF">
        <w:t>it</w:t>
      </w:r>
      <w:r>
        <w:t xml:space="preserve"> highlights the fact that he is an outsider and a rather isolated figure at the feast. He seems to talk to no one other than his informant, and certainly </w:t>
      </w:r>
      <w:r w:rsidR="00661D73">
        <w:t xml:space="preserve">has </w:t>
      </w:r>
      <w:r w:rsidR="004108A0">
        <w:t>little</w:t>
      </w:r>
      <w:r>
        <w:t xml:space="preserve"> direct interaction </w:t>
      </w:r>
      <w:r w:rsidR="00661D73">
        <w:t>with</w:t>
      </w:r>
      <w:r>
        <w:t xml:space="preserve"> Trimalchio, or the other freedmen. </w:t>
      </w:r>
      <w:r w:rsidR="00B8466F">
        <w:t>He is uncomfortable and keen to leave</w:t>
      </w:r>
      <w:r w:rsidR="004C07F4">
        <w:t>,</w:t>
      </w:r>
      <w:r w:rsidR="001D44AF">
        <w:t xml:space="preserve"> and</w:t>
      </w:r>
      <w:r w:rsidR="00C70ED3">
        <w:t xml:space="preserve"> the hesitant and nervous Encolpius appears in stark contrast to the brash and confident Trimalchio</w:t>
      </w:r>
      <w:r w:rsidR="001D44AF">
        <w:t>.</w:t>
      </w:r>
      <w:r w:rsidR="00C70ED3">
        <w:t xml:space="preserve"> </w:t>
      </w:r>
      <w:r>
        <w:t xml:space="preserve">This may be in keeping with </w:t>
      </w:r>
      <w:r w:rsidR="00C70ED3">
        <w:t>the latter’s</w:t>
      </w:r>
      <w:r>
        <w:t xml:space="preserve"> personality and circumstance, but it also serves to make him the ideal observer and narrator. P</w:t>
      </w:r>
      <w:r w:rsidR="00661D73">
        <w:t>etronius</w:t>
      </w:r>
      <w:r>
        <w:t xml:space="preserve"> is clearly viewing T</w:t>
      </w:r>
      <w:r w:rsidR="00661D73">
        <w:t>rimalchio</w:t>
      </w:r>
      <w:r>
        <w:t xml:space="preserve"> and his class through the eyes of E</w:t>
      </w:r>
      <w:r w:rsidR="00661D73">
        <w:t>ncolpius</w:t>
      </w:r>
      <w:r w:rsidR="004108A0">
        <w:t xml:space="preserve"> and h</w:t>
      </w:r>
      <w:r>
        <w:t>e coul</w:t>
      </w:r>
      <w:r w:rsidR="00F73201">
        <w:t xml:space="preserve">dn’t have chosen a better person; Encolpius is </w:t>
      </w:r>
      <w:r>
        <w:t>quiet and observant: he creates no ripples and nothing he does affects the behaviour of T</w:t>
      </w:r>
      <w:r w:rsidR="00661D73">
        <w:t>rimalchio</w:t>
      </w:r>
      <w:r>
        <w:t xml:space="preserve"> and his guests. The reporting is therefore that of the unobtrusive fly on the wall.</w:t>
      </w:r>
      <w:r w:rsidR="00F73201">
        <w:t xml:space="preserve"> </w:t>
      </w:r>
    </w:p>
    <w:p w14:paraId="7516882A" w14:textId="7C6043D3" w:rsidR="00D83CD0" w:rsidRDefault="00D83CD0" w:rsidP="00D83CD0">
      <w:r>
        <w:t>T</w:t>
      </w:r>
      <w:r w:rsidR="00B8466F">
        <w:t>rimalchio</w:t>
      </w:r>
      <w:r>
        <w:t>’s departure</w:t>
      </w:r>
      <w:r w:rsidR="00B8466F">
        <w:t xml:space="preserve"> marks a change of focus and tempo as the ex</w:t>
      </w:r>
      <w:r w:rsidR="00C70ED3">
        <w:t>c</w:t>
      </w:r>
      <w:r w:rsidR="00B8466F">
        <w:t>esses of the feast are temporarily forgotten and other voices emerge.</w:t>
      </w:r>
      <w:r>
        <w:t xml:space="preserve"> </w:t>
      </w:r>
      <w:r w:rsidR="00B8466F">
        <w:t xml:space="preserve">Ramsby </w:t>
      </w:r>
      <w:r>
        <w:t>remarked</w:t>
      </w:r>
      <w:r w:rsidR="00B8466F">
        <w:t xml:space="preserve"> </w:t>
      </w:r>
      <w:r>
        <w:t>that the Cena is unique in surviving Roman literature in that it contains a discussion</w:t>
      </w:r>
      <w:r w:rsidR="00B8466F">
        <w:t xml:space="preserve"> between freed slaves</w:t>
      </w:r>
      <w:r>
        <w:t xml:space="preserve">, and in their vernacular, </w:t>
      </w:r>
      <w:r w:rsidR="00B8466F">
        <w:t xml:space="preserve">“even if it comes through the filter of the elite perspective.” </w:t>
      </w:r>
      <w:r w:rsidR="007C4C75">
        <w:t>(2012,</w:t>
      </w:r>
      <w:r w:rsidR="00A92BC7">
        <w:t xml:space="preserve"> p66</w:t>
      </w:r>
      <w:r w:rsidR="00E60705">
        <w:rPr>
          <w:rStyle w:val="FootnoteReference"/>
        </w:rPr>
        <w:footnoteReference w:id="7"/>
      </w:r>
      <w:r w:rsidR="007C4C75">
        <w:t>).</w:t>
      </w:r>
      <w:r w:rsidR="00B8466F">
        <w:t xml:space="preserve"> </w:t>
      </w:r>
      <w:r>
        <w:t xml:space="preserve">Within 41, however, it is confined to a few lines of drunken ramblings by Dama about the cold and having drunk too much undiluted </w:t>
      </w:r>
      <w:r w:rsidR="00570863">
        <w:t>(</w:t>
      </w:r>
      <w:proofErr w:type="spellStart"/>
      <w:r w:rsidRPr="00570863">
        <w:rPr>
          <w:i/>
          <w:iCs/>
        </w:rPr>
        <w:t>staminata</w:t>
      </w:r>
      <w:proofErr w:type="spellEnd"/>
      <w:r w:rsidR="00570863">
        <w:rPr>
          <w:i/>
          <w:iCs/>
        </w:rPr>
        <w:t>)</w:t>
      </w:r>
      <w:r>
        <w:t xml:space="preserve"> wine</w:t>
      </w:r>
      <w:r w:rsidR="004A2AE7">
        <w:t xml:space="preserve">. But it </w:t>
      </w:r>
      <w:r w:rsidR="00C70ED3">
        <w:t>does give a first taste of</w:t>
      </w:r>
      <w:r w:rsidR="004A2AE7">
        <w:t xml:space="preserve"> the freedmen’s speech</w:t>
      </w:r>
      <w:r w:rsidR="00C70ED3">
        <w:t xml:space="preserve"> and th</w:t>
      </w:r>
      <w:r w:rsidR="004A2AE7">
        <w:t>e first thing to notice is</w:t>
      </w:r>
      <w:r>
        <w:t xml:space="preserve"> the sentence length.</w:t>
      </w:r>
      <w:r w:rsidR="00570863">
        <w:t xml:space="preserve"> The </w:t>
      </w:r>
      <w:r>
        <w:t xml:space="preserve">eight sentences of Dama’s </w:t>
      </w:r>
      <w:r w:rsidR="007C4C75">
        <w:t xml:space="preserve">short </w:t>
      </w:r>
      <w:r>
        <w:t>speech average 5.25 words</w:t>
      </w:r>
      <w:r w:rsidR="00570863">
        <w:t xml:space="preserve"> each</w:t>
      </w:r>
      <w:r>
        <w:t xml:space="preserve">. But Dama is </w:t>
      </w:r>
      <w:proofErr w:type="gramStart"/>
      <w:r>
        <w:t>drunk</w:t>
      </w:r>
      <w:proofErr w:type="gramEnd"/>
      <w:r>
        <w:t xml:space="preserve"> and the short staccato utterances </w:t>
      </w:r>
      <w:r w:rsidR="004C07F4">
        <w:t>reflect well his diminished capacity for speech</w:t>
      </w:r>
      <w:r w:rsidR="00C70ED3">
        <w:t xml:space="preserve">. </w:t>
      </w:r>
      <w:r w:rsidR="00570863">
        <w:t xml:space="preserve">In comparison, </w:t>
      </w:r>
      <w:r w:rsidR="00C70ED3">
        <w:t xml:space="preserve">for </w:t>
      </w:r>
      <w:proofErr w:type="gramStart"/>
      <w:r w:rsidR="00C70ED3">
        <w:t>Seleucus‘ first</w:t>
      </w:r>
      <w:proofErr w:type="gramEnd"/>
      <w:r w:rsidR="00C70ED3">
        <w:t xml:space="preserve"> eight</w:t>
      </w:r>
      <w:r w:rsidR="004C07F4">
        <w:t xml:space="preserve"> sentences</w:t>
      </w:r>
      <w:r w:rsidR="00C70ED3">
        <w:t xml:space="preserve"> the average is 8.4 words</w:t>
      </w:r>
      <w:r w:rsidR="004C07F4">
        <w:t>; and</w:t>
      </w:r>
      <w:r w:rsidR="00C70ED3">
        <w:t xml:space="preserve"> </w:t>
      </w:r>
      <w:r w:rsidR="00570863">
        <w:t>the first eight sentences of E</w:t>
      </w:r>
      <w:r w:rsidR="00D04E9E">
        <w:t>ncolpius</w:t>
      </w:r>
      <w:r w:rsidR="00570863">
        <w:t xml:space="preserve">’ narration in chapter 40 average 20.6 words. </w:t>
      </w:r>
      <w:r>
        <w:t>But E</w:t>
      </w:r>
      <w:r w:rsidR="00570863">
        <w:t>ncolpius</w:t>
      </w:r>
      <w:r>
        <w:t xml:space="preserve"> is writing and not speaking</w:t>
      </w:r>
      <w:r w:rsidR="007C4C75">
        <w:t>, so i</w:t>
      </w:r>
      <w:r w:rsidR="008C0318">
        <w:t>t is b</w:t>
      </w:r>
      <w:r>
        <w:t>est not to draw too much from this, but it does suggest that P</w:t>
      </w:r>
      <w:r w:rsidR="00570863">
        <w:t>etronius is using</w:t>
      </w:r>
      <w:r>
        <w:t xml:space="preserve"> sentence length to indicate</w:t>
      </w:r>
      <w:r w:rsidR="00D33D23">
        <w:t xml:space="preserve"> to his readers the</w:t>
      </w:r>
      <w:r>
        <w:t xml:space="preserve"> language register – </w:t>
      </w:r>
      <w:r w:rsidR="00570863">
        <w:t>and/</w:t>
      </w:r>
      <w:r>
        <w:t xml:space="preserve">or </w:t>
      </w:r>
      <w:r w:rsidR="00570863">
        <w:t>drunkenness!</w:t>
      </w:r>
      <w:r>
        <w:t xml:space="preserve"> But we must remember that this is P</w:t>
      </w:r>
      <w:r w:rsidR="005673F5">
        <w:t>etronius’</w:t>
      </w:r>
      <w:r>
        <w:t xml:space="preserve"> renditio</w:t>
      </w:r>
      <w:r w:rsidR="00570863">
        <w:t>n a</w:t>
      </w:r>
      <w:r>
        <w:t>nd not something left to E</w:t>
      </w:r>
      <w:r w:rsidR="005673F5">
        <w:t>ncolpius</w:t>
      </w:r>
      <w:r>
        <w:t xml:space="preserve"> the narrator to decide. </w:t>
      </w:r>
      <w:r w:rsidR="00570863">
        <w:t xml:space="preserve"> Regarding the words themselves, </w:t>
      </w:r>
      <w:r>
        <w:t xml:space="preserve">Sedgwick </w:t>
      </w:r>
      <w:r w:rsidR="00570863">
        <w:t xml:space="preserve">writes </w:t>
      </w:r>
      <w:r w:rsidR="00D04E9E">
        <w:t>(1950, p21</w:t>
      </w:r>
      <w:r w:rsidR="00E60705">
        <w:rPr>
          <w:rStyle w:val="FootnoteReference"/>
        </w:rPr>
        <w:footnoteReference w:id="8"/>
      </w:r>
      <w:r w:rsidR="00D04E9E">
        <w:t xml:space="preserve">) </w:t>
      </w:r>
      <w:r w:rsidR="00570863">
        <w:t>that</w:t>
      </w:r>
      <w:r>
        <w:t xml:space="preserve"> E</w:t>
      </w:r>
      <w:r w:rsidR="00570863">
        <w:t>ncolpius</w:t>
      </w:r>
      <w:r>
        <w:t xml:space="preserve"> would be speaking </w:t>
      </w:r>
      <w:proofErr w:type="spellStart"/>
      <w:r w:rsidRPr="00F73201">
        <w:rPr>
          <w:i/>
          <w:iCs/>
        </w:rPr>
        <w:t>sermo</w:t>
      </w:r>
      <w:proofErr w:type="spellEnd"/>
      <w:r w:rsidRPr="00F73201">
        <w:rPr>
          <w:i/>
          <w:iCs/>
        </w:rPr>
        <w:t xml:space="preserve"> </w:t>
      </w:r>
      <w:proofErr w:type="spellStart"/>
      <w:r w:rsidRPr="00F73201">
        <w:rPr>
          <w:i/>
          <w:iCs/>
        </w:rPr>
        <w:t>cotidianus</w:t>
      </w:r>
      <w:proofErr w:type="spellEnd"/>
      <w:r>
        <w:t xml:space="preserve"> or </w:t>
      </w:r>
      <w:proofErr w:type="spellStart"/>
      <w:r w:rsidRPr="00F73201">
        <w:rPr>
          <w:i/>
          <w:iCs/>
        </w:rPr>
        <w:t>urbanus</w:t>
      </w:r>
      <w:proofErr w:type="spellEnd"/>
      <w:r w:rsidRPr="00F73201">
        <w:rPr>
          <w:i/>
          <w:iCs/>
        </w:rPr>
        <w:t xml:space="preserve"> </w:t>
      </w:r>
      <w:r>
        <w:t>and</w:t>
      </w:r>
      <w:r w:rsidR="00570863">
        <w:t xml:space="preserve"> </w:t>
      </w:r>
      <w:r>
        <w:t>T</w:t>
      </w:r>
      <w:r w:rsidR="00570863">
        <w:t>rimalchio</w:t>
      </w:r>
      <w:r>
        <w:t xml:space="preserve"> and his </w:t>
      </w:r>
      <w:r w:rsidR="00570863">
        <w:t>like</w:t>
      </w:r>
      <w:r>
        <w:t xml:space="preserve"> speaking </w:t>
      </w:r>
      <w:proofErr w:type="spellStart"/>
      <w:r w:rsidRPr="00F73201">
        <w:rPr>
          <w:i/>
          <w:iCs/>
        </w:rPr>
        <w:t>sermo</w:t>
      </w:r>
      <w:proofErr w:type="spellEnd"/>
      <w:r w:rsidRPr="00F73201">
        <w:rPr>
          <w:i/>
          <w:iCs/>
        </w:rPr>
        <w:t xml:space="preserve"> </w:t>
      </w:r>
      <w:proofErr w:type="spellStart"/>
      <w:r w:rsidRPr="00F73201">
        <w:rPr>
          <w:i/>
          <w:iCs/>
        </w:rPr>
        <w:t>plebeius</w:t>
      </w:r>
      <w:proofErr w:type="spellEnd"/>
      <w:r w:rsidR="00570863">
        <w:t xml:space="preserve">, and he </w:t>
      </w:r>
      <w:r>
        <w:t xml:space="preserve">notes a few vulgarisms in Dama’s short outburst: </w:t>
      </w:r>
      <w:r w:rsidRPr="00570863">
        <w:rPr>
          <w:i/>
          <w:iCs/>
        </w:rPr>
        <w:t>mundum</w:t>
      </w:r>
      <w:r>
        <w:t xml:space="preserve"> – slang usage of ‘neat’; </w:t>
      </w:r>
      <w:proofErr w:type="spellStart"/>
      <w:r w:rsidRPr="00570863">
        <w:rPr>
          <w:i/>
          <w:iCs/>
        </w:rPr>
        <w:t>calda</w:t>
      </w:r>
      <w:proofErr w:type="spellEnd"/>
      <w:r>
        <w:t xml:space="preserve"> – vulgar form of </w:t>
      </w:r>
      <w:proofErr w:type="spellStart"/>
      <w:r w:rsidRPr="00570863">
        <w:rPr>
          <w:i/>
          <w:iCs/>
        </w:rPr>
        <w:t>calida</w:t>
      </w:r>
      <w:proofErr w:type="spellEnd"/>
      <w:r>
        <w:t xml:space="preserve"> with the middle syllable dropped, and similarly </w:t>
      </w:r>
      <w:proofErr w:type="spellStart"/>
      <w:r w:rsidRPr="00570863">
        <w:rPr>
          <w:i/>
          <w:iCs/>
        </w:rPr>
        <w:t>matus</w:t>
      </w:r>
      <w:proofErr w:type="spellEnd"/>
      <w:r>
        <w:t xml:space="preserve"> for </w:t>
      </w:r>
      <w:proofErr w:type="spellStart"/>
      <w:r w:rsidRPr="00570863">
        <w:rPr>
          <w:i/>
          <w:iCs/>
        </w:rPr>
        <w:t>madidus</w:t>
      </w:r>
      <w:proofErr w:type="spellEnd"/>
      <w:r>
        <w:t xml:space="preserve">; and </w:t>
      </w:r>
      <w:proofErr w:type="spellStart"/>
      <w:r w:rsidRPr="00570863">
        <w:rPr>
          <w:i/>
          <w:iCs/>
        </w:rPr>
        <w:t>vinus</w:t>
      </w:r>
      <w:proofErr w:type="spellEnd"/>
      <w:r>
        <w:t xml:space="preserve">- vulgar for </w:t>
      </w:r>
      <w:r w:rsidRPr="00570863">
        <w:rPr>
          <w:i/>
          <w:iCs/>
        </w:rPr>
        <w:t>vinum</w:t>
      </w:r>
      <w:r>
        <w:t>.</w:t>
      </w:r>
      <w:r w:rsidR="00D33D23">
        <w:t xml:space="preserve"> </w:t>
      </w:r>
    </w:p>
    <w:p w14:paraId="7C1581CC" w14:textId="666ABC6F" w:rsidR="00C70ED3" w:rsidRPr="00C70ED3" w:rsidRDefault="00F73201" w:rsidP="00C70ED3">
      <w:pPr>
        <w:rPr>
          <w:lang w:val="en-US"/>
        </w:rPr>
      </w:pPr>
      <w:r>
        <w:rPr>
          <w:lang w:val="en-US"/>
        </w:rPr>
        <w:lastRenderedPageBreak/>
        <w:t>So</w:t>
      </w:r>
      <w:r w:rsidR="005673F5">
        <w:rPr>
          <w:lang w:val="en-US"/>
        </w:rPr>
        <w:t>,</w:t>
      </w:r>
      <w:r w:rsidR="00C70ED3">
        <w:rPr>
          <w:lang w:val="en-US"/>
        </w:rPr>
        <w:t xml:space="preserve"> in conclusion</w:t>
      </w:r>
      <w:r>
        <w:rPr>
          <w:lang w:val="en-US"/>
        </w:rPr>
        <w:t xml:space="preserve">, these chapters have given </w:t>
      </w:r>
      <w:r w:rsidR="005411FF">
        <w:rPr>
          <w:lang w:val="en-US"/>
        </w:rPr>
        <w:t xml:space="preserve">a deeper understanding of Trimalchio, the entertainer and former slave, who </w:t>
      </w:r>
      <w:r w:rsidR="005673F5">
        <w:rPr>
          <w:lang w:val="en-US"/>
        </w:rPr>
        <w:t>is not as dumb as he may appear</w:t>
      </w:r>
      <w:r w:rsidR="00C70ED3">
        <w:rPr>
          <w:lang w:val="en-US"/>
        </w:rPr>
        <w:t>. We have the memorable and telling episode of the pig with the cap and some insights into the language of the freedmen. On their own they don‘t resolve the big question of what Petronius hoped to achieve with this, but the feast rolls on, a</w:t>
      </w:r>
      <w:r w:rsidR="004C07F4">
        <w:rPr>
          <w:lang w:val="en-US"/>
        </w:rPr>
        <w:t>long with</w:t>
      </w:r>
      <w:r w:rsidR="00C70ED3">
        <w:rPr>
          <w:lang w:val="en-US"/>
        </w:rPr>
        <w:t xml:space="preserve"> the music and the illusion and the symbolism. It all ties in well with an attempt to</w:t>
      </w:r>
      <w:r w:rsidR="00C70ED3">
        <w:t xml:space="preserve"> mock the coarse indulgence of the lower classes, while at the same time reflecting the excesses of Rome’s ruling aristocracy. Perhaps by conflating them he was simultaneously mocking both and inviting all concerned</w:t>
      </w:r>
      <w:r w:rsidR="005673F5">
        <w:t xml:space="preserve"> just</w:t>
      </w:r>
      <w:r w:rsidR="00C70ED3">
        <w:t xml:space="preserve"> to laugh at themselves. If all that had come down to us today were these two fragments, we would </w:t>
      </w:r>
      <w:r w:rsidR="005673F5">
        <w:t xml:space="preserve">at least </w:t>
      </w:r>
      <w:r w:rsidR="00C70ED3">
        <w:t xml:space="preserve">know that there had once been a fabulous story </w:t>
      </w:r>
      <w:r w:rsidR="00C70ED3">
        <w:rPr>
          <w:lang w:val="en-US"/>
        </w:rPr>
        <w:t xml:space="preserve">about a wealthy and </w:t>
      </w:r>
      <w:r w:rsidR="009154D4">
        <w:rPr>
          <w:lang w:val="en-US"/>
        </w:rPr>
        <w:t>pretentious</w:t>
      </w:r>
      <w:r w:rsidR="00C70ED3">
        <w:rPr>
          <w:lang w:val="en-US"/>
        </w:rPr>
        <w:t xml:space="preserve"> Trimalchio who hosted lavish and extraordinary feats; that he was keen to rise above his lowly freedman status; and that his story had been told by a nervous and hesitant guest, although we wouldn’t know his name.</w:t>
      </w:r>
    </w:p>
    <w:p w14:paraId="1A34CC72" w14:textId="77777777" w:rsidR="00F04F82" w:rsidRDefault="00F04F82" w:rsidP="00D04E9E"/>
    <w:p w14:paraId="3C73CAAE" w14:textId="4642472C" w:rsidR="00B1329C" w:rsidRPr="004D4BA7" w:rsidRDefault="004D4BA7" w:rsidP="00D04E9E">
      <w:pPr>
        <w:rPr>
          <w:b/>
          <w:bCs/>
        </w:rPr>
      </w:pPr>
      <w:r w:rsidRPr="004D4BA7">
        <w:rPr>
          <w:b/>
          <w:bCs/>
        </w:rPr>
        <w:t>Word count – 2003.</w:t>
      </w:r>
    </w:p>
    <w:p w14:paraId="6849F8F2" w14:textId="77777777" w:rsidR="00B1329C" w:rsidRDefault="00B1329C" w:rsidP="00D04E9E"/>
    <w:p w14:paraId="4E132C6C" w14:textId="77777777" w:rsidR="00B1329C" w:rsidRDefault="00B1329C" w:rsidP="00D04E9E"/>
    <w:p w14:paraId="0AF48D2B" w14:textId="77777777" w:rsidR="00B1329C" w:rsidRDefault="00B1329C" w:rsidP="00D04E9E"/>
    <w:p w14:paraId="1F4E9166" w14:textId="77777777" w:rsidR="00B1329C" w:rsidRDefault="00B1329C" w:rsidP="00D04E9E"/>
    <w:p w14:paraId="611D1051" w14:textId="77777777" w:rsidR="00B1329C" w:rsidRDefault="00B1329C" w:rsidP="00D04E9E"/>
    <w:p w14:paraId="5079976C" w14:textId="77777777" w:rsidR="00B1329C" w:rsidRDefault="00B1329C" w:rsidP="00D04E9E"/>
    <w:p w14:paraId="619C764C" w14:textId="77777777" w:rsidR="00B1329C" w:rsidRDefault="00B1329C" w:rsidP="00D04E9E"/>
    <w:p w14:paraId="3D9794F3" w14:textId="77777777" w:rsidR="00B1329C" w:rsidRDefault="00B1329C" w:rsidP="00D04E9E"/>
    <w:p w14:paraId="7AF1C89A" w14:textId="77777777" w:rsidR="00B1329C" w:rsidRDefault="00B1329C" w:rsidP="00D04E9E"/>
    <w:p w14:paraId="146FBADD" w14:textId="77777777" w:rsidR="00B1329C" w:rsidRDefault="00B1329C" w:rsidP="00D04E9E"/>
    <w:p w14:paraId="15C622AE" w14:textId="77777777" w:rsidR="00B1329C" w:rsidRDefault="00B1329C" w:rsidP="00D04E9E"/>
    <w:p w14:paraId="7709B495" w14:textId="77777777" w:rsidR="00B1329C" w:rsidRDefault="00B1329C" w:rsidP="00D04E9E"/>
    <w:p w14:paraId="1ED00A52" w14:textId="77777777" w:rsidR="00B1329C" w:rsidRDefault="00B1329C" w:rsidP="00D04E9E"/>
    <w:p w14:paraId="6C272F2F" w14:textId="77777777" w:rsidR="00B1329C" w:rsidRDefault="00B1329C" w:rsidP="00D04E9E"/>
    <w:p w14:paraId="5458BCE3" w14:textId="77777777" w:rsidR="00B1329C" w:rsidRDefault="00B1329C" w:rsidP="00D04E9E"/>
    <w:p w14:paraId="7184D8C1" w14:textId="77777777" w:rsidR="00B1329C" w:rsidRDefault="00B1329C" w:rsidP="00D04E9E"/>
    <w:p w14:paraId="0D1620B7" w14:textId="77777777" w:rsidR="00B1329C" w:rsidRDefault="00B1329C" w:rsidP="00D04E9E"/>
    <w:p w14:paraId="67C2DE2B" w14:textId="77777777" w:rsidR="00B1329C" w:rsidRDefault="00B1329C" w:rsidP="00D04E9E"/>
    <w:p w14:paraId="482B9664" w14:textId="77777777" w:rsidR="00B1329C" w:rsidRDefault="00B1329C" w:rsidP="00D04E9E"/>
    <w:p w14:paraId="56893733" w14:textId="77777777" w:rsidR="00B1329C" w:rsidRDefault="00B1329C" w:rsidP="00D04E9E"/>
    <w:p w14:paraId="45BFEF80" w14:textId="77777777" w:rsidR="00B1329C" w:rsidRDefault="00B1329C" w:rsidP="00D04E9E"/>
    <w:p w14:paraId="7EA24F51" w14:textId="77777777" w:rsidR="00B1329C" w:rsidRDefault="00B1329C" w:rsidP="00D04E9E"/>
    <w:p w14:paraId="62442456" w14:textId="77777777" w:rsidR="00B1329C" w:rsidRDefault="00B1329C" w:rsidP="00D04E9E"/>
    <w:p w14:paraId="1932714B" w14:textId="77777777" w:rsidR="00B1329C" w:rsidRDefault="00B1329C" w:rsidP="00D04E9E"/>
    <w:p w14:paraId="66B035E2" w14:textId="77777777" w:rsidR="00B1329C" w:rsidRDefault="00B1329C" w:rsidP="00D04E9E">
      <w:pPr>
        <w:rPr>
          <w:rFonts w:cstheme="minorHAnsi"/>
        </w:rPr>
      </w:pPr>
    </w:p>
    <w:p w14:paraId="25F6EB84" w14:textId="3B9134CD" w:rsidR="00F04F82" w:rsidRPr="004C127C" w:rsidRDefault="00F04F82" w:rsidP="00D04E9E">
      <w:pPr>
        <w:rPr>
          <w:rFonts w:cstheme="minorHAnsi"/>
          <w:b/>
          <w:bCs/>
        </w:rPr>
      </w:pPr>
      <w:r w:rsidRPr="004C127C">
        <w:rPr>
          <w:rFonts w:cstheme="minorHAnsi"/>
          <w:b/>
          <w:bCs/>
        </w:rPr>
        <w:t>Bibliography:</w:t>
      </w:r>
    </w:p>
    <w:p w14:paraId="1B9BD503" w14:textId="46958FE4" w:rsidR="004C127C" w:rsidRPr="00F04F82" w:rsidRDefault="004C127C" w:rsidP="00D04E9E">
      <w:pPr>
        <w:rPr>
          <w:rFonts w:cstheme="minorHAnsi"/>
        </w:rPr>
      </w:pPr>
      <w:r>
        <w:rPr>
          <w:rFonts w:cstheme="minorHAnsi"/>
        </w:rPr>
        <w:t xml:space="preserve">Schmeling, G. (ed, trans), 2020, </w:t>
      </w:r>
      <w:r w:rsidRPr="005354D3">
        <w:rPr>
          <w:rFonts w:cstheme="minorHAnsi"/>
          <w:i/>
          <w:iCs/>
        </w:rPr>
        <w:t xml:space="preserve">Petronius Satyricon, Seneca </w:t>
      </w:r>
      <w:proofErr w:type="spellStart"/>
      <w:r w:rsidRPr="005354D3">
        <w:rPr>
          <w:rFonts w:cstheme="minorHAnsi"/>
          <w:i/>
          <w:iCs/>
        </w:rPr>
        <w:t>Apocolocyntosis</w:t>
      </w:r>
      <w:proofErr w:type="spellEnd"/>
      <w:r>
        <w:rPr>
          <w:rFonts w:cstheme="minorHAnsi"/>
        </w:rPr>
        <w:t xml:space="preserve">, Loeb Classical Library, Harvard University Press. </w:t>
      </w:r>
    </w:p>
    <w:p w14:paraId="69DC3C92" w14:textId="77777777" w:rsidR="004C127C" w:rsidRDefault="004C127C" w:rsidP="004C127C">
      <w:pPr>
        <w:rPr>
          <w:rFonts w:cstheme="minorHAnsi"/>
        </w:rPr>
      </w:pPr>
      <w:r w:rsidRPr="00F04F82">
        <w:rPr>
          <w:rFonts w:cstheme="minorHAnsi"/>
        </w:rPr>
        <w:t xml:space="preserve">SEDGWICK, W.B. (ed), 1950, </w:t>
      </w:r>
      <w:r w:rsidRPr="00F04F82">
        <w:rPr>
          <w:rFonts w:cstheme="minorHAnsi"/>
          <w:i/>
          <w:iCs/>
        </w:rPr>
        <w:t xml:space="preserve">The Cena </w:t>
      </w:r>
      <w:proofErr w:type="spellStart"/>
      <w:r w:rsidRPr="00F04F82">
        <w:rPr>
          <w:rFonts w:cstheme="minorHAnsi"/>
          <w:i/>
          <w:iCs/>
        </w:rPr>
        <w:t>Trimalchionis</w:t>
      </w:r>
      <w:proofErr w:type="spellEnd"/>
      <w:r w:rsidRPr="00F04F82">
        <w:rPr>
          <w:rFonts w:cstheme="minorHAnsi"/>
          <w:i/>
          <w:iCs/>
        </w:rPr>
        <w:t xml:space="preserve"> of Petronius;</w:t>
      </w:r>
      <w:r w:rsidRPr="00F04F82">
        <w:rPr>
          <w:rFonts w:cstheme="minorHAnsi"/>
        </w:rPr>
        <w:t xml:space="preserve"> Oxford at the Clarendon Press, 2</w:t>
      </w:r>
      <w:r w:rsidRPr="00F04F82">
        <w:rPr>
          <w:rFonts w:cstheme="minorHAnsi"/>
          <w:vertAlign w:val="superscript"/>
        </w:rPr>
        <w:t>nd</w:t>
      </w:r>
      <w:r w:rsidRPr="00F04F82">
        <w:rPr>
          <w:rFonts w:cstheme="minorHAnsi"/>
        </w:rPr>
        <w:t xml:space="preserve"> edition</w:t>
      </w:r>
      <w:r>
        <w:rPr>
          <w:rFonts w:cstheme="minorHAnsi"/>
        </w:rPr>
        <w:t>.</w:t>
      </w:r>
    </w:p>
    <w:p w14:paraId="0E9159FD" w14:textId="40427CAA" w:rsidR="005354D3" w:rsidRDefault="005354D3" w:rsidP="004C127C">
      <w:pPr>
        <w:rPr>
          <w:rFonts w:cstheme="minorHAnsi"/>
        </w:rPr>
      </w:pPr>
      <w:r>
        <w:rPr>
          <w:rFonts w:cstheme="minorHAnsi"/>
        </w:rPr>
        <w:t xml:space="preserve">Walsh, P.G. (ed), 2009, </w:t>
      </w:r>
      <w:r w:rsidRPr="005354D3">
        <w:rPr>
          <w:rFonts w:cstheme="minorHAnsi"/>
          <w:i/>
          <w:iCs/>
        </w:rPr>
        <w:t>The Satyricon (Oxford World Classics),</w:t>
      </w:r>
      <w:r>
        <w:rPr>
          <w:rFonts w:cstheme="minorHAnsi"/>
        </w:rPr>
        <w:t xml:space="preserve"> Oxford University Press.</w:t>
      </w:r>
    </w:p>
    <w:p w14:paraId="31245C7F" w14:textId="77777777" w:rsidR="00D04E9E" w:rsidRPr="00661D73" w:rsidRDefault="00D04E9E"/>
    <w:sectPr w:rsidR="00D04E9E" w:rsidRPr="00661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DD05B" w14:textId="77777777" w:rsidR="0056644F" w:rsidRDefault="0056644F" w:rsidP="000676EF">
      <w:pPr>
        <w:spacing w:after="0" w:line="240" w:lineRule="auto"/>
      </w:pPr>
      <w:r>
        <w:separator/>
      </w:r>
    </w:p>
  </w:endnote>
  <w:endnote w:type="continuationSeparator" w:id="0">
    <w:p w14:paraId="6DC47FEC" w14:textId="77777777" w:rsidR="0056644F" w:rsidRDefault="0056644F" w:rsidP="00067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26FFE" w14:textId="77777777" w:rsidR="0056644F" w:rsidRDefault="0056644F" w:rsidP="000676EF">
      <w:pPr>
        <w:spacing w:after="0" w:line="240" w:lineRule="auto"/>
      </w:pPr>
      <w:r>
        <w:separator/>
      </w:r>
    </w:p>
  </w:footnote>
  <w:footnote w:type="continuationSeparator" w:id="0">
    <w:p w14:paraId="41AC97A9" w14:textId="77777777" w:rsidR="0056644F" w:rsidRDefault="0056644F" w:rsidP="000676EF">
      <w:pPr>
        <w:spacing w:after="0" w:line="240" w:lineRule="auto"/>
      </w:pPr>
      <w:r>
        <w:continuationSeparator/>
      </w:r>
    </w:p>
  </w:footnote>
  <w:footnote w:id="1">
    <w:p w14:paraId="075CE0D3" w14:textId="77777777" w:rsidR="000676EF" w:rsidRDefault="000676EF" w:rsidP="000676EF">
      <w:r>
        <w:rPr>
          <w:rStyle w:val="FootnoteReference"/>
        </w:rPr>
        <w:footnoteRef/>
      </w:r>
      <w:r>
        <w:t xml:space="preserve"> Rosati, G. 1999 ‘</w:t>
      </w:r>
      <w:r w:rsidRPr="000C18D0">
        <w:rPr>
          <w:i/>
          <w:iCs/>
        </w:rPr>
        <w:t>Trimalchio on Stage’ in S. J. Harrison (ed), Oxford Readings in the Roman Novel</w:t>
      </w:r>
      <w:r>
        <w:t>, (Oxford and New York), 85-104.</w:t>
      </w:r>
    </w:p>
    <w:p w14:paraId="48E2E6F2" w14:textId="1129BCD9" w:rsidR="000676EF" w:rsidRPr="000676EF" w:rsidRDefault="000676EF">
      <w:pPr>
        <w:pStyle w:val="FootnoteText"/>
      </w:pPr>
    </w:p>
  </w:footnote>
  <w:footnote w:id="2">
    <w:p w14:paraId="3D07EC26" w14:textId="7685A0AC" w:rsidR="000676EF" w:rsidRPr="000676EF" w:rsidRDefault="000676EF">
      <w:pPr>
        <w:pStyle w:val="FootnoteText"/>
        <w:rPr>
          <w:lang w:val="en-US"/>
        </w:rPr>
      </w:pPr>
      <w:r>
        <w:rPr>
          <w:rStyle w:val="FootnoteReference"/>
        </w:rPr>
        <w:footnoteRef/>
      </w:r>
      <w:r>
        <w:t xml:space="preserve"> </w:t>
      </w:r>
      <w:r>
        <w:rPr>
          <w:lang w:val="en-US"/>
        </w:rPr>
        <w:t>ibid</w:t>
      </w:r>
    </w:p>
  </w:footnote>
  <w:footnote w:id="3">
    <w:p w14:paraId="7E8D1CF2" w14:textId="3B6076D1" w:rsidR="000676EF" w:rsidRDefault="000676EF" w:rsidP="000676EF">
      <w:r>
        <w:rPr>
          <w:rStyle w:val="FootnoteReference"/>
        </w:rPr>
        <w:footnoteRef/>
      </w:r>
      <w:r>
        <w:t xml:space="preserve"> </w:t>
      </w:r>
      <w:r w:rsidRPr="00AB622C">
        <w:t xml:space="preserve">Bodel, J. (Ed.). (2001). </w:t>
      </w:r>
      <w:r w:rsidRPr="000C18D0">
        <w:rPr>
          <w:i/>
          <w:iCs/>
        </w:rPr>
        <w:t>Epigraphic Evidence: Ancient History from Inscriptions</w:t>
      </w:r>
      <w:r w:rsidRPr="00AB622C">
        <w:t xml:space="preserve"> (1st ed.). Routledge. </w:t>
      </w:r>
    </w:p>
    <w:p w14:paraId="4BE5EB23" w14:textId="069C75D1" w:rsidR="000676EF" w:rsidRPr="000676EF" w:rsidRDefault="000676EF">
      <w:pPr>
        <w:pStyle w:val="FootnoteText"/>
        <w:rPr>
          <w:lang w:val="en-US"/>
        </w:rPr>
      </w:pPr>
    </w:p>
  </w:footnote>
  <w:footnote w:id="4">
    <w:p w14:paraId="4F670861" w14:textId="77777777" w:rsidR="000676EF" w:rsidRDefault="000676EF" w:rsidP="000676EF">
      <w:r>
        <w:rPr>
          <w:rStyle w:val="FootnoteReference"/>
        </w:rPr>
        <w:footnoteRef/>
      </w:r>
      <w:r>
        <w:t xml:space="preserve"> Ramsby, T. 2012, ‘Reading the Freed Slave in the </w:t>
      </w:r>
      <w:r w:rsidRPr="00E9300A">
        <w:rPr>
          <w:i/>
          <w:iCs/>
        </w:rPr>
        <w:t xml:space="preserve">Cena </w:t>
      </w:r>
      <w:proofErr w:type="spellStart"/>
      <w:r w:rsidRPr="00E9300A">
        <w:rPr>
          <w:i/>
          <w:iCs/>
        </w:rPr>
        <w:t>Trimalchionis</w:t>
      </w:r>
      <w:proofErr w:type="spellEnd"/>
      <w:r w:rsidRPr="00E9300A">
        <w:rPr>
          <w:i/>
          <w:iCs/>
        </w:rPr>
        <w:t>’</w:t>
      </w:r>
      <w:r>
        <w:t xml:space="preserve"> in Freed at Last! The Impact of Freed Slaves on the Roman Empire (London: Bristol 66-87)</w:t>
      </w:r>
    </w:p>
    <w:p w14:paraId="687B157C" w14:textId="3EB95438" w:rsidR="000676EF" w:rsidRPr="000676EF" w:rsidRDefault="000676EF">
      <w:pPr>
        <w:pStyle w:val="FootnoteText"/>
      </w:pPr>
    </w:p>
  </w:footnote>
  <w:footnote w:id="5">
    <w:p w14:paraId="689860ED" w14:textId="2C066BF3" w:rsidR="005A6CA4" w:rsidRDefault="005A6CA4" w:rsidP="005A6CA4">
      <w:pPr>
        <w:rPr>
          <w:lang w:val="en-US"/>
        </w:rPr>
      </w:pPr>
      <w:r>
        <w:rPr>
          <w:rStyle w:val="FootnoteReference"/>
        </w:rPr>
        <w:footnoteRef/>
      </w:r>
      <w:r>
        <w:t xml:space="preserve"> </w:t>
      </w:r>
      <w:proofErr w:type="spellStart"/>
      <w:r>
        <w:t>Bacalusias</w:t>
      </w:r>
      <w:proofErr w:type="spellEnd"/>
      <w:r>
        <w:t xml:space="preserve">: </w:t>
      </w:r>
      <w:r w:rsidRPr="000C18D0">
        <w:rPr>
          <w:i/>
          <w:iCs/>
        </w:rPr>
        <w:t>A Transitional Hapax in Petronius “Satyricon"</w:t>
      </w:r>
      <w:r>
        <w:t xml:space="preserve"> 41.2 Author(s): Rick M. Newton Source: Classical Philology, </w:t>
      </w:r>
      <w:proofErr w:type="gramStart"/>
      <w:r>
        <w:t>July,</w:t>
      </w:r>
      <w:proofErr w:type="gramEnd"/>
      <w:r>
        <w:t xml:space="preserve"> 1992, Vol. 87, No. 3 (Jul., 1992), pp. 246-249 Published by: The University of Chicago Press Stable.</w:t>
      </w:r>
    </w:p>
    <w:p w14:paraId="26C4107F" w14:textId="38CB60EE" w:rsidR="005A6CA4" w:rsidRPr="005A6CA4" w:rsidRDefault="005A6CA4">
      <w:pPr>
        <w:pStyle w:val="FootnoteText"/>
        <w:rPr>
          <w:lang w:val="en-US"/>
        </w:rPr>
      </w:pPr>
    </w:p>
  </w:footnote>
  <w:footnote w:id="6">
    <w:p w14:paraId="444FD0D9" w14:textId="77777777" w:rsidR="005A6CA4" w:rsidRDefault="005A6CA4" w:rsidP="005A6CA4">
      <w:r>
        <w:rPr>
          <w:rStyle w:val="FootnoteReference"/>
        </w:rPr>
        <w:footnoteRef/>
      </w:r>
      <w:r>
        <w:t xml:space="preserve"> </w:t>
      </w:r>
      <w:r w:rsidRPr="00661D73">
        <w:t xml:space="preserve">Steadman, G. </w:t>
      </w:r>
      <w:r>
        <w:t xml:space="preserve">2018 </w:t>
      </w:r>
      <w:r w:rsidRPr="000C18D0">
        <w:rPr>
          <w:i/>
          <w:iCs/>
        </w:rPr>
        <w:t xml:space="preserve">Petronius Cena </w:t>
      </w:r>
      <w:proofErr w:type="spellStart"/>
      <w:r w:rsidRPr="000C18D0">
        <w:rPr>
          <w:i/>
          <w:iCs/>
        </w:rPr>
        <w:t>Trimalchionis</w:t>
      </w:r>
      <w:proofErr w:type="spellEnd"/>
      <w:r w:rsidRPr="000C18D0">
        <w:rPr>
          <w:i/>
          <w:iCs/>
        </w:rPr>
        <w:t>, Latin Text with Facing Vocabulary and Commentary</w:t>
      </w:r>
      <w:r w:rsidRPr="00E9300A">
        <w:t>,</w:t>
      </w:r>
      <w:r>
        <w:t xml:space="preserve"> published by Geoffrey Steadman.</w:t>
      </w:r>
    </w:p>
    <w:p w14:paraId="5BBBD4BC" w14:textId="450BDF9C" w:rsidR="005A6CA4" w:rsidRPr="005A6CA4" w:rsidRDefault="005A6CA4">
      <w:pPr>
        <w:pStyle w:val="FootnoteText"/>
      </w:pPr>
    </w:p>
  </w:footnote>
  <w:footnote w:id="7">
    <w:p w14:paraId="167C0E81" w14:textId="77777777" w:rsidR="00E60705" w:rsidRDefault="00E60705" w:rsidP="00E60705">
      <w:r>
        <w:rPr>
          <w:rStyle w:val="FootnoteReference"/>
        </w:rPr>
        <w:footnoteRef/>
      </w:r>
      <w:r>
        <w:t xml:space="preserve"> Ramsby, T. 2012, ‘Reading the Freed Slave in the </w:t>
      </w:r>
      <w:r w:rsidRPr="00E9300A">
        <w:rPr>
          <w:i/>
          <w:iCs/>
        </w:rPr>
        <w:t xml:space="preserve">Cena </w:t>
      </w:r>
      <w:proofErr w:type="spellStart"/>
      <w:r w:rsidRPr="00E9300A">
        <w:rPr>
          <w:i/>
          <w:iCs/>
        </w:rPr>
        <w:t>Trimalchionis</w:t>
      </w:r>
      <w:proofErr w:type="spellEnd"/>
      <w:r w:rsidRPr="00E9300A">
        <w:rPr>
          <w:i/>
          <w:iCs/>
        </w:rPr>
        <w:t>’</w:t>
      </w:r>
      <w:r>
        <w:t xml:space="preserve"> in Freed at Last! The Impact of Freed Slaves on the Roman Empire (London: Bristol 66-87)</w:t>
      </w:r>
    </w:p>
    <w:p w14:paraId="17EA6D4E" w14:textId="30452BAD" w:rsidR="00E60705" w:rsidRPr="00E60705" w:rsidRDefault="00E60705">
      <w:pPr>
        <w:pStyle w:val="FootnoteText"/>
      </w:pPr>
    </w:p>
  </w:footnote>
  <w:footnote w:id="8">
    <w:p w14:paraId="36DA4A3C" w14:textId="77777777" w:rsidR="00E60705" w:rsidRDefault="00E60705" w:rsidP="00E60705">
      <w:pPr>
        <w:rPr>
          <w:rFonts w:cstheme="minorHAnsi"/>
        </w:rPr>
      </w:pPr>
      <w:r>
        <w:rPr>
          <w:rStyle w:val="FootnoteReference"/>
        </w:rPr>
        <w:footnoteRef/>
      </w:r>
      <w:r>
        <w:t xml:space="preserve"> </w:t>
      </w:r>
      <w:r w:rsidRPr="00F04F82">
        <w:rPr>
          <w:rFonts w:cstheme="minorHAnsi"/>
        </w:rPr>
        <w:t xml:space="preserve">SEDGWICK, W.B. (ed), 1950, </w:t>
      </w:r>
      <w:r w:rsidRPr="00F04F82">
        <w:rPr>
          <w:rFonts w:cstheme="minorHAnsi"/>
          <w:i/>
          <w:iCs/>
        </w:rPr>
        <w:t xml:space="preserve">The Cena </w:t>
      </w:r>
      <w:proofErr w:type="spellStart"/>
      <w:r w:rsidRPr="00F04F82">
        <w:rPr>
          <w:rFonts w:cstheme="minorHAnsi"/>
          <w:i/>
          <w:iCs/>
        </w:rPr>
        <w:t>Trimalchionis</w:t>
      </w:r>
      <w:proofErr w:type="spellEnd"/>
      <w:r w:rsidRPr="00F04F82">
        <w:rPr>
          <w:rFonts w:cstheme="minorHAnsi"/>
          <w:i/>
          <w:iCs/>
        </w:rPr>
        <w:t xml:space="preserve"> of Petronius;</w:t>
      </w:r>
      <w:r w:rsidRPr="00F04F82">
        <w:rPr>
          <w:rFonts w:cstheme="minorHAnsi"/>
        </w:rPr>
        <w:t xml:space="preserve"> Oxford at the Clarendon Press, 2</w:t>
      </w:r>
      <w:r w:rsidRPr="00F04F82">
        <w:rPr>
          <w:rFonts w:cstheme="minorHAnsi"/>
          <w:vertAlign w:val="superscript"/>
        </w:rPr>
        <w:t>nd</w:t>
      </w:r>
      <w:r w:rsidRPr="00F04F82">
        <w:rPr>
          <w:rFonts w:cstheme="minorHAnsi"/>
        </w:rPr>
        <w:t xml:space="preserve"> edition</w:t>
      </w:r>
      <w:r>
        <w:rPr>
          <w:rFonts w:cstheme="minorHAnsi"/>
        </w:rPr>
        <w:t>.</w:t>
      </w:r>
    </w:p>
    <w:p w14:paraId="465E3AB8" w14:textId="6F5EBFDA" w:rsidR="00E60705" w:rsidRPr="00E60705" w:rsidRDefault="00E6070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4210D"/>
    <w:multiLevelType w:val="hybridMultilevel"/>
    <w:tmpl w:val="FA22A1B6"/>
    <w:lvl w:ilvl="0" w:tplc="BD94571A">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 w15:restartNumberingAfterBreak="0">
    <w:nsid w:val="3FAE34E3"/>
    <w:multiLevelType w:val="hybridMultilevel"/>
    <w:tmpl w:val="23F612AE"/>
    <w:lvl w:ilvl="0" w:tplc="221E4562">
      <w:numFmt w:val="bullet"/>
      <w:lvlText w:val="-"/>
      <w:lvlJc w:val="left"/>
      <w:pPr>
        <w:ind w:left="410" w:hanging="360"/>
      </w:pPr>
      <w:rPr>
        <w:rFonts w:ascii="Calibri" w:eastAsiaTheme="minorHAnsi" w:hAnsi="Calibri" w:cs="Calibri" w:hint="default"/>
      </w:rPr>
    </w:lvl>
    <w:lvl w:ilvl="1" w:tplc="08090003">
      <w:start w:val="1"/>
      <w:numFmt w:val="bullet"/>
      <w:lvlText w:val="o"/>
      <w:lvlJc w:val="left"/>
      <w:pPr>
        <w:ind w:left="1130" w:hanging="360"/>
      </w:pPr>
      <w:rPr>
        <w:rFonts w:ascii="Courier New" w:hAnsi="Courier New" w:cs="Courier New" w:hint="default"/>
      </w:rPr>
    </w:lvl>
    <w:lvl w:ilvl="2" w:tplc="08090005">
      <w:start w:val="1"/>
      <w:numFmt w:val="bullet"/>
      <w:lvlText w:val=""/>
      <w:lvlJc w:val="left"/>
      <w:pPr>
        <w:ind w:left="1850" w:hanging="360"/>
      </w:pPr>
      <w:rPr>
        <w:rFonts w:ascii="Wingdings" w:hAnsi="Wingdings" w:hint="default"/>
      </w:rPr>
    </w:lvl>
    <w:lvl w:ilvl="3" w:tplc="08090001">
      <w:start w:val="1"/>
      <w:numFmt w:val="bullet"/>
      <w:lvlText w:val=""/>
      <w:lvlJc w:val="left"/>
      <w:pPr>
        <w:ind w:left="2570" w:hanging="360"/>
      </w:pPr>
      <w:rPr>
        <w:rFonts w:ascii="Symbol" w:hAnsi="Symbol" w:hint="default"/>
      </w:rPr>
    </w:lvl>
    <w:lvl w:ilvl="4" w:tplc="08090003">
      <w:start w:val="1"/>
      <w:numFmt w:val="bullet"/>
      <w:lvlText w:val="o"/>
      <w:lvlJc w:val="left"/>
      <w:pPr>
        <w:ind w:left="3290" w:hanging="360"/>
      </w:pPr>
      <w:rPr>
        <w:rFonts w:ascii="Courier New" w:hAnsi="Courier New" w:cs="Courier New" w:hint="default"/>
      </w:rPr>
    </w:lvl>
    <w:lvl w:ilvl="5" w:tplc="08090005">
      <w:start w:val="1"/>
      <w:numFmt w:val="bullet"/>
      <w:lvlText w:val=""/>
      <w:lvlJc w:val="left"/>
      <w:pPr>
        <w:ind w:left="4010" w:hanging="360"/>
      </w:pPr>
      <w:rPr>
        <w:rFonts w:ascii="Wingdings" w:hAnsi="Wingdings" w:hint="default"/>
      </w:rPr>
    </w:lvl>
    <w:lvl w:ilvl="6" w:tplc="08090001">
      <w:start w:val="1"/>
      <w:numFmt w:val="bullet"/>
      <w:lvlText w:val=""/>
      <w:lvlJc w:val="left"/>
      <w:pPr>
        <w:ind w:left="4730" w:hanging="360"/>
      </w:pPr>
      <w:rPr>
        <w:rFonts w:ascii="Symbol" w:hAnsi="Symbol" w:hint="default"/>
      </w:rPr>
    </w:lvl>
    <w:lvl w:ilvl="7" w:tplc="08090003">
      <w:start w:val="1"/>
      <w:numFmt w:val="bullet"/>
      <w:lvlText w:val="o"/>
      <w:lvlJc w:val="left"/>
      <w:pPr>
        <w:ind w:left="5450" w:hanging="360"/>
      </w:pPr>
      <w:rPr>
        <w:rFonts w:ascii="Courier New" w:hAnsi="Courier New" w:cs="Courier New" w:hint="default"/>
      </w:rPr>
    </w:lvl>
    <w:lvl w:ilvl="8" w:tplc="08090005">
      <w:start w:val="1"/>
      <w:numFmt w:val="bullet"/>
      <w:lvlText w:val=""/>
      <w:lvlJc w:val="left"/>
      <w:pPr>
        <w:ind w:left="6170" w:hanging="360"/>
      </w:pPr>
      <w:rPr>
        <w:rFonts w:ascii="Wingdings" w:hAnsi="Wingdings" w:hint="default"/>
      </w:rPr>
    </w:lvl>
  </w:abstractNum>
  <w:num w:numId="1" w16cid:durableId="1592397715">
    <w:abstractNumId w:val="1"/>
  </w:num>
  <w:num w:numId="2" w16cid:durableId="367268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A9E"/>
    <w:rsid w:val="00000BF8"/>
    <w:rsid w:val="000676EF"/>
    <w:rsid w:val="0009008E"/>
    <w:rsid w:val="000C18D0"/>
    <w:rsid w:val="00111E2F"/>
    <w:rsid w:val="001D44AF"/>
    <w:rsid w:val="00245068"/>
    <w:rsid w:val="0025134B"/>
    <w:rsid w:val="00316B29"/>
    <w:rsid w:val="00402BC8"/>
    <w:rsid w:val="004108A0"/>
    <w:rsid w:val="00462E02"/>
    <w:rsid w:val="004A2AE7"/>
    <w:rsid w:val="004C07F4"/>
    <w:rsid w:val="004C127C"/>
    <w:rsid w:val="004D4BA7"/>
    <w:rsid w:val="005354D3"/>
    <w:rsid w:val="005411FF"/>
    <w:rsid w:val="00547AAA"/>
    <w:rsid w:val="00553D64"/>
    <w:rsid w:val="0056644F"/>
    <w:rsid w:val="005673F5"/>
    <w:rsid w:val="00570863"/>
    <w:rsid w:val="005801F6"/>
    <w:rsid w:val="005926A5"/>
    <w:rsid w:val="005A6CA4"/>
    <w:rsid w:val="00661D73"/>
    <w:rsid w:val="00670326"/>
    <w:rsid w:val="006D1DA6"/>
    <w:rsid w:val="0078672A"/>
    <w:rsid w:val="00787D77"/>
    <w:rsid w:val="007C4C75"/>
    <w:rsid w:val="007E134E"/>
    <w:rsid w:val="008454F8"/>
    <w:rsid w:val="008C0318"/>
    <w:rsid w:val="008F4E06"/>
    <w:rsid w:val="009154D4"/>
    <w:rsid w:val="009D1E69"/>
    <w:rsid w:val="00A30EB8"/>
    <w:rsid w:val="00A611C3"/>
    <w:rsid w:val="00A84A3A"/>
    <w:rsid w:val="00A92BC7"/>
    <w:rsid w:val="00AB622C"/>
    <w:rsid w:val="00AC48A7"/>
    <w:rsid w:val="00B1329C"/>
    <w:rsid w:val="00B8466F"/>
    <w:rsid w:val="00C36831"/>
    <w:rsid w:val="00C65A9E"/>
    <w:rsid w:val="00C70ED3"/>
    <w:rsid w:val="00C94876"/>
    <w:rsid w:val="00D04998"/>
    <w:rsid w:val="00D04E9E"/>
    <w:rsid w:val="00D33D23"/>
    <w:rsid w:val="00D82690"/>
    <w:rsid w:val="00D83CD0"/>
    <w:rsid w:val="00DA7057"/>
    <w:rsid w:val="00E4628C"/>
    <w:rsid w:val="00E46D98"/>
    <w:rsid w:val="00E60705"/>
    <w:rsid w:val="00E9300A"/>
    <w:rsid w:val="00E96DD9"/>
    <w:rsid w:val="00F04F82"/>
    <w:rsid w:val="00F412BE"/>
    <w:rsid w:val="00F472BE"/>
    <w:rsid w:val="00F50F12"/>
    <w:rsid w:val="00F73201"/>
    <w:rsid w:val="00F90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5D1FE"/>
  <w15:chartTrackingRefBased/>
  <w15:docId w15:val="{A537A9AA-7A1E-47F9-A51A-2ACCBAB6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CD0"/>
    <w:pPr>
      <w:spacing w:line="256" w:lineRule="auto"/>
    </w:pPr>
  </w:style>
  <w:style w:type="paragraph" w:styleId="Heading1">
    <w:name w:val="heading 1"/>
    <w:basedOn w:val="Normal"/>
    <w:next w:val="Normal"/>
    <w:link w:val="Heading1Char"/>
    <w:uiPriority w:val="9"/>
    <w:qFormat/>
    <w:rsid w:val="00C65A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65A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5A9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5A9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5A9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5A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5A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5A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5A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5A9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65A9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65A9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5A9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5A9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5A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5A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5A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5A9E"/>
    <w:rPr>
      <w:rFonts w:eastAsiaTheme="majorEastAsia" w:cstheme="majorBidi"/>
      <w:color w:val="272727" w:themeColor="text1" w:themeTint="D8"/>
    </w:rPr>
  </w:style>
  <w:style w:type="paragraph" w:styleId="Title">
    <w:name w:val="Title"/>
    <w:basedOn w:val="Normal"/>
    <w:next w:val="Normal"/>
    <w:link w:val="TitleChar"/>
    <w:uiPriority w:val="10"/>
    <w:qFormat/>
    <w:rsid w:val="00C65A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5A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5A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5A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5A9E"/>
    <w:pPr>
      <w:spacing w:before="160"/>
      <w:jc w:val="center"/>
    </w:pPr>
    <w:rPr>
      <w:i/>
      <w:iCs/>
      <w:color w:val="404040" w:themeColor="text1" w:themeTint="BF"/>
    </w:rPr>
  </w:style>
  <w:style w:type="character" w:customStyle="1" w:styleId="QuoteChar">
    <w:name w:val="Quote Char"/>
    <w:basedOn w:val="DefaultParagraphFont"/>
    <w:link w:val="Quote"/>
    <w:uiPriority w:val="29"/>
    <w:rsid w:val="00C65A9E"/>
    <w:rPr>
      <w:i/>
      <w:iCs/>
      <w:color w:val="404040" w:themeColor="text1" w:themeTint="BF"/>
    </w:rPr>
  </w:style>
  <w:style w:type="paragraph" w:styleId="ListParagraph">
    <w:name w:val="List Paragraph"/>
    <w:basedOn w:val="Normal"/>
    <w:uiPriority w:val="34"/>
    <w:qFormat/>
    <w:rsid w:val="00C65A9E"/>
    <w:pPr>
      <w:ind w:left="720"/>
      <w:contextualSpacing/>
    </w:pPr>
  </w:style>
  <w:style w:type="character" w:styleId="IntenseEmphasis">
    <w:name w:val="Intense Emphasis"/>
    <w:basedOn w:val="DefaultParagraphFont"/>
    <w:uiPriority w:val="21"/>
    <w:qFormat/>
    <w:rsid w:val="00C65A9E"/>
    <w:rPr>
      <w:i/>
      <w:iCs/>
      <w:color w:val="2F5496" w:themeColor="accent1" w:themeShade="BF"/>
    </w:rPr>
  </w:style>
  <w:style w:type="paragraph" w:styleId="IntenseQuote">
    <w:name w:val="Intense Quote"/>
    <w:basedOn w:val="Normal"/>
    <w:next w:val="Normal"/>
    <w:link w:val="IntenseQuoteChar"/>
    <w:uiPriority w:val="30"/>
    <w:qFormat/>
    <w:rsid w:val="00C65A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5A9E"/>
    <w:rPr>
      <w:i/>
      <w:iCs/>
      <w:color w:val="2F5496" w:themeColor="accent1" w:themeShade="BF"/>
    </w:rPr>
  </w:style>
  <w:style w:type="character" w:styleId="IntenseReference">
    <w:name w:val="Intense Reference"/>
    <w:basedOn w:val="DefaultParagraphFont"/>
    <w:uiPriority w:val="32"/>
    <w:qFormat/>
    <w:rsid w:val="00C65A9E"/>
    <w:rPr>
      <w:b/>
      <w:bCs/>
      <w:smallCaps/>
      <w:color w:val="2F5496" w:themeColor="accent1" w:themeShade="BF"/>
      <w:spacing w:val="5"/>
    </w:rPr>
  </w:style>
  <w:style w:type="character" w:styleId="Hyperlink">
    <w:name w:val="Hyperlink"/>
    <w:basedOn w:val="DefaultParagraphFont"/>
    <w:uiPriority w:val="99"/>
    <w:unhideWhenUsed/>
    <w:rsid w:val="00D83CD0"/>
    <w:rPr>
      <w:color w:val="0000FF"/>
      <w:u w:val="single"/>
    </w:rPr>
  </w:style>
  <w:style w:type="character" w:styleId="UnresolvedMention">
    <w:name w:val="Unresolved Mention"/>
    <w:basedOn w:val="DefaultParagraphFont"/>
    <w:uiPriority w:val="99"/>
    <w:semiHidden/>
    <w:unhideWhenUsed/>
    <w:rsid w:val="00316B29"/>
    <w:rPr>
      <w:color w:val="605E5C"/>
      <w:shd w:val="clear" w:color="auto" w:fill="E1DFDD"/>
    </w:rPr>
  </w:style>
  <w:style w:type="paragraph" w:styleId="FootnoteText">
    <w:name w:val="footnote text"/>
    <w:basedOn w:val="Normal"/>
    <w:link w:val="FootnoteTextChar"/>
    <w:uiPriority w:val="99"/>
    <w:semiHidden/>
    <w:unhideWhenUsed/>
    <w:rsid w:val="000676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76EF"/>
    <w:rPr>
      <w:sz w:val="20"/>
      <w:szCs w:val="20"/>
    </w:rPr>
  </w:style>
  <w:style w:type="character" w:styleId="FootnoteReference">
    <w:name w:val="footnote reference"/>
    <w:basedOn w:val="DefaultParagraphFont"/>
    <w:uiPriority w:val="99"/>
    <w:semiHidden/>
    <w:unhideWhenUsed/>
    <w:rsid w:val="000676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01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14E89-E582-43C7-9C81-4075F4288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4877</TotalTime>
  <Pages>5</Pages>
  <Words>1717</Words>
  <Characters>9789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gilbert</dc:creator>
  <cp:keywords/>
  <dc:description/>
  <cp:lastModifiedBy>tim gilbert</cp:lastModifiedBy>
  <cp:revision>48</cp:revision>
  <dcterms:created xsi:type="dcterms:W3CDTF">2024-03-23T15:43:00Z</dcterms:created>
  <dcterms:modified xsi:type="dcterms:W3CDTF">2024-03-27T10:19:00Z</dcterms:modified>
</cp:coreProperties>
</file>