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12B5686" w:rsidP="712B5686" w:rsidRDefault="712B5686" w14:paraId="13944643" w14:textId="3419AA89">
      <w:pPr>
        <w:spacing w:line="360" w:lineRule="auto"/>
        <w:jc w:val="center"/>
        <w:rPr>
          <w:b w:val="1"/>
          <w:bCs w:val="1"/>
          <w:sz w:val="24"/>
          <w:szCs w:val="24"/>
        </w:rPr>
      </w:pPr>
      <w:r w:rsidRPr="712B5686" w:rsidR="712B5686">
        <w:rPr>
          <w:b w:val="0"/>
          <w:bCs w:val="0"/>
          <w:i w:val="0"/>
          <w:iCs w:val="0"/>
          <w:sz w:val="24"/>
          <w:szCs w:val="24"/>
          <w:u w:val="single"/>
        </w:rPr>
        <w:t xml:space="preserve">Portfolio </w:t>
      </w:r>
    </w:p>
    <w:p xmlns:wp14="http://schemas.microsoft.com/office/word/2010/wordml" w:rsidP="7B1A45D6" w14:paraId="3E97D8CD" wp14:textId="0D6C8B78">
      <w:pPr>
        <w:spacing w:line="360" w:lineRule="auto"/>
        <w:rPr>
          <w:b w:val="1"/>
          <w:bCs w:val="1"/>
          <w:sz w:val="24"/>
          <w:szCs w:val="24"/>
        </w:rPr>
      </w:pPr>
      <w:bookmarkStart w:name="_GoBack" w:id="0"/>
      <w:bookmarkEnd w:id="0"/>
      <w:r w:rsidRPr="7B1A45D6" w:rsidR="7B1A45D6">
        <w:rPr>
          <w:b w:val="1"/>
          <w:bCs w:val="1"/>
          <w:sz w:val="24"/>
          <w:szCs w:val="24"/>
        </w:rPr>
        <w:t>Task 1</w:t>
      </w:r>
    </w:p>
    <w:p xmlns:wp14="http://schemas.microsoft.com/office/word/2010/wordml" w:rsidP="7B1A45D6" w14:paraId="4D46E36F" wp14:textId="169494BC">
      <w:pPr>
        <w:spacing w:line="360" w:lineRule="auto"/>
        <w:rPr>
          <w:sz w:val="24"/>
          <w:szCs w:val="24"/>
        </w:rPr>
      </w:pPr>
      <w:r w:rsidRPr="076F5BC5" w:rsidR="076F5BC5">
        <w:rPr>
          <w:sz w:val="24"/>
          <w:szCs w:val="24"/>
        </w:rPr>
        <w:t>In this task I will be paraphrasing the Post Traumatic Stress Disorder section of the book chapter.</w:t>
      </w:r>
    </w:p>
    <w:p xmlns:wp14="http://schemas.microsoft.com/office/word/2010/wordml" w:rsidP="7B1A45D6" w14:paraId="559688AF" wp14:textId="6F4D47D0">
      <w:pPr>
        <w:pStyle w:val="Normal"/>
        <w:spacing w:line="360" w:lineRule="auto"/>
        <w:rPr>
          <w:sz w:val="24"/>
          <w:szCs w:val="24"/>
        </w:rPr>
      </w:pPr>
      <w:r w:rsidRPr="4717710A" w:rsidR="4717710A">
        <w:rPr>
          <w:sz w:val="24"/>
          <w:szCs w:val="24"/>
        </w:rPr>
        <w:t>Post-Traumatic Stress Disorder known as PTSD came about during the first world war. Soldiers experienced a shock like state from prolonged combat and poor conditions. This was known as shell-shock. In the second world war, soldiers were described to have combat fatigue, where the signs were similar to PTSD and triggered by terror, agitation and insomnia. The term PTSD was followed by the Vietnam war, which described it as being an anxiety disorder in one's response to extreme physical or psychological trauma. (Gross, 2010)</w:t>
      </w:r>
    </w:p>
    <w:p xmlns:wp14="http://schemas.microsoft.com/office/word/2010/wordml" w:rsidP="7B1A45D6" w14:paraId="2B120CF9" wp14:textId="277A7E8F">
      <w:pPr>
        <w:pStyle w:val="Normal"/>
        <w:spacing w:line="360" w:lineRule="auto"/>
        <w:rPr>
          <w:sz w:val="24"/>
          <w:szCs w:val="24"/>
        </w:rPr>
      </w:pPr>
      <w:r w:rsidRPr="7B1A45D6" w:rsidR="7B1A45D6">
        <w:rPr>
          <w:sz w:val="24"/>
          <w:szCs w:val="24"/>
        </w:rPr>
        <w:t>PTSD can occur in other situations such as witnessing deaths, feelings of physical threat to the individual or their family, and also being a part of a natural or man-made disaster. 1 out of 3 people will experience PTSD, it is not clear as to why some develop the condition and others do not. (Gross,2010)</w:t>
      </w:r>
    </w:p>
    <w:p xmlns:wp14="http://schemas.microsoft.com/office/word/2010/wordml" w:rsidP="7B1A45D6" w14:paraId="2262EC4E" wp14:textId="142EC0C2">
      <w:pPr>
        <w:pStyle w:val="Normal"/>
        <w:spacing w:line="360" w:lineRule="auto"/>
        <w:rPr>
          <w:sz w:val="24"/>
          <w:szCs w:val="24"/>
        </w:rPr>
      </w:pPr>
      <w:proofErr w:type="spellStart"/>
      <w:r w:rsidRPr="7B1A45D6" w:rsidR="7B1A45D6">
        <w:rPr>
          <w:sz w:val="24"/>
          <w:szCs w:val="24"/>
        </w:rPr>
        <w:t>Frued</w:t>
      </w:r>
      <w:proofErr w:type="spellEnd"/>
      <w:r w:rsidRPr="7B1A45D6" w:rsidR="7B1A45D6">
        <w:rPr>
          <w:sz w:val="24"/>
          <w:szCs w:val="24"/>
        </w:rPr>
        <w:t xml:space="preserve"> thought that individuals with neurotic disorders could not recall any bad experiences. However, As Brewin (1998) argues that you will try to avoid but cannot prevent any emotional flashbacks occurring in one's conscious or sub conscious mind. He suggests that you have no control over any re occurring PTSD episodes. (Gross, 2010)</w:t>
      </w:r>
    </w:p>
    <w:p xmlns:wp14="http://schemas.microsoft.com/office/word/2010/wordml" w:rsidP="7B1A45D6" w14:paraId="1681CE93" wp14:textId="5336E511">
      <w:pPr>
        <w:pStyle w:val="Normal"/>
        <w:spacing w:line="360" w:lineRule="auto"/>
        <w:rPr>
          <w:sz w:val="24"/>
          <w:szCs w:val="24"/>
        </w:rPr>
      </w:pPr>
      <w:r w:rsidRPr="7B1A45D6" w:rsidR="7B1A45D6">
        <w:rPr>
          <w:sz w:val="24"/>
          <w:szCs w:val="24"/>
        </w:rPr>
        <w:t xml:space="preserve">Whilst some PTSD have immediate effects on the individual, it may take weeks, months, or years for PTSD to present itself. Triggers such as sight, smell, sound or even thoughts can bring back traumatic memories. For </w:t>
      </w:r>
      <w:proofErr w:type="gramStart"/>
      <w:r w:rsidRPr="7B1A45D6" w:rsidR="7B1A45D6">
        <w:rPr>
          <w:sz w:val="24"/>
          <w:szCs w:val="24"/>
        </w:rPr>
        <w:t>example</w:t>
      </w:r>
      <w:proofErr w:type="gramEnd"/>
      <w:r w:rsidRPr="7B1A45D6" w:rsidR="7B1A45D6">
        <w:rPr>
          <w:sz w:val="24"/>
          <w:szCs w:val="24"/>
        </w:rPr>
        <w:t xml:space="preserve"> the smell of smoke can bring back the image of a house fire you were involved in, creating fear and experiencing an episode of PTSD. (Gross, 2010)</w:t>
      </w:r>
    </w:p>
    <w:p w:rsidR="13F63173" w:rsidP="7B1A45D6" w:rsidRDefault="13F63173" w14:paraId="0FC8AE5C" w14:textId="380D1F18">
      <w:pPr>
        <w:pStyle w:val="Normal"/>
        <w:spacing w:line="360" w:lineRule="auto"/>
        <w:rPr>
          <w:sz w:val="24"/>
          <w:szCs w:val="24"/>
        </w:rPr>
      </w:pPr>
      <w:r w:rsidRPr="7B1A45D6" w:rsidR="7B1A45D6">
        <w:rPr>
          <w:sz w:val="24"/>
          <w:szCs w:val="24"/>
        </w:rPr>
        <w:t>Although there wasn’t many cases of shell shock or combat fatigue during the first world wars, it was found more difficult for soldiers who returned to the USA from the Vietnam war to adjust to civilian life, compared to those who fought in world war 1 and 2. They experienced an overwhelming feeling of guilt that they had survived. (Gross, 2010)</w:t>
      </w:r>
    </w:p>
    <w:p w:rsidR="13F63173" w:rsidP="7B1A45D6" w:rsidRDefault="13F63173" w14:paraId="5A40CA7B" w14:textId="08B93039">
      <w:pPr>
        <w:pStyle w:val="Normal"/>
        <w:spacing w:line="360" w:lineRule="auto"/>
        <w:rPr>
          <w:sz w:val="24"/>
          <w:szCs w:val="24"/>
        </w:rPr>
      </w:pPr>
      <w:r w:rsidRPr="7B1A45D6" w:rsidR="7B1A45D6">
        <w:rPr>
          <w:sz w:val="24"/>
          <w:szCs w:val="24"/>
        </w:rPr>
        <w:t xml:space="preserve">PTSD is caused by the environment. Other anxiety disorders do not present the same background factors, </w:t>
      </w:r>
      <w:proofErr w:type="gramStart"/>
      <w:r w:rsidRPr="7B1A45D6" w:rsidR="7B1A45D6">
        <w:rPr>
          <w:sz w:val="24"/>
          <w:szCs w:val="24"/>
        </w:rPr>
        <w:t>where as</w:t>
      </w:r>
      <w:proofErr w:type="gramEnd"/>
      <w:r w:rsidRPr="7B1A45D6" w:rsidR="7B1A45D6">
        <w:rPr>
          <w:sz w:val="24"/>
          <w:szCs w:val="24"/>
        </w:rPr>
        <w:t xml:space="preserve"> all PTSD sufferers have been involved in a traumatizing event. “sufferers tend to show classical conditioning responses to stimuli presents at the time of the event” (Gross, 2010)</w:t>
      </w:r>
    </w:p>
    <w:p w:rsidR="13F63173" w:rsidP="7B1A45D6" w:rsidRDefault="13F63173" w14:paraId="4BAF130A" w14:textId="2B99AD92">
      <w:pPr>
        <w:pStyle w:val="Normal"/>
        <w:spacing w:line="360" w:lineRule="auto"/>
        <w:rPr>
          <w:sz w:val="24"/>
          <w:szCs w:val="24"/>
        </w:rPr>
      </w:pPr>
      <w:r w:rsidRPr="712B5686" w:rsidR="712B5686">
        <w:rPr>
          <w:sz w:val="24"/>
          <w:szCs w:val="24"/>
        </w:rPr>
        <w:t>It is said to manage PTSD individuals must keep busy with their social life and self valued roles. This will help avoid any trauma being a part of the individuals every day waking or sleep life. Other coping strategies suggest that conditioning the memories could lead to the extinction of PTSD episodes. (Gross, 2010)</w:t>
      </w:r>
    </w:p>
    <w:p w:rsidR="548BF8B8" w:rsidP="7B1A45D6" w:rsidRDefault="548BF8B8" w14:paraId="0A1EBDEB" w14:textId="494C1135">
      <w:pPr>
        <w:pStyle w:val="Normal"/>
        <w:spacing w:line="360" w:lineRule="auto"/>
        <w:rPr>
          <w:sz w:val="24"/>
          <w:szCs w:val="24"/>
        </w:rPr>
      </w:pPr>
    </w:p>
    <w:p xmlns:wp14="http://schemas.microsoft.com/office/word/2010/wordml" w:rsidP="7B1A45D6" w14:paraId="2C078E63" wp14:textId="68537C1D">
      <w:pPr>
        <w:spacing w:line="360" w:lineRule="auto"/>
        <w:rPr>
          <w:b w:val="1"/>
          <w:bCs w:val="1"/>
          <w:sz w:val="24"/>
          <w:szCs w:val="24"/>
          <w:u w:val="single"/>
        </w:rPr>
      </w:pPr>
      <w:r w:rsidRPr="712B5686" w:rsidR="712B5686">
        <w:rPr>
          <w:b w:val="1"/>
          <w:bCs w:val="1"/>
          <w:sz w:val="24"/>
          <w:szCs w:val="24"/>
          <w:u w:val="none"/>
        </w:rPr>
        <w:t>Task 2</w:t>
      </w:r>
    </w:p>
    <w:p w:rsidR="712B5686" w:rsidP="712B5686" w:rsidRDefault="712B5686" w14:paraId="03393253" w14:textId="0B1602B5">
      <w:pPr>
        <w:pStyle w:val="Normal"/>
        <w:spacing w:line="360" w:lineRule="auto"/>
        <w:rPr>
          <w:b w:val="1"/>
          <w:bCs w:val="1"/>
          <w:sz w:val="24"/>
          <w:szCs w:val="24"/>
          <w:u w:val="none"/>
        </w:rPr>
      </w:pPr>
      <w:r w:rsidRPr="712B5686" w:rsidR="712B5686">
        <w:rPr>
          <w:b w:val="0"/>
          <w:bCs w:val="0"/>
          <w:sz w:val="24"/>
          <w:szCs w:val="24"/>
          <w:u w:val="none"/>
        </w:rPr>
        <w:t xml:space="preserve">In this task I will be creating three </w:t>
      </w:r>
      <w:proofErr w:type="spellStart"/>
      <w:r w:rsidRPr="712B5686" w:rsidR="712B5686">
        <w:rPr>
          <w:b w:val="0"/>
          <w:bCs w:val="0"/>
          <w:sz w:val="24"/>
          <w:szCs w:val="24"/>
          <w:u w:val="none"/>
        </w:rPr>
        <w:t>Abtracts</w:t>
      </w:r>
      <w:proofErr w:type="spellEnd"/>
      <w:r w:rsidRPr="712B5686" w:rsidR="712B5686">
        <w:rPr>
          <w:b w:val="0"/>
          <w:bCs w:val="0"/>
          <w:sz w:val="24"/>
          <w:szCs w:val="24"/>
          <w:u w:val="none"/>
        </w:rPr>
        <w:t xml:space="preserve"> from three different journals.</w:t>
      </w:r>
    </w:p>
    <w:p w:rsidR="7CF7F8A0" w:rsidP="7B1A45D6" w:rsidRDefault="7CF7F8A0" w14:paraId="46256D30" w14:textId="40EF8ED2">
      <w:pPr>
        <w:pStyle w:val="Normal"/>
        <w:spacing w:line="360" w:lineRule="auto"/>
        <w:jc w:val="center"/>
        <w:rPr>
          <w:sz w:val="24"/>
          <w:szCs w:val="24"/>
          <w:u w:val="single"/>
        </w:rPr>
      </w:pPr>
      <w:r w:rsidRPr="7B1A45D6" w:rsidR="7B1A45D6">
        <w:rPr>
          <w:sz w:val="24"/>
          <w:szCs w:val="24"/>
          <w:u w:val="single"/>
        </w:rPr>
        <w:t xml:space="preserve">Is gambling an emerging public health issue for wales </w:t>
      </w:r>
      <w:proofErr w:type="spellStart"/>
      <w:r w:rsidRPr="7B1A45D6" w:rsidR="7B1A45D6">
        <w:rPr>
          <w:sz w:val="24"/>
          <w:szCs w:val="24"/>
          <w:u w:val="single"/>
        </w:rPr>
        <w:t>uk</w:t>
      </w:r>
      <w:proofErr w:type="spellEnd"/>
      <w:r w:rsidRPr="7B1A45D6" w:rsidR="7B1A45D6">
        <w:rPr>
          <w:sz w:val="24"/>
          <w:szCs w:val="24"/>
          <w:u w:val="single"/>
        </w:rPr>
        <w:t>?</w:t>
      </w:r>
    </w:p>
    <w:p w:rsidR="7CF7F8A0" w:rsidP="7B1A45D6" w:rsidRDefault="7CF7F8A0" w14:paraId="08F23881" w14:textId="7B58B186">
      <w:pPr>
        <w:pStyle w:val="Normal"/>
        <w:spacing w:line="360" w:lineRule="auto"/>
        <w:rPr>
          <w:sz w:val="24"/>
          <w:szCs w:val="24"/>
          <w:u w:val="single"/>
        </w:rPr>
      </w:pPr>
    </w:p>
    <w:p w:rsidR="7CF7F8A0" w:rsidP="7B1A45D6" w:rsidRDefault="7CF7F8A0" w14:paraId="32A042E0" w14:textId="071D7DBD">
      <w:pPr>
        <w:pStyle w:val="Normal"/>
        <w:spacing w:line="360" w:lineRule="auto"/>
        <w:rPr>
          <w:sz w:val="24"/>
          <w:szCs w:val="24"/>
          <w:u w:val="single"/>
        </w:rPr>
      </w:pPr>
      <w:r w:rsidRPr="7B1A45D6" w:rsidR="7B1A45D6">
        <w:rPr>
          <w:sz w:val="24"/>
          <w:szCs w:val="24"/>
          <w:u w:val="single"/>
        </w:rPr>
        <w:t>Abstract 1</w:t>
      </w:r>
    </w:p>
    <w:p w:rsidR="7CF7F8A0" w:rsidP="7B1A45D6" w:rsidRDefault="7CF7F8A0" w14:paraId="3C274CF0" w14:textId="59CD74BD">
      <w:pPr>
        <w:pStyle w:val="Normal"/>
        <w:spacing w:line="360" w:lineRule="auto"/>
        <w:rPr>
          <w:sz w:val="24"/>
          <w:szCs w:val="24"/>
          <w:u w:val="single"/>
        </w:rPr>
      </w:pPr>
      <w:r w:rsidRPr="7B1A45D6" w:rsidR="7B1A45D6">
        <w:rPr>
          <w:b w:val="1"/>
          <w:bCs w:val="1"/>
          <w:sz w:val="24"/>
          <w:szCs w:val="24"/>
          <w:u w:val="none"/>
        </w:rPr>
        <w:t xml:space="preserve">Background. </w:t>
      </w:r>
      <w:r w:rsidRPr="7B1A45D6" w:rsidR="7B1A45D6">
        <w:rPr>
          <w:b w:val="0"/>
          <w:bCs w:val="0"/>
          <w:sz w:val="24"/>
          <w:szCs w:val="24"/>
          <w:u w:val="none"/>
        </w:rPr>
        <w:t xml:space="preserve">In the UK gambling is socially accepted and offers employment opportunities whilst benefiting tax revenues.  Although there are benefits to gambling there are also harms. These types of harms include individuals, family and friends around the addiction. However not everyone will experience these types of harms. </w:t>
      </w:r>
    </w:p>
    <w:p w:rsidR="7CF7F8A0" w:rsidP="7B1A45D6" w:rsidRDefault="7CF7F8A0" w14:paraId="2BCB5110" w14:textId="144F6D2C">
      <w:pPr>
        <w:pStyle w:val="Normal"/>
        <w:spacing w:line="360" w:lineRule="auto"/>
        <w:rPr>
          <w:b w:val="0"/>
          <w:bCs w:val="0"/>
          <w:sz w:val="24"/>
          <w:szCs w:val="24"/>
          <w:u w:val="none"/>
        </w:rPr>
      </w:pPr>
      <w:r w:rsidRPr="7B1A45D6" w:rsidR="7B1A45D6">
        <w:rPr>
          <w:b w:val="1"/>
          <w:bCs w:val="1"/>
          <w:sz w:val="24"/>
          <w:szCs w:val="24"/>
          <w:u w:val="none"/>
        </w:rPr>
        <w:t>Methods.</w:t>
      </w:r>
      <w:r w:rsidRPr="7B1A45D6" w:rsidR="7B1A45D6">
        <w:rPr>
          <w:b w:val="0"/>
          <w:bCs w:val="0"/>
          <w:sz w:val="24"/>
          <w:szCs w:val="24"/>
          <w:u w:val="none"/>
        </w:rPr>
        <w:t xml:space="preserve"> The purpose of this study is to find out if the harm related the gambling should be a concern that is emerging in Wales. The research will be based on four different concepts, these include the cost to society, preventability, inequalities and population levels.</w:t>
      </w:r>
    </w:p>
    <w:p w:rsidR="7CF7F8A0" w:rsidP="7B1A45D6" w:rsidRDefault="7CF7F8A0" w14:paraId="40D70DE5" w14:textId="4C2EBF79">
      <w:pPr>
        <w:pStyle w:val="Normal"/>
        <w:spacing w:line="360" w:lineRule="auto"/>
        <w:rPr>
          <w:b w:val="0"/>
          <w:bCs w:val="0"/>
          <w:sz w:val="24"/>
          <w:szCs w:val="24"/>
          <w:u w:val="none"/>
        </w:rPr>
      </w:pPr>
      <w:r w:rsidRPr="7B1A45D6" w:rsidR="7B1A45D6">
        <w:rPr>
          <w:b w:val="1"/>
          <w:bCs w:val="1"/>
          <w:sz w:val="24"/>
          <w:szCs w:val="24"/>
          <w:u w:val="none"/>
        </w:rPr>
        <w:t xml:space="preserve">Results. </w:t>
      </w:r>
      <w:r w:rsidRPr="7B1A45D6" w:rsidR="7B1A45D6">
        <w:rPr>
          <w:b w:val="0"/>
          <w:bCs w:val="0"/>
          <w:sz w:val="24"/>
          <w:szCs w:val="24"/>
          <w:u w:val="none"/>
        </w:rPr>
        <w:t xml:space="preserve">The results shown that there are high impacts on friends and family when involved with </w:t>
      </w:r>
      <w:r w:rsidRPr="7B1A45D6" w:rsidR="7B1A45D6">
        <w:rPr>
          <w:b w:val="0"/>
          <w:bCs w:val="0"/>
          <w:sz w:val="24"/>
          <w:szCs w:val="24"/>
          <w:u w:val="none"/>
        </w:rPr>
        <w:t>someone</w:t>
      </w:r>
      <w:r w:rsidRPr="7B1A45D6" w:rsidR="7B1A45D6">
        <w:rPr>
          <w:b w:val="0"/>
          <w:bCs w:val="0"/>
          <w:sz w:val="24"/>
          <w:szCs w:val="24"/>
          <w:u w:val="none"/>
        </w:rPr>
        <w:t xml:space="preserve"> who has a gambling addiction. 61% of adults gambled in the last year with 1.1% admitting they have a problem. </w:t>
      </w:r>
    </w:p>
    <w:p w:rsidR="7CF7F8A0" w:rsidP="7B1A45D6" w:rsidRDefault="7CF7F8A0" w14:paraId="45F189C0" w14:textId="5DDEBE1D">
      <w:pPr>
        <w:pStyle w:val="Normal"/>
        <w:spacing w:line="360" w:lineRule="auto"/>
        <w:rPr>
          <w:b w:val="0"/>
          <w:bCs w:val="0"/>
          <w:sz w:val="24"/>
          <w:szCs w:val="24"/>
          <w:u w:val="none"/>
        </w:rPr>
      </w:pPr>
      <w:r w:rsidRPr="7B1A45D6" w:rsidR="7B1A45D6">
        <w:rPr>
          <w:b w:val="1"/>
          <w:bCs w:val="1"/>
          <w:sz w:val="24"/>
          <w:szCs w:val="24"/>
          <w:u w:val="none"/>
        </w:rPr>
        <w:t xml:space="preserve">Conclusion. </w:t>
      </w:r>
      <w:r w:rsidRPr="7B1A45D6" w:rsidR="7B1A45D6">
        <w:rPr>
          <w:b w:val="0"/>
          <w:bCs w:val="0"/>
          <w:sz w:val="24"/>
          <w:szCs w:val="24"/>
          <w:u w:val="none"/>
        </w:rPr>
        <w:t xml:space="preserve">In </w:t>
      </w:r>
      <w:r w:rsidRPr="7B1A45D6" w:rsidR="7B1A45D6">
        <w:rPr>
          <w:b w:val="0"/>
          <w:bCs w:val="0"/>
          <w:sz w:val="24"/>
          <w:szCs w:val="24"/>
          <w:u w:val="none"/>
        </w:rPr>
        <w:t>conclusion</w:t>
      </w:r>
      <w:r w:rsidRPr="7B1A45D6" w:rsidR="7B1A45D6">
        <w:rPr>
          <w:b w:val="0"/>
          <w:bCs w:val="0"/>
          <w:sz w:val="24"/>
          <w:szCs w:val="24"/>
          <w:u w:val="none"/>
        </w:rPr>
        <w:t xml:space="preserve"> gambling in wales should be considered a health issue. The scale that effects family and friends should justify further research to help reduce the harms of gambling.</w:t>
      </w:r>
    </w:p>
    <w:p w:rsidR="16FC6D82" w:rsidP="7B1A45D6" w:rsidRDefault="16FC6D82" w14:paraId="2A7133DB" w14:textId="0757D7C9">
      <w:pPr>
        <w:pStyle w:val="Normal"/>
        <w:spacing w:line="360" w:lineRule="auto"/>
        <w:rPr>
          <w:b w:val="0"/>
          <w:bCs w:val="0"/>
          <w:sz w:val="24"/>
          <w:szCs w:val="24"/>
          <w:u w:val="none"/>
        </w:rPr>
      </w:pPr>
    </w:p>
    <w:p w:rsidR="16FC6D82" w:rsidP="7B1A45D6" w:rsidRDefault="16FC6D82" w14:paraId="10C62DA3" w14:textId="5317E705">
      <w:pPr>
        <w:pStyle w:val="Normal"/>
        <w:spacing w:line="360" w:lineRule="auto"/>
        <w:jc w:val="center"/>
        <w:rPr>
          <w:b w:val="0"/>
          <w:bCs w:val="0"/>
          <w:sz w:val="24"/>
          <w:szCs w:val="24"/>
          <w:u w:val="none"/>
        </w:rPr>
      </w:pPr>
      <w:r w:rsidRPr="7B1A45D6" w:rsidR="7B1A45D6">
        <w:rPr>
          <w:b w:val="0"/>
          <w:bCs w:val="0"/>
          <w:sz w:val="24"/>
          <w:szCs w:val="24"/>
          <w:u w:val="single"/>
        </w:rPr>
        <w:t xml:space="preserve">The price of sexy; </w:t>
      </w:r>
      <w:proofErr w:type="spellStart"/>
      <w:r w:rsidRPr="7B1A45D6" w:rsidR="7B1A45D6">
        <w:rPr>
          <w:b w:val="0"/>
          <w:bCs w:val="0"/>
          <w:sz w:val="24"/>
          <w:szCs w:val="24"/>
          <w:u w:val="single"/>
        </w:rPr>
        <w:t>veiwers</w:t>
      </w:r>
      <w:proofErr w:type="spellEnd"/>
      <w:r w:rsidRPr="7B1A45D6" w:rsidR="7B1A45D6">
        <w:rPr>
          <w:b w:val="0"/>
          <w:bCs w:val="0"/>
          <w:sz w:val="24"/>
          <w:szCs w:val="24"/>
          <w:u w:val="single"/>
        </w:rPr>
        <w:t xml:space="preserve">’ </w:t>
      </w:r>
      <w:proofErr w:type="spellStart"/>
      <w:r w:rsidRPr="7B1A45D6" w:rsidR="7B1A45D6">
        <w:rPr>
          <w:b w:val="0"/>
          <w:bCs w:val="0"/>
          <w:sz w:val="24"/>
          <w:szCs w:val="24"/>
          <w:u w:val="single"/>
        </w:rPr>
        <w:t>percepctions</w:t>
      </w:r>
      <w:proofErr w:type="spellEnd"/>
      <w:r w:rsidRPr="7B1A45D6" w:rsidR="7B1A45D6">
        <w:rPr>
          <w:b w:val="0"/>
          <w:bCs w:val="0"/>
          <w:sz w:val="24"/>
          <w:szCs w:val="24"/>
          <w:u w:val="single"/>
        </w:rPr>
        <w:t xml:space="preserve"> of a sexualized versus </w:t>
      </w:r>
      <w:proofErr w:type="spellStart"/>
      <w:r w:rsidRPr="7B1A45D6" w:rsidR="7B1A45D6">
        <w:rPr>
          <w:b w:val="0"/>
          <w:bCs w:val="0"/>
          <w:sz w:val="24"/>
          <w:szCs w:val="24"/>
          <w:u w:val="single"/>
        </w:rPr>
        <w:t>nonsexualized</w:t>
      </w:r>
      <w:proofErr w:type="spellEnd"/>
      <w:r w:rsidRPr="7B1A45D6" w:rsidR="7B1A45D6">
        <w:rPr>
          <w:b w:val="0"/>
          <w:bCs w:val="0"/>
          <w:sz w:val="24"/>
          <w:szCs w:val="24"/>
          <w:u w:val="single"/>
        </w:rPr>
        <w:t xml:space="preserve"> </w:t>
      </w:r>
      <w:proofErr w:type="spellStart"/>
      <w:r w:rsidRPr="7B1A45D6" w:rsidR="7B1A45D6">
        <w:rPr>
          <w:b w:val="0"/>
          <w:bCs w:val="0"/>
          <w:sz w:val="24"/>
          <w:szCs w:val="24"/>
          <w:u w:val="single"/>
        </w:rPr>
        <w:t>facebook</w:t>
      </w:r>
      <w:proofErr w:type="spellEnd"/>
      <w:r w:rsidRPr="7B1A45D6" w:rsidR="7B1A45D6">
        <w:rPr>
          <w:b w:val="0"/>
          <w:bCs w:val="0"/>
          <w:sz w:val="24"/>
          <w:szCs w:val="24"/>
          <w:u w:val="single"/>
        </w:rPr>
        <w:t xml:space="preserve"> profile photograph</w:t>
      </w:r>
    </w:p>
    <w:p w:rsidR="16FC6D82" w:rsidP="7B1A45D6" w:rsidRDefault="16FC6D82" w14:paraId="4372A106" w14:textId="7693D7E4">
      <w:pPr>
        <w:pStyle w:val="Normal"/>
        <w:spacing w:line="360" w:lineRule="auto"/>
        <w:rPr>
          <w:b w:val="0"/>
          <w:bCs w:val="0"/>
          <w:sz w:val="24"/>
          <w:szCs w:val="24"/>
          <w:u w:val="single"/>
        </w:rPr>
      </w:pPr>
    </w:p>
    <w:p w:rsidR="16FC6D82" w:rsidP="7B1A45D6" w:rsidRDefault="16FC6D82" w14:paraId="2CD0315A" w14:textId="1D6E5373">
      <w:pPr>
        <w:pStyle w:val="Normal"/>
        <w:spacing w:line="360" w:lineRule="auto"/>
        <w:rPr>
          <w:b w:val="0"/>
          <w:bCs w:val="0"/>
          <w:sz w:val="24"/>
          <w:szCs w:val="24"/>
          <w:u w:val="single"/>
        </w:rPr>
      </w:pPr>
      <w:r w:rsidRPr="7B1A45D6" w:rsidR="7B1A45D6">
        <w:rPr>
          <w:b w:val="0"/>
          <w:bCs w:val="0"/>
          <w:sz w:val="24"/>
          <w:szCs w:val="24"/>
          <w:u w:val="single"/>
        </w:rPr>
        <w:t>Abstract 2</w:t>
      </w:r>
    </w:p>
    <w:p w:rsidR="16FC6D82" w:rsidP="7B1A45D6" w:rsidRDefault="16FC6D82" w14:paraId="3122EB7A" w14:textId="62467090">
      <w:pPr>
        <w:pStyle w:val="Normal"/>
        <w:spacing w:line="360" w:lineRule="auto"/>
        <w:rPr>
          <w:b w:val="0"/>
          <w:bCs w:val="0"/>
          <w:sz w:val="24"/>
          <w:szCs w:val="24"/>
          <w:u w:val="single"/>
        </w:rPr>
      </w:pPr>
      <w:r w:rsidRPr="7B1A45D6" w:rsidR="7B1A45D6">
        <w:rPr>
          <w:b w:val="1"/>
          <w:bCs w:val="1"/>
          <w:sz w:val="24"/>
          <w:szCs w:val="24"/>
          <w:u w:val="none"/>
        </w:rPr>
        <w:t>Background.</w:t>
      </w:r>
      <w:r w:rsidRPr="7B1A45D6" w:rsidR="7B1A45D6">
        <w:rPr>
          <w:b w:val="0"/>
          <w:bCs w:val="0"/>
          <w:sz w:val="24"/>
          <w:szCs w:val="24"/>
          <w:u w:val="none"/>
        </w:rPr>
        <w:t xml:space="preserve"> The purpose of this experiment was to find out how people viewed their peers on their Facebook profile. The prolife photos where of adolescent girls and </w:t>
      </w:r>
      <w:r w:rsidRPr="7B1A45D6" w:rsidR="7B1A45D6">
        <w:rPr>
          <w:b w:val="0"/>
          <w:bCs w:val="0"/>
          <w:sz w:val="24"/>
          <w:szCs w:val="24"/>
          <w:u w:val="none"/>
        </w:rPr>
        <w:t>young</w:t>
      </w:r>
      <w:r w:rsidRPr="7B1A45D6" w:rsidR="7B1A45D6">
        <w:rPr>
          <w:b w:val="0"/>
          <w:bCs w:val="0"/>
          <w:sz w:val="24"/>
          <w:szCs w:val="24"/>
          <w:u w:val="none"/>
        </w:rPr>
        <w:t xml:space="preserve"> women, either using a sexual or </w:t>
      </w:r>
      <w:proofErr w:type="gramStart"/>
      <w:r w:rsidRPr="7B1A45D6" w:rsidR="7B1A45D6">
        <w:rPr>
          <w:b w:val="0"/>
          <w:bCs w:val="0"/>
          <w:sz w:val="24"/>
          <w:szCs w:val="24"/>
          <w:u w:val="none"/>
        </w:rPr>
        <w:t>non sexual</w:t>
      </w:r>
      <w:proofErr w:type="gramEnd"/>
      <w:r w:rsidRPr="7B1A45D6" w:rsidR="7B1A45D6">
        <w:rPr>
          <w:b w:val="0"/>
          <w:bCs w:val="0"/>
          <w:sz w:val="24"/>
          <w:szCs w:val="24"/>
          <w:u w:val="none"/>
        </w:rPr>
        <w:t xml:space="preserve"> photo.</w:t>
      </w:r>
    </w:p>
    <w:p w:rsidR="16FC6D82" w:rsidP="7B1A45D6" w:rsidRDefault="16FC6D82" w14:paraId="06E7EFAE" w14:textId="508AA791">
      <w:pPr>
        <w:pStyle w:val="Normal"/>
        <w:spacing w:line="360" w:lineRule="auto"/>
        <w:rPr>
          <w:b w:val="0"/>
          <w:bCs w:val="0"/>
          <w:sz w:val="24"/>
          <w:szCs w:val="24"/>
          <w:u w:val="none"/>
        </w:rPr>
      </w:pPr>
      <w:r w:rsidRPr="7B1A45D6" w:rsidR="7B1A45D6">
        <w:rPr>
          <w:b w:val="1"/>
          <w:bCs w:val="1"/>
          <w:sz w:val="24"/>
          <w:szCs w:val="24"/>
          <w:u w:val="none"/>
        </w:rPr>
        <w:t xml:space="preserve">Methods. </w:t>
      </w:r>
      <w:r w:rsidRPr="7B1A45D6" w:rsidR="7B1A45D6">
        <w:rPr>
          <w:b w:val="0"/>
          <w:bCs w:val="0"/>
          <w:sz w:val="24"/>
          <w:szCs w:val="24"/>
          <w:u w:val="none"/>
        </w:rPr>
        <w:t>The experiment used 58 girls and 60 women. The ages ranged from 13-25. They were referred to adolescent girls, who were in high school, and young women, who were not in high school. Each profile photos would then be shown to their peers.</w:t>
      </w:r>
    </w:p>
    <w:p w:rsidR="16FC6D82" w:rsidP="7B1A45D6" w:rsidRDefault="16FC6D82" w14:paraId="04D17C4E" w14:textId="37B9FFAC">
      <w:pPr>
        <w:pStyle w:val="Normal"/>
        <w:spacing w:line="360" w:lineRule="auto"/>
        <w:rPr>
          <w:b w:val="0"/>
          <w:bCs w:val="0"/>
          <w:sz w:val="24"/>
          <w:szCs w:val="24"/>
          <w:u w:val="none"/>
        </w:rPr>
      </w:pPr>
      <w:r w:rsidRPr="7B1A45D6" w:rsidR="7B1A45D6">
        <w:rPr>
          <w:b w:val="1"/>
          <w:bCs w:val="1"/>
          <w:sz w:val="24"/>
          <w:szCs w:val="24"/>
          <w:u w:val="none"/>
        </w:rPr>
        <w:t xml:space="preserve">Results. </w:t>
      </w:r>
      <w:r w:rsidRPr="7B1A45D6" w:rsidR="7B1A45D6">
        <w:rPr>
          <w:b w:val="0"/>
          <w:bCs w:val="0"/>
          <w:sz w:val="24"/>
          <w:szCs w:val="24"/>
          <w:u w:val="none"/>
        </w:rPr>
        <w:t xml:space="preserve">The results shown that those who portrayed themselves in a sexual manner where considered less attractive and less capable to complete tasks. Age was a main effect on the results, showing young women </w:t>
      </w:r>
      <w:r w:rsidRPr="7B1A45D6" w:rsidR="7B1A45D6">
        <w:rPr>
          <w:b w:val="0"/>
          <w:bCs w:val="0"/>
          <w:sz w:val="24"/>
          <w:szCs w:val="24"/>
          <w:u w:val="none"/>
        </w:rPr>
        <w:t>receiving</w:t>
      </w:r>
      <w:r w:rsidRPr="7B1A45D6" w:rsidR="7B1A45D6">
        <w:rPr>
          <w:b w:val="0"/>
          <w:bCs w:val="0"/>
          <w:sz w:val="24"/>
          <w:szCs w:val="24"/>
          <w:u w:val="none"/>
        </w:rPr>
        <w:t xml:space="preserve"> higher rates.</w:t>
      </w:r>
    </w:p>
    <w:p w:rsidR="16FC6D82" w:rsidP="7B1A45D6" w:rsidRDefault="16FC6D82" w14:paraId="72358D0F" w14:textId="125329E2">
      <w:pPr>
        <w:pStyle w:val="Normal"/>
        <w:spacing w:line="360" w:lineRule="auto"/>
        <w:rPr>
          <w:b w:val="0"/>
          <w:bCs w:val="0"/>
          <w:sz w:val="24"/>
          <w:szCs w:val="24"/>
          <w:u w:val="none"/>
        </w:rPr>
      </w:pPr>
      <w:r w:rsidRPr="7B1A45D6" w:rsidR="7B1A45D6">
        <w:rPr>
          <w:b w:val="1"/>
          <w:bCs w:val="1"/>
          <w:sz w:val="24"/>
          <w:szCs w:val="24"/>
          <w:u w:val="none"/>
        </w:rPr>
        <w:t xml:space="preserve">Conclusion. </w:t>
      </w:r>
      <w:r w:rsidRPr="7B1A45D6" w:rsidR="7B1A45D6">
        <w:rPr>
          <w:b w:val="0"/>
          <w:bCs w:val="0"/>
          <w:sz w:val="24"/>
          <w:szCs w:val="24"/>
          <w:u w:val="none"/>
        </w:rPr>
        <w:t xml:space="preserve">In conclusion using </w:t>
      </w:r>
      <w:proofErr w:type="spellStart"/>
      <w:r w:rsidRPr="7B1A45D6" w:rsidR="7B1A45D6">
        <w:rPr>
          <w:b w:val="0"/>
          <w:bCs w:val="0"/>
          <w:sz w:val="24"/>
          <w:szCs w:val="24"/>
          <w:u w:val="none"/>
        </w:rPr>
        <w:t>sexualised</w:t>
      </w:r>
      <w:proofErr w:type="spellEnd"/>
      <w:r w:rsidRPr="7B1A45D6" w:rsidR="7B1A45D6">
        <w:rPr>
          <w:b w:val="0"/>
          <w:bCs w:val="0"/>
          <w:sz w:val="24"/>
          <w:szCs w:val="24"/>
          <w:u w:val="none"/>
        </w:rPr>
        <w:t xml:space="preserve"> profile photos comes with consequences to your appearance. There are more education strategies to improve the knowledge on the media and its sexual and </w:t>
      </w:r>
      <w:r w:rsidRPr="7B1A45D6" w:rsidR="7B1A45D6">
        <w:rPr>
          <w:b w:val="0"/>
          <w:bCs w:val="0"/>
          <w:sz w:val="24"/>
          <w:szCs w:val="24"/>
          <w:u w:val="none"/>
        </w:rPr>
        <w:t>non-sexual</w:t>
      </w:r>
      <w:r w:rsidRPr="7B1A45D6" w:rsidR="7B1A45D6">
        <w:rPr>
          <w:b w:val="0"/>
          <w:bCs w:val="0"/>
          <w:sz w:val="24"/>
          <w:szCs w:val="24"/>
          <w:u w:val="none"/>
        </w:rPr>
        <w:t xml:space="preserve"> content.</w:t>
      </w:r>
    </w:p>
    <w:p w:rsidR="16FC6D82" w:rsidP="7B1A45D6" w:rsidRDefault="16FC6D82" w14:paraId="5A487CC0" w14:textId="5C69EC02">
      <w:pPr>
        <w:pStyle w:val="Normal"/>
        <w:spacing w:line="360" w:lineRule="auto"/>
        <w:jc w:val="center"/>
        <w:rPr>
          <w:b w:val="0"/>
          <w:bCs w:val="0"/>
          <w:sz w:val="24"/>
          <w:szCs w:val="24"/>
          <w:u w:val="single"/>
        </w:rPr>
      </w:pPr>
      <w:r w:rsidRPr="7B1A45D6" w:rsidR="7B1A45D6">
        <w:rPr>
          <w:b w:val="0"/>
          <w:bCs w:val="0"/>
          <w:sz w:val="24"/>
          <w:szCs w:val="24"/>
          <w:u w:val="single"/>
        </w:rPr>
        <w:t xml:space="preserve">The role of </w:t>
      </w:r>
      <w:r w:rsidRPr="7B1A45D6" w:rsidR="7B1A45D6">
        <w:rPr>
          <w:b w:val="0"/>
          <w:bCs w:val="0"/>
          <w:sz w:val="24"/>
          <w:szCs w:val="24"/>
          <w:u w:val="single"/>
        </w:rPr>
        <w:t>narcissism</w:t>
      </w:r>
      <w:r w:rsidRPr="7B1A45D6" w:rsidR="7B1A45D6">
        <w:rPr>
          <w:b w:val="0"/>
          <w:bCs w:val="0"/>
          <w:sz w:val="24"/>
          <w:szCs w:val="24"/>
          <w:u w:val="single"/>
        </w:rPr>
        <w:t xml:space="preserve"> in Health-risk and health-protective </w:t>
      </w:r>
      <w:proofErr w:type="spellStart"/>
      <w:r w:rsidRPr="7B1A45D6" w:rsidR="7B1A45D6">
        <w:rPr>
          <w:b w:val="0"/>
          <w:bCs w:val="0"/>
          <w:sz w:val="24"/>
          <w:szCs w:val="24"/>
          <w:u w:val="single"/>
        </w:rPr>
        <w:t>behaviour</w:t>
      </w:r>
      <w:proofErr w:type="spellEnd"/>
    </w:p>
    <w:p w:rsidR="16FC6D82" w:rsidP="7B1A45D6" w:rsidRDefault="16FC6D82" w14:paraId="15B9CA3C" w14:textId="7DD02973">
      <w:pPr>
        <w:pStyle w:val="Normal"/>
        <w:spacing w:line="360" w:lineRule="auto"/>
        <w:rPr>
          <w:b w:val="0"/>
          <w:bCs w:val="0"/>
          <w:sz w:val="24"/>
          <w:szCs w:val="24"/>
          <w:u w:val="single"/>
        </w:rPr>
      </w:pPr>
    </w:p>
    <w:p w:rsidR="16FC6D82" w:rsidP="7B1A45D6" w:rsidRDefault="16FC6D82" w14:paraId="62303DD2" w14:textId="6C1DEFC8">
      <w:pPr>
        <w:pStyle w:val="Normal"/>
        <w:spacing w:line="360" w:lineRule="auto"/>
        <w:rPr>
          <w:b w:val="0"/>
          <w:bCs w:val="0"/>
          <w:sz w:val="24"/>
          <w:szCs w:val="24"/>
          <w:u w:val="single"/>
        </w:rPr>
      </w:pPr>
      <w:r w:rsidRPr="7B1A45D6" w:rsidR="7B1A45D6">
        <w:rPr>
          <w:b w:val="0"/>
          <w:bCs w:val="0"/>
          <w:sz w:val="24"/>
          <w:szCs w:val="24"/>
          <w:u w:val="single"/>
        </w:rPr>
        <w:t>Abstract 3</w:t>
      </w:r>
    </w:p>
    <w:p w:rsidR="16FC6D82" w:rsidP="7B1A45D6" w:rsidRDefault="16FC6D82" w14:paraId="4E9185A7" w14:textId="2E63063C">
      <w:pPr>
        <w:pStyle w:val="Normal"/>
        <w:spacing w:line="360" w:lineRule="auto"/>
        <w:rPr>
          <w:b w:val="0"/>
          <w:bCs w:val="0"/>
          <w:sz w:val="24"/>
          <w:szCs w:val="24"/>
          <w:u w:val="single"/>
        </w:rPr>
      </w:pPr>
      <w:r w:rsidRPr="7B1A45D6" w:rsidR="7B1A45D6">
        <w:rPr>
          <w:b w:val="1"/>
          <w:bCs w:val="1"/>
          <w:sz w:val="24"/>
          <w:szCs w:val="24"/>
          <w:u w:val="none"/>
        </w:rPr>
        <w:t xml:space="preserve">Background. </w:t>
      </w:r>
      <w:r w:rsidRPr="7B1A45D6" w:rsidR="7B1A45D6">
        <w:rPr>
          <w:b w:val="0"/>
          <w:bCs w:val="0"/>
          <w:sz w:val="24"/>
          <w:szCs w:val="24"/>
          <w:u w:val="none"/>
        </w:rPr>
        <w:t xml:space="preserve">This study used 365 undergraduate students to examine the role of narcissism and the health factors. The existing evidence shows that there is a problem with the younger generation. (Sedikides, et al., 2004; Zuckerman and O’Loughlin, 2009). Narcissism is someone's obsession with his or her self and their own physical </w:t>
      </w:r>
      <w:r w:rsidRPr="7B1A45D6" w:rsidR="7B1A45D6">
        <w:rPr>
          <w:b w:val="0"/>
          <w:bCs w:val="0"/>
          <w:sz w:val="24"/>
          <w:szCs w:val="24"/>
          <w:u w:val="none"/>
        </w:rPr>
        <w:t>appearance</w:t>
      </w:r>
      <w:r w:rsidRPr="7B1A45D6" w:rsidR="7B1A45D6">
        <w:rPr>
          <w:b w:val="0"/>
          <w:bCs w:val="0"/>
          <w:sz w:val="24"/>
          <w:szCs w:val="24"/>
          <w:u w:val="none"/>
        </w:rPr>
        <w:t>.</w:t>
      </w:r>
    </w:p>
    <w:p w:rsidR="16FC6D82" w:rsidP="7B1A45D6" w:rsidRDefault="16FC6D82" w14:paraId="12682A16" w14:textId="35234A6C">
      <w:pPr>
        <w:pStyle w:val="Normal"/>
        <w:spacing w:line="360" w:lineRule="auto"/>
        <w:rPr>
          <w:b w:val="0"/>
          <w:bCs w:val="0"/>
          <w:sz w:val="24"/>
          <w:szCs w:val="24"/>
          <w:u w:val="none"/>
        </w:rPr>
      </w:pPr>
      <w:r w:rsidRPr="7B1A45D6" w:rsidR="7B1A45D6">
        <w:rPr>
          <w:b w:val="1"/>
          <w:bCs w:val="1"/>
          <w:sz w:val="24"/>
          <w:szCs w:val="24"/>
          <w:u w:val="none"/>
        </w:rPr>
        <w:t xml:space="preserve">Methods. </w:t>
      </w:r>
      <w:r w:rsidRPr="7B1A45D6" w:rsidR="7B1A45D6">
        <w:rPr>
          <w:b w:val="0"/>
          <w:bCs w:val="0"/>
          <w:sz w:val="24"/>
          <w:szCs w:val="24"/>
          <w:u w:val="none"/>
        </w:rPr>
        <w:t>129 males and 236 females took part in a questionnaire. It was designed to measure narcissism as it being a personality trait. The questions that were asked used alcohol use, drug use, risk taking, eating habits and physical activities. They had to choose the answer most related to them.</w:t>
      </w:r>
    </w:p>
    <w:p w:rsidR="3A62685E" w:rsidP="7B1A45D6" w:rsidRDefault="3A62685E" w14:paraId="54E9A927" w14:textId="0B2F4F59">
      <w:pPr>
        <w:pStyle w:val="Normal"/>
        <w:spacing w:line="360" w:lineRule="auto"/>
        <w:rPr>
          <w:b w:val="0"/>
          <w:bCs w:val="0"/>
          <w:sz w:val="24"/>
          <w:szCs w:val="24"/>
          <w:u w:val="none"/>
        </w:rPr>
      </w:pPr>
      <w:r w:rsidRPr="7B1A45D6" w:rsidR="7B1A45D6">
        <w:rPr>
          <w:b w:val="1"/>
          <w:bCs w:val="1"/>
          <w:sz w:val="24"/>
          <w:szCs w:val="24"/>
          <w:u w:val="none"/>
        </w:rPr>
        <w:t xml:space="preserve">Results. </w:t>
      </w:r>
      <w:r w:rsidRPr="7B1A45D6" w:rsidR="7B1A45D6">
        <w:rPr>
          <w:b w:val="0"/>
          <w:bCs w:val="0"/>
          <w:sz w:val="24"/>
          <w:szCs w:val="24"/>
          <w:u w:val="none"/>
        </w:rPr>
        <w:t>Results have been put into short- and long-term health risk factors, and how further research is required on the relationships involved around narcissism and health behaviors.</w:t>
      </w:r>
    </w:p>
    <w:p w:rsidR="3A62685E" w:rsidP="7B1A45D6" w:rsidRDefault="3A62685E" w14:paraId="2B287307" w14:textId="71C33824">
      <w:pPr>
        <w:pStyle w:val="Normal"/>
        <w:spacing w:line="360" w:lineRule="auto"/>
        <w:rPr>
          <w:b w:val="0"/>
          <w:bCs w:val="0"/>
          <w:sz w:val="24"/>
          <w:szCs w:val="24"/>
          <w:u w:val="none"/>
        </w:rPr>
      </w:pPr>
      <w:r w:rsidRPr="7B1A45D6" w:rsidR="7B1A45D6">
        <w:rPr>
          <w:b w:val="1"/>
          <w:bCs w:val="1"/>
          <w:sz w:val="24"/>
          <w:szCs w:val="24"/>
          <w:u w:val="none"/>
        </w:rPr>
        <w:t xml:space="preserve">Conclusion. </w:t>
      </w:r>
      <w:r w:rsidRPr="7B1A45D6" w:rsidR="7B1A45D6">
        <w:rPr>
          <w:b w:val="0"/>
          <w:bCs w:val="0"/>
          <w:sz w:val="24"/>
          <w:szCs w:val="24"/>
          <w:u w:val="none"/>
        </w:rPr>
        <w:t xml:space="preserve">In conclusion evidence suggested narcissism is influenced on health risk and health protective </w:t>
      </w:r>
      <w:r w:rsidRPr="7B1A45D6" w:rsidR="7B1A45D6">
        <w:rPr>
          <w:b w:val="0"/>
          <w:bCs w:val="0"/>
          <w:sz w:val="24"/>
          <w:szCs w:val="24"/>
          <w:u w:val="none"/>
        </w:rPr>
        <w:t>behaviors</w:t>
      </w:r>
      <w:r w:rsidRPr="7B1A45D6" w:rsidR="7B1A45D6">
        <w:rPr>
          <w:b w:val="0"/>
          <w:bCs w:val="0"/>
          <w:sz w:val="24"/>
          <w:szCs w:val="24"/>
          <w:u w:val="none"/>
        </w:rPr>
        <w:t>.</w:t>
      </w:r>
    </w:p>
    <w:p w:rsidR="548BF8B8" w:rsidP="7B1A45D6" w:rsidRDefault="548BF8B8" w14:paraId="47A67BB8" w14:textId="60E15D23">
      <w:pPr>
        <w:pStyle w:val="Normal"/>
        <w:spacing w:line="360" w:lineRule="auto"/>
        <w:rPr>
          <w:b w:val="0"/>
          <w:bCs w:val="0"/>
          <w:sz w:val="24"/>
          <w:szCs w:val="24"/>
          <w:u w:val="none"/>
        </w:rPr>
      </w:pPr>
    </w:p>
    <w:p w:rsidR="548BF8B8" w:rsidP="7B1A45D6" w:rsidRDefault="548BF8B8" w14:paraId="6CCEB4EA" w14:textId="268B78F3">
      <w:pPr>
        <w:pStyle w:val="Normal"/>
        <w:spacing w:line="360" w:lineRule="auto"/>
        <w:rPr>
          <w:b w:val="0"/>
          <w:bCs w:val="0"/>
          <w:sz w:val="24"/>
          <w:szCs w:val="24"/>
          <w:u w:val="none"/>
        </w:rPr>
      </w:pPr>
      <w:r w:rsidRPr="712B5686" w:rsidR="712B5686">
        <w:rPr>
          <w:b w:val="1"/>
          <w:bCs w:val="1"/>
          <w:sz w:val="24"/>
          <w:szCs w:val="24"/>
          <w:u w:val="none"/>
        </w:rPr>
        <w:t>Task 3</w:t>
      </w:r>
    </w:p>
    <w:p w:rsidR="712B5686" w:rsidP="712B5686" w:rsidRDefault="712B5686" w14:paraId="23D52025" w14:textId="17AAAD0E">
      <w:pPr>
        <w:pStyle w:val="Normal"/>
        <w:spacing w:line="360" w:lineRule="auto"/>
        <w:rPr>
          <w:b w:val="1"/>
          <w:bCs w:val="1"/>
          <w:sz w:val="24"/>
          <w:szCs w:val="24"/>
          <w:u w:val="none"/>
        </w:rPr>
      </w:pPr>
      <w:r w:rsidRPr="712B5686" w:rsidR="712B5686">
        <w:rPr>
          <w:b w:val="0"/>
          <w:bCs w:val="0"/>
          <w:sz w:val="24"/>
          <w:szCs w:val="24"/>
          <w:u w:val="none"/>
        </w:rPr>
        <w:t>In this task I will be unjumbling referenes.</w:t>
      </w:r>
    </w:p>
    <w:p w:rsidR="38F83CBA" w:rsidP="7B1A45D6" w:rsidRDefault="38F83CBA" w14:paraId="1BE2B8D8" w14:textId="54BD2BFE">
      <w:pPr>
        <w:pStyle w:val="Normal"/>
        <w:spacing w:line="360" w:lineRule="auto"/>
        <w:jc w:val="center"/>
        <w:rPr>
          <w:b w:val="0"/>
          <w:bCs w:val="0"/>
          <w:sz w:val="24"/>
          <w:szCs w:val="24"/>
          <w:u w:val="single"/>
        </w:rPr>
      </w:pPr>
      <w:r w:rsidRPr="7B1A45D6" w:rsidR="7B1A45D6">
        <w:rPr>
          <w:b w:val="0"/>
          <w:bCs w:val="0"/>
          <w:sz w:val="24"/>
          <w:szCs w:val="24"/>
          <w:u w:val="single"/>
        </w:rPr>
        <w:t>Jumbled up references</w:t>
      </w:r>
    </w:p>
    <w:p w:rsidR="38F83CBA" w:rsidP="38F83CBA" w:rsidRDefault="38F83CBA" w14:paraId="53EA52AA" w14:textId="13B3A0D8">
      <w:pPr>
        <w:pStyle w:val="Normal"/>
        <w:rPr>
          <w:b w:val="0"/>
          <w:bCs w:val="0"/>
          <w:u w:val="single"/>
        </w:rPr>
      </w:pPr>
    </w:p>
    <w:p w:rsidR="38F83CBA" w:rsidP="4717710A" w:rsidRDefault="38F83CBA" w14:paraId="3EA478FC" w14:textId="0F55D4F9">
      <w:pPr>
        <w:pStyle w:val="Normal"/>
        <w:spacing w:after="160" w:line="259" w:lineRule="auto"/>
        <w:ind w:left="720"/>
      </w:pPr>
      <w:r w:rsidRPr="74C1E213" w:rsidR="74C1E213">
        <w:rPr>
          <w:rFonts w:ascii="Calibri" w:hAnsi="Calibri" w:eastAsia="Calibri" w:cs="Calibri"/>
          <w:noProof w:val="0"/>
          <w:sz w:val="22"/>
          <w:szCs w:val="22"/>
          <w:lang w:val="en-US"/>
        </w:rPr>
        <w:t xml:space="preserve">Adult drinking habits in Great Britain: 2005 to 2016. Release date: 3 May 2016. Office for National Statistics. https://www.ons.gov.uk/peoplepopulationandcommunity/healthandsocialcare/ </w:t>
      </w:r>
      <w:proofErr w:type="spellStart"/>
      <w:r w:rsidRPr="74C1E213" w:rsidR="74C1E213">
        <w:rPr>
          <w:rFonts w:ascii="Calibri" w:hAnsi="Calibri" w:eastAsia="Calibri" w:cs="Calibri"/>
          <w:noProof w:val="0"/>
          <w:sz w:val="22"/>
          <w:szCs w:val="22"/>
          <w:lang w:val="en-US"/>
        </w:rPr>
        <w:t>drugusealcoholandsmoking</w:t>
      </w:r>
      <w:proofErr w:type="spellEnd"/>
      <w:r w:rsidRPr="74C1E213" w:rsidR="74C1E213">
        <w:rPr>
          <w:rFonts w:ascii="Calibri" w:hAnsi="Calibri" w:eastAsia="Calibri" w:cs="Calibri"/>
          <w:noProof w:val="0"/>
          <w:sz w:val="22"/>
          <w:szCs w:val="22"/>
          <w:lang w:val="en-US"/>
        </w:rPr>
        <w:t>/bulletins/</w:t>
      </w:r>
      <w:proofErr w:type="spellStart"/>
      <w:r w:rsidRPr="74C1E213" w:rsidR="74C1E213">
        <w:rPr>
          <w:rFonts w:ascii="Calibri" w:hAnsi="Calibri" w:eastAsia="Calibri" w:cs="Calibri"/>
          <w:noProof w:val="0"/>
          <w:sz w:val="22"/>
          <w:szCs w:val="22"/>
          <w:lang w:val="en-US"/>
        </w:rPr>
        <w:t>opinionsandlifestylesurveyadultdrinkingh</w:t>
      </w:r>
      <w:proofErr w:type="spellEnd"/>
      <w:r w:rsidRPr="74C1E213" w:rsidR="74C1E213">
        <w:rPr>
          <w:rFonts w:ascii="Calibri" w:hAnsi="Calibri" w:eastAsia="Calibri" w:cs="Calibri"/>
          <w:noProof w:val="0"/>
          <w:sz w:val="22"/>
          <w:szCs w:val="22"/>
          <w:lang w:val="en-US"/>
        </w:rPr>
        <w:t xml:space="preserve"> </w:t>
      </w:r>
      <w:proofErr w:type="spellStart"/>
      <w:r w:rsidRPr="74C1E213" w:rsidR="74C1E213">
        <w:rPr>
          <w:rFonts w:ascii="Calibri" w:hAnsi="Calibri" w:eastAsia="Calibri" w:cs="Calibri"/>
          <w:noProof w:val="0"/>
          <w:sz w:val="22"/>
          <w:szCs w:val="22"/>
          <w:lang w:val="en-US"/>
        </w:rPr>
        <w:t>abit</w:t>
      </w:r>
      <w:proofErr w:type="spellEnd"/>
      <w:r w:rsidRPr="74C1E213" w:rsidR="74C1E213">
        <w:rPr>
          <w:rFonts w:ascii="Calibri" w:hAnsi="Calibri" w:eastAsia="Calibri" w:cs="Calibri"/>
          <w:noProof w:val="0"/>
          <w:sz w:val="22"/>
          <w:szCs w:val="22"/>
          <w:lang w:val="en-US"/>
        </w:rPr>
        <w:t xml:space="preserve"> </w:t>
      </w:r>
      <w:proofErr w:type="spellStart"/>
      <w:r w:rsidRPr="74C1E213" w:rsidR="74C1E213">
        <w:rPr>
          <w:rFonts w:ascii="Calibri" w:hAnsi="Calibri" w:eastAsia="Calibri" w:cs="Calibri"/>
          <w:noProof w:val="0"/>
          <w:sz w:val="22"/>
          <w:szCs w:val="22"/>
          <w:lang w:val="en-US"/>
        </w:rPr>
        <w:t>singreatbritain</w:t>
      </w:r>
      <w:proofErr w:type="spellEnd"/>
      <w:r w:rsidRPr="74C1E213" w:rsidR="74C1E213">
        <w:rPr>
          <w:rFonts w:ascii="Calibri" w:hAnsi="Calibri" w:eastAsia="Calibri" w:cs="Calibri"/>
          <w:noProof w:val="0"/>
          <w:sz w:val="22"/>
          <w:szCs w:val="22"/>
          <w:lang w:val="en-US"/>
        </w:rPr>
        <w:t>/2005to2016</w:t>
      </w:r>
    </w:p>
    <w:p w:rsidR="38F83CBA" w:rsidP="74C1E213" w:rsidRDefault="38F83CBA" w14:paraId="188220BE" w14:textId="5ED55BC2">
      <w:pPr>
        <w:spacing w:after="160" w:line="259" w:lineRule="auto"/>
        <w:ind w:left="720"/>
      </w:pPr>
      <w:r w:rsidRPr="74C1E213" w:rsidR="74C1E213">
        <w:rPr>
          <w:rFonts w:ascii="Calibri" w:hAnsi="Calibri" w:eastAsia="Calibri" w:cs="Calibri"/>
          <w:noProof w:val="0"/>
          <w:sz w:val="22"/>
          <w:szCs w:val="22"/>
          <w:lang w:val="en-US"/>
        </w:rPr>
        <w:t>Bennett, P. (2011).</w:t>
      </w:r>
      <w:r w:rsidRPr="74C1E213" w:rsidR="74C1E213">
        <w:rPr>
          <w:rFonts w:ascii="Calibri" w:hAnsi="Calibri" w:eastAsia="Calibri" w:cs="Calibri"/>
          <w:i w:val="1"/>
          <w:iCs w:val="1"/>
          <w:noProof w:val="0"/>
          <w:sz w:val="22"/>
          <w:szCs w:val="22"/>
          <w:lang w:val="en-US"/>
        </w:rPr>
        <w:t xml:space="preserve"> Abnormal and clinical psychology: an introductory textbook</w:t>
      </w:r>
      <w:r w:rsidRPr="74C1E213" w:rsidR="74C1E213">
        <w:rPr>
          <w:rFonts w:ascii="Calibri" w:hAnsi="Calibri" w:eastAsia="Calibri" w:cs="Calibri"/>
          <w:noProof w:val="0"/>
          <w:sz w:val="22"/>
          <w:szCs w:val="22"/>
          <w:lang w:val="en-US"/>
        </w:rPr>
        <w:t xml:space="preserve"> (3rd ed.). Berkshire: Open university press.</w:t>
      </w:r>
    </w:p>
    <w:p w:rsidR="38F83CBA" w:rsidP="4717710A" w:rsidRDefault="38F83CBA" w14:paraId="7CC0AD56" w14:textId="3EE85F37">
      <w:pPr>
        <w:pStyle w:val="Normal"/>
        <w:spacing w:after="160" w:line="259" w:lineRule="auto"/>
        <w:ind w:left="720"/>
        <w:rPr>
          <w:rFonts w:ascii="Calibri" w:hAnsi="Calibri" w:eastAsia="Calibri" w:cs="Calibri"/>
          <w:noProof w:val="0"/>
          <w:sz w:val="22"/>
          <w:szCs w:val="22"/>
          <w:lang w:val="en-US"/>
        </w:rPr>
      </w:pPr>
      <w:r w:rsidRPr="74C1E213" w:rsidR="74C1E213">
        <w:rPr>
          <w:rFonts w:ascii="Calibri" w:hAnsi="Calibri" w:eastAsia="Calibri" w:cs="Calibri"/>
          <w:noProof w:val="0"/>
          <w:sz w:val="22"/>
          <w:szCs w:val="22"/>
          <w:lang w:val="en-US"/>
        </w:rPr>
        <w:t xml:space="preserve">Davey, G. (2014) </w:t>
      </w:r>
      <w:r w:rsidRPr="74C1E213" w:rsidR="74C1E213">
        <w:rPr>
          <w:rFonts w:ascii="Calibri" w:hAnsi="Calibri" w:eastAsia="Calibri" w:cs="Calibri"/>
          <w:i w:val="1"/>
          <w:iCs w:val="1"/>
          <w:noProof w:val="0"/>
          <w:color w:val="000000" w:themeColor="text1" w:themeTint="FF" w:themeShade="FF"/>
          <w:sz w:val="22"/>
          <w:szCs w:val="22"/>
          <w:lang w:val="en-US"/>
        </w:rPr>
        <w:t xml:space="preserve">Psychopathology: Research, Assessment, and Treatment in Clinical Psychology. </w:t>
      </w:r>
      <w:r w:rsidRPr="74C1E213" w:rsidR="74C1E213">
        <w:rPr>
          <w:rFonts w:ascii="Calibri" w:hAnsi="Calibri" w:eastAsia="Calibri" w:cs="Calibri"/>
          <w:i w:val="0"/>
          <w:iCs w:val="0"/>
          <w:noProof w:val="0"/>
          <w:color w:val="000000" w:themeColor="text1" w:themeTint="FF" w:themeShade="FF"/>
          <w:sz w:val="22"/>
          <w:szCs w:val="22"/>
          <w:lang w:val="en-US"/>
        </w:rPr>
        <w:t>(2</w:t>
      </w:r>
      <w:r w:rsidRPr="74C1E213" w:rsidR="74C1E213">
        <w:rPr>
          <w:rFonts w:ascii="Calibri" w:hAnsi="Calibri" w:eastAsia="Calibri" w:cs="Calibri"/>
          <w:i w:val="0"/>
          <w:iCs w:val="0"/>
          <w:noProof w:val="0"/>
          <w:color w:val="000000" w:themeColor="text1" w:themeTint="FF" w:themeShade="FF"/>
          <w:sz w:val="22"/>
          <w:szCs w:val="22"/>
          <w:vertAlign w:val="superscript"/>
          <w:lang w:val="en-US"/>
        </w:rPr>
        <w:t>nd</w:t>
      </w:r>
      <w:r w:rsidRPr="74C1E213" w:rsidR="74C1E213">
        <w:rPr>
          <w:rFonts w:ascii="Calibri" w:hAnsi="Calibri" w:eastAsia="Calibri" w:cs="Calibri"/>
          <w:i w:val="0"/>
          <w:iCs w:val="0"/>
          <w:noProof w:val="0"/>
          <w:color w:val="000000" w:themeColor="text1" w:themeTint="FF" w:themeShade="FF"/>
          <w:sz w:val="22"/>
          <w:szCs w:val="22"/>
          <w:lang w:val="en-US"/>
        </w:rPr>
        <w:t xml:space="preserve"> ed.). Oxford, Blackwell.</w:t>
      </w:r>
    </w:p>
    <w:p w:rsidR="38F83CBA" w:rsidP="38F83CBA" w:rsidRDefault="38F83CBA" w14:paraId="3F66B2C1" w14:textId="0E3E8869">
      <w:pPr>
        <w:spacing w:after="160" w:line="259" w:lineRule="auto"/>
        <w:ind w:left="720"/>
      </w:pPr>
      <w:r w:rsidRPr="74C1E213" w:rsidR="74C1E213">
        <w:rPr>
          <w:rFonts w:ascii="Calibri" w:hAnsi="Calibri" w:eastAsia="Calibri" w:cs="Calibri"/>
          <w:noProof w:val="0"/>
          <w:sz w:val="22"/>
          <w:szCs w:val="22"/>
          <w:lang w:val="en-US"/>
        </w:rPr>
        <w:t xml:space="preserve">Day, S. (2016). Developmental psychology section. </w:t>
      </w:r>
      <w:r w:rsidRPr="74C1E213" w:rsidR="74C1E213">
        <w:rPr>
          <w:rFonts w:ascii="Calibri" w:hAnsi="Calibri" w:eastAsia="Calibri" w:cs="Calibri"/>
          <w:i w:val="1"/>
          <w:iCs w:val="1"/>
          <w:noProof w:val="0"/>
          <w:sz w:val="22"/>
          <w:szCs w:val="22"/>
          <w:lang w:val="en-US"/>
        </w:rPr>
        <w:t>Families experience Poverty Stigma in Education:</w:t>
      </w:r>
      <w:r w:rsidRPr="74C1E213" w:rsidR="74C1E213">
        <w:rPr>
          <w:rFonts w:ascii="Calibri" w:hAnsi="Calibri" w:eastAsia="Calibri" w:cs="Calibri"/>
          <w:noProof w:val="0"/>
          <w:sz w:val="22"/>
          <w:szCs w:val="22"/>
          <w:lang w:val="en-US"/>
        </w:rPr>
        <w:t xml:space="preserve"> 2015, September 9-11. Psychology, 46(6), 369-375. University of Central Lancashire: British Psychological Society.</w:t>
      </w:r>
    </w:p>
    <w:p w:rsidR="38F83CBA" w:rsidP="74C1E213" w:rsidRDefault="38F83CBA" w14:paraId="360AD9BB" w14:textId="09623481">
      <w:pPr>
        <w:pStyle w:val="Normal"/>
        <w:spacing w:after="160" w:line="259" w:lineRule="auto"/>
        <w:ind w:left="720"/>
        <w:rPr>
          <w:rFonts w:ascii="Calibri" w:hAnsi="Calibri" w:eastAsia="Calibri" w:cs="Calibri"/>
          <w:noProof w:val="0"/>
          <w:sz w:val="22"/>
          <w:szCs w:val="22"/>
          <w:lang w:val="en-US"/>
        </w:rPr>
      </w:pPr>
      <w:r w:rsidRPr="74C1E213" w:rsidR="74C1E213">
        <w:rPr>
          <w:rFonts w:ascii="Calibri" w:hAnsi="Calibri" w:eastAsia="Calibri" w:cs="Calibri"/>
          <w:noProof w:val="0"/>
          <w:sz w:val="22"/>
          <w:szCs w:val="22"/>
          <w:lang w:val="en-US"/>
        </w:rPr>
        <w:t xml:space="preserve">Evans, L., D Mitchell, I., &amp; Jones, S. (2006). Psychological Response to Sport Injury. In S. Hanton &amp; S. D. </w:t>
      </w:r>
      <w:proofErr w:type="spellStart"/>
      <w:r w:rsidRPr="74C1E213" w:rsidR="74C1E213">
        <w:rPr>
          <w:rFonts w:ascii="Calibri" w:hAnsi="Calibri" w:eastAsia="Calibri" w:cs="Calibri"/>
          <w:noProof w:val="0"/>
          <w:color w:val="000000" w:themeColor="text1" w:themeTint="FF" w:themeShade="FF"/>
          <w:sz w:val="22"/>
          <w:szCs w:val="22"/>
          <w:lang w:val="en-US"/>
        </w:rPr>
        <w:t>Mellaulieu</w:t>
      </w:r>
      <w:proofErr w:type="spellEnd"/>
      <w:r w:rsidRPr="74C1E213" w:rsidR="74C1E213">
        <w:rPr>
          <w:rFonts w:ascii="Calibri" w:hAnsi="Calibri" w:eastAsia="Calibri" w:cs="Calibri"/>
          <w:noProof w:val="0"/>
          <w:color w:val="000000" w:themeColor="text1" w:themeTint="FF" w:themeShade="FF"/>
          <w:sz w:val="22"/>
          <w:szCs w:val="22"/>
          <w:lang w:val="en-US"/>
        </w:rPr>
        <w:t xml:space="preserve">, </w:t>
      </w:r>
      <w:r w:rsidRPr="74C1E213" w:rsidR="74C1E213">
        <w:rPr>
          <w:rFonts w:ascii="Calibri" w:hAnsi="Calibri" w:eastAsia="Calibri" w:cs="Calibri"/>
          <w:i w:val="1"/>
          <w:iCs w:val="1"/>
          <w:noProof w:val="0"/>
          <w:color w:val="000000" w:themeColor="text1" w:themeTint="FF" w:themeShade="FF"/>
          <w:sz w:val="22"/>
          <w:szCs w:val="22"/>
          <w:lang w:val="en-US"/>
        </w:rPr>
        <w:t>Literature reviews in Sport Psychology</w:t>
      </w:r>
      <w:r w:rsidRPr="74C1E213" w:rsidR="74C1E213">
        <w:rPr>
          <w:rFonts w:ascii="Calibri" w:hAnsi="Calibri" w:eastAsia="Calibri" w:cs="Calibri"/>
          <w:noProof w:val="0"/>
          <w:color w:val="000000" w:themeColor="text1" w:themeTint="FF" w:themeShade="FF"/>
          <w:sz w:val="22"/>
          <w:szCs w:val="22"/>
          <w:lang w:val="en-US"/>
        </w:rPr>
        <w:t xml:space="preserve"> (pp. 289-319). </w:t>
      </w:r>
      <w:proofErr w:type="spellStart"/>
      <w:r w:rsidRPr="74C1E213" w:rsidR="74C1E213">
        <w:rPr>
          <w:rFonts w:ascii="Calibri" w:hAnsi="Calibri" w:eastAsia="Calibri" w:cs="Calibri"/>
          <w:noProof w:val="0"/>
          <w:color w:val="000000" w:themeColor="text1" w:themeTint="FF" w:themeShade="FF"/>
          <w:sz w:val="22"/>
          <w:szCs w:val="22"/>
          <w:lang w:val="en-US"/>
        </w:rPr>
        <w:t>Hauppage</w:t>
      </w:r>
      <w:proofErr w:type="spellEnd"/>
      <w:r w:rsidRPr="74C1E213" w:rsidR="74C1E213">
        <w:rPr>
          <w:rFonts w:ascii="Calibri" w:hAnsi="Calibri" w:eastAsia="Calibri" w:cs="Calibri"/>
          <w:noProof w:val="0"/>
          <w:color w:val="000000" w:themeColor="text1" w:themeTint="FF" w:themeShade="FF"/>
          <w:sz w:val="22"/>
          <w:szCs w:val="22"/>
          <w:lang w:val="en-US"/>
        </w:rPr>
        <w:t>, NY: Nova Science Publications.</w:t>
      </w:r>
    </w:p>
    <w:p w:rsidR="38F83CBA" w:rsidP="38F83CBA" w:rsidRDefault="38F83CBA" w14:paraId="48C44DC4" w14:textId="2AC9F47A">
      <w:pPr>
        <w:spacing w:after="160" w:line="259" w:lineRule="auto"/>
        <w:ind w:left="720"/>
        <w:rPr>
          <w:rFonts w:ascii="Calibri" w:hAnsi="Calibri" w:eastAsia="Calibri" w:cs="Calibri"/>
          <w:noProof w:val="0"/>
          <w:sz w:val="22"/>
          <w:szCs w:val="22"/>
          <w:lang w:val="en-US"/>
        </w:rPr>
      </w:pPr>
      <w:proofErr w:type="spellStart"/>
      <w:r w:rsidRPr="74C1E213" w:rsidR="74C1E213">
        <w:rPr>
          <w:rFonts w:ascii="Calibri" w:hAnsi="Calibri" w:eastAsia="Calibri" w:cs="Calibri"/>
          <w:noProof w:val="0"/>
          <w:color w:val="000000" w:themeColor="text1" w:themeTint="FF" w:themeShade="FF"/>
          <w:sz w:val="22"/>
          <w:szCs w:val="22"/>
          <w:lang w:val="en-US"/>
        </w:rPr>
        <w:t>Geekie</w:t>
      </w:r>
      <w:proofErr w:type="spellEnd"/>
      <w:r w:rsidRPr="74C1E213" w:rsidR="74C1E213">
        <w:rPr>
          <w:rFonts w:ascii="Calibri" w:hAnsi="Calibri" w:eastAsia="Calibri" w:cs="Calibri"/>
          <w:noProof w:val="0"/>
          <w:color w:val="000000" w:themeColor="text1" w:themeTint="FF" w:themeShade="FF"/>
          <w:sz w:val="22"/>
          <w:szCs w:val="22"/>
          <w:lang w:val="en-US"/>
        </w:rPr>
        <w:t xml:space="preserve">, J., &amp; Read, J. (2009). </w:t>
      </w:r>
      <w:r w:rsidRPr="74C1E213" w:rsidR="74C1E213">
        <w:rPr>
          <w:rFonts w:ascii="Calibri" w:hAnsi="Calibri" w:eastAsia="Calibri" w:cs="Calibri"/>
          <w:i w:val="1"/>
          <w:iCs w:val="1"/>
          <w:noProof w:val="0"/>
          <w:color w:val="000000" w:themeColor="text1" w:themeTint="FF" w:themeShade="FF"/>
          <w:sz w:val="22"/>
          <w:szCs w:val="22"/>
          <w:lang w:val="en-US"/>
        </w:rPr>
        <w:t xml:space="preserve">Making sense of madness: </w:t>
      </w:r>
      <w:proofErr w:type="spellStart"/>
      <w:r w:rsidRPr="74C1E213" w:rsidR="74C1E213">
        <w:rPr>
          <w:rFonts w:ascii="Calibri" w:hAnsi="Calibri" w:eastAsia="Calibri" w:cs="Calibri"/>
          <w:i w:val="1"/>
          <w:iCs w:val="1"/>
          <w:noProof w:val="0"/>
          <w:color w:val="000000" w:themeColor="text1" w:themeTint="FF" w:themeShade="FF"/>
          <w:sz w:val="22"/>
          <w:szCs w:val="22"/>
          <w:lang w:val="en-US"/>
        </w:rPr>
        <w:t>Conntesting</w:t>
      </w:r>
      <w:proofErr w:type="spellEnd"/>
      <w:r w:rsidRPr="74C1E213" w:rsidR="74C1E213">
        <w:rPr>
          <w:rFonts w:ascii="Calibri" w:hAnsi="Calibri" w:eastAsia="Calibri" w:cs="Calibri"/>
          <w:i w:val="1"/>
          <w:iCs w:val="1"/>
          <w:noProof w:val="0"/>
          <w:color w:val="000000" w:themeColor="text1" w:themeTint="FF" w:themeShade="FF"/>
          <w:sz w:val="22"/>
          <w:szCs w:val="22"/>
          <w:lang w:val="en-US"/>
        </w:rPr>
        <w:t xml:space="preserve"> the meaning of schizophrenia</w:t>
      </w:r>
      <w:r w:rsidRPr="74C1E213" w:rsidR="74C1E213">
        <w:rPr>
          <w:rFonts w:ascii="Calibri" w:hAnsi="Calibri" w:eastAsia="Calibri" w:cs="Calibri"/>
          <w:noProof w:val="0"/>
          <w:color w:val="000000" w:themeColor="text1" w:themeTint="FF" w:themeShade="FF"/>
          <w:sz w:val="22"/>
          <w:szCs w:val="22"/>
          <w:lang w:val="en-US"/>
        </w:rPr>
        <w:t xml:space="preserve"> [</w:t>
      </w:r>
      <w:proofErr w:type="spellStart"/>
      <w:r w:rsidRPr="74C1E213" w:rsidR="74C1E213">
        <w:rPr>
          <w:rFonts w:ascii="Calibri" w:hAnsi="Calibri" w:eastAsia="Calibri" w:cs="Calibri"/>
          <w:noProof w:val="0"/>
          <w:color w:val="000000" w:themeColor="text1" w:themeTint="FF" w:themeShade="FF"/>
          <w:sz w:val="22"/>
          <w:szCs w:val="22"/>
          <w:lang w:val="en-US"/>
        </w:rPr>
        <w:t>Ebook</w:t>
      </w:r>
      <w:proofErr w:type="spellEnd"/>
      <w:r w:rsidRPr="74C1E213" w:rsidR="74C1E213">
        <w:rPr>
          <w:rFonts w:ascii="Calibri" w:hAnsi="Calibri" w:eastAsia="Calibri" w:cs="Calibri"/>
          <w:noProof w:val="0"/>
          <w:color w:val="000000" w:themeColor="text1" w:themeTint="FF" w:themeShade="FF"/>
          <w:sz w:val="22"/>
          <w:szCs w:val="22"/>
          <w:lang w:val="en-US"/>
        </w:rPr>
        <w:t xml:space="preserve">]. London: Routledge Taylor &amp; Francis. Retrieved </w:t>
      </w:r>
      <w:proofErr w:type="gramStart"/>
      <w:r w:rsidRPr="74C1E213" w:rsidR="74C1E213">
        <w:rPr>
          <w:rFonts w:ascii="Calibri" w:hAnsi="Calibri" w:eastAsia="Calibri" w:cs="Calibri"/>
          <w:noProof w:val="0"/>
          <w:color w:val="000000" w:themeColor="text1" w:themeTint="FF" w:themeShade="FF"/>
          <w:sz w:val="22"/>
          <w:szCs w:val="22"/>
          <w:lang w:val="en-US"/>
        </w:rPr>
        <w:t>from .</w:t>
      </w:r>
      <w:proofErr w:type="gramEnd"/>
      <w:r w:rsidRPr="74C1E213" w:rsidR="74C1E213">
        <w:rPr>
          <w:rFonts w:ascii="Calibri" w:hAnsi="Calibri" w:eastAsia="Calibri" w:cs="Calibri"/>
          <w:noProof w:val="0"/>
          <w:color w:val="000000" w:themeColor="text1" w:themeTint="FF" w:themeShade="FF"/>
          <w:sz w:val="22"/>
          <w:szCs w:val="22"/>
          <w:lang w:val="en-US"/>
        </w:rPr>
        <w:t xml:space="preserve"> </w:t>
      </w:r>
      <w:hyperlink r:id="Raa397878de1c4bea">
        <w:r w:rsidRPr="74C1E213" w:rsidR="74C1E213">
          <w:rPr>
            <w:rStyle w:val="Hyperlink"/>
            <w:rFonts w:ascii="Calibri" w:hAnsi="Calibri" w:eastAsia="Calibri" w:cs="Calibri"/>
            <w:noProof w:val="0"/>
            <w:color w:val="000000" w:themeColor="text1" w:themeTint="FF" w:themeShade="FF"/>
            <w:sz w:val="22"/>
            <w:szCs w:val="22"/>
            <w:u w:val="single"/>
            <w:lang w:val="en-US"/>
          </w:rPr>
          <w:t>http://www.tandfebooks.com/doi/view/10.4324/9780203878422</w:t>
        </w:r>
      </w:hyperlink>
    </w:p>
    <w:p w:rsidR="38F83CBA" w:rsidP="38F83CBA" w:rsidRDefault="38F83CBA" w14:paraId="5D87FCBF" w14:textId="0244B94A">
      <w:pPr>
        <w:spacing w:after="160" w:line="259" w:lineRule="auto"/>
        <w:ind w:left="720"/>
      </w:pPr>
      <w:r w:rsidRPr="74C1E213" w:rsidR="74C1E213">
        <w:rPr>
          <w:rFonts w:ascii="Calibri" w:hAnsi="Calibri" w:eastAsia="Calibri" w:cs="Calibri"/>
          <w:noProof w:val="0"/>
          <w:sz w:val="22"/>
          <w:szCs w:val="22"/>
          <w:lang w:val="en-US"/>
        </w:rPr>
        <w:t xml:space="preserve">Hefferon, K. and </w:t>
      </w:r>
      <w:proofErr w:type="spellStart"/>
      <w:r w:rsidRPr="74C1E213" w:rsidR="74C1E213">
        <w:rPr>
          <w:rFonts w:ascii="Calibri" w:hAnsi="Calibri" w:eastAsia="Calibri" w:cs="Calibri"/>
          <w:noProof w:val="0"/>
          <w:sz w:val="22"/>
          <w:szCs w:val="22"/>
          <w:lang w:val="en-US"/>
        </w:rPr>
        <w:t>Boniwell</w:t>
      </w:r>
      <w:proofErr w:type="spellEnd"/>
      <w:r w:rsidRPr="74C1E213" w:rsidR="74C1E213">
        <w:rPr>
          <w:rFonts w:ascii="Calibri" w:hAnsi="Calibri" w:eastAsia="Calibri" w:cs="Calibri"/>
          <w:noProof w:val="0"/>
          <w:sz w:val="22"/>
          <w:szCs w:val="22"/>
          <w:lang w:val="en-US"/>
        </w:rPr>
        <w:t xml:space="preserve">, I. (2011). </w:t>
      </w:r>
      <w:r w:rsidRPr="74C1E213" w:rsidR="74C1E213">
        <w:rPr>
          <w:rFonts w:ascii="Calibri" w:hAnsi="Calibri" w:eastAsia="Calibri" w:cs="Calibri"/>
          <w:i w:val="1"/>
          <w:iCs w:val="1"/>
          <w:noProof w:val="0"/>
          <w:sz w:val="22"/>
          <w:szCs w:val="22"/>
          <w:lang w:val="en-US"/>
        </w:rPr>
        <w:t>Positive Psychology: theory, research and applications.</w:t>
      </w:r>
      <w:r w:rsidRPr="74C1E213" w:rsidR="74C1E213">
        <w:rPr>
          <w:rFonts w:ascii="Calibri" w:hAnsi="Calibri" w:eastAsia="Calibri" w:cs="Calibri"/>
          <w:noProof w:val="0"/>
          <w:sz w:val="22"/>
          <w:szCs w:val="22"/>
          <w:lang w:val="en-US"/>
        </w:rPr>
        <w:t xml:space="preserve"> New York, New York: Open University Press.</w:t>
      </w:r>
    </w:p>
    <w:p w:rsidR="38F83CBA" w:rsidP="74C1E213" w:rsidRDefault="38F83CBA" w14:paraId="1180B640" w14:textId="4EF1B820">
      <w:pPr>
        <w:pStyle w:val="Normal"/>
        <w:spacing w:after="160" w:line="259" w:lineRule="auto"/>
        <w:ind w:left="720"/>
        <w:rPr>
          <w:rFonts w:ascii="Calibri" w:hAnsi="Calibri" w:eastAsia="Calibri" w:cs="Calibri"/>
          <w:noProof w:val="0"/>
          <w:sz w:val="22"/>
          <w:szCs w:val="22"/>
          <w:lang w:val="en-US"/>
        </w:rPr>
      </w:pPr>
      <w:r w:rsidRPr="74C1E213" w:rsidR="74C1E213">
        <w:rPr>
          <w:rFonts w:ascii="Calibri" w:hAnsi="Calibri" w:eastAsia="Calibri" w:cs="Calibri"/>
          <w:noProof w:val="0"/>
          <w:sz w:val="22"/>
          <w:szCs w:val="22"/>
          <w:lang w:val="en-US"/>
        </w:rPr>
        <w:t xml:space="preserve">Hill, E. (2016). The role of narcissism in health-risk and health-protective behaviors. </w:t>
      </w:r>
      <w:r w:rsidRPr="74C1E213" w:rsidR="74C1E213">
        <w:rPr>
          <w:rFonts w:ascii="Calibri" w:hAnsi="Calibri" w:eastAsia="Calibri" w:cs="Calibri"/>
          <w:i w:val="1"/>
          <w:iCs w:val="1"/>
          <w:noProof w:val="0"/>
          <w:color w:val="000000" w:themeColor="text1" w:themeTint="FF" w:themeShade="FF"/>
          <w:sz w:val="22"/>
          <w:szCs w:val="22"/>
          <w:lang w:val="en-US"/>
        </w:rPr>
        <w:t xml:space="preserve">Journal </w:t>
      </w:r>
      <w:proofErr w:type="gramStart"/>
      <w:r w:rsidRPr="74C1E213" w:rsidR="74C1E213">
        <w:rPr>
          <w:rFonts w:ascii="Calibri" w:hAnsi="Calibri" w:eastAsia="Calibri" w:cs="Calibri"/>
          <w:i w:val="1"/>
          <w:iCs w:val="1"/>
          <w:noProof w:val="0"/>
          <w:color w:val="000000" w:themeColor="text1" w:themeTint="FF" w:themeShade="FF"/>
          <w:sz w:val="22"/>
          <w:szCs w:val="22"/>
          <w:lang w:val="en-US"/>
        </w:rPr>
        <w:t>Of</w:t>
      </w:r>
      <w:proofErr w:type="gramEnd"/>
      <w:r w:rsidRPr="74C1E213" w:rsidR="74C1E213">
        <w:rPr>
          <w:rFonts w:ascii="Calibri" w:hAnsi="Calibri" w:eastAsia="Calibri" w:cs="Calibri"/>
          <w:i w:val="1"/>
          <w:iCs w:val="1"/>
          <w:noProof w:val="0"/>
          <w:color w:val="000000" w:themeColor="text1" w:themeTint="FF" w:themeShade="FF"/>
          <w:sz w:val="22"/>
          <w:szCs w:val="22"/>
          <w:lang w:val="en-US"/>
        </w:rPr>
        <w:t xml:space="preserve"> Health Psychology</w:t>
      </w:r>
      <w:r w:rsidRPr="74C1E213" w:rsidR="74C1E213">
        <w:rPr>
          <w:rFonts w:ascii="Calibri" w:hAnsi="Calibri" w:eastAsia="Calibri" w:cs="Calibri"/>
          <w:noProof w:val="0"/>
          <w:color w:val="000000" w:themeColor="text1" w:themeTint="FF" w:themeShade="FF"/>
          <w:sz w:val="22"/>
          <w:szCs w:val="22"/>
          <w:lang w:val="en-US"/>
        </w:rPr>
        <w:t xml:space="preserve">, </w:t>
      </w:r>
      <w:r w:rsidRPr="74C1E213" w:rsidR="74C1E213">
        <w:rPr>
          <w:rFonts w:ascii="Calibri" w:hAnsi="Calibri" w:eastAsia="Calibri" w:cs="Calibri"/>
          <w:i w:val="1"/>
          <w:iCs w:val="1"/>
          <w:noProof w:val="0"/>
          <w:color w:val="000000" w:themeColor="text1" w:themeTint="FF" w:themeShade="FF"/>
          <w:sz w:val="22"/>
          <w:szCs w:val="22"/>
          <w:lang w:val="en-US"/>
        </w:rPr>
        <w:t>21</w:t>
      </w:r>
      <w:r w:rsidRPr="74C1E213" w:rsidR="74C1E213">
        <w:rPr>
          <w:rFonts w:ascii="Calibri" w:hAnsi="Calibri" w:eastAsia="Calibri" w:cs="Calibri"/>
          <w:noProof w:val="0"/>
          <w:color w:val="000000" w:themeColor="text1" w:themeTint="FF" w:themeShade="FF"/>
          <w:sz w:val="22"/>
          <w:szCs w:val="22"/>
          <w:lang w:val="en-US"/>
        </w:rPr>
        <w:t xml:space="preserve">(9), 2021-2032. </w:t>
      </w:r>
      <w:proofErr w:type="spellStart"/>
      <w:r w:rsidRPr="74C1E213" w:rsidR="74C1E213">
        <w:rPr>
          <w:rFonts w:ascii="Calibri" w:hAnsi="Calibri" w:eastAsia="Calibri" w:cs="Calibri"/>
          <w:noProof w:val="0"/>
          <w:color w:val="000000" w:themeColor="text1" w:themeTint="FF" w:themeShade="FF"/>
          <w:sz w:val="22"/>
          <w:szCs w:val="22"/>
          <w:lang w:val="en-US"/>
        </w:rPr>
        <w:t>doi</w:t>
      </w:r>
      <w:proofErr w:type="spellEnd"/>
      <w:r w:rsidRPr="74C1E213" w:rsidR="74C1E213">
        <w:rPr>
          <w:rFonts w:ascii="Calibri" w:hAnsi="Calibri" w:eastAsia="Calibri" w:cs="Calibri"/>
          <w:noProof w:val="0"/>
          <w:color w:val="000000" w:themeColor="text1" w:themeTint="FF" w:themeShade="FF"/>
          <w:sz w:val="22"/>
          <w:szCs w:val="22"/>
          <w:lang w:val="en-US"/>
        </w:rPr>
        <w:t>: 10.1177/1359105315569858</w:t>
      </w:r>
    </w:p>
    <w:p w:rsidR="38F83CBA" w:rsidP="4717710A" w:rsidRDefault="38F83CBA" w14:paraId="3B2A2502" w14:textId="1A0F5AAB">
      <w:pPr>
        <w:pStyle w:val="Normal"/>
        <w:spacing w:after="160" w:line="259" w:lineRule="auto"/>
        <w:ind w:left="720"/>
        <w:rPr>
          <w:rFonts w:ascii="Calibri" w:hAnsi="Calibri" w:eastAsia="Calibri" w:cs="Calibri"/>
          <w:b w:val="0"/>
          <w:bCs w:val="0"/>
          <w:i w:val="0"/>
          <w:iCs w:val="0"/>
          <w:noProof w:val="0"/>
          <w:sz w:val="22"/>
          <w:szCs w:val="22"/>
          <w:lang w:val="en-US"/>
        </w:rPr>
      </w:pPr>
      <w:r w:rsidRPr="4717710A" w:rsidR="4717710A">
        <w:rPr>
          <w:rFonts w:ascii="Calibri" w:hAnsi="Calibri" w:eastAsia="Calibri" w:cs="Calibri"/>
          <w:b w:val="0"/>
          <w:bCs w:val="0"/>
          <w:i w:val="0"/>
          <w:iCs w:val="0"/>
          <w:noProof w:val="0"/>
          <w:color w:val="000000" w:themeColor="text1" w:themeTint="FF" w:themeShade="FF"/>
          <w:sz w:val="22"/>
          <w:szCs w:val="22"/>
          <w:lang w:val="en-US"/>
        </w:rPr>
        <w:t xml:space="preserve">Mazzetti, G., Schaufeli, W., &amp; Guglielmi, D. (2014). Are workaholics born or made? Relations of workaholism with person characteristics and overwork climate. </w:t>
      </w:r>
      <w:r w:rsidRPr="4717710A" w:rsidR="4717710A">
        <w:rPr>
          <w:rFonts w:ascii="Calibri" w:hAnsi="Calibri" w:eastAsia="Calibri" w:cs="Calibri"/>
          <w:b w:val="0"/>
          <w:bCs w:val="0"/>
          <w:i w:val="1"/>
          <w:iCs w:val="1"/>
          <w:noProof w:val="0"/>
          <w:color w:val="000000" w:themeColor="text1" w:themeTint="FF" w:themeShade="FF"/>
          <w:sz w:val="22"/>
          <w:szCs w:val="22"/>
          <w:lang w:val="en-US"/>
        </w:rPr>
        <w:t xml:space="preserve">International Journal </w:t>
      </w:r>
      <w:proofErr w:type="gramStart"/>
      <w:r w:rsidRPr="4717710A" w:rsidR="4717710A">
        <w:rPr>
          <w:rFonts w:ascii="Calibri" w:hAnsi="Calibri" w:eastAsia="Calibri" w:cs="Calibri"/>
          <w:b w:val="0"/>
          <w:bCs w:val="0"/>
          <w:i w:val="1"/>
          <w:iCs w:val="1"/>
          <w:noProof w:val="0"/>
          <w:color w:val="000000" w:themeColor="text1" w:themeTint="FF" w:themeShade="FF"/>
          <w:sz w:val="22"/>
          <w:szCs w:val="22"/>
          <w:lang w:val="en-US"/>
        </w:rPr>
        <w:t>Of</w:t>
      </w:r>
      <w:proofErr w:type="gramEnd"/>
      <w:r w:rsidRPr="4717710A" w:rsidR="4717710A">
        <w:rPr>
          <w:rFonts w:ascii="Calibri" w:hAnsi="Calibri" w:eastAsia="Calibri" w:cs="Calibri"/>
          <w:b w:val="0"/>
          <w:bCs w:val="0"/>
          <w:i w:val="1"/>
          <w:iCs w:val="1"/>
          <w:noProof w:val="0"/>
          <w:color w:val="000000" w:themeColor="text1" w:themeTint="FF" w:themeShade="FF"/>
          <w:sz w:val="22"/>
          <w:szCs w:val="22"/>
          <w:lang w:val="en-US"/>
        </w:rPr>
        <w:t xml:space="preserve"> Stress Management</w:t>
      </w:r>
      <w:r w:rsidRPr="4717710A" w:rsidR="4717710A">
        <w:rPr>
          <w:rFonts w:ascii="Calibri" w:hAnsi="Calibri" w:eastAsia="Calibri" w:cs="Calibri"/>
          <w:b w:val="0"/>
          <w:bCs w:val="0"/>
          <w:i w:val="0"/>
          <w:iCs w:val="0"/>
          <w:noProof w:val="0"/>
          <w:color w:val="000000" w:themeColor="text1" w:themeTint="FF" w:themeShade="FF"/>
          <w:sz w:val="22"/>
          <w:szCs w:val="22"/>
          <w:lang w:val="en-US"/>
        </w:rPr>
        <w:t xml:space="preserve">, </w:t>
      </w:r>
      <w:r w:rsidRPr="4717710A" w:rsidR="4717710A">
        <w:rPr>
          <w:rFonts w:ascii="Calibri" w:hAnsi="Calibri" w:eastAsia="Calibri" w:cs="Calibri"/>
          <w:b w:val="0"/>
          <w:bCs w:val="0"/>
          <w:i w:val="1"/>
          <w:iCs w:val="1"/>
          <w:noProof w:val="0"/>
          <w:color w:val="000000" w:themeColor="text1" w:themeTint="FF" w:themeShade="FF"/>
          <w:sz w:val="22"/>
          <w:szCs w:val="22"/>
          <w:lang w:val="en-US"/>
        </w:rPr>
        <w:t>21</w:t>
      </w:r>
      <w:r w:rsidRPr="4717710A" w:rsidR="4717710A">
        <w:rPr>
          <w:rFonts w:ascii="Calibri" w:hAnsi="Calibri" w:eastAsia="Calibri" w:cs="Calibri"/>
          <w:b w:val="0"/>
          <w:bCs w:val="0"/>
          <w:i w:val="0"/>
          <w:iCs w:val="0"/>
          <w:noProof w:val="0"/>
          <w:color w:val="000000" w:themeColor="text1" w:themeTint="FF" w:themeShade="FF"/>
          <w:sz w:val="22"/>
          <w:szCs w:val="22"/>
          <w:lang w:val="en-US"/>
        </w:rPr>
        <w:t>(3), 227-254</w:t>
      </w:r>
    </w:p>
    <w:p w:rsidR="38F83CBA" w:rsidP="4717710A" w:rsidRDefault="38F83CBA" w14:paraId="49514A63" w14:textId="75FC715D">
      <w:pPr>
        <w:pStyle w:val="Normal"/>
        <w:spacing w:after="160" w:line="259" w:lineRule="auto"/>
        <w:ind w:left="720"/>
        <w:rPr>
          <w:rFonts w:ascii="Calibri" w:hAnsi="Calibri" w:eastAsia="Calibri" w:cs="Calibri"/>
          <w:noProof w:val="0"/>
          <w:sz w:val="22"/>
          <w:szCs w:val="22"/>
          <w:lang w:val="en-US"/>
        </w:rPr>
      </w:pPr>
      <w:r w:rsidRPr="74C1E213" w:rsidR="74C1E213">
        <w:rPr>
          <w:rFonts w:ascii="Calibri" w:hAnsi="Calibri" w:eastAsia="Calibri" w:cs="Calibri"/>
          <w:noProof w:val="0"/>
          <w:sz w:val="22"/>
          <w:szCs w:val="22"/>
          <w:lang w:val="en-US"/>
        </w:rPr>
        <w:t xml:space="preserve">Mental Health Foundation. (2017). </w:t>
      </w:r>
      <w:r w:rsidRPr="74C1E213" w:rsidR="74C1E213">
        <w:rPr>
          <w:rFonts w:ascii="Calibri" w:hAnsi="Calibri" w:eastAsia="Calibri" w:cs="Calibri"/>
          <w:noProof w:val="0"/>
          <w:color w:val="000000" w:themeColor="text1" w:themeTint="FF" w:themeShade="FF"/>
          <w:sz w:val="22"/>
          <w:szCs w:val="22"/>
          <w:lang w:val="en-US"/>
        </w:rPr>
        <w:t>Computerised</w:t>
      </w:r>
      <w:r w:rsidRPr="74C1E213" w:rsidR="74C1E213">
        <w:rPr>
          <w:rFonts w:ascii="Calibri" w:hAnsi="Calibri" w:eastAsia="Calibri" w:cs="Calibri"/>
          <w:noProof w:val="0"/>
          <w:color w:val="000000" w:themeColor="text1" w:themeTint="FF" w:themeShade="FF"/>
          <w:sz w:val="22"/>
          <w:szCs w:val="22"/>
          <w:lang w:val="en-US"/>
        </w:rPr>
        <w:t xml:space="preserve"> cognitive </w:t>
      </w:r>
      <w:r w:rsidRPr="74C1E213" w:rsidR="74C1E213">
        <w:rPr>
          <w:rFonts w:ascii="Calibri" w:hAnsi="Calibri" w:eastAsia="Calibri" w:cs="Calibri"/>
          <w:noProof w:val="0"/>
          <w:color w:val="000000" w:themeColor="text1" w:themeTint="FF" w:themeShade="FF"/>
          <w:sz w:val="22"/>
          <w:szCs w:val="22"/>
          <w:lang w:val="en-US"/>
        </w:rPr>
        <w:t>behavioural</w:t>
      </w:r>
      <w:r w:rsidRPr="74C1E213" w:rsidR="74C1E213">
        <w:rPr>
          <w:rFonts w:ascii="Calibri" w:hAnsi="Calibri" w:eastAsia="Calibri" w:cs="Calibri"/>
          <w:noProof w:val="0"/>
          <w:color w:val="000000" w:themeColor="text1" w:themeTint="FF" w:themeShade="FF"/>
          <w:sz w:val="22"/>
          <w:szCs w:val="22"/>
          <w:lang w:val="en-US"/>
        </w:rPr>
        <w:t xml:space="preserve"> therapy [Podcast]. Retrieved 7 November 2019, from </w:t>
      </w:r>
      <w:hyperlink r:id="Rfb1b99f6106b4de5">
        <w:r w:rsidRPr="74C1E213" w:rsidR="74C1E213">
          <w:rPr>
            <w:rStyle w:val="Hyperlink"/>
            <w:rFonts w:ascii="Calibri" w:hAnsi="Calibri" w:eastAsia="Calibri" w:cs="Calibri"/>
            <w:noProof w:val="0"/>
            <w:color w:val="000000" w:themeColor="text1" w:themeTint="FF" w:themeShade="FF"/>
            <w:sz w:val="22"/>
            <w:szCs w:val="22"/>
            <w:u w:val="single"/>
            <w:lang w:val="en-US"/>
          </w:rPr>
          <w:t>http://www.mentalhealth.org.uk/podcastsand-videos/computerised-cognitivebehavioural-therapy</w:t>
        </w:r>
      </w:hyperlink>
    </w:p>
    <w:p w:rsidR="74C1E213" w:rsidP="74C1E213" w:rsidRDefault="74C1E213" w14:paraId="42D2A356" w14:textId="32C44B1E">
      <w:pPr>
        <w:ind w:left="720"/>
      </w:pPr>
      <w:r w:rsidRPr="74C1E213" w:rsidR="74C1E213">
        <w:rPr>
          <w:rFonts w:ascii="Calibri" w:hAnsi="Calibri" w:eastAsia="Calibri" w:cs="Calibri"/>
          <w:noProof w:val="0"/>
          <w:sz w:val="22"/>
          <w:szCs w:val="22"/>
          <w:lang w:val="en-US"/>
        </w:rPr>
        <w:t xml:space="preserve">Mohamed, S. (2011). </w:t>
      </w:r>
      <w:r w:rsidRPr="74C1E213" w:rsidR="74C1E213">
        <w:rPr>
          <w:rFonts w:ascii="Calibri" w:hAnsi="Calibri" w:eastAsia="Calibri" w:cs="Calibri"/>
          <w:i w:val="1"/>
          <w:iCs w:val="1"/>
          <w:noProof w:val="0"/>
          <w:sz w:val="22"/>
          <w:szCs w:val="22"/>
          <w:lang w:val="en-US"/>
        </w:rPr>
        <w:t>Stigma and mental illness: are there cultural differences?</w:t>
      </w:r>
      <w:r w:rsidRPr="74C1E213" w:rsidR="74C1E213">
        <w:rPr>
          <w:rFonts w:ascii="Calibri" w:hAnsi="Calibri" w:eastAsia="Calibri" w:cs="Calibri"/>
          <w:noProof w:val="0"/>
          <w:sz w:val="22"/>
          <w:szCs w:val="22"/>
          <w:lang w:val="en-US"/>
        </w:rPr>
        <w:t xml:space="preserve"> (Doctoral Dissertation, University of East Anglia) Retrieved from </w:t>
      </w:r>
      <w:proofErr w:type="spellStart"/>
      <w:r w:rsidRPr="74C1E213" w:rsidR="74C1E213">
        <w:rPr>
          <w:rFonts w:ascii="Calibri" w:hAnsi="Calibri" w:eastAsia="Calibri" w:cs="Calibri"/>
          <w:noProof w:val="0"/>
          <w:sz w:val="22"/>
          <w:szCs w:val="22"/>
          <w:lang w:val="en-US"/>
        </w:rPr>
        <w:t>EThOS</w:t>
      </w:r>
      <w:proofErr w:type="spellEnd"/>
      <w:r w:rsidRPr="74C1E213" w:rsidR="74C1E213">
        <w:rPr>
          <w:rFonts w:ascii="Calibri" w:hAnsi="Calibri" w:eastAsia="Calibri" w:cs="Calibri"/>
          <w:noProof w:val="0"/>
          <w:sz w:val="22"/>
          <w:szCs w:val="22"/>
          <w:lang w:val="en-US"/>
        </w:rPr>
        <w:t xml:space="preserve">, </w:t>
      </w:r>
      <w:proofErr w:type="gramStart"/>
      <w:r w:rsidRPr="74C1E213" w:rsidR="74C1E213">
        <w:rPr>
          <w:rFonts w:ascii="Calibri" w:hAnsi="Calibri" w:eastAsia="Calibri" w:cs="Calibri"/>
          <w:noProof w:val="0"/>
          <w:sz w:val="22"/>
          <w:szCs w:val="22"/>
          <w:lang w:val="en-US"/>
        </w:rPr>
        <w:t>uk.bl.ethos</w:t>
      </w:r>
      <w:proofErr w:type="gramEnd"/>
      <w:r w:rsidRPr="74C1E213" w:rsidR="74C1E213">
        <w:rPr>
          <w:rFonts w:ascii="Calibri" w:hAnsi="Calibri" w:eastAsia="Calibri" w:cs="Calibri"/>
          <w:noProof w:val="0"/>
          <w:sz w:val="22"/>
          <w:szCs w:val="22"/>
          <w:lang w:val="en-US"/>
        </w:rPr>
        <w:t>.573771.</w:t>
      </w:r>
    </w:p>
    <w:p w:rsidR="74C1E213" w:rsidP="74C1E213" w:rsidRDefault="74C1E213" w14:paraId="635C8DCE" w14:textId="3F555F50">
      <w:pPr>
        <w:ind w:left="720"/>
      </w:pPr>
      <w:r w:rsidRPr="74C1E213" w:rsidR="74C1E213">
        <w:rPr>
          <w:rFonts w:ascii="Calibri" w:hAnsi="Calibri" w:eastAsia="Calibri" w:cs="Calibri"/>
          <w:noProof w:val="0"/>
          <w:sz w:val="22"/>
          <w:szCs w:val="22"/>
          <w:lang w:val="en-US"/>
        </w:rPr>
        <w:t>Phelps, C., Minou, M., Baker, A., Hughes, C., French, H., &amp; Hawkins, W. et al. (2016).</w:t>
      </w:r>
      <w:r w:rsidRPr="74C1E213" w:rsidR="74C1E213">
        <w:rPr>
          <w:rFonts w:ascii="Calibri" w:hAnsi="Calibri" w:eastAsia="Calibri" w:cs="Calibri"/>
          <w:i w:val="1"/>
          <w:iCs w:val="1"/>
          <w:noProof w:val="0"/>
          <w:sz w:val="22"/>
          <w:szCs w:val="22"/>
          <w:lang w:val="en-US"/>
        </w:rPr>
        <w:t xml:space="preserve"> Necessary but not sufficient? Engaging young people in the development of an avatar-based online intervention designed to provide psychosocial support to young people affected by their own or a family member's cancer diagnosis.</w:t>
      </w:r>
      <w:r w:rsidRPr="74C1E213" w:rsidR="74C1E213">
        <w:rPr>
          <w:rFonts w:ascii="Calibri" w:hAnsi="Calibri" w:eastAsia="Calibri" w:cs="Calibri"/>
          <w:noProof w:val="0"/>
          <w:sz w:val="22"/>
          <w:szCs w:val="22"/>
          <w:lang w:val="en-US"/>
        </w:rPr>
        <w:t xml:space="preserve"> Health Expectations, 20(3), 459-470. </w:t>
      </w:r>
      <w:proofErr w:type="spellStart"/>
      <w:r w:rsidRPr="74C1E213" w:rsidR="74C1E213">
        <w:rPr>
          <w:rFonts w:ascii="Calibri" w:hAnsi="Calibri" w:eastAsia="Calibri" w:cs="Calibri"/>
          <w:noProof w:val="0"/>
          <w:sz w:val="22"/>
          <w:szCs w:val="22"/>
          <w:lang w:val="en-US"/>
        </w:rPr>
        <w:t>doi</w:t>
      </w:r>
      <w:proofErr w:type="spellEnd"/>
      <w:r w:rsidRPr="74C1E213" w:rsidR="74C1E213">
        <w:rPr>
          <w:rFonts w:ascii="Calibri" w:hAnsi="Calibri" w:eastAsia="Calibri" w:cs="Calibri"/>
          <w:noProof w:val="0"/>
          <w:sz w:val="22"/>
          <w:szCs w:val="22"/>
          <w:lang w:val="en-US"/>
        </w:rPr>
        <w:t>: 10.1111/hex.12473</w:t>
      </w:r>
    </w:p>
    <w:p w:rsidR="74C1E213" w:rsidP="74C1E213" w:rsidRDefault="74C1E213" w14:paraId="69FEFE4E" w14:textId="69DACF4A">
      <w:pPr>
        <w:ind w:left="720"/>
      </w:pPr>
      <w:r w:rsidRPr="74C1E213" w:rsidR="74C1E213">
        <w:rPr>
          <w:rFonts w:ascii="Calibri" w:hAnsi="Calibri" w:eastAsia="Calibri" w:cs="Calibri"/>
          <w:noProof w:val="0"/>
          <w:sz w:val="22"/>
          <w:szCs w:val="22"/>
          <w:lang w:val="en-US"/>
        </w:rPr>
        <w:t xml:space="preserve">Tarrier, N., Liversidge, T., &amp; Gregg, L. (2006). The acceptability and preference for the psychological treatment of PTSD. </w:t>
      </w:r>
      <w:proofErr w:type="spellStart"/>
      <w:r w:rsidRPr="74C1E213" w:rsidR="74C1E213">
        <w:rPr>
          <w:rFonts w:ascii="Calibri" w:hAnsi="Calibri" w:eastAsia="Calibri" w:cs="Calibri"/>
          <w:noProof w:val="0"/>
          <w:sz w:val="22"/>
          <w:szCs w:val="22"/>
          <w:lang w:val="en-US"/>
        </w:rPr>
        <w:t>Behaviour</w:t>
      </w:r>
      <w:proofErr w:type="spellEnd"/>
      <w:r w:rsidRPr="74C1E213" w:rsidR="74C1E213">
        <w:rPr>
          <w:rFonts w:ascii="Calibri" w:hAnsi="Calibri" w:eastAsia="Calibri" w:cs="Calibri"/>
          <w:noProof w:val="0"/>
          <w:sz w:val="22"/>
          <w:szCs w:val="22"/>
          <w:lang w:val="en-US"/>
        </w:rPr>
        <w:t xml:space="preserve"> research and therapy, 44, 1643-1656.</w:t>
      </w:r>
    </w:p>
    <w:p w:rsidR="38F83CBA" w:rsidP="38F83CBA" w:rsidRDefault="38F83CBA" w14:paraId="1289149C" w14:textId="7128CE32">
      <w:pPr>
        <w:pStyle w:val="Normal"/>
        <w:spacing w:after="160" w:line="259" w:lineRule="auto"/>
        <w:ind w:left="720"/>
        <w:rPr>
          <w:rFonts w:ascii="Calibri" w:hAnsi="Calibri" w:eastAsia="Calibri" w:cs="Calibri"/>
          <w:noProof w:val="0"/>
          <w:sz w:val="22"/>
          <w:szCs w:val="22"/>
          <w:lang w:val="en-US"/>
        </w:rPr>
      </w:pPr>
      <w:proofErr w:type="spellStart"/>
      <w:r w:rsidRPr="74C1E213" w:rsidR="74C1E213">
        <w:rPr>
          <w:rFonts w:ascii="Calibri" w:hAnsi="Calibri" w:eastAsia="Calibri" w:cs="Calibri"/>
          <w:noProof w:val="0"/>
          <w:color w:val="000000" w:themeColor="text1" w:themeTint="FF" w:themeShade="FF"/>
          <w:sz w:val="22"/>
          <w:szCs w:val="22"/>
          <w:lang w:val="en-US"/>
        </w:rPr>
        <w:t>Ulleberg</w:t>
      </w:r>
      <w:proofErr w:type="spellEnd"/>
      <w:r w:rsidRPr="74C1E213" w:rsidR="74C1E213">
        <w:rPr>
          <w:rFonts w:ascii="Calibri" w:hAnsi="Calibri" w:eastAsia="Calibri" w:cs="Calibri"/>
          <w:noProof w:val="0"/>
          <w:color w:val="000000" w:themeColor="text1" w:themeTint="FF" w:themeShade="FF"/>
          <w:sz w:val="22"/>
          <w:szCs w:val="22"/>
          <w:lang w:val="en-US"/>
        </w:rPr>
        <w:t xml:space="preserve">, P., &amp; </w:t>
      </w:r>
      <w:proofErr w:type="spellStart"/>
      <w:r w:rsidRPr="74C1E213" w:rsidR="74C1E213">
        <w:rPr>
          <w:rFonts w:ascii="Calibri" w:hAnsi="Calibri" w:eastAsia="Calibri" w:cs="Calibri"/>
          <w:noProof w:val="0"/>
          <w:color w:val="000000" w:themeColor="text1" w:themeTint="FF" w:themeShade="FF"/>
          <w:sz w:val="22"/>
          <w:szCs w:val="22"/>
          <w:lang w:val="en-US"/>
        </w:rPr>
        <w:t>Rundmo</w:t>
      </w:r>
      <w:proofErr w:type="spellEnd"/>
      <w:r w:rsidRPr="74C1E213" w:rsidR="74C1E213">
        <w:rPr>
          <w:rFonts w:ascii="Calibri" w:hAnsi="Calibri" w:eastAsia="Calibri" w:cs="Calibri"/>
          <w:noProof w:val="0"/>
          <w:color w:val="000000" w:themeColor="text1" w:themeTint="FF" w:themeShade="FF"/>
          <w:sz w:val="22"/>
          <w:szCs w:val="22"/>
          <w:lang w:val="en-US"/>
        </w:rPr>
        <w:t xml:space="preserve">, T. </w:t>
      </w:r>
      <w:r w:rsidRPr="74C1E213" w:rsidR="74C1E213">
        <w:rPr>
          <w:rFonts w:ascii="Calibri" w:hAnsi="Calibri" w:eastAsia="Calibri" w:cs="Calibri"/>
          <w:i w:val="1"/>
          <w:iCs w:val="1"/>
          <w:noProof w:val="0"/>
          <w:color w:val="000000" w:themeColor="text1" w:themeTint="FF" w:themeShade="FF"/>
          <w:sz w:val="22"/>
          <w:szCs w:val="22"/>
          <w:lang w:val="en-US"/>
        </w:rPr>
        <w:t>Personality, attitudes and risk perception as predictors of risky driving behavior among young drivers</w:t>
      </w:r>
      <w:r w:rsidRPr="74C1E213" w:rsidR="74C1E213">
        <w:rPr>
          <w:rFonts w:ascii="Calibri" w:hAnsi="Calibri" w:eastAsia="Calibri" w:cs="Calibri"/>
          <w:noProof w:val="0"/>
          <w:color w:val="000000" w:themeColor="text1" w:themeTint="FF" w:themeShade="FF"/>
          <w:sz w:val="22"/>
          <w:szCs w:val="22"/>
          <w:lang w:val="en-US"/>
        </w:rPr>
        <w:t>. Safety Science, 41, 427-443</w:t>
      </w:r>
    </w:p>
    <w:p w:rsidR="38F83CBA" w:rsidP="74C1E213" w:rsidRDefault="38F83CBA" w14:paraId="08F68280" w14:textId="35DDEC78">
      <w:pPr>
        <w:spacing w:after="160" w:line="259" w:lineRule="auto"/>
        <w:ind w:left="720"/>
      </w:pPr>
      <w:r w:rsidRPr="74C1E213" w:rsidR="74C1E213">
        <w:rPr>
          <w:rFonts w:ascii="Calibri" w:hAnsi="Calibri" w:eastAsia="Calibri" w:cs="Calibri"/>
          <w:noProof w:val="0"/>
          <w:sz w:val="22"/>
          <w:szCs w:val="22"/>
          <w:lang w:val="en-US"/>
        </w:rPr>
        <w:t xml:space="preserve">Van Hasselt, V.B., &amp; Romeno, S.J., Vecchi, G.M. (2008). Role playing: Applications in hostage and crisis negotiation skills training. </w:t>
      </w:r>
      <w:r w:rsidRPr="74C1E213" w:rsidR="74C1E213">
        <w:rPr>
          <w:rFonts w:ascii="Calibri" w:hAnsi="Calibri" w:eastAsia="Calibri" w:cs="Calibri"/>
          <w:i w:val="1"/>
          <w:iCs w:val="1"/>
          <w:noProof w:val="0"/>
          <w:sz w:val="22"/>
          <w:szCs w:val="22"/>
          <w:u w:val="none"/>
          <w:lang w:val="en-US"/>
        </w:rPr>
        <w:t>Behavior modification</w:t>
      </w:r>
      <w:r w:rsidRPr="74C1E213" w:rsidR="74C1E213">
        <w:rPr>
          <w:rFonts w:ascii="Calibri" w:hAnsi="Calibri" w:eastAsia="Calibri" w:cs="Calibri"/>
          <w:noProof w:val="0"/>
          <w:sz w:val="22"/>
          <w:szCs w:val="22"/>
          <w:lang w:val="en-US"/>
        </w:rPr>
        <w:t>, 32(2), 247-263. doi:10.1177/1359105315569858</w:t>
      </w:r>
    </w:p>
    <w:p w:rsidR="38F83CBA" w:rsidP="74C1E213" w:rsidRDefault="38F83CBA" w14:paraId="763D2474" w14:textId="79CF64D5">
      <w:pPr>
        <w:pStyle w:val="Normal"/>
        <w:spacing w:after="160" w:line="259" w:lineRule="auto"/>
        <w:ind w:left="720"/>
        <w:rPr>
          <w:rFonts w:ascii="Calibri" w:hAnsi="Calibri" w:eastAsia="Calibri" w:cs="Calibri"/>
          <w:noProof w:val="0"/>
          <w:color w:val="000000" w:themeColor="text1" w:themeTint="FF" w:themeShade="FF"/>
          <w:sz w:val="22"/>
          <w:szCs w:val="22"/>
          <w:lang w:val="en-US"/>
        </w:rPr>
      </w:pPr>
      <w:r w:rsidRPr="74C1E213" w:rsidR="74C1E213">
        <w:rPr>
          <w:rFonts w:ascii="Calibri" w:hAnsi="Calibri" w:eastAsia="Calibri" w:cs="Calibri"/>
          <w:noProof w:val="0"/>
          <w:sz w:val="22"/>
          <w:szCs w:val="22"/>
          <w:lang w:val="en-US"/>
        </w:rPr>
        <w:t xml:space="preserve">Vartanian, L., Trewartha, T., &amp; </w:t>
      </w:r>
      <w:proofErr w:type="spellStart"/>
      <w:r w:rsidRPr="74C1E213" w:rsidR="74C1E213">
        <w:rPr>
          <w:rFonts w:ascii="Calibri" w:hAnsi="Calibri" w:eastAsia="Calibri" w:cs="Calibri"/>
          <w:noProof w:val="0"/>
          <w:color w:val="000000" w:themeColor="text1" w:themeTint="FF" w:themeShade="FF"/>
          <w:sz w:val="22"/>
          <w:szCs w:val="22"/>
          <w:lang w:val="en-US"/>
        </w:rPr>
        <w:t>Vanman</w:t>
      </w:r>
      <w:proofErr w:type="spellEnd"/>
      <w:r w:rsidRPr="74C1E213" w:rsidR="74C1E213">
        <w:rPr>
          <w:rFonts w:ascii="Calibri" w:hAnsi="Calibri" w:eastAsia="Calibri" w:cs="Calibri"/>
          <w:noProof w:val="0"/>
          <w:color w:val="000000" w:themeColor="text1" w:themeTint="FF" w:themeShade="FF"/>
          <w:sz w:val="22"/>
          <w:szCs w:val="22"/>
          <w:lang w:val="en-US"/>
        </w:rPr>
        <w:t xml:space="preserve">, E. (2015). Disgust predicts prejudice and discrimination toward individuals with obesity. </w:t>
      </w:r>
      <w:r w:rsidRPr="74C1E213" w:rsidR="74C1E213">
        <w:rPr>
          <w:rFonts w:ascii="Calibri" w:hAnsi="Calibri" w:eastAsia="Calibri" w:cs="Calibri"/>
          <w:i w:val="1"/>
          <w:iCs w:val="1"/>
          <w:noProof w:val="0"/>
          <w:color w:val="000000" w:themeColor="text1" w:themeTint="FF" w:themeShade="FF"/>
          <w:sz w:val="22"/>
          <w:szCs w:val="22"/>
          <w:lang w:val="en-US"/>
        </w:rPr>
        <w:t xml:space="preserve">Journal </w:t>
      </w:r>
      <w:proofErr w:type="gramStart"/>
      <w:r w:rsidRPr="74C1E213" w:rsidR="74C1E213">
        <w:rPr>
          <w:rFonts w:ascii="Calibri" w:hAnsi="Calibri" w:eastAsia="Calibri" w:cs="Calibri"/>
          <w:i w:val="1"/>
          <w:iCs w:val="1"/>
          <w:noProof w:val="0"/>
          <w:color w:val="000000" w:themeColor="text1" w:themeTint="FF" w:themeShade="FF"/>
          <w:sz w:val="22"/>
          <w:szCs w:val="22"/>
          <w:lang w:val="en-US"/>
        </w:rPr>
        <w:t>Of</w:t>
      </w:r>
      <w:proofErr w:type="gramEnd"/>
      <w:r w:rsidRPr="74C1E213" w:rsidR="74C1E213">
        <w:rPr>
          <w:rFonts w:ascii="Calibri" w:hAnsi="Calibri" w:eastAsia="Calibri" w:cs="Calibri"/>
          <w:i w:val="1"/>
          <w:iCs w:val="1"/>
          <w:noProof w:val="0"/>
          <w:color w:val="000000" w:themeColor="text1" w:themeTint="FF" w:themeShade="FF"/>
          <w:sz w:val="22"/>
          <w:szCs w:val="22"/>
          <w:lang w:val="en-US"/>
        </w:rPr>
        <w:t xml:space="preserve"> Applied Social Psychology</w:t>
      </w:r>
      <w:r w:rsidRPr="74C1E213" w:rsidR="74C1E213">
        <w:rPr>
          <w:rFonts w:ascii="Calibri" w:hAnsi="Calibri" w:eastAsia="Calibri" w:cs="Calibri"/>
          <w:noProof w:val="0"/>
          <w:color w:val="000000" w:themeColor="text1" w:themeTint="FF" w:themeShade="FF"/>
          <w:sz w:val="22"/>
          <w:szCs w:val="22"/>
          <w:lang w:val="en-US"/>
        </w:rPr>
        <w:t xml:space="preserve">, </w:t>
      </w:r>
      <w:r w:rsidRPr="74C1E213" w:rsidR="74C1E213">
        <w:rPr>
          <w:rFonts w:ascii="Calibri" w:hAnsi="Calibri" w:eastAsia="Calibri" w:cs="Calibri"/>
          <w:i w:val="1"/>
          <w:iCs w:val="1"/>
          <w:noProof w:val="0"/>
          <w:color w:val="000000" w:themeColor="text1" w:themeTint="FF" w:themeShade="FF"/>
          <w:sz w:val="22"/>
          <w:szCs w:val="22"/>
          <w:lang w:val="en-US"/>
        </w:rPr>
        <w:t>46</w:t>
      </w:r>
      <w:r w:rsidRPr="74C1E213" w:rsidR="74C1E213">
        <w:rPr>
          <w:rFonts w:ascii="Calibri" w:hAnsi="Calibri" w:eastAsia="Calibri" w:cs="Calibri"/>
          <w:noProof w:val="0"/>
          <w:color w:val="000000" w:themeColor="text1" w:themeTint="FF" w:themeShade="FF"/>
          <w:sz w:val="22"/>
          <w:szCs w:val="22"/>
          <w:lang w:val="en-US"/>
        </w:rPr>
        <w:t>(6), 369-375.</w:t>
      </w:r>
    </w:p>
    <w:p w:rsidR="38F83CBA" w:rsidP="38F83CBA" w:rsidRDefault="38F83CBA" w14:paraId="7B166511" w14:textId="7CAA21BA">
      <w:pPr>
        <w:spacing w:after="160" w:line="259" w:lineRule="auto"/>
        <w:ind w:left="720"/>
      </w:pPr>
      <w:r w:rsidRPr="74C1E213" w:rsidR="74C1E213">
        <w:rPr>
          <w:rFonts w:ascii="Calibri" w:hAnsi="Calibri" w:eastAsia="Calibri" w:cs="Calibri"/>
          <w:noProof w:val="0"/>
          <w:sz w:val="22"/>
          <w:szCs w:val="22"/>
          <w:lang w:val="en-US"/>
        </w:rPr>
        <w:t xml:space="preserve">Voigt, D., Dillard, J., Braddock, K., Anderson, J., </w:t>
      </w:r>
      <w:proofErr w:type="spellStart"/>
      <w:r w:rsidRPr="74C1E213" w:rsidR="74C1E213">
        <w:rPr>
          <w:rFonts w:ascii="Calibri" w:hAnsi="Calibri" w:eastAsia="Calibri" w:cs="Calibri"/>
          <w:noProof w:val="0"/>
          <w:sz w:val="22"/>
          <w:szCs w:val="22"/>
          <w:lang w:val="en-US"/>
        </w:rPr>
        <w:t>Sopory</w:t>
      </w:r>
      <w:proofErr w:type="spellEnd"/>
      <w:r w:rsidRPr="74C1E213" w:rsidR="74C1E213">
        <w:rPr>
          <w:rFonts w:ascii="Calibri" w:hAnsi="Calibri" w:eastAsia="Calibri" w:cs="Calibri"/>
          <w:noProof w:val="0"/>
          <w:sz w:val="22"/>
          <w:szCs w:val="22"/>
          <w:lang w:val="en-US"/>
        </w:rPr>
        <w:t xml:space="preserve">, P., &amp; Stephenson, M. (2009). Carver and White's (1994) BIS/BAS scales and their relationship to risky health </w:t>
      </w:r>
      <w:proofErr w:type="spellStart"/>
      <w:r w:rsidRPr="74C1E213" w:rsidR="74C1E213">
        <w:rPr>
          <w:rFonts w:ascii="Calibri" w:hAnsi="Calibri" w:eastAsia="Calibri" w:cs="Calibri"/>
          <w:noProof w:val="0"/>
          <w:sz w:val="22"/>
          <w:szCs w:val="22"/>
          <w:lang w:val="en-US"/>
        </w:rPr>
        <w:t>behaviours</w:t>
      </w:r>
      <w:proofErr w:type="spellEnd"/>
      <w:r w:rsidRPr="74C1E213" w:rsidR="74C1E213">
        <w:rPr>
          <w:rFonts w:ascii="Calibri" w:hAnsi="Calibri" w:eastAsia="Calibri" w:cs="Calibri"/>
          <w:noProof w:val="0"/>
          <w:sz w:val="22"/>
          <w:szCs w:val="22"/>
          <w:lang w:val="en-US"/>
        </w:rPr>
        <w:t xml:space="preserve">. Personality </w:t>
      </w:r>
      <w:proofErr w:type="gramStart"/>
      <w:r w:rsidRPr="74C1E213" w:rsidR="74C1E213">
        <w:rPr>
          <w:rFonts w:ascii="Calibri" w:hAnsi="Calibri" w:eastAsia="Calibri" w:cs="Calibri"/>
          <w:noProof w:val="0"/>
          <w:sz w:val="22"/>
          <w:szCs w:val="22"/>
          <w:lang w:val="en-US"/>
        </w:rPr>
        <w:t>And</w:t>
      </w:r>
      <w:proofErr w:type="gramEnd"/>
      <w:r w:rsidRPr="74C1E213" w:rsidR="74C1E213">
        <w:rPr>
          <w:rFonts w:ascii="Calibri" w:hAnsi="Calibri" w:eastAsia="Calibri" w:cs="Calibri"/>
          <w:noProof w:val="0"/>
          <w:sz w:val="22"/>
          <w:szCs w:val="22"/>
          <w:lang w:val="en-US"/>
        </w:rPr>
        <w:t xml:space="preserve"> Individual Differences, (47), 89-93.</w:t>
      </w:r>
    </w:p>
    <w:p w:rsidR="38F83CBA" w:rsidP="74C1E213" w:rsidRDefault="38F83CBA" w14:paraId="71B9AF6B" w14:textId="0C13E88A">
      <w:pPr>
        <w:pStyle w:val="Normal"/>
        <w:spacing w:after="160" w:line="259" w:lineRule="auto"/>
        <w:ind w:left="720"/>
        <w:rPr>
          <w:rFonts w:ascii="Calibri" w:hAnsi="Calibri" w:eastAsia="Calibri" w:cs="Calibri"/>
          <w:noProof w:val="0"/>
          <w:color w:val="000000" w:themeColor="text1" w:themeTint="FF" w:themeShade="FF"/>
          <w:sz w:val="22"/>
          <w:szCs w:val="22"/>
          <w:lang w:val="en-US"/>
        </w:rPr>
      </w:pPr>
      <w:r w:rsidRPr="74C1E213" w:rsidR="74C1E213">
        <w:rPr>
          <w:rFonts w:ascii="Calibri" w:hAnsi="Calibri" w:eastAsia="Calibri" w:cs="Calibri"/>
          <w:noProof w:val="0"/>
          <w:sz w:val="22"/>
          <w:szCs w:val="22"/>
          <w:lang w:val="en-US"/>
        </w:rPr>
        <w:t xml:space="preserve">Welsh Government. (2015). </w:t>
      </w:r>
      <w:r w:rsidRPr="74C1E213" w:rsidR="74C1E213">
        <w:rPr>
          <w:rFonts w:ascii="Calibri" w:hAnsi="Calibri" w:eastAsia="Calibri" w:cs="Calibri"/>
          <w:i w:val="1"/>
          <w:iCs w:val="1"/>
          <w:noProof w:val="0"/>
          <w:color w:val="000000" w:themeColor="text1" w:themeTint="FF" w:themeShade="FF"/>
          <w:sz w:val="22"/>
          <w:szCs w:val="22"/>
          <w:lang w:val="en-US"/>
        </w:rPr>
        <w:t>Well-being of future generations (Wales)</w:t>
      </w:r>
      <w:r w:rsidRPr="74C1E213" w:rsidR="74C1E213">
        <w:rPr>
          <w:rFonts w:ascii="Calibri" w:hAnsi="Calibri" w:eastAsia="Calibri" w:cs="Calibri"/>
          <w:noProof w:val="0"/>
          <w:color w:val="000000" w:themeColor="text1" w:themeTint="FF" w:themeShade="FF"/>
          <w:sz w:val="22"/>
          <w:szCs w:val="22"/>
          <w:lang w:val="en-US"/>
        </w:rPr>
        <w:t xml:space="preserve">. United Kingdom: The Office </w:t>
      </w:r>
      <w:proofErr w:type="gramStart"/>
      <w:r w:rsidRPr="74C1E213" w:rsidR="74C1E213">
        <w:rPr>
          <w:rFonts w:ascii="Calibri" w:hAnsi="Calibri" w:eastAsia="Calibri" w:cs="Calibri"/>
          <w:noProof w:val="0"/>
          <w:color w:val="000000" w:themeColor="text1" w:themeTint="FF" w:themeShade="FF"/>
          <w:sz w:val="22"/>
          <w:szCs w:val="22"/>
          <w:lang w:val="en-US"/>
        </w:rPr>
        <w:t>Stationary</w:t>
      </w:r>
      <w:proofErr w:type="gramEnd"/>
      <w:r w:rsidRPr="74C1E213" w:rsidR="74C1E213">
        <w:rPr>
          <w:rFonts w:ascii="Calibri" w:hAnsi="Calibri" w:eastAsia="Calibri" w:cs="Calibri"/>
          <w:noProof w:val="0"/>
          <w:color w:val="000000" w:themeColor="text1" w:themeTint="FF" w:themeShade="FF"/>
          <w:sz w:val="22"/>
          <w:szCs w:val="22"/>
          <w:lang w:val="en-US"/>
        </w:rPr>
        <w:t xml:space="preserve"> Limited.</w:t>
      </w:r>
    </w:p>
    <w:p w:rsidR="74C1E213" w:rsidP="74C1E213" w:rsidRDefault="74C1E213" w14:paraId="65F4E41F" w14:textId="269266E5">
      <w:pPr>
        <w:ind w:left="720"/>
      </w:pPr>
      <w:r w:rsidRPr="74C1E213" w:rsidR="74C1E213">
        <w:rPr>
          <w:rFonts w:ascii="Calibri" w:hAnsi="Calibri" w:eastAsia="Calibri" w:cs="Calibri"/>
          <w:noProof w:val="0"/>
          <w:sz w:val="22"/>
          <w:szCs w:val="22"/>
          <w:lang w:val="en-US"/>
        </w:rPr>
        <w:t>Williamson, H. (2016) Centre of Appearance Research: proceedings of the Annual Primary Care Conference on Supporting adolescents struggling with appearance-altering conditions: intervention (YP Face IT) in primary care, University of the West of England, 2016, October 12-</w:t>
      </w:r>
      <w:proofErr w:type="gramStart"/>
      <w:r w:rsidRPr="74C1E213" w:rsidR="74C1E213">
        <w:rPr>
          <w:rFonts w:ascii="Calibri" w:hAnsi="Calibri" w:eastAsia="Calibri" w:cs="Calibri"/>
          <w:noProof w:val="0"/>
          <w:sz w:val="22"/>
          <w:szCs w:val="22"/>
          <w:lang w:val="en-US"/>
        </w:rPr>
        <w:t>14.Royal</w:t>
      </w:r>
      <w:proofErr w:type="gramEnd"/>
      <w:r w:rsidRPr="74C1E213" w:rsidR="74C1E213">
        <w:rPr>
          <w:rFonts w:ascii="Calibri" w:hAnsi="Calibri" w:eastAsia="Calibri" w:cs="Calibri"/>
          <w:noProof w:val="0"/>
          <w:sz w:val="22"/>
          <w:szCs w:val="22"/>
          <w:lang w:val="en-US"/>
        </w:rPr>
        <w:t xml:space="preserve"> College of General Practitioners. </w:t>
      </w:r>
    </w:p>
    <w:p w:rsidR="74C1E213" w:rsidP="74C1E213" w:rsidRDefault="74C1E213" w14:paraId="5C47D650" w14:textId="419CD836">
      <w:pPr>
        <w:ind w:left="720"/>
        <w:rPr>
          <w:rFonts w:ascii="Calibri" w:hAnsi="Calibri" w:eastAsia="Calibri" w:cs="Calibri"/>
          <w:noProof w:val="0"/>
          <w:sz w:val="22"/>
          <w:szCs w:val="22"/>
          <w:lang w:val="en-US"/>
        </w:rPr>
      </w:pPr>
      <w:r w:rsidRPr="712B5686" w:rsidR="712B5686">
        <w:rPr>
          <w:rFonts w:ascii="Calibri" w:hAnsi="Calibri" w:eastAsia="Calibri" w:cs="Calibri"/>
          <w:noProof w:val="0"/>
          <w:sz w:val="22"/>
          <w:szCs w:val="22"/>
          <w:lang w:val="en-US"/>
        </w:rPr>
        <w:t xml:space="preserve">Young, E. (2017). </w:t>
      </w:r>
      <w:r w:rsidRPr="712B5686" w:rsidR="712B5686">
        <w:rPr>
          <w:rFonts w:ascii="Calibri" w:hAnsi="Calibri" w:eastAsia="Calibri" w:cs="Calibri"/>
          <w:i w:val="1"/>
          <w:iCs w:val="1"/>
          <w:noProof w:val="0"/>
          <w:sz w:val="22"/>
          <w:szCs w:val="22"/>
          <w:lang w:val="en-US"/>
        </w:rPr>
        <w:t>Women know better than men what other women are thinking and feeling.</w:t>
      </w:r>
      <w:r w:rsidRPr="712B5686" w:rsidR="712B5686">
        <w:rPr>
          <w:rFonts w:ascii="Calibri" w:hAnsi="Calibri" w:eastAsia="Calibri" w:cs="Calibri"/>
          <w:noProof w:val="0"/>
          <w:sz w:val="22"/>
          <w:szCs w:val="22"/>
          <w:lang w:val="en-US"/>
        </w:rPr>
        <w:t xml:space="preserve"> Retrieved from </w:t>
      </w:r>
      <w:r w:rsidRPr="712B5686" w:rsidR="712B5686">
        <w:rPr>
          <w:rFonts w:ascii="Calibri" w:hAnsi="Calibri" w:eastAsia="Calibri" w:cs="Calibri"/>
          <w:noProof w:val="0"/>
          <w:sz w:val="22"/>
          <w:szCs w:val="22"/>
          <w:lang w:val="en-US"/>
        </w:rPr>
        <w:t>https://digest.bps.org.uk/2017/09/18/women-know-better-thanmenwhat-other-women-are-thinking-and-feeling</w:t>
      </w:r>
    </w:p>
    <w:p w:rsidR="74C1E213" w:rsidP="74C1E213" w:rsidRDefault="74C1E213" w14:paraId="6AB81256" w14:textId="7E09A8EF">
      <w:pPr>
        <w:pStyle w:val="Normal"/>
        <w:spacing w:after="160" w:line="259" w:lineRule="auto"/>
        <w:ind w:left="720"/>
        <w:rPr>
          <w:rFonts w:ascii="Calibri" w:hAnsi="Calibri" w:eastAsia="Calibri" w:cs="Calibri"/>
          <w:noProof w:val="0"/>
          <w:color w:val="000000" w:themeColor="text1" w:themeTint="FF" w:themeShade="FF"/>
          <w:sz w:val="22"/>
          <w:szCs w:val="22"/>
          <w:lang w:val="en-US"/>
        </w:rPr>
      </w:pPr>
    </w:p>
    <w:p w:rsidR="38F83CBA" w:rsidP="38F83CBA" w:rsidRDefault="38F83CBA" w14:paraId="25D1D754" w14:textId="6BA0057D">
      <w:pPr>
        <w:pStyle w:val="Normal"/>
        <w:spacing w:after="160" w:line="259" w:lineRule="auto"/>
        <w:ind w:left="720"/>
        <w:rPr>
          <w:rFonts w:ascii="Calibri" w:hAnsi="Calibri" w:eastAsia="Calibri" w:cs="Calibri"/>
          <w:b w:val="0"/>
          <w:bCs w:val="0"/>
          <w:i w:val="0"/>
          <w:iCs w:val="0"/>
          <w:noProof w:val="0"/>
          <w:color w:val="000000" w:themeColor="text1" w:themeTint="FF" w:themeShade="FF"/>
          <w:sz w:val="22"/>
          <w:szCs w:val="22"/>
          <w:lang w:val="en-US"/>
        </w:rPr>
      </w:pPr>
    </w:p>
    <w:p w:rsidR="38F83CBA" w:rsidP="38F83CBA" w:rsidRDefault="38F83CBA" w14:paraId="3C367EDB" w14:textId="0E606276">
      <w:pPr>
        <w:pStyle w:val="Normal"/>
        <w:rPr>
          <w:b w:val="0"/>
          <w:bCs w:val="0"/>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79340D"/>
  <w15:docId w15:val="{949502ff-a893-445e-b363-123a462aa55b}"/>
  <w:rsids>
    <w:rsidRoot w:val="5083A0F3"/>
    <w:rsid w:val="04AA68D7"/>
    <w:rsid w:val="05C42392"/>
    <w:rsid w:val="05DD26C9"/>
    <w:rsid w:val="076F5BC5"/>
    <w:rsid w:val="095AE204"/>
    <w:rsid w:val="13F63173"/>
    <w:rsid w:val="16FC6D82"/>
    <w:rsid w:val="1779340D"/>
    <w:rsid w:val="1DE17009"/>
    <w:rsid w:val="1EC79834"/>
    <w:rsid w:val="2149C7F4"/>
    <w:rsid w:val="274A7759"/>
    <w:rsid w:val="2B56E7BA"/>
    <w:rsid w:val="38F83CBA"/>
    <w:rsid w:val="396F5599"/>
    <w:rsid w:val="3A62685E"/>
    <w:rsid w:val="3B10343A"/>
    <w:rsid w:val="3F1719B4"/>
    <w:rsid w:val="4669D6B0"/>
    <w:rsid w:val="4717710A"/>
    <w:rsid w:val="5083A0F3"/>
    <w:rsid w:val="51813FEC"/>
    <w:rsid w:val="548BF8B8"/>
    <w:rsid w:val="5F073F65"/>
    <w:rsid w:val="611B3AAC"/>
    <w:rsid w:val="712B5686"/>
    <w:rsid w:val="74C1E213"/>
    <w:rsid w:val="7B1A45D6"/>
    <w:rsid w:val="7CF7F8A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fc102200a464799" /><Relationship Type="http://schemas.openxmlformats.org/officeDocument/2006/relationships/hyperlink" Target="http://www.tandfebooks.com/doi/view/10.4324/9780203878422" TargetMode="External" Id="Raa397878de1c4bea" /><Relationship Type="http://schemas.openxmlformats.org/officeDocument/2006/relationships/hyperlink" Target="http://www.mentalhealth.org.uk/podcastsand-videos/computerised-cognitivebehavioural-therapy" TargetMode="External" Id="Rfb1b99f6106b4d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2019-11-08T21:06:19.6196125Z</dcterms:created>
  <dcterms:modified xsi:type="dcterms:W3CDTF">2019-11-08T23:09:37.4683856Z</dcterms:modified>
  <dc:creator>Karla hill</dc:creator>
  <lastModifiedBy>Karla hill</lastModifiedBy>
</coreProperties>
</file>