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ASSIGNMENT TITLE:</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Written Report – Hyatt Hotels Corporation</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BMIH 5004</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Giulia Chifari</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by</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Marcin Patryk Segrecki</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2219780</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Word Count</w:t>
      </w:r>
    </w:p>
    <w:p>
      <w:pPr>
        <w:pStyle w:val="Normal1"/>
        <w:spacing w:lineRule="auto" w:line="360"/>
        <w:jc w:val="both"/>
        <w:rPr>
          <w:rFonts w:ascii="Arial" w:hAnsi="Arial" w:eastAsia="Arial" w:cs="Arial"/>
          <w:b/>
          <w:b/>
          <w:i w:val="false"/>
          <w:i w:val="false"/>
          <w:iCs w:val="false"/>
          <w:sz w:val="32"/>
          <w:szCs w:val="32"/>
        </w:rPr>
      </w:pPr>
      <w:r>
        <w:rPr>
          <w:rFonts w:eastAsia="Arial" w:cs="Arial" w:ascii="Arial" w:hAnsi="Arial"/>
          <w:b/>
          <w:i w:val="false"/>
          <w:iCs w:val="false"/>
          <w:sz w:val="32"/>
          <w:szCs w:val="32"/>
        </w:rPr>
        <w:t xml:space="preserve">                                                  </w:t>
      </w:r>
      <w:r>
        <w:rPr>
          <w:rFonts w:eastAsia="Arial" w:cs="Arial" w:ascii="Arial" w:hAnsi="Arial"/>
          <w:b/>
          <w:i w:val="false"/>
          <w:iCs w:val="false"/>
          <w:sz w:val="32"/>
          <w:szCs w:val="32"/>
        </w:rPr>
        <w:t>2199</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                                               </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                                                        </w:t>
      </w:r>
      <w:r>
        <w:rPr>
          <w:rFonts w:eastAsia="Arial" w:cs="Arial" w:ascii="Arial" w:hAnsi="Arial"/>
          <w:b/>
          <w:sz w:val="32"/>
          <w:szCs w:val="32"/>
        </w:rPr>
        <w:t>STATEMENT</w:t>
      </w:r>
    </w:p>
    <w:p>
      <w:pPr>
        <w:pStyle w:val="Normal1"/>
        <w:spacing w:lineRule="auto" w:line="360"/>
        <w:jc w:val="both"/>
        <w:rPr>
          <w:rFonts w:ascii="Arial" w:hAnsi="Arial" w:eastAsia="Arial" w:cs="Arial"/>
          <w:b/>
          <w:b/>
          <w:i/>
          <w:i/>
          <w:iCs/>
          <w:sz w:val="24"/>
          <w:szCs w:val="24"/>
        </w:rPr>
      </w:pPr>
      <w:r>
        <w:rPr>
          <w:rFonts w:eastAsia="Arial" w:cs="Arial" w:ascii="Arial" w:hAnsi="Arial"/>
          <w:b/>
          <w:i/>
          <w:iCs/>
          <w:sz w:val="24"/>
          <w:szCs w:val="24"/>
        </w:rPr>
        <w:t>I acknowledge the use of Grammarly App and Microsoft Word Editor on 8</w:t>
      </w:r>
      <w:r>
        <w:rPr>
          <w:rFonts w:eastAsia="Arial" w:cs="Arial" w:ascii="Arial" w:hAnsi="Arial"/>
          <w:b/>
          <w:i/>
          <w:iCs/>
          <w:sz w:val="24"/>
          <w:szCs w:val="24"/>
          <w:vertAlign w:val="superscript"/>
        </w:rPr>
        <w:t>th</w:t>
      </w:r>
      <w:r>
        <w:rPr>
          <w:rFonts w:eastAsia="Arial" w:cs="Arial" w:ascii="Arial" w:hAnsi="Arial"/>
          <w:b/>
          <w:i/>
          <w:iCs/>
          <w:sz w:val="24"/>
          <w:szCs w:val="24"/>
        </w:rPr>
        <w:t xml:space="preserve"> of November 2024 to check my grammar, syntax and misspellings.</w:t>
      </w:r>
    </w:p>
    <w:p>
      <w:pPr>
        <w:pStyle w:val="Normal1"/>
        <w:spacing w:lineRule="auto" w:line="360"/>
        <w:jc w:val="both"/>
        <w:rPr>
          <w:rFonts w:ascii="Arial" w:hAnsi="Arial" w:eastAsia="Arial" w:cs="Arial"/>
          <w:b/>
          <w:b/>
          <w:i/>
          <w:i/>
          <w:iCs/>
          <w:sz w:val="24"/>
          <w:szCs w:val="24"/>
        </w:rPr>
      </w:pPr>
      <w:r>
        <w:rPr>
          <w:rFonts w:eastAsia="Arial" w:cs="Arial" w:ascii="Arial" w:hAnsi="Arial"/>
          <w:b/>
          <w:i/>
          <w:iCs/>
          <w:sz w:val="24"/>
          <w:szCs w:val="24"/>
        </w:rPr>
      </w:r>
    </w:p>
    <w:p>
      <w:pPr>
        <w:pStyle w:val="Normal1"/>
        <w:spacing w:lineRule="auto" w:line="360"/>
        <w:jc w:val="both"/>
        <w:rPr>
          <w:rFonts w:ascii="Arial" w:hAnsi="Arial" w:eastAsia="Arial" w:cs="Arial"/>
          <w:b/>
          <w:b/>
          <w:i/>
          <w:i/>
          <w:iCs/>
          <w:sz w:val="24"/>
          <w:szCs w:val="24"/>
        </w:rPr>
      </w:pPr>
      <w:r>
        <w:rPr>
          <w:rFonts w:eastAsia="Arial" w:cs="Arial" w:ascii="Arial" w:hAnsi="Arial"/>
          <w:b/>
          <w:i/>
          <w:iCs/>
          <w:sz w:val="24"/>
          <w:szCs w:val="24"/>
        </w:rPr>
        <w:t>I confirm that I have not presented any AI generated text as my own work. I confirm I have copies of my drafts, notes, and other resources I used before, and after the use of AI tools which I may be asked to provide in evidence.</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pPr>
      <w:r>
        <w:rPr>
          <w:rFonts w:eastAsia="Arial" w:cs="Arial" w:ascii="Arial" w:hAnsi="Arial"/>
          <w:b/>
          <w:sz w:val="24"/>
          <w:szCs w:val="24"/>
        </w:rPr>
        <w:t>Executive Summary</w:t>
      </w:r>
    </w:p>
    <w:p>
      <w:pPr>
        <w:pStyle w:val="Normal1"/>
        <w:spacing w:lineRule="auto" w:line="360"/>
        <w:jc w:val="both"/>
        <w:rPr/>
      </w:pPr>
      <w:r>
        <w:rPr>
          <w:rFonts w:eastAsia="Arial" w:cs="Arial" w:ascii="Arial" w:hAnsi="Arial"/>
          <w:sz w:val="24"/>
          <w:szCs w:val="24"/>
        </w:rPr>
        <w:t xml:space="preserve">Organisational structure, culture, change initiatives, strategic direction, and improvement recommendations are the main topics covered in this report's analysis of Hyatt Hotels Corporation. Aligned with Mintzberg's organisational model, Hyatt's hierarchical structure allows consistent operations across its worldwide network and simplified decision-making. Stability and adaptability to different markets are guaranteed by the corporate culture's combination of task and role orientations. Within the theoretical frameworks of Handy and Schein, this cultural approach cultivates a consistent brand identity that encourages employee participation and improves the customer service they receive. </w:t>
        <w:br/>
        <w:t>Hyatt has made many changes recently, especially in the areas of sustainability and digital transformation, so that they can stay competitive and meet the changing expectations of their consumers. Problems like staff pushbacks and lack of uniformity across properties persist, but overall, these initiatives have increased operational efficiency and satisfied customers. Using frameworks such as SWOT, PESTLE, and Porter's Five Forces, strategic studies shed light on Hyatt's competitive advantages and areas that require adjustment to meet market demands.</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According to the report's last recommendations, Hyatt is advised to improve its digital personalisation initiatives, sustainability practices, and market position by incorporating culturally immersive experiences. To strengthen brand loyalty and support long-term growth, these strategies seek to align Hyatt's offerings with current trends in the hospitality industry. </w:t>
        <w:b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pPr>
      <w:r>
        <w:rPr>
          <w:rFonts w:eastAsia="Arial" w:cs="Arial" w:ascii="Arial" w:hAnsi="Arial"/>
          <w:b/>
          <w:sz w:val="24"/>
          <w:szCs w:val="24"/>
        </w:rPr>
        <w:t>Table of Contents</w:t>
      </w:r>
    </w:p>
    <w:p>
      <w:pPr>
        <w:pStyle w:val="Normal1"/>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Executive Summary</w:t>
      </w:r>
    </w:p>
    <w:p>
      <w:pPr>
        <w:pStyle w:val="Normal1"/>
        <w:spacing w:lineRule="auto" w:line="360"/>
        <w:ind w:left="720" w:hanging="0"/>
        <w:jc w:val="both"/>
        <w:rPr>
          <w:rFonts w:ascii="Arial" w:hAnsi="Arial" w:eastAsia="Arial" w:cs="Arial"/>
          <w:sz w:val="24"/>
          <w:szCs w:val="24"/>
        </w:rPr>
      </w:pPr>
      <w:r>
        <w:rPr>
          <w:rFonts w:eastAsia="Arial" w:cs="Arial" w:ascii="Arial" w:hAnsi="Arial"/>
          <w:b/>
          <w:sz w:val="24"/>
          <w:szCs w:val="24"/>
        </w:rPr>
        <w:t>Introduction</w:t>
      </w:r>
      <w:r>
        <w:rPr>
          <w:rFonts w:eastAsia="Arial" w:cs="Arial" w:ascii="Arial" w:hAnsi="Arial"/>
          <w:sz w:val="24"/>
          <w:szCs w:val="24"/>
        </w:rPr>
        <w:br/>
      </w:r>
      <w:r>
        <w:rPr>
          <w:rFonts w:eastAsia="Arial" w:cs="Arial" w:ascii="Arial" w:hAnsi="Arial"/>
          <w:b/>
          <w:sz w:val="24"/>
          <w:szCs w:val="24"/>
        </w:rPr>
        <w:t>Organisation Structure, Culture, and Goals</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3.1 Organisational Structure</w:t>
      </w:r>
    </w:p>
    <w:p>
      <w:pPr>
        <w:pStyle w:val="Normal1"/>
        <w:spacing w:lineRule="auto" w:line="360"/>
        <w:ind w:left="1440" w:hanging="0"/>
        <w:jc w:val="both"/>
        <w:rPr>
          <w:rFonts w:ascii="Arial" w:hAnsi="Arial" w:eastAsia="Arial" w:cs="Arial"/>
          <w:b/>
          <w:b/>
          <w:sz w:val="24"/>
          <w:szCs w:val="24"/>
        </w:rPr>
      </w:pPr>
      <w:r>
        <w:rPr>
          <w:rFonts w:eastAsia="Arial" w:cs="Arial" w:ascii="Arial" w:hAnsi="Arial"/>
          <w:b/>
          <w:sz w:val="24"/>
          <w:szCs w:val="24"/>
        </w:rPr>
        <w:t>3.2 Corporate Culture</w:t>
      </w:r>
    </w:p>
    <w:p>
      <w:pPr>
        <w:pStyle w:val="Normal1"/>
        <w:spacing w:lineRule="auto" w:line="360"/>
        <w:ind w:left="1440" w:hanging="0"/>
        <w:jc w:val="both"/>
        <w:rPr>
          <w:rFonts w:ascii="Arial" w:hAnsi="Arial" w:eastAsia="Arial" w:cs="Arial"/>
          <w:b/>
          <w:b/>
          <w:sz w:val="24"/>
          <w:szCs w:val="24"/>
        </w:rPr>
      </w:pPr>
      <w:r>
        <w:rPr>
          <w:rFonts w:eastAsia="Arial" w:cs="Arial" w:ascii="Arial" w:hAnsi="Arial"/>
          <w:b/>
          <w:sz w:val="24"/>
          <w:szCs w:val="24"/>
        </w:rPr>
        <w:t>3.3 Corporate and Unit Goals</w:t>
      </w:r>
    </w:p>
    <w:p>
      <w:pPr>
        <w:pStyle w:val="Normal1"/>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Recent Change Initiatives</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4.1 Overview of Recent Initiatives</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4.2 Impact of Changes</w:t>
      </w:r>
    </w:p>
    <w:p>
      <w:pPr>
        <w:pStyle w:val="Normal1"/>
        <w:spacing w:lineRule="auto" w:line="360"/>
        <w:ind w:left="1440" w:hanging="0"/>
        <w:jc w:val="both"/>
        <w:rPr>
          <w:rFonts w:ascii="Arial" w:hAnsi="Arial" w:eastAsia="Arial" w:cs="Arial"/>
          <w:b/>
          <w:b/>
          <w:sz w:val="24"/>
          <w:szCs w:val="24"/>
        </w:rPr>
      </w:pPr>
      <w:r>
        <w:rPr>
          <w:rFonts w:eastAsia="Arial" w:cs="Arial" w:ascii="Arial" w:hAnsi="Arial"/>
          <w:b/>
          <w:sz w:val="24"/>
          <w:szCs w:val="24"/>
        </w:rPr>
        <w:t>4.3 Evaluation of Change Management</w:t>
      </w:r>
    </w:p>
    <w:p>
      <w:pPr>
        <w:pStyle w:val="Normal1"/>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Strategic Direction</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5.1 Strategic Analysis</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5.2 Long-term Strategy and Vision</w:t>
      </w:r>
    </w:p>
    <w:p>
      <w:pPr>
        <w:pStyle w:val="Normal1"/>
        <w:spacing w:lineRule="auto" w:line="360"/>
        <w:ind w:left="1440" w:hanging="0"/>
        <w:jc w:val="both"/>
        <w:rPr>
          <w:rFonts w:ascii="Arial" w:hAnsi="Arial" w:eastAsia="Arial" w:cs="Arial"/>
          <w:b/>
          <w:b/>
          <w:sz w:val="24"/>
          <w:szCs w:val="24"/>
        </w:rPr>
      </w:pPr>
      <w:r>
        <w:rPr>
          <w:rFonts w:eastAsia="Arial" w:cs="Arial" w:ascii="Arial" w:hAnsi="Arial"/>
          <w:b/>
          <w:sz w:val="24"/>
          <w:szCs w:val="24"/>
        </w:rPr>
        <w:t>5.3 Competitive Edge and Sustainability</w:t>
      </w:r>
    </w:p>
    <w:p>
      <w:pPr>
        <w:pStyle w:val="Normal1"/>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Recommendations</w:t>
      </w:r>
    </w:p>
    <w:p>
      <w:pPr>
        <w:pStyle w:val="Normal1"/>
        <w:spacing w:lineRule="auto" w:line="360"/>
        <w:ind w:left="1440" w:hanging="0"/>
        <w:jc w:val="both"/>
        <w:rPr>
          <w:rFonts w:ascii="Arial" w:hAnsi="Arial" w:eastAsia="Arial" w:cs="Arial"/>
          <w:sz w:val="24"/>
          <w:szCs w:val="24"/>
        </w:rPr>
      </w:pPr>
      <w:r>
        <w:rPr>
          <w:rFonts w:eastAsia="Arial" w:cs="Arial" w:ascii="Arial" w:hAnsi="Arial"/>
          <w:b/>
          <w:sz w:val="24"/>
          <w:szCs w:val="24"/>
        </w:rPr>
        <w:t>6.1 Improvement Suggestions</w:t>
      </w:r>
    </w:p>
    <w:p>
      <w:pPr>
        <w:pStyle w:val="Normal1"/>
        <w:spacing w:lineRule="auto" w:line="360"/>
        <w:ind w:left="1440" w:hanging="0"/>
        <w:jc w:val="both"/>
        <w:rPr>
          <w:rFonts w:ascii="Arial" w:hAnsi="Arial" w:eastAsia="Arial" w:cs="Arial"/>
          <w:b/>
          <w:b/>
          <w:sz w:val="24"/>
          <w:szCs w:val="24"/>
        </w:rPr>
      </w:pPr>
      <w:r>
        <w:rPr>
          <w:rFonts w:eastAsia="Arial" w:cs="Arial" w:ascii="Arial" w:hAnsi="Arial"/>
          <w:b/>
          <w:sz w:val="24"/>
          <w:szCs w:val="24"/>
        </w:rPr>
        <w:t>6.2 Implementation Plan</w:t>
      </w:r>
    </w:p>
    <w:p>
      <w:pPr>
        <w:pStyle w:val="Normal1"/>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Conclusion</w:t>
      </w:r>
      <w:r>
        <w:rPr>
          <w:rFonts w:eastAsia="Arial" w:cs="Arial" w:ascii="Arial" w:hAnsi="Arial"/>
          <w:sz w:val="24"/>
          <w:szCs w:val="24"/>
        </w:rPr>
        <w:b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
    </w:p>
    <w:p>
      <w:pPr>
        <w:pStyle w:val="Normal1"/>
        <w:spacing w:lineRule="auto" w:line="360"/>
        <w:jc w:val="both"/>
        <w:rPr/>
      </w:pPr>
      <w:r>
        <w:rPr>
          <w:rFonts w:eastAsia="Arial" w:cs="Arial" w:ascii="Arial" w:hAnsi="Arial"/>
          <w:b/>
          <w:sz w:val="24"/>
          <w:szCs w:val="24"/>
        </w:rPr>
        <w:t>Introduction</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Famous for its extensive portfolio of five-star hotels and resorts, Hyatt Hotels Corporation is an established worldwide brand in the hospitality industry. Hyatt, which began with a single hotel in Los Angeles in 1957, is now a worldwide chain with properties in more than 60 countries. Park Hyatt, Andaz, and Hyatt Regency are a few of the well-known brands in the company's varied portfolio that serve various types of travellers with a shared dedication to outstanding service (Hyatt Hotels Corporation, 2024). The strategic position of Hyatt within the global hospitality industry is characterised by its consistent expansion into emerging markets, guest-centric approach, and strong brand reputation. </w:t>
        <w:br/>
        <w:t>By analysing Hyatt Hotels Corporation's organisational structure, corporate culture, and strategic objectives, this report will critically evaluate the company as a whole and its units. Along with Hyatt's long-term strategy and competitive positioning, it also assesses recent sustainability and digital transformation change initiatives. The report will draw on pertinent organisational theories to evaluate Hyatt's internal dynamics and offer suggestions to strengthen its competitive advantage and market adaptability. The analysis lays the groundwork for comprehending Hyatt's opportunities and threats in the ever-changing global hospitality industry.</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Organisation Structure, Culture, and Goals</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Organisational Structure </w:t>
      </w:r>
    </w:p>
    <w:p>
      <w:pPr>
        <w:pStyle w:val="Normal1"/>
        <w:spacing w:lineRule="auto" w:line="360"/>
        <w:jc w:val="both"/>
        <w:rPr/>
      </w:pPr>
      <w:r>
        <w:rPr>
          <w:rFonts w:eastAsia="Arial" w:cs="Arial" w:ascii="Arial" w:hAnsi="Arial"/>
          <w:sz w:val="24"/>
          <w:szCs w:val="24"/>
        </w:rPr>
        <w:t xml:space="preserve">The organisational hierarchy of Hyatt Hotels Corporation aligns with Mintzberg's model, which is characteristic of large, global hotel chains, emphasising centralised management (Mintzberg, 1980). The executive leadership team of Hyatt comprises the CEO and board members tasked with establishing the company's overarching goals and policies to align with its long-term objectives (Mintzberg, 1980; Hyatt Hotels Corporation, 2023). Hyatt maintains consistency and control over its diverse international operations through centralised decision-making. </w:t>
        <w:br/>
        <w:t xml:space="preserve">Hotel units report to regional and property managers, who serve as intermediaries between corporate headquarters and these units, translating strategic objectives into actionable plans while adapting them to local conditions (Mintzberg, 1980). These managers are essential for aligning the daily operations of all hotels with corporate objectives. The operational core, comprising front-line personnel such as hotel staff interacting directly with guests, is crucial for upholding Hyatt's brand standards across all properties (Mintzberg, 1980; Hyatt Hotels Corporation, 2023). This layered structure facilitates efficiency and consistency across Hyatt's global network while permitting flexibility at the unit level. </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Corporate Culture </w:t>
      </w:r>
    </w:p>
    <w:p>
      <w:pPr>
        <w:pStyle w:val="Normal1"/>
        <w:spacing w:lineRule="auto" w:line="360"/>
        <w:jc w:val="both"/>
        <w:rPr/>
      </w:pPr>
      <w:r>
        <w:rPr>
          <w:rFonts w:eastAsia="Arial" w:cs="Arial" w:ascii="Arial" w:hAnsi="Arial"/>
          <w:sz w:val="24"/>
          <w:szCs w:val="24"/>
        </w:rPr>
        <w:t>Hyatt's corporate culture embodies the blend of role and task systems, similar to the Handy model. Hyatt exemplifies role culture through its structured and bureaucratic methodology, wherein clearly defined roles and standardised procedures are essential to maintaining service consistency across its global locations (Russo et al., 2013). This framework enables Hyatt to uphold high operational regularity, guaranteeing that all properties comply with established standards irrespective of geographic location, a crucial aspect in hospitality chains (Hyatt Hotels Corporation, 2024).</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 xml:space="preserve">Moreover, Hyatt's establishments cultivate a task-oriented culture to promote teamwork and adaptability, particularly in fast-paced environments where collaboration is necessary for promptly and effectively managing guest requirements (Russo et al., 2013). This dual approach corresponds with Schein’s levels of culture, wherein artefacts—such as brand-specific interior designs and staff uniforms—embody the visible aspects of Hyatt’s identity, espoused values consist of a commitment to consumer satisfaction and hospitality excellence, and underlying assumptions pertain to a dedication to quality service and customer-centric experiences (Schein, 2016). This cultural foundation supports Hyatt's capacity to sustain a unified brand identity and a flexible service model across diverse markets, thereby improving employee engagement and reinforcing the brand's competitive stance (Hyatt Hotels Corporation, 2024).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Corporate and Unit Goals </w:t>
      </w:r>
    </w:p>
    <w:p>
      <w:pPr>
        <w:pStyle w:val="Normal1"/>
        <w:spacing w:lineRule="auto" w:line="360"/>
        <w:jc w:val="both"/>
        <w:rPr>
          <w:rFonts w:ascii="Arial" w:hAnsi="Arial" w:eastAsia="Arial" w:cs="Arial"/>
          <w:sz w:val="24"/>
          <w:szCs w:val="24"/>
        </w:rPr>
      </w:pPr>
      <w:r>
        <w:rPr>
          <w:rFonts w:eastAsia="Arial" w:cs="Arial" w:ascii="Arial" w:hAnsi="Arial"/>
          <w:sz w:val="24"/>
          <w:szCs w:val="24"/>
        </w:rPr>
        <w:t>Hyatt is dedicated to sustainability, innovation, and responsible growth at the corporate level. One of its principal objectives is to attain net-zero emissions and mitigate its environmental impact in accordance with its corporate social responsibility efforts, aligning with industry-wide commitments regarding environmental conservation (Hyatt Hotels Corporation, 2024). This objective illustrates the triple bottom line framework, prioritising equilibrium among profit, social equity, and environmental sustainability (Elkington and Rowlands, 1999).</w:t>
      </w:r>
    </w:p>
    <w:p>
      <w:pPr>
        <w:pStyle w:val="Normal1"/>
        <w:spacing w:lineRule="auto" w:line="360"/>
        <w:jc w:val="both"/>
        <w:rPr/>
      </w:pPr>
      <w:r>
        <w:rPr>
          <w:rFonts w:eastAsia="Arial" w:cs="Arial" w:ascii="Arial" w:hAnsi="Arial"/>
          <w:sz w:val="24"/>
          <w:szCs w:val="24"/>
        </w:rPr>
        <w:t xml:space="preserve"> </w:t>
      </w:r>
      <w:r>
        <w:rPr>
          <w:rFonts w:eastAsia="Arial" w:cs="Arial" w:ascii="Arial" w:hAnsi="Arial"/>
          <w:sz w:val="24"/>
          <w:szCs w:val="24"/>
        </w:rPr>
        <w:t xml:space="preserve">Individual hotels establish objectives according to corporate expectations and particular market requirements. Each property aims to enhance guest satisfaction scores and boost occupancy rates through localised strategies customised for their distinct customer demographic (Hyatt Hotels Corporation, 2024). Furthermore, these units execute sustainability practices at the operational level, including waste reduction and energy conservation initiatives, which advance Hyatt’s comprehensive environmental goals. This multi-tiered strategy allows Hyatt to achieve global corporate objectives while retaining adaptability to respond to each market's unique needs and opportunities (Hyatt Hotels Corporation, 2024).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Recent Change Initiatives</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Overview of Recent Initiatives </w:t>
      </w:r>
    </w:p>
    <w:p>
      <w:pPr>
        <w:pStyle w:val="Normal1"/>
        <w:spacing w:lineRule="auto" w:line="360"/>
        <w:jc w:val="both"/>
        <w:rPr/>
      </w:pPr>
      <w:r>
        <w:rPr>
          <w:rFonts w:eastAsia="Arial" w:cs="Arial" w:ascii="Arial" w:hAnsi="Arial"/>
          <w:sz w:val="24"/>
          <w:szCs w:val="24"/>
        </w:rPr>
        <w:t>Hyatt Hotels Corporation has recently executed strategic initiatives focused on sustainability, technological innovation, and operational flexibility to respond to evolving market demands. Hyatt is concentrating on environmental sustainability by committing to diminish its ecological footprint via energy-efficient retrofits, waste minimisation, and resource management strategies (Hyatt Hotels Corporation, 2023). This commitment corresponds with the hospitality industry's broader response to customer demand for environmentally friendly procedures and regulations (Jones et al., 2014).</w:t>
      </w:r>
    </w:p>
    <w:p>
      <w:pPr>
        <w:pStyle w:val="Normal1"/>
        <w:spacing w:lineRule="auto" w:line="360"/>
        <w:jc w:val="both"/>
        <w:rPr/>
      </w:pPr>
      <w:r>
        <w:rPr>
          <w:rFonts w:eastAsia="Arial" w:cs="Arial" w:ascii="Arial" w:hAnsi="Arial"/>
          <w:sz w:val="24"/>
          <w:szCs w:val="24"/>
        </w:rPr>
        <w:t xml:space="preserve"> </w:t>
      </w:r>
      <w:r>
        <w:rPr>
          <w:rFonts w:eastAsia="Arial" w:cs="Arial" w:ascii="Arial" w:hAnsi="Arial"/>
          <w:sz w:val="24"/>
          <w:szCs w:val="24"/>
        </w:rPr>
        <w:t xml:space="preserve">Hyatt has made substantial investments in digital technology, launching a mobile application that facilitates contactless check-in, room entry, and virtual customer service (Hyatt Hotels Corporation, 2024). Studies indicate that digital innovations are essential for improving the guest experience and fulfilling contemporary consumer demands for convenience (Pencarelli, 2020). Hyatt has revised its policies to offer flexible booking options and improved health protocols, strategically addressing post-pandemic changes in traveller expectations and emphasising health safety and adaptability (Suri, 2023).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Impact of Changes </w:t>
      </w:r>
    </w:p>
    <w:p>
      <w:pPr>
        <w:pStyle w:val="Normal1"/>
        <w:spacing w:lineRule="auto" w:line="360"/>
        <w:jc w:val="both"/>
        <w:rPr>
          <w:rFonts w:ascii="Arial" w:hAnsi="Arial" w:eastAsia="Arial" w:cs="Arial"/>
          <w:sz w:val="24"/>
          <w:szCs w:val="24"/>
        </w:rPr>
      </w:pPr>
      <w:r>
        <w:rPr>
          <w:rFonts w:eastAsia="Arial" w:cs="Arial" w:ascii="Arial" w:hAnsi="Arial"/>
          <w:sz w:val="24"/>
          <w:szCs w:val="24"/>
        </w:rPr>
        <w:t>Hyatt's sustainability initiatives have implemented significant operational modifications, necessitating each hotel to embrace resource-efficient practices, such as energy conservation and waste minimisation. These modifications align with Lewin’s Change Management Model, specifically, the unfreezing stage, wherein Hyatt has acknowledged external regulatory pressures and the competitive necessity to exhibit environmental responsibility (Diaz-Iglesias et al., 2021). Critics contend that large hotel chains such as Hyatt frequently prioritise profit over authentic environmental stewardship, suggesting that their sustainability initiatives may lack the requisite depth for substantial impact (Kasim, 2007).</w:t>
      </w:r>
    </w:p>
    <w:p>
      <w:pPr>
        <w:pStyle w:val="Normal1"/>
        <w:spacing w:lineRule="auto" w:line="360"/>
        <w:jc w:val="both"/>
        <w:rPr/>
      </w:pPr>
      <w:r>
        <w:rPr>
          <w:rFonts w:eastAsia="Arial" w:cs="Arial" w:ascii="Arial" w:hAnsi="Arial"/>
          <w:sz w:val="24"/>
          <w:szCs w:val="24"/>
        </w:rPr>
        <w:t xml:space="preserve"> </w:t>
      </w:r>
      <w:r>
        <w:rPr>
          <w:rFonts w:eastAsia="Arial" w:cs="Arial" w:ascii="Arial" w:hAnsi="Arial"/>
          <w:sz w:val="24"/>
          <w:szCs w:val="24"/>
        </w:rPr>
        <w:t xml:space="preserve">Hyatt's digital transformations have significantly enhanced operational efficiency and customer satisfaction. Innovative app-based services, including digital check-in and room access, diminish conventional front-desk interactions and optimise operations, allowing staff to devote increased time to guest engagement (Hyejo and Jeong, 2022). Nonetheless, rapid technological integration frequently results in employee resistance, particularly when technological training is inadequate (Jalo and Pirkkalainen, 2024). Although Hyatt's technological initiatives align with industry trends, it remains uncertain whether their implementation sufficiently supports employees and guests, as research suggests that inadequate training can compromise service quality (Buhalis &amp; Sinarta, 2019). </w:t>
        <w:br/>
        <w:t xml:space="preserve">Moreover, the policy modifications regarding booking flexibility and health protocols demonstrate Hyatt's recognition of evolving consumer priorities. Research indicates that brands that demonstrate customer-centric policies improve customer loyalty, particularly during disruptive events such as the COVID-19 pandemic (Bonfanti et al., 2021). Despite the value of Hyatt's adaptations, some contend that they may insufficiently differentiate the brand in a highly competitive marketplace, as major competitors have implemented similar policies, thereby reducing Hyatt's potential for competitive distinction (Dahlke, 2002). </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Evaluation of Change Management </w:t>
      </w:r>
    </w:p>
    <w:p>
      <w:pPr>
        <w:pStyle w:val="Normal1"/>
        <w:spacing w:lineRule="auto" w:line="360"/>
        <w:jc w:val="both"/>
        <w:rPr>
          <w:rFonts w:ascii="Arial" w:hAnsi="Arial" w:eastAsia="Arial" w:cs="Arial"/>
          <w:sz w:val="24"/>
          <w:szCs w:val="24"/>
        </w:rPr>
      </w:pPr>
      <w:r>
        <w:rPr>
          <w:rFonts w:eastAsia="Arial" w:cs="Arial" w:ascii="Arial" w:hAnsi="Arial"/>
          <w:sz w:val="24"/>
          <w:szCs w:val="24"/>
        </w:rPr>
        <w:t>Hyatt's change management strategy supports communication and employee involvement to alleviate resistance. Lewin's refreezing stage asserts that successful change management requires stakeholder involvement and continuous support to institutionalise new practices (Hassan, 2018). Hyatt has established a systematic communication strategy that includes training programs on digital tools and sustainability practices, which research suggests is essential for minimising employee resistance (Kotter, 2012). The effectiveness of Hyatt's training methodology requires further investigation, as hospitality staff often report feelings of inadequacy in adapting to rapid technological changes (Buhalis &amp; Sinarta, 2019).</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Moreover, Hyatt's comprehensive change process aligns with best practices in organisational behaviour, emphasising the significance of transparent communication and feedback for facilitating smooth transitions (Oreg et al., 2011). The level of engagement varies among properties, with some hotels struggling to fully comply with corporate directives, highlighting the challenges of uniform implementation within decentralised structures. This variability may undermine the consistency and effectiveness of Hyatt's change initiatives, potentially impacting guest experiences and employee morale across different regions (Oreg et al., 2011).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Strategic Direction</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Strategic Analysis </w:t>
      </w:r>
    </w:p>
    <w:p>
      <w:pPr>
        <w:pStyle w:val="Normal1"/>
        <w:spacing w:lineRule="auto" w:line="360"/>
        <w:jc w:val="both"/>
        <w:rPr/>
      </w:pPr>
      <w:r>
        <w:rPr>
          <w:rFonts w:eastAsia="Arial" w:cs="Arial" w:ascii="Arial" w:hAnsi="Arial"/>
          <w:sz w:val="24"/>
          <w:szCs w:val="24"/>
        </w:rPr>
        <w:t xml:space="preserve">Hyatt Hotels Corporation operates in a highly competitive and dynamic hospitality industry, requiring ongoing strategic assessment to maintain its market position. As revealed by a SWOT analysis, Hyatt's key strengths include its global brand reputation, exceptional service quality, and an extensive portfolio of luxury hotels, which set it apart in the upscale and luxury market segments (Hyatt Hotels Corporation, 2024). However, its relatively small size compared to industry giants like Marriott and Hilton may be viewed as a drawback, limiting Hyatt's market penetration and brand visibility (Foroudi, 2019). </w:t>
        <w:br/>
        <w:t xml:space="preserve">Hyatt's primary opportunities lie in improving its footprint in emerging markets and capitalising on consumer trends favouring sustainable and wellness-oriented accommodations (Jones et al., 2014). The increasing demand for sustainable practices offers a growth opportunity for Hyatt, aligning with its commitment to environmental stewardship. However, challenges, including economic recessions, global crises (e.g., COVID-19), and evolving consumer expectations, impose constraints on profitability and adaptability (Maggon and Chaudhry, 2015). A PESTLE analysis highlights the regulatory challenges facing Hyatt, particularly in regions with stringent environmental and labour regulations. The economic volatility and advancements in AI and digital services pose risks and opportunities for Hyatt to improve customer service and operational efficiency (Dahlke, 2002). </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Long-term Strategy and Vision </w:t>
      </w:r>
    </w:p>
    <w:p>
      <w:pPr>
        <w:pStyle w:val="Normal1"/>
        <w:spacing w:lineRule="auto" w:line="360"/>
        <w:jc w:val="both"/>
        <w:rPr>
          <w:rFonts w:ascii="Arial" w:hAnsi="Arial" w:eastAsia="Arial" w:cs="Arial"/>
          <w:sz w:val="24"/>
          <w:szCs w:val="24"/>
        </w:rPr>
      </w:pPr>
      <w:r>
        <w:rPr>
          <w:rFonts w:eastAsia="Arial" w:cs="Arial" w:ascii="Arial" w:hAnsi="Arial"/>
          <w:sz w:val="24"/>
          <w:szCs w:val="24"/>
        </w:rPr>
        <w:t>Hyatt's mission, "to care for people so they can be their best," demonstrates a dedication to customer-centricity and corresponds with its long-term objective of becoming a global hospitality leader by fostering significant guest experiences (Hyatt Hotels Corporation, 2024). This mission propels Hyatt's strategic objectives in employee engagement, customer satisfaction, and brand differentiation, especially within the luxury and lifestyle sectors. Hyatt seeks to improve its brand identity as a premium, customer-centric chain by prioritising service and care.</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Porter’s Five Forces framework underscores Hyatt’s strategic emphasis in the luxury sector, characterised by intense competitive rivalry yet bolstered by robust brand loyalty (Porter, 1998). The significant bargaining power of buyers, particularly in the business and luxury sectors, requires a differentiation strategy, which Hyatt fulfils through exclusive amenities and tailored services. The Boston Matrix classifies Hyatt’s luxury and lifestyle brands as “stars” because of their growth potential in the upscale market. At the same time, its smaller economy offerings are deemed “question marks,” indicating uncertain long-term viability (Mintzberg, 1980).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Competitive Edge and Sustainability </w:t>
      </w:r>
    </w:p>
    <w:p>
      <w:pPr>
        <w:pStyle w:val="Normal1"/>
        <w:spacing w:lineRule="auto" w:line="360"/>
        <w:jc w:val="both"/>
        <w:rPr>
          <w:rFonts w:ascii="Arial" w:hAnsi="Arial" w:eastAsia="Arial" w:cs="Arial"/>
          <w:sz w:val="24"/>
          <w:szCs w:val="24"/>
        </w:rPr>
      </w:pPr>
      <w:r>
        <w:rPr>
          <w:rFonts w:eastAsia="Arial" w:cs="Arial" w:ascii="Arial" w:hAnsi="Arial"/>
          <w:sz w:val="24"/>
          <w:szCs w:val="24"/>
        </w:rPr>
        <w:t>Hyatt has strategically established itself to sustain a competitive advantage by prioritising quality service and pioneering hospitality solutions. Hyatt distinguishes itself from competitors by prioritising customer experience and customising services for luxury and business travellers. It offers a high degree of personalisation and boutique-style amenities, enhancing brand loyalty (Wu and Gao, 2019). Nonetheless, its competitive positioning necessitates adapting to industry trends, especially as competing chains broaden their presence and launch analogous luxury products.</w:t>
      </w:r>
    </w:p>
    <w:p>
      <w:pPr>
        <w:pStyle w:val="Normal1"/>
        <w:spacing w:lineRule="auto" w:line="360"/>
        <w:jc w:val="both"/>
        <w:rPr/>
      </w:pPr>
      <w:r>
        <w:rPr>
          <w:rFonts w:eastAsia="Arial" w:cs="Arial" w:ascii="Arial" w:hAnsi="Arial"/>
          <w:sz w:val="24"/>
          <w:szCs w:val="24"/>
        </w:rPr>
        <w:t xml:space="preserve">Hyatt's sustainability initiatives are integral to its enduring competitiveness, as sustainability increasingly affects consumer choices (Jones et al., 2014). Hyatt's "World of Care" initiative aims to mitigate environmental impacts throughout its operations, aligning with global sustainability objectives and augmenting its brand attractiveness to eco-conscious travellers. Critics contend that although these initiatives are praiseworthy, large chains frequently encounter difficulties executing significant environmental modifications uniformly across their properties, doubting the depth and consistency of Hyatt's sustainability practices (Kasim, 2007). </w:t>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Recommendations</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Improvement Suggestions </w:t>
      </w:r>
    </w:p>
    <w:p>
      <w:pPr>
        <w:pStyle w:val="Normal1"/>
        <w:spacing w:lineRule="auto" w:line="360"/>
        <w:jc w:val="both"/>
        <w:rPr/>
      </w:pPr>
      <w:r>
        <w:rPr>
          <w:rFonts w:eastAsia="Arial" w:cs="Arial" w:ascii="Arial" w:hAnsi="Arial"/>
          <w:sz w:val="24"/>
          <w:szCs w:val="24"/>
        </w:rPr>
        <w:t>Several recommendations are suggested to fortify Hyatt's market position and augment its service offerings. Hyatt should enhance its digital transformation by investing in advanced technologies, including AI-driven guest personalisation and predictive analytics, to customise services according to individual guest preferences (Pencarelli, 2020). This can elevate the guest experience by anticipating needs and providing tailored recommendations, enhancing overall satisfaction and loyalty.</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Sustainability initiatives must be enhanced through quantifiable, comprehensive strategies, including adopting renewable energy sources and expanding waste-reduction practices, to meet the increasing consumer demand for environmentally responsible alternatives (Hariram et al., 2023). Finally, Hyatt can enhance brand values by incorporating cultural and wellness-oriented experiences into its offerings, aligning with trends in experiential travel. Providing distinctive, locally influenced experiences will distinguish Hyatt in the luxury sector, appealing to guests desiring significant, immersive accommodations (Dahlke, 2002). </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t xml:space="preserve">Implementation Plan </w:t>
      </w:r>
    </w:p>
    <w:p>
      <w:pPr>
        <w:pStyle w:val="Normal1"/>
        <w:spacing w:lineRule="auto" w:line="360"/>
        <w:jc w:val="both"/>
        <w:rPr>
          <w:rFonts w:ascii="Arial" w:hAnsi="Arial" w:eastAsia="Arial" w:cs="Arial"/>
          <w:sz w:val="24"/>
          <w:szCs w:val="24"/>
        </w:rPr>
      </w:pPr>
      <w:r>
        <w:rPr>
          <w:rFonts w:eastAsia="Arial" w:cs="Arial" w:ascii="Arial" w:hAnsi="Arial"/>
          <w:sz w:val="24"/>
          <w:szCs w:val="24"/>
        </w:rPr>
        <w:t>Hyatt should designate specialised teams for digital transformation, sustainability, and guest experience to execute these recommendations. During a 12- to 18-month timeframe, these teams will implement the initiatives, allocate resources for personnel training, and establish clear KPIs to assess progress, ensuring alignment with corporate objectives (Kotter, 2012).</w:t>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Conclusion</w:t>
      </w:r>
    </w:p>
    <w:p>
      <w:pPr>
        <w:pStyle w:val="Normal1"/>
        <w:spacing w:lineRule="auto" w:line="360"/>
        <w:jc w:val="both"/>
        <w:rPr/>
      </w:pPr>
      <w:r>
        <w:rPr>
          <w:rFonts w:eastAsia="Arial" w:cs="Arial" w:ascii="Arial" w:hAnsi="Arial"/>
          <w:sz w:val="24"/>
          <w:szCs w:val="24"/>
        </w:rPr>
        <w:t>In summary, Hyatt Hotels Corporation's organisational hierarchy and robust corporate culture centred on role and task orientation support its operational consistency and adaptability in global markets. Recent sustainability and digital transformation initiatives have improved operational efficiency and guest experience; however, challenges persist in achieving uniform adoption and differentiation within a competitive sector. Strategic analyses employing SWOT, PESTLE, and Porter’s Five Forces reveal Hyatt’s competitive advantages and the necessity for ongoing adaptation to changing consumer and environmental requirements.</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Implementing recommendations centred on enhanced digital personalisation, fortified sustainability practices, and culturally immersive guest experiences will likely strengthen Hyatt's position in the industry. These initiatives may augment Hyatt's brand allure, aligning with consumer inclinations for personalisation and sustainability, fortifying its competitive position and facilitating sustained growth in the luxury hospitality industry.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sz w:val="24"/>
          <w:szCs w:val="24"/>
        </w:rPr>
      </w:pPr>
      <w:r>
        <w:rPr>
          <w:rFonts w:eastAsia="Arial" w:cs="Arial" w:ascii="Arial" w:hAnsi="Arial"/>
          <w:sz w:val="24"/>
          <w:szCs w:val="24"/>
        </w:rPr>
        <w:b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rFonts w:ascii="Arial" w:hAnsi="Arial" w:eastAsia="Arial" w:cs="Arial"/>
          <w:sz w:val="24"/>
          <w:szCs w:val="24"/>
        </w:rPr>
      </w:pPr>
      <w:r>
        <w:rPr/>
      </w:r>
    </w:p>
    <w:p>
      <w:pPr>
        <w:pStyle w:val="Normal1"/>
        <w:spacing w:lineRule="auto" w:line="360"/>
        <w:jc w:val="both"/>
        <w:rPr/>
      </w:pPr>
      <w:r>
        <w:rPr>
          <w:rFonts w:eastAsia="Arial" w:cs="Arial" w:ascii="Arial" w:hAnsi="Arial"/>
          <w:sz w:val="24"/>
          <w:szCs w:val="24"/>
        </w:rPr>
        <w:t>References</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numPr>
          <w:ilvl w:val="0"/>
          <w:numId w:val="1"/>
        </w:numPr>
        <w:spacing w:lineRule="auto" w:line="360"/>
        <w:ind w:left="720" w:hanging="360"/>
        <w:jc w:val="both"/>
        <w:rPr/>
      </w:pPr>
      <w:r>
        <w:rPr>
          <w:rFonts w:eastAsia="Arial" w:cs="Arial" w:ascii="Arial" w:hAnsi="Arial"/>
          <w:sz w:val="24"/>
          <w:szCs w:val="24"/>
        </w:rPr>
        <w:t xml:space="preserve">Bonfanti, A., Vigolo, V. and Yfantidou, G., 2021. The impact of the Covid-19 pandemic on customer experience design: The hotel managers’ perspective. </w:t>
      </w:r>
      <w:r>
        <w:rPr>
          <w:rFonts w:eastAsia="Arial" w:cs="Arial" w:ascii="Arial" w:hAnsi="Arial"/>
          <w:i/>
          <w:sz w:val="24"/>
          <w:szCs w:val="24"/>
        </w:rPr>
        <w:t>International Journal of Hospitality Management</w:t>
      </w:r>
      <w:r>
        <w:rPr>
          <w:rFonts w:eastAsia="Arial" w:cs="Arial" w:ascii="Arial" w:hAnsi="Arial"/>
          <w:sz w:val="24"/>
          <w:szCs w:val="24"/>
        </w:rPr>
        <w:t xml:space="preserve">, </w:t>
      </w:r>
      <w:r>
        <w:rPr>
          <w:rFonts w:eastAsia="Arial" w:cs="Arial" w:ascii="Arial" w:hAnsi="Arial"/>
          <w:i/>
          <w:sz w:val="24"/>
          <w:szCs w:val="24"/>
        </w:rPr>
        <w:t>94</w:t>
      </w:r>
      <w:r>
        <w:rPr>
          <w:rFonts w:eastAsia="Arial" w:cs="Arial" w:ascii="Arial" w:hAnsi="Arial"/>
          <w:sz w:val="24"/>
          <w:szCs w:val="24"/>
        </w:rPr>
        <w:t xml:space="preserve">, p.102871. </w:t>
      </w:r>
      <w:hyperlink r:id="rId2">
        <w:r>
          <w:rPr>
            <w:rStyle w:val="ListLabel11"/>
            <w:rFonts w:eastAsia="Arial" w:cs="Arial" w:ascii="Arial" w:hAnsi="Arial"/>
            <w:color w:val="0563C1"/>
            <w:sz w:val="24"/>
            <w:szCs w:val="24"/>
            <w:u w:val="single"/>
          </w:rPr>
          <w:t>https://doi.org/10.1016/j.ijhm.2021.102871</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Buhalis, D. and Sinarta, Y., 2019. Real-time co-creation and nowness service: lessons from tourism and hospitality. </w:t>
      </w:r>
      <w:r>
        <w:rPr>
          <w:rFonts w:eastAsia="Arial" w:cs="Arial" w:ascii="Arial" w:hAnsi="Arial"/>
          <w:i/>
          <w:sz w:val="24"/>
          <w:szCs w:val="24"/>
        </w:rPr>
        <w:t>Journal of Travel &amp; Tourism Marketing</w:t>
      </w:r>
      <w:r>
        <w:rPr>
          <w:rFonts w:eastAsia="Arial" w:cs="Arial" w:ascii="Arial" w:hAnsi="Arial"/>
          <w:sz w:val="24"/>
          <w:szCs w:val="24"/>
        </w:rPr>
        <w:t xml:space="preserve">, </w:t>
      </w:r>
      <w:r>
        <w:rPr>
          <w:rFonts w:eastAsia="Arial" w:cs="Arial" w:ascii="Arial" w:hAnsi="Arial"/>
          <w:i/>
          <w:sz w:val="24"/>
          <w:szCs w:val="24"/>
        </w:rPr>
        <w:t>36</w:t>
      </w:r>
      <w:r>
        <w:rPr>
          <w:rFonts w:eastAsia="Arial" w:cs="Arial" w:ascii="Arial" w:hAnsi="Arial"/>
          <w:sz w:val="24"/>
          <w:szCs w:val="24"/>
        </w:rPr>
        <w:t xml:space="preserve">(5), pp.563-582. </w:t>
      </w:r>
      <w:hyperlink r:id="rId3">
        <w:r>
          <w:rPr>
            <w:rStyle w:val="ListLabel11"/>
            <w:rFonts w:eastAsia="Arial" w:cs="Arial" w:ascii="Arial" w:hAnsi="Arial"/>
            <w:color w:val="0563C1"/>
            <w:sz w:val="24"/>
            <w:szCs w:val="24"/>
            <w:u w:val="single"/>
          </w:rPr>
          <w:t>https://doi.org/10.1080/10548408.2019.1592059</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DAHLKE, D., 2002. The Experience Economy: Work is Theatre &amp; Every Business a Stage: Goods and Services are No Longer Enough. </w:t>
      </w:r>
      <w:r>
        <w:rPr>
          <w:rFonts w:eastAsia="Arial" w:cs="Arial" w:ascii="Arial" w:hAnsi="Arial"/>
          <w:i/>
          <w:sz w:val="24"/>
          <w:szCs w:val="24"/>
        </w:rPr>
        <w:t xml:space="preserve">Journal of Revenue and Pricing Management, </w:t>
      </w:r>
      <w:r>
        <w:rPr>
          <w:rFonts w:eastAsia="Arial" w:cs="Arial" w:ascii="Arial" w:hAnsi="Arial"/>
          <w:b/>
          <w:sz w:val="24"/>
          <w:szCs w:val="24"/>
        </w:rPr>
        <w:t>1</w:t>
      </w:r>
      <w:r>
        <w:rPr>
          <w:rFonts w:eastAsia="Arial" w:cs="Arial" w:ascii="Arial" w:hAnsi="Arial"/>
          <w:sz w:val="24"/>
          <w:szCs w:val="24"/>
        </w:rPr>
        <w:t xml:space="preserve">(1), pp. 90-92. </w:t>
      </w:r>
      <w:hyperlink r:id="rId4">
        <w:r>
          <w:rPr>
            <w:rStyle w:val="ListLabel11"/>
            <w:rFonts w:eastAsia="Arial" w:cs="Arial" w:ascii="Arial" w:hAnsi="Arial"/>
            <w:color w:val="0563C1"/>
            <w:sz w:val="24"/>
            <w:szCs w:val="24"/>
            <w:u w:val="single"/>
          </w:rPr>
          <w:t>https://www.proquest.com/scholarly-journals/experience-economy-work-is-theatre-every-business/docview/214497134/se-2?accountid=130472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Diaz-Iglesias, S., Carlos, U.R.J., Blanco-Gonzalez, A. and Orden-Cruz, C., 2021. Theoretical framework for sustainability, corporate social responsibility and change management. </w:t>
      </w:r>
      <w:r>
        <w:rPr>
          <w:rFonts w:eastAsia="Arial" w:cs="Arial" w:ascii="Arial" w:hAnsi="Arial"/>
          <w:i/>
          <w:sz w:val="24"/>
          <w:szCs w:val="24"/>
        </w:rPr>
        <w:t>J. Sustain. Sci. Manag</w:t>
      </w:r>
      <w:r>
        <w:rPr>
          <w:rFonts w:eastAsia="Arial" w:cs="Arial" w:ascii="Arial" w:hAnsi="Arial"/>
          <w:sz w:val="24"/>
          <w:szCs w:val="24"/>
        </w:rPr>
        <w:t xml:space="preserve">, </w:t>
      </w:r>
      <w:r>
        <w:rPr>
          <w:rFonts w:eastAsia="Arial" w:cs="Arial" w:ascii="Arial" w:hAnsi="Arial"/>
          <w:i/>
          <w:sz w:val="24"/>
          <w:szCs w:val="24"/>
        </w:rPr>
        <w:t>16</w:t>
      </w:r>
      <w:r>
        <w:rPr>
          <w:rFonts w:eastAsia="Arial" w:cs="Arial" w:ascii="Arial" w:hAnsi="Arial"/>
          <w:sz w:val="24"/>
          <w:szCs w:val="24"/>
        </w:rPr>
        <w:t xml:space="preserve">, pp.315-332. </w:t>
      </w:r>
      <w:hyperlink r:id="rId5">
        <w:r>
          <w:rPr>
            <w:rStyle w:val="ListLabel11"/>
            <w:rFonts w:eastAsia="Arial" w:cs="Arial" w:ascii="Arial" w:hAnsi="Arial"/>
            <w:color w:val="0563C1"/>
            <w:sz w:val="24"/>
            <w:szCs w:val="24"/>
            <w:u w:val="single"/>
          </w:rPr>
          <w:t>https://www.academia.edu/download/117615020/JSSMV16N6-25.pdf</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ELKINGTON, J. and ROWLANDS, I.H., 1999. [Cannibals with forks: the triple bottom line of 21st-century business]. </w:t>
      </w:r>
      <w:r>
        <w:rPr>
          <w:rFonts w:eastAsia="Arial" w:cs="Arial" w:ascii="Arial" w:hAnsi="Arial"/>
          <w:i/>
          <w:sz w:val="24"/>
          <w:szCs w:val="24"/>
        </w:rPr>
        <w:t xml:space="preserve">Alternatives Journal, </w:t>
      </w:r>
      <w:r>
        <w:rPr>
          <w:rFonts w:eastAsia="Arial" w:cs="Arial" w:ascii="Arial" w:hAnsi="Arial"/>
          <w:b/>
          <w:sz w:val="24"/>
          <w:szCs w:val="24"/>
        </w:rPr>
        <w:t>25</w:t>
      </w:r>
      <w:r>
        <w:rPr>
          <w:rFonts w:eastAsia="Arial" w:cs="Arial" w:ascii="Arial" w:hAnsi="Arial"/>
          <w:sz w:val="24"/>
          <w:szCs w:val="24"/>
        </w:rPr>
        <w:t xml:space="preserve">(4), pp. 42-43. </w:t>
      </w:r>
      <w:hyperlink r:id="rId6">
        <w:r>
          <w:rPr>
            <w:rStyle w:val="ListLabel11"/>
            <w:rFonts w:eastAsia="Arial" w:cs="Arial" w:ascii="Arial" w:hAnsi="Arial"/>
            <w:color w:val="0563C1"/>
            <w:sz w:val="24"/>
            <w:szCs w:val="24"/>
            <w:u w:val="single"/>
          </w:rPr>
          <w:t>https://www.proquest.com/scholarly-journals/cannibals-with-forks-triple-bottom-line-21st/docview/218750101/se-2?accountid=130472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Foroudi, P., 2019. Influence of brand signature, brand awareness, brand attitude, brand reputation on hotel industry’s brand performance. </w:t>
      </w:r>
      <w:r>
        <w:rPr>
          <w:rFonts w:eastAsia="Arial" w:cs="Arial" w:ascii="Arial" w:hAnsi="Arial"/>
          <w:i/>
          <w:sz w:val="24"/>
          <w:szCs w:val="24"/>
        </w:rPr>
        <w:t>International journal of hospitality management</w:t>
      </w:r>
      <w:r>
        <w:rPr>
          <w:rFonts w:eastAsia="Arial" w:cs="Arial" w:ascii="Arial" w:hAnsi="Arial"/>
          <w:sz w:val="24"/>
          <w:szCs w:val="24"/>
        </w:rPr>
        <w:t xml:space="preserve">, </w:t>
      </w:r>
      <w:r>
        <w:rPr>
          <w:rFonts w:eastAsia="Arial" w:cs="Arial" w:ascii="Arial" w:hAnsi="Arial"/>
          <w:i/>
          <w:sz w:val="24"/>
          <w:szCs w:val="24"/>
        </w:rPr>
        <w:t>76</w:t>
      </w:r>
      <w:r>
        <w:rPr>
          <w:rFonts w:eastAsia="Arial" w:cs="Arial" w:ascii="Arial" w:hAnsi="Arial"/>
          <w:sz w:val="24"/>
          <w:szCs w:val="24"/>
        </w:rPr>
        <w:t xml:space="preserve">, pp.271-285. </w:t>
      </w:r>
      <w:hyperlink r:id="rId7">
        <w:r>
          <w:rPr>
            <w:rStyle w:val="ListLabel11"/>
            <w:rFonts w:eastAsia="Arial" w:cs="Arial" w:ascii="Arial" w:hAnsi="Arial"/>
            <w:color w:val="0563C1"/>
            <w:sz w:val="24"/>
            <w:szCs w:val="24"/>
            <w:u w:val="single"/>
          </w:rPr>
          <w:t>https://doi.org/10.1016/j.ijhm.2018.05.016</w:t>
        </w:r>
      </w:hyperlink>
    </w:p>
    <w:p>
      <w:pPr>
        <w:pStyle w:val="Normal1"/>
        <w:numPr>
          <w:ilvl w:val="0"/>
          <w:numId w:val="1"/>
        </w:numPr>
        <w:spacing w:lineRule="auto" w:line="360"/>
        <w:ind w:left="720" w:hanging="360"/>
        <w:jc w:val="both"/>
        <w:rPr/>
      </w:pPr>
      <w:r>
        <w:rPr>
          <w:rFonts w:eastAsia="Arial" w:cs="Arial" w:ascii="Arial" w:hAnsi="Arial"/>
          <w:sz w:val="24"/>
          <w:szCs w:val="24"/>
        </w:rPr>
        <w:t xml:space="preserve">Hariram, N.P., Mekha, K.B., Suganthan, V. and Sudhakar, K., 2023. Sustainalism: An integrated socio-economic-environmental model to address sustainable development and sustainability. </w:t>
      </w:r>
      <w:r>
        <w:rPr>
          <w:rFonts w:eastAsia="Arial" w:cs="Arial" w:ascii="Arial" w:hAnsi="Arial"/>
          <w:i/>
          <w:sz w:val="24"/>
          <w:szCs w:val="24"/>
        </w:rPr>
        <w:t>Sustainability</w:t>
      </w:r>
      <w:r>
        <w:rPr>
          <w:rFonts w:eastAsia="Arial" w:cs="Arial" w:ascii="Arial" w:hAnsi="Arial"/>
          <w:sz w:val="24"/>
          <w:szCs w:val="24"/>
        </w:rPr>
        <w:t xml:space="preserve">, </w:t>
      </w:r>
      <w:r>
        <w:rPr>
          <w:rFonts w:eastAsia="Arial" w:cs="Arial" w:ascii="Arial" w:hAnsi="Arial"/>
          <w:i/>
          <w:sz w:val="24"/>
          <w:szCs w:val="24"/>
        </w:rPr>
        <w:t>15</w:t>
      </w:r>
      <w:r>
        <w:rPr>
          <w:rFonts w:eastAsia="Arial" w:cs="Arial" w:ascii="Arial" w:hAnsi="Arial"/>
          <w:sz w:val="24"/>
          <w:szCs w:val="24"/>
        </w:rPr>
        <w:t xml:space="preserve">(13), p.10682. </w:t>
      </w:r>
      <w:hyperlink r:id="rId8">
        <w:r>
          <w:rPr>
            <w:rStyle w:val="ListLabel11"/>
            <w:rFonts w:eastAsia="Arial" w:cs="Arial" w:ascii="Arial" w:hAnsi="Arial"/>
            <w:color w:val="0563C1"/>
            <w:sz w:val="24"/>
            <w:szCs w:val="24"/>
            <w:u w:val="single"/>
          </w:rPr>
          <w:t>https://doi.org/10.3390/su151310682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Hassan, A.T., 2018. Organisational change management: A literature review. </w:t>
      </w:r>
      <w:r>
        <w:rPr>
          <w:rFonts w:eastAsia="Arial" w:cs="Arial" w:ascii="Arial" w:hAnsi="Arial"/>
          <w:i/>
          <w:sz w:val="24"/>
          <w:szCs w:val="24"/>
        </w:rPr>
        <w:t>Available at SSRN 3135770</w:t>
      </w:r>
      <w:r>
        <w:rPr>
          <w:rFonts w:eastAsia="Arial" w:cs="Arial" w:ascii="Arial" w:hAnsi="Arial"/>
          <w:sz w:val="24"/>
          <w:szCs w:val="24"/>
        </w:rPr>
        <w:t xml:space="preserve">.  </w:t>
      </w:r>
      <w:hyperlink r:id="rId9">
        <w:r>
          <w:rPr>
            <w:rStyle w:val="ListLabel11"/>
            <w:rFonts w:eastAsia="Arial" w:cs="Arial" w:ascii="Arial" w:hAnsi="Arial"/>
            <w:color w:val="0563C1"/>
            <w:sz w:val="24"/>
            <w:szCs w:val="24"/>
            <w:u w:val="single"/>
          </w:rPr>
          <w:t>https://dx.doi.org/10.2139/ssrn.3135770</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Hyatt, 2024. World of Hyatt. </w:t>
      </w:r>
      <w:hyperlink r:id="rId10">
        <w:r>
          <w:rPr>
            <w:rStyle w:val="ListLabel11"/>
            <w:rFonts w:eastAsia="Arial" w:cs="Arial" w:ascii="Arial" w:hAnsi="Arial"/>
            <w:color w:val="0563C1"/>
            <w:sz w:val="24"/>
            <w:szCs w:val="24"/>
            <w:u w:val="single"/>
          </w:rPr>
          <w:t>https://www.hyatt.com/</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HYEJO, H.S. and JEONG, M., 2022. Redefining luxury service with technology implementation: the impact of technology on guest satisfaction and loyalty in a luxury hotel. </w:t>
      </w:r>
      <w:r>
        <w:rPr>
          <w:rFonts w:eastAsia="Arial" w:cs="Arial" w:ascii="Arial" w:hAnsi="Arial"/>
          <w:i/>
          <w:sz w:val="24"/>
          <w:szCs w:val="24"/>
        </w:rPr>
        <w:t xml:space="preserve">International Journal of Contemporary Hospitality Management, </w:t>
      </w:r>
      <w:r>
        <w:rPr>
          <w:rFonts w:eastAsia="Arial" w:cs="Arial" w:ascii="Arial" w:hAnsi="Arial"/>
          <w:b/>
          <w:sz w:val="24"/>
          <w:szCs w:val="24"/>
        </w:rPr>
        <w:t>34</w:t>
      </w:r>
      <w:r>
        <w:rPr>
          <w:rFonts w:eastAsia="Arial" w:cs="Arial" w:ascii="Arial" w:hAnsi="Arial"/>
          <w:sz w:val="24"/>
          <w:szCs w:val="24"/>
        </w:rPr>
        <w:t xml:space="preserve">(4), pp. 1491-1514. </w:t>
      </w:r>
      <w:hyperlink r:id="rId11">
        <w:r>
          <w:rPr>
            <w:rStyle w:val="ListLabel11"/>
            <w:rFonts w:eastAsia="Arial" w:cs="Arial" w:ascii="Arial" w:hAnsi="Arial"/>
            <w:color w:val="0563C1"/>
            <w:sz w:val="24"/>
            <w:szCs w:val="24"/>
            <w:u w:val="single"/>
          </w:rPr>
          <w:t>https://www.proquest.com/scholarly-journals/redefining-luxury-service-with-technology/docview/2637583309/se-2?accountid=130472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Jalo, H. and Pirkkalainen, H., 2024. Effect of user resistance on the organisational adoption of extended reality technologies: A mixed methods study. </w:t>
      </w:r>
      <w:r>
        <w:rPr>
          <w:rFonts w:eastAsia="Arial" w:cs="Arial" w:ascii="Arial" w:hAnsi="Arial"/>
          <w:i/>
          <w:sz w:val="24"/>
          <w:szCs w:val="24"/>
        </w:rPr>
        <w:t>International Journal of Information Management</w:t>
      </w:r>
      <w:r>
        <w:rPr>
          <w:rFonts w:eastAsia="Arial" w:cs="Arial" w:ascii="Arial" w:hAnsi="Arial"/>
          <w:sz w:val="24"/>
          <w:szCs w:val="24"/>
        </w:rPr>
        <w:t xml:space="preserve">, </w:t>
      </w:r>
      <w:r>
        <w:rPr>
          <w:rFonts w:eastAsia="Arial" w:cs="Arial" w:ascii="Arial" w:hAnsi="Arial"/>
          <w:i/>
          <w:sz w:val="24"/>
          <w:szCs w:val="24"/>
        </w:rPr>
        <w:t>75</w:t>
      </w:r>
      <w:r>
        <w:rPr>
          <w:rFonts w:eastAsia="Arial" w:cs="Arial" w:ascii="Arial" w:hAnsi="Arial"/>
          <w:sz w:val="24"/>
          <w:szCs w:val="24"/>
        </w:rPr>
        <w:t xml:space="preserve">, p.102731.  </w:t>
      </w:r>
      <w:hyperlink r:id="rId12">
        <w:r>
          <w:rPr>
            <w:rStyle w:val="ListLabel11"/>
            <w:rFonts w:eastAsia="Arial" w:cs="Arial" w:ascii="Arial" w:hAnsi="Arial"/>
            <w:color w:val="0563C1"/>
            <w:sz w:val="24"/>
            <w:szCs w:val="24"/>
            <w:u w:val="single"/>
          </w:rPr>
          <w:t>https://doi.org/10.1016/j.ijinfomgt.2023.102731</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JONES, P., HILLIER, D. and COMFORT, D., 2014. Sustainability in the global hotel industry. </w:t>
      </w:r>
      <w:r>
        <w:rPr>
          <w:rFonts w:eastAsia="Arial" w:cs="Arial" w:ascii="Arial" w:hAnsi="Arial"/>
          <w:i/>
          <w:sz w:val="24"/>
          <w:szCs w:val="24"/>
        </w:rPr>
        <w:t xml:space="preserve">International Journal of Contemporary Hospitality Management, </w:t>
      </w:r>
      <w:r>
        <w:rPr>
          <w:rFonts w:eastAsia="Arial" w:cs="Arial" w:ascii="Arial" w:hAnsi="Arial"/>
          <w:b/>
          <w:sz w:val="24"/>
          <w:szCs w:val="24"/>
        </w:rPr>
        <w:t>26</w:t>
      </w:r>
      <w:r>
        <w:rPr>
          <w:rFonts w:eastAsia="Arial" w:cs="Arial" w:ascii="Arial" w:hAnsi="Arial"/>
          <w:sz w:val="24"/>
          <w:szCs w:val="24"/>
        </w:rPr>
        <w:t xml:space="preserve">(1), pp. 5-17. </w:t>
      </w:r>
      <w:hyperlink r:id="rId13">
        <w:r>
          <w:rPr>
            <w:rStyle w:val="ListLabel11"/>
            <w:rFonts w:eastAsia="Arial" w:cs="Arial" w:ascii="Arial" w:hAnsi="Arial"/>
            <w:color w:val="0563C1"/>
            <w:sz w:val="24"/>
            <w:szCs w:val="24"/>
            <w:u w:val="single"/>
          </w:rPr>
          <w:t>https://www.proquest.com/scholarly-journals/sustainability-global-hotel-industry/docview/1467805855/se-2?accountid=130472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Kasim, A., 2007. Towards a wider adoption of environmental responsibility in the hotel sector. </w:t>
      </w:r>
      <w:r>
        <w:rPr>
          <w:rFonts w:eastAsia="Arial" w:cs="Arial" w:ascii="Arial" w:hAnsi="Arial"/>
          <w:i/>
          <w:sz w:val="24"/>
          <w:szCs w:val="24"/>
        </w:rPr>
        <w:t>International journal of hospitality &amp; tourism administration</w:t>
      </w:r>
      <w:r>
        <w:rPr>
          <w:rFonts w:eastAsia="Arial" w:cs="Arial" w:ascii="Arial" w:hAnsi="Arial"/>
          <w:sz w:val="24"/>
          <w:szCs w:val="24"/>
        </w:rPr>
        <w:t xml:space="preserve">, </w:t>
      </w:r>
      <w:r>
        <w:rPr>
          <w:rFonts w:eastAsia="Arial" w:cs="Arial" w:ascii="Arial" w:hAnsi="Arial"/>
          <w:i/>
          <w:sz w:val="24"/>
          <w:szCs w:val="24"/>
        </w:rPr>
        <w:t>8</w:t>
      </w:r>
      <w:r>
        <w:rPr>
          <w:rFonts w:eastAsia="Arial" w:cs="Arial" w:ascii="Arial" w:hAnsi="Arial"/>
          <w:sz w:val="24"/>
          <w:szCs w:val="24"/>
        </w:rPr>
        <w:t xml:space="preserve">(2), pp.25-49.  </w:t>
      </w:r>
      <w:hyperlink r:id="rId14">
        <w:r>
          <w:rPr>
            <w:rStyle w:val="ListLabel11"/>
            <w:rFonts w:eastAsia="Arial" w:cs="Arial" w:ascii="Arial" w:hAnsi="Arial"/>
            <w:color w:val="0563C1"/>
            <w:sz w:val="24"/>
            <w:szCs w:val="24"/>
            <w:u w:val="single"/>
          </w:rPr>
          <w:t>https://doi.org/10.1300/J149v08n02_02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Kotter, J.P., 2012. Leading Change. with a New Preface by the Author, Harvard Business Review Press, La Vergne. Available from: ProQuest Ebook Central. </w:t>
      </w:r>
      <w:hyperlink r:id="rId15">
        <w:r>
          <w:rPr>
            <w:rStyle w:val="ListLabel11"/>
            <w:rFonts w:eastAsia="Arial" w:cs="Arial" w:ascii="Arial" w:hAnsi="Arial"/>
            <w:color w:val="0563C1"/>
            <w:sz w:val="24"/>
            <w:szCs w:val="24"/>
            <w:u w:val="single"/>
          </w:rPr>
          <w:t>https://ebookcentral.proquest.com/lib/trinity/detail.action?docID=5182145</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Maggon, M. and Chaudhry, H. (2015) ‘Revisiting Relationship Marketing and Customer Relationship Management in Leading Tourism and Hospitality Journals: Research Trends From 2001 to 2013’, </w:t>
      </w:r>
      <w:r>
        <w:rPr>
          <w:rFonts w:eastAsia="Arial" w:cs="Arial" w:ascii="Arial" w:hAnsi="Arial"/>
          <w:i/>
          <w:sz w:val="24"/>
          <w:szCs w:val="24"/>
        </w:rPr>
        <w:t>Journal of Relationship Marketing</w:t>
      </w:r>
      <w:r>
        <w:rPr>
          <w:rFonts w:eastAsia="Arial" w:cs="Arial" w:ascii="Arial" w:hAnsi="Arial"/>
          <w:sz w:val="24"/>
          <w:szCs w:val="24"/>
        </w:rPr>
        <w:t xml:space="preserve">, 14(1), pp. 53–77. </w:t>
      </w:r>
      <w:hyperlink r:id="rId16">
        <w:r>
          <w:rPr>
            <w:rStyle w:val="ListLabel11"/>
            <w:rFonts w:eastAsia="Arial" w:cs="Arial" w:ascii="Arial" w:hAnsi="Arial"/>
            <w:color w:val="0563C1"/>
            <w:sz w:val="24"/>
            <w:szCs w:val="24"/>
            <w:u w:val="single"/>
          </w:rPr>
          <w:t>https://research-ebsco-com.ezproxy.uwtsd.ac.uk/linkprocessor/plink?id=f0658f11-b060-3f7b-8c62-f2403b728e8c</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Mintzberg, H., 1980. Structure in 5’s: A Synthesis of the Research on Organization Design. </w:t>
      </w:r>
      <w:r>
        <w:rPr>
          <w:rFonts w:eastAsia="Arial" w:cs="Arial" w:ascii="Arial" w:hAnsi="Arial"/>
          <w:i/>
          <w:sz w:val="24"/>
          <w:szCs w:val="24"/>
        </w:rPr>
        <w:t>Management Science</w:t>
      </w:r>
      <w:r>
        <w:rPr>
          <w:rFonts w:eastAsia="Arial" w:cs="Arial" w:ascii="Arial" w:hAnsi="Arial"/>
          <w:sz w:val="24"/>
          <w:szCs w:val="24"/>
        </w:rPr>
        <w:t xml:space="preserve">, </w:t>
      </w:r>
      <w:r>
        <w:rPr>
          <w:rFonts w:eastAsia="Arial" w:cs="Arial" w:ascii="Arial" w:hAnsi="Arial"/>
          <w:i/>
          <w:sz w:val="24"/>
          <w:szCs w:val="24"/>
        </w:rPr>
        <w:t>26</w:t>
      </w:r>
      <w:r>
        <w:rPr>
          <w:rFonts w:eastAsia="Arial" w:cs="Arial" w:ascii="Arial" w:hAnsi="Arial"/>
          <w:sz w:val="24"/>
          <w:szCs w:val="24"/>
        </w:rPr>
        <w:t xml:space="preserve">(3), 322–341. </w:t>
      </w:r>
      <w:hyperlink r:id="rId17">
        <w:r>
          <w:rPr>
            <w:rStyle w:val="ListLabel11"/>
            <w:rFonts w:eastAsia="Arial" w:cs="Arial" w:ascii="Arial" w:hAnsi="Arial"/>
            <w:color w:val="0563C1"/>
            <w:sz w:val="24"/>
            <w:szCs w:val="24"/>
            <w:u w:val="single"/>
          </w:rPr>
          <w:t>http://www.jstor.org/stable/2630506</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Oreg, S., Vakola, M., and Armenakis, A., 2011. Change Recipients’ Reactions to Organizational Change: A 60-Year Review of Quantitative Studies. </w:t>
      </w:r>
      <w:r>
        <w:rPr>
          <w:rFonts w:eastAsia="Arial" w:cs="Arial" w:ascii="Arial" w:hAnsi="Arial"/>
          <w:i/>
          <w:sz w:val="24"/>
          <w:szCs w:val="24"/>
        </w:rPr>
        <w:t>The Journal of Applied Behavioral Science</w:t>
      </w:r>
      <w:r>
        <w:rPr>
          <w:rFonts w:eastAsia="Arial" w:cs="Arial" w:ascii="Arial" w:hAnsi="Arial"/>
          <w:sz w:val="24"/>
          <w:szCs w:val="24"/>
        </w:rPr>
        <w:t xml:space="preserve">, </w:t>
      </w:r>
      <w:r>
        <w:rPr>
          <w:rFonts w:eastAsia="Arial" w:cs="Arial" w:ascii="Arial" w:hAnsi="Arial"/>
          <w:i/>
          <w:sz w:val="24"/>
          <w:szCs w:val="24"/>
        </w:rPr>
        <w:t>47</w:t>
      </w:r>
      <w:r>
        <w:rPr>
          <w:rFonts w:eastAsia="Arial" w:cs="Arial" w:ascii="Arial" w:hAnsi="Arial"/>
          <w:sz w:val="24"/>
          <w:szCs w:val="24"/>
        </w:rPr>
        <w:t xml:space="preserve">(4), 461-524. </w:t>
      </w:r>
      <w:hyperlink r:id="rId18">
        <w:r>
          <w:rPr>
            <w:rStyle w:val="ListLabel11"/>
            <w:rFonts w:eastAsia="Arial" w:cs="Arial" w:ascii="Arial" w:hAnsi="Arial"/>
            <w:color w:val="0563C1"/>
            <w:sz w:val="24"/>
            <w:szCs w:val="24"/>
            <w:u w:val="single"/>
          </w:rPr>
          <w:t>https://doi-org.ezproxy.uwtsd.ac.uk/10.1177/0021886310396550</w:t>
        </w:r>
      </w:hyperlink>
    </w:p>
    <w:p>
      <w:pPr>
        <w:pStyle w:val="Normal1"/>
        <w:numPr>
          <w:ilvl w:val="0"/>
          <w:numId w:val="1"/>
        </w:numPr>
        <w:spacing w:lineRule="auto" w:line="360"/>
        <w:ind w:left="720" w:hanging="360"/>
        <w:jc w:val="both"/>
        <w:rPr/>
      </w:pPr>
      <w:r>
        <w:rPr>
          <w:rFonts w:eastAsia="Arial" w:cs="Arial" w:ascii="Arial" w:hAnsi="Arial"/>
          <w:sz w:val="24"/>
          <w:szCs w:val="24"/>
        </w:rPr>
        <w:t xml:space="preserve">Pencarelli, T., 2020. The digital revolution in the travel and tourism industry. </w:t>
      </w:r>
      <w:r>
        <w:rPr>
          <w:rFonts w:eastAsia="Arial" w:cs="Arial" w:ascii="Arial" w:hAnsi="Arial"/>
          <w:i/>
          <w:sz w:val="24"/>
          <w:szCs w:val="24"/>
        </w:rPr>
        <w:t>Information Technology &amp; Tourism</w:t>
      </w:r>
      <w:r>
        <w:rPr>
          <w:rFonts w:eastAsia="Arial" w:cs="Arial" w:ascii="Arial" w:hAnsi="Arial"/>
          <w:sz w:val="24"/>
          <w:szCs w:val="24"/>
        </w:rPr>
        <w:t xml:space="preserve">, </w:t>
      </w:r>
      <w:r>
        <w:rPr>
          <w:rFonts w:eastAsia="Arial" w:cs="Arial" w:ascii="Arial" w:hAnsi="Arial"/>
          <w:i/>
          <w:sz w:val="24"/>
          <w:szCs w:val="24"/>
        </w:rPr>
        <w:t>22</w:t>
      </w:r>
      <w:r>
        <w:rPr>
          <w:rFonts w:eastAsia="Arial" w:cs="Arial" w:ascii="Arial" w:hAnsi="Arial"/>
          <w:sz w:val="24"/>
          <w:szCs w:val="24"/>
        </w:rPr>
        <w:t xml:space="preserve">(3), pp.455-476. </w:t>
      </w:r>
      <w:hyperlink r:id="rId19">
        <w:r>
          <w:rPr>
            <w:rStyle w:val="ListLabel11"/>
            <w:rFonts w:eastAsia="Arial" w:cs="Arial" w:ascii="Arial" w:hAnsi="Arial"/>
            <w:color w:val="0563C1"/>
            <w:sz w:val="24"/>
            <w:szCs w:val="24"/>
            <w:u w:val="single"/>
          </w:rPr>
          <w:t>https://link.springer.com/content/pdf/10.1007/s40558-019-00160-3.pdf</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Porter, M.E., 1998. Competitive Strategy : Techniques for Analyzing Industries and Competitors, Free Press, New York. </w:t>
      </w:r>
      <w:hyperlink r:id="rId20">
        <w:r>
          <w:rPr>
            <w:rStyle w:val="ListLabel11"/>
            <w:rFonts w:eastAsia="Arial" w:cs="Arial" w:ascii="Arial" w:hAnsi="Arial"/>
            <w:color w:val="0563C1"/>
            <w:sz w:val="24"/>
            <w:szCs w:val="24"/>
            <w:u w:val="single"/>
          </w:rPr>
          <w:t>https://ebookcentral.proquest.com/lib/trinity/detail.action?docID=4934952</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Russo, G. M., Tomei, P. A., Linhares, A. B. J., &amp; Santos, A. M., 2013. Correlation Between Organizational Culture and Compensation Strategies Using Charles Handy’s Typology. </w:t>
      </w:r>
      <w:r>
        <w:rPr>
          <w:rFonts w:eastAsia="Arial" w:cs="Arial" w:ascii="Arial" w:hAnsi="Arial"/>
          <w:i/>
          <w:sz w:val="24"/>
          <w:szCs w:val="24"/>
        </w:rPr>
        <w:t>Performance Improvement (International Society for Performance Improvement)</w:t>
      </w:r>
      <w:r>
        <w:rPr>
          <w:rFonts w:eastAsia="Arial" w:cs="Arial" w:ascii="Arial" w:hAnsi="Arial"/>
          <w:sz w:val="24"/>
          <w:szCs w:val="24"/>
        </w:rPr>
        <w:t xml:space="preserve">, </w:t>
      </w:r>
      <w:r>
        <w:rPr>
          <w:rFonts w:eastAsia="Arial" w:cs="Arial" w:ascii="Arial" w:hAnsi="Arial"/>
          <w:i/>
          <w:sz w:val="24"/>
          <w:szCs w:val="24"/>
        </w:rPr>
        <w:t>52</w:t>
      </w:r>
      <w:r>
        <w:rPr>
          <w:rFonts w:eastAsia="Arial" w:cs="Arial" w:ascii="Arial" w:hAnsi="Arial"/>
          <w:sz w:val="24"/>
          <w:szCs w:val="24"/>
        </w:rPr>
        <w:t xml:space="preserve">(7), 13–21. </w:t>
      </w:r>
      <w:hyperlink r:id="rId21">
        <w:r>
          <w:rPr>
            <w:rStyle w:val="ListLabel11"/>
            <w:rFonts w:eastAsia="Arial" w:cs="Arial" w:ascii="Arial" w:hAnsi="Arial"/>
            <w:color w:val="0563C1"/>
            <w:sz w:val="24"/>
            <w:szCs w:val="24"/>
            <w:u w:val="single"/>
          </w:rPr>
          <w:t>https://doi.org/10.1002/pfi.21359</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Schein, E.H., 2016. Organisational Culture and Leadership, John Wiley &amp; Sons, Incorporated </w:t>
      </w:r>
      <w:hyperlink r:id="rId22">
        <w:r>
          <w:rPr>
            <w:rStyle w:val="ListLabel11"/>
            <w:rFonts w:eastAsia="Arial" w:cs="Arial" w:ascii="Arial" w:hAnsi="Arial"/>
            <w:color w:val="0563C1"/>
            <w:sz w:val="24"/>
            <w:szCs w:val="24"/>
            <w:u w:val="single"/>
          </w:rPr>
          <w:t>https://ebookcentral.proquest.com/lib/trinity/detail.action?docID=4766585</w:t>
        </w:r>
      </w:hyperlink>
      <w:r>
        <w:rPr>
          <w:rFonts w:eastAsia="Arial" w:cs="Arial" w:ascii="Arial" w:hAnsi="Arial"/>
          <w:sz w:val="24"/>
          <w:szCs w:val="24"/>
        </w:rPr>
        <w:t xml:space="preserve"> </w:t>
      </w:r>
    </w:p>
    <w:p>
      <w:pPr>
        <w:pStyle w:val="Normal1"/>
        <w:numPr>
          <w:ilvl w:val="0"/>
          <w:numId w:val="1"/>
        </w:numPr>
        <w:spacing w:lineRule="auto" w:line="360"/>
        <w:ind w:left="720" w:hanging="360"/>
        <w:jc w:val="both"/>
        <w:rPr/>
      </w:pPr>
      <w:r>
        <w:rPr>
          <w:rFonts w:eastAsia="Arial" w:cs="Arial" w:ascii="Arial" w:hAnsi="Arial"/>
          <w:sz w:val="24"/>
          <w:szCs w:val="24"/>
        </w:rPr>
        <w:t xml:space="preserve">WU, S. and GAO, Y., 2019. Understanding emotional customer experience and co-creation behaviours in luxury hotels. </w:t>
      </w:r>
      <w:r>
        <w:rPr>
          <w:rFonts w:eastAsia="Arial" w:cs="Arial" w:ascii="Arial" w:hAnsi="Arial"/>
          <w:i/>
          <w:sz w:val="24"/>
          <w:szCs w:val="24"/>
        </w:rPr>
        <w:t xml:space="preserve">International Journal of Contemporary Hospitality Management, </w:t>
      </w:r>
      <w:r>
        <w:rPr>
          <w:rFonts w:eastAsia="Arial" w:cs="Arial" w:ascii="Arial" w:hAnsi="Arial"/>
          <w:b/>
          <w:sz w:val="24"/>
          <w:szCs w:val="24"/>
        </w:rPr>
        <w:t>31</w:t>
      </w:r>
      <w:r>
        <w:rPr>
          <w:rFonts w:eastAsia="Arial" w:cs="Arial" w:ascii="Arial" w:hAnsi="Arial"/>
          <w:sz w:val="24"/>
          <w:szCs w:val="24"/>
        </w:rPr>
        <w:t xml:space="preserve">(11), pp. 4247-4275. </w:t>
      </w:r>
      <w:hyperlink r:id="rId23">
        <w:r>
          <w:rPr>
            <w:rStyle w:val="ListLabel11"/>
            <w:rFonts w:eastAsia="Arial" w:cs="Arial" w:ascii="Arial" w:hAnsi="Arial"/>
            <w:color w:val="0563C1"/>
            <w:sz w:val="24"/>
            <w:szCs w:val="24"/>
            <w:u w:val="single"/>
          </w:rPr>
          <w:t>https://www.proquest.com/scholarly-journals/understanding-emotional-customer-experience-co/docview/2315963245/se-2?accountid=130472</w:t>
        </w:r>
      </w:hyperlink>
      <w:r>
        <w:rPr>
          <w:rFonts w:eastAsia="Arial" w:cs="Arial" w:ascii="Arial" w:hAnsi="Arial"/>
          <w:sz w:val="24"/>
          <w:szCs w:val="24"/>
        </w:rPr>
        <w:t xml:space="preserve">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160"/>
        <w:jc w:val="both"/>
        <w:rPr/>
      </w:pPr>
      <w:r>
        <w:rPr/>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ourier New">
    <w:charset w:val="01"/>
    <w:family w:val="modern"/>
    <w:pitch w:val="fixed"/>
  </w:font>
  <w:font w:name="Noto Sans Symbol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0"/>
        <w:szCs w:val="20"/>
        <w:rFonts w:ascii="Arial" w:hAnsi="Arial"/>
      </w:rPr>
    </w:lvl>
    <w:lvl w:ilvl="1">
      <w:start w:val="1"/>
      <w:numFmt w:val="bullet"/>
      <w:lvlText w:val="o"/>
      <w:lvlJc w:val="left"/>
      <w:pPr>
        <w:ind w:left="1440" w:hanging="360"/>
      </w:pPr>
      <w:rPr>
        <w:rFonts w:ascii="Courier New" w:hAnsi="Courier New" w:cs="Courier New" w:hint="default"/>
        <w:sz w:val="20"/>
        <w:szCs w:val="20"/>
        <w:rFonts w:cs="Courier New"/>
      </w:rPr>
    </w:lvl>
    <w:lvl w:ilvl="2">
      <w:start w:val="1"/>
      <w:numFmt w:val="bullet"/>
      <w:lvlText w:val="▪"/>
      <w:lvlJc w:val="left"/>
      <w:pPr>
        <w:ind w:left="2160" w:hanging="360"/>
      </w:pPr>
      <w:rPr>
        <w:rFonts w:ascii="Noto Sans Symbols" w:hAnsi="Noto Sans Symbols" w:cs="Noto Sans Symbols" w:hint="default"/>
        <w:sz w:val="20"/>
        <w:szCs w:val="20"/>
        <w:rFonts w:cs="Noto Sans Symbols"/>
      </w:rPr>
    </w:lvl>
    <w:lvl w:ilvl="3">
      <w:start w:val="1"/>
      <w:numFmt w:val="bullet"/>
      <w:lvlText w:val="▪"/>
      <w:lvlJc w:val="left"/>
      <w:pPr>
        <w:ind w:left="2880" w:hanging="360"/>
      </w:pPr>
      <w:rPr>
        <w:rFonts w:ascii="Noto Sans Symbols" w:hAnsi="Noto Sans Symbols" w:cs="Noto Sans Symbols" w:hint="default"/>
        <w:sz w:val="20"/>
        <w:szCs w:val="20"/>
        <w:rFonts w:cs="Noto Sans Symbols"/>
      </w:rPr>
    </w:lvl>
    <w:lvl w:ilvl="4">
      <w:start w:val="1"/>
      <w:numFmt w:val="bullet"/>
      <w:lvlText w:val="▪"/>
      <w:lvlJc w:val="left"/>
      <w:pPr>
        <w:ind w:left="3600" w:hanging="360"/>
      </w:pPr>
      <w:rPr>
        <w:rFonts w:ascii="Noto Sans Symbols" w:hAnsi="Noto Sans Symbols" w:cs="Noto Sans Symbols" w:hint="default"/>
        <w:sz w:val="20"/>
        <w:szCs w:val="20"/>
        <w:rFonts w:cs="Noto Sans Symbols"/>
      </w:rPr>
    </w:lvl>
    <w:lvl w:ilvl="5">
      <w:start w:val="1"/>
      <w:numFmt w:val="bullet"/>
      <w:lvlText w:val="▪"/>
      <w:lvlJc w:val="left"/>
      <w:pPr>
        <w:ind w:left="4320" w:hanging="360"/>
      </w:pPr>
      <w:rPr>
        <w:rFonts w:ascii="Noto Sans Symbols" w:hAnsi="Noto Sans Symbols" w:cs="Noto Sans Symbols" w:hint="default"/>
        <w:sz w:val="20"/>
        <w:szCs w:val="20"/>
        <w:rFonts w:cs="Noto Sans Symbols"/>
      </w:rPr>
    </w:lvl>
    <w:lvl w:ilvl="6">
      <w:start w:val="1"/>
      <w:numFmt w:val="bullet"/>
      <w:lvlText w:val="▪"/>
      <w:lvlJc w:val="left"/>
      <w:pPr>
        <w:ind w:left="5040" w:hanging="360"/>
      </w:pPr>
      <w:rPr>
        <w:rFonts w:ascii="Noto Sans Symbols" w:hAnsi="Noto Sans Symbols" w:cs="Noto Sans Symbols" w:hint="default"/>
        <w:sz w:val="20"/>
        <w:szCs w:val="20"/>
        <w:rFonts w:cs="Noto Sans Symbols"/>
      </w:rPr>
    </w:lvl>
    <w:lvl w:ilvl="7">
      <w:start w:val="1"/>
      <w:numFmt w:val="bullet"/>
      <w:lvlText w:val="▪"/>
      <w:lvlJc w:val="left"/>
      <w:pPr>
        <w:ind w:left="5760" w:hanging="360"/>
      </w:pPr>
      <w:rPr>
        <w:rFonts w:ascii="Noto Sans Symbols" w:hAnsi="Noto Sans Symbols" w:cs="Noto Sans Symbols" w:hint="default"/>
        <w:sz w:val="20"/>
        <w:szCs w:val="20"/>
        <w:rFonts w:cs="Noto Sans Symbols"/>
      </w:rPr>
    </w:lvl>
    <w:lvl w:ilvl="8">
      <w:start w:val="1"/>
      <w:numFmt w:val="bullet"/>
      <w:lvlText w:val="▪"/>
      <w:lvlJc w:val="left"/>
      <w:pPr>
        <w:ind w:left="6480" w:hanging="360"/>
      </w:pPr>
      <w:rPr>
        <w:rFonts w:ascii="Noto Sans Symbols" w:hAnsi="Noto Sans Symbols" w:cs="Noto Sans Symbols" w:hint="default"/>
        <w:sz w:val="20"/>
        <w:szCs w:val="20"/>
        <w:rFonts w:cs="Noto Sans Symbols"/>
      </w:rPr>
    </w:lvl>
  </w:abstractNum>
  <w:abstractNum w:abstractNumId="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sz w:val="20"/>
        <w:szCs w:val="20"/>
        <w:rFonts w:cs="Courier New"/>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pPrDefault>
  </w:docDefaults>
  <w:style w:type="paragraph" w:styleId="Normal">
    <w:name w:val="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spacing w:lineRule="auto" w:line="240" w:before="360" w:after="80"/>
    </w:pPr>
    <w:rPr>
      <w:rFonts w:ascii="Calibri" w:hAnsi="Calibri" w:eastAsia="Calibri" w:cs="Calibri"/>
      <w:color w:val="2F5496"/>
      <w:sz w:val="40"/>
      <w:szCs w:val="40"/>
    </w:rPr>
  </w:style>
  <w:style w:type="paragraph" w:styleId="Heading2">
    <w:name w:val="Heading 2"/>
    <w:basedOn w:val="Normal1"/>
    <w:next w:val="Normal1"/>
    <w:qFormat/>
    <w:pPr>
      <w:keepNext w:val="true"/>
      <w:keepLines/>
      <w:spacing w:lineRule="auto" w:line="240" w:before="160" w:after="80"/>
    </w:pPr>
    <w:rPr>
      <w:rFonts w:ascii="Calibri" w:hAnsi="Calibri" w:eastAsia="Calibri" w:cs="Calibri"/>
      <w:color w:val="2F5496"/>
      <w:sz w:val="32"/>
      <w:szCs w:val="32"/>
    </w:rPr>
  </w:style>
  <w:style w:type="paragraph" w:styleId="Heading3">
    <w:name w:val="Heading 3"/>
    <w:basedOn w:val="Normal1"/>
    <w:next w:val="Normal1"/>
    <w:qFormat/>
    <w:pPr>
      <w:keepNext w:val="true"/>
      <w:keepLines/>
      <w:spacing w:lineRule="auto" w:line="240" w:before="160" w:after="80"/>
    </w:pPr>
    <w:rPr>
      <w:color w:val="2F5496"/>
      <w:sz w:val="28"/>
      <w:szCs w:val="28"/>
    </w:rPr>
  </w:style>
  <w:style w:type="paragraph" w:styleId="Heading4">
    <w:name w:val="Heading 4"/>
    <w:basedOn w:val="Normal1"/>
    <w:next w:val="Normal1"/>
    <w:qFormat/>
    <w:pPr>
      <w:keepNext w:val="true"/>
      <w:keepLines/>
      <w:spacing w:lineRule="auto" w:line="240" w:before="80" w:after="40"/>
    </w:pPr>
    <w:rPr>
      <w:i/>
      <w:color w:val="2F5496"/>
    </w:rPr>
  </w:style>
  <w:style w:type="paragraph" w:styleId="Heading5">
    <w:name w:val="Heading 5"/>
    <w:basedOn w:val="Normal1"/>
    <w:next w:val="Normal1"/>
    <w:qFormat/>
    <w:pPr>
      <w:keepNext w:val="true"/>
      <w:keepLines/>
      <w:spacing w:lineRule="auto" w:line="240" w:before="80" w:after="40"/>
    </w:pPr>
    <w:rPr>
      <w:color w:val="2F5496"/>
    </w:rPr>
  </w:style>
  <w:style w:type="paragraph" w:styleId="Heading6">
    <w:name w:val="Heading 6"/>
    <w:basedOn w:val="Normal1"/>
    <w:next w:val="Normal1"/>
    <w:qFormat/>
    <w:pPr>
      <w:keepNext w:val="true"/>
      <w:keepLines/>
      <w:spacing w:lineRule="auto" w:line="240" w:before="40" w:after="0"/>
    </w:pPr>
    <w:rPr>
      <w:i/>
      <w:color w:val="595959"/>
    </w:rPr>
  </w:style>
  <w:style w:type="character" w:styleId="ListLabel1">
    <w:name w:val="ListLabel 1"/>
    <w:qFormat/>
    <w:rPr>
      <w:rFonts w:ascii="Arial" w:hAnsi="Arial"/>
      <w:sz w:val="20"/>
      <w:szCs w:val="20"/>
    </w:rPr>
  </w:style>
  <w:style w:type="character" w:styleId="ListLabel2">
    <w:name w:val="ListLabel 2"/>
    <w:qFormat/>
    <w:rPr>
      <w:rFonts w:eastAsia="Courier New" w:cs="Courier New"/>
      <w:sz w:val="20"/>
      <w:szCs w:val="20"/>
    </w:rPr>
  </w:style>
  <w:style w:type="character" w:styleId="ListLabel3">
    <w:name w:val="ListLabel 3"/>
    <w:qFormat/>
    <w:rPr>
      <w:rFonts w:eastAsia="Noto Sans Symbols" w:cs="Noto Sans Symbols"/>
      <w:sz w:val="20"/>
      <w:szCs w:val="20"/>
    </w:rPr>
  </w:style>
  <w:style w:type="character" w:styleId="ListLabel4">
    <w:name w:val="ListLabel 4"/>
    <w:qFormat/>
    <w:rPr>
      <w:rFonts w:eastAsia="Noto Sans Symbols" w:cs="Noto Sans Symbols"/>
      <w:sz w:val="20"/>
      <w:szCs w:val="20"/>
    </w:rPr>
  </w:style>
  <w:style w:type="character" w:styleId="ListLabel5">
    <w:name w:val="ListLabel 5"/>
    <w:qFormat/>
    <w:rPr>
      <w:rFonts w:eastAsia="Noto Sans Symbols" w:cs="Noto Sans Symbols"/>
      <w:sz w:val="20"/>
      <w:szCs w:val="20"/>
    </w:rPr>
  </w:style>
  <w:style w:type="character" w:styleId="ListLabel6">
    <w:name w:val="ListLabel 6"/>
    <w:qFormat/>
    <w:rPr>
      <w:rFonts w:eastAsia="Noto Sans Symbols" w:cs="Noto Sans Symbols"/>
      <w:sz w:val="20"/>
      <w:szCs w:val="20"/>
    </w:rPr>
  </w:style>
  <w:style w:type="character" w:styleId="ListLabel7">
    <w:name w:val="ListLabel 7"/>
    <w:qFormat/>
    <w:rPr>
      <w:rFonts w:eastAsia="Noto Sans Symbols" w:cs="Noto Sans Symbols"/>
      <w:sz w:val="20"/>
      <w:szCs w:val="20"/>
    </w:rPr>
  </w:style>
  <w:style w:type="character" w:styleId="ListLabel8">
    <w:name w:val="ListLabel 8"/>
    <w:qFormat/>
    <w:rPr>
      <w:rFonts w:eastAsia="Noto Sans Symbols" w:cs="Noto Sans Symbols"/>
      <w:sz w:val="20"/>
      <w:szCs w:val="20"/>
    </w:rPr>
  </w:style>
  <w:style w:type="character" w:styleId="ListLabel9">
    <w:name w:val="ListLabel 9"/>
    <w:qFormat/>
    <w:rPr>
      <w:rFonts w:eastAsia="Noto Sans Symbols" w:cs="Noto Sans Symbols"/>
      <w:sz w:val="20"/>
      <w:szCs w:val="20"/>
    </w:rPr>
  </w:style>
  <w:style w:type="character" w:styleId="ListLabel10">
    <w:name w:val="ListLabel 10"/>
    <w:qFormat/>
    <w:rPr>
      <w:rFonts w:eastAsia="Courier New" w:cs="Courier New"/>
      <w:sz w:val="20"/>
      <w:szCs w:val="20"/>
    </w:rPr>
  </w:style>
  <w:style w:type="character" w:styleId="ListLabel11">
    <w:name w:val="ListLabel 11"/>
    <w:qFormat/>
    <w:rPr>
      <w:rFonts w:ascii="Arial" w:hAnsi="Arial" w:eastAsia="Arial" w:cs="Arial"/>
      <w:color w:val="0563C1"/>
      <w:sz w:val="24"/>
      <w:szCs w:val="24"/>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LO-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spacing w:lineRule="auto" w:line="240" w:before="0" w:after="80"/>
    </w:pPr>
    <w:rPr>
      <w:rFonts w:ascii="Calibri" w:hAnsi="Calibri" w:eastAsia="Calibri" w:cs="Calibri"/>
      <w:sz w:val="56"/>
      <w:szCs w:val="56"/>
    </w:rPr>
  </w:style>
  <w:style w:type="paragraph" w:styleId="Subtitle">
    <w:name w:val="Subtitle"/>
    <w:basedOn w:val="Normal1"/>
    <w:next w:val="Normal1"/>
    <w:qFormat/>
    <w:pPr/>
    <w:rPr>
      <w:color w:val="595959"/>
      <w:sz w:val="28"/>
      <w:szCs w:val="2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1016/j.ijhm.2021.102871" TargetMode="External"/><Relationship Id="rId3" Type="http://schemas.openxmlformats.org/officeDocument/2006/relationships/hyperlink" Target="https://doi.org/10.1080/10548408.2019.1592059" TargetMode="External"/><Relationship Id="rId4" Type="http://schemas.openxmlformats.org/officeDocument/2006/relationships/hyperlink" Target="https://www.proquest.com/scholarly-journals/experience-economy-work-is-theatre-every-business/docview/214497134/se-2?accountid=130472" TargetMode="External"/><Relationship Id="rId5" Type="http://schemas.openxmlformats.org/officeDocument/2006/relationships/hyperlink" Target="https://www.academia.edu/download/117615020/JSSMV16N6-25.pdf" TargetMode="External"/><Relationship Id="rId6" Type="http://schemas.openxmlformats.org/officeDocument/2006/relationships/hyperlink" Target="https://www.proquest.com/scholarly-journals/cannibals-with-forks-triple-bottom-line-21st/docview/218750101/se-2?accountid=130472" TargetMode="External"/><Relationship Id="rId7" Type="http://schemas.openxmlformats.org/officeDocument/2006/relationships/hyperlink" Target="https://doi.org/10.1016/j.ijhm.2018.05.016" TargetMode="External"/><Relationship Id="rId8" Type="http://schemas.openxmlformats.org/officeDocument/2006/relationships/hyperlink" Target="https://doi.org/10.3390/su151310682" TargetMode="External"/><Relationship Id="rId9" Type="http://schemas.openxmlformats.org/officeDocument/2006/relationships/hyperlink" Target="https://dx.doi.org/10.2139/ssrn.3135770" TargetMode="External"/><Relationship Id="rId10" Type="http://schemas.openxmlformats.org/officeDocument/2006/relationships/hyperlink" Target="https://www.hyatt.com/" TargetMode="External"/><Relationship Id="rId11" Type="http://schemas.openxmlformats.org/officeDocument/2006/relationships/hyperlink" Target="https://www.proquest.com/scholarly-journals/redefining-luxury-service-with-technology/docview/2637583309/se-2?accountid=130472" TargetMode="External"/><Relationship Id="rId12" Type="http://schemas.openxmlformats.org/officeDocument/2006/relationships/hyperlink" Target="https://doi.org/10.1016/j.ijinfomgt.2023.102731" TargetMode="External"/><Relationship Id="rId13" Type="http://schemas.openxmlformats.org/officeDocument/2006/relationships/hyperlink" Target="https://www.proquest.com/scholarly-journals/sustainability-global-hotel-industry/docview/1467805855/se-2?accountid=130472" TargetMode="External"/><Relationship Id="rId14" Type="http://schemas.openxmlformats.org/officeDocument/2006/relationships/hyperlink" Target="https://doi.org/10.1300/J149v08n02_02" TargetMode="External"/><Relationship Id="rId15" Type="http://schemas.openxmlformats.org/officeDocument/2006/relationships/hyperlink" Target="https://ebookcentral.proquest.com/lib/trinity/detail.action?docID=5182145" TargetMode="External"/><Relationship Id="rId16" Type="http://schemas.openxmlformats.org/officeDocument/2006/relationships/hyperlink" Target="https://research-ebsco-com.ezproxy.uwtsd.ac.uk/linkprocessor/plink?id=f0658f11-b060-3f7b-8c62-f2403b728e8c" TargetMode="External"/><Relationship Id="rId17" Type="http://schemas.openxmlformats.org/officeDocument/2006/relationships/hyperlink" Target="http://www.jstor.org/stable/2630506" TargetMode="External"/><Relationship Id="rId18" Type="http://schemas.openxmlformats.org/officeDocument/2006/relationships/hyperlink" Target="https://doi-org.ezproxy.uwtsd.ac.uk/10.1177/0021886310396550" TargetMode="External"/><Relationship Id="rId19" Type="http://schemas.openxmlformats.org/officeDocument/2006/relationships/hyperlink" Target="https://link.springer.com/content/pdf/10.1007/s40558-019-00160-3.pdf" TargetMode="External"/><Relationship Id="rId20" Type="http://schemas.openxmlformats.org/officeDocument/2006/relationships/hyperlink" Target="https://ebookcentral.proquest.com/lib/trinity/detail.action?docID=4934952" TargetMode="External"/><Relationship Id="rId21" Type="http://schemas.openxmlformats.org/officeDocument/2006/relationships/hyperlink" Target="https://doi.org/10.1002/pfi.21359" TargetMode="External"/><Relationship Id="rId22" Type="http://schemas.openxmlformats.org/officeDocument/2006/relationships/hyperlink" Target="https://ebookcentral.proquest.com/lib/trinity/detail.action?docID=4766585" TargetMode="External"/><Relationship Id="rId23" Type="http://schemas.openxmlformats.org/officeDocument/2006/relationships/hyperlink" Target="https://www.proquest.com/scholarly-journals/understanding-emotional-customer-experience-co/docview/2315963245/se-2?accountid=130472" TargetMode="Externa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3</TotalTime>
  <Application>Trio_Office/6.2.8.2$Windows_x86 LibreOffice_project/</Application>
  <Pages>17</Pages>
  <Words>3069</Words>
  <Characters>22063</Characters>
  <CharactersWithSpaces>25526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2024-11-08T23:23:26Z</dcterms:modified>
  <cp:revision>1</cp:revision>
  <dc:subject/>
  <dc:title/>
</cp:coreProperties>
</file>