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231" w:rsidRPr="00CD33A8" w:rsidRDefault="00074402" w:rsidP="00CD33A8">
      <w:pPr>
        <w:spacing w:line="360" w:lineRule="auto"/>
        <w:rPr>
          <w:rFonts w:asciiTheme="minorBidi" w:hAnsiTheme="minorBidi"/>
          <w:sz w:val="22"/>
        </w:rPr>
      </w:pPr>
      <w:r w:rsidRPr="00CD33A8">
        <w:rPr>
          <w:rFonts w:asciiTheme="minorBidi" w:hAnsiTheme="minorBidi"/>
          <w:noProof/>
          <w:sz w:val="22"/>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074402" w:rsidRPr="00CD33A8" w:rsidRDefault="00074402" w:rsidP="00CD33A8">
      <w:pPr>
        <w:spacing w:line="360" w:lineRule="auto"/>
        <w:rPr>
          <w:rFonts w:asciiTheme="minorBidi" w:hAnsiTheme="minorBidi"/>
          <w:sz w:val="22"/>
        </w:rPr>
      </w:pPr>
    </w:p>
    <w:p w:rsidR="00074402" w:rsidRPr="00CD33A8" w:rsidRDefault="00074402" w:rsidP="00CD33A8">
      <w:pPr>
        <w:spacing w:line="360" w:lineRule="auto"/>
        <w:rPr>
          <w:rFonts w:asciiTheme="minorBidi" w:hAnsiTheme="minorBidi"/>
          <w:sz w:val="22"/>
        </w:rPr>
      </w:pPr>
    </w:p>
    <w:p w:rsidR="00074402" w:rsidRPr="00CD33A8" w:rsidRDefault="00074402" w:rsidP="00CD33A8">
      <w:pPr>
        <w:spacing w:line="360" w:lineRule="auto"/>
        <w:rPr>
          <w:rFonts w:asciiTheme="minorBidi" w:hAnsiTheme="minorBidi"/>
          <w:sz w:val="22"/>
        </w:rPr>
      </w:pPr>
    </w:p>
    <w:p w:rsidR="00074402" w:rsidRPr="00CD33A8" w:rsidRDefault="00074402" w:rsidP="00CD33A8">
      <w:pPr>
        <w:tabs>
          <w:tab w:val="left" w:pos="6540"/>
        </w:tabs>
        <w:spacing w:line="360" w:lineRule="auto"/>
        <w:rPr>
          <w:rFonts w:asciiTheme="minorBidi" w:hAnsiTheme="minorBidi"/>
          <w:sz w:val="22"/>
        </w:rPr>
      </w:pPr>
    </w:p>
    <w:p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D1190" w:rsidRPr="002D1190">
        <w:rPr>
          <w:rFonts w:ascii="Arial" w:hAnsi="Arial" w:cs="Arial"/>
          <w:sz w:val="28"/>
          <w:szCs w:val="28"/>
          <w:lang w:val="nl-NL"/>
        </w:rPr>
        <w:t>Introduction to Health and Social Care</w:t>
      </w:r>
    </w:p>
    <w:p w:rsidR="002D1190" w:rsidRPr="002D1190"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2D1190" w:rsidRPr="002D1190">
        <w:t xml:space="preserve"> </w:t>
      </w:r>
      <w:r w:rsidR="002D1190" w:rsidRPr="002D1190">
        <w:rPr>
          <w:rFonts w:ascii="Arial" w:hAnsi="Arial" w:cs="Arial"/>
          <w:sz w:val="28"/>
          <w:szCs w:val="28"/>
        </w:rPr>
        <w:t>(LCHS4003_LON)</w:t>
      </w:r>
    </w:p>
    <w:p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F06401">
        <w:rPr>
          <w:rFonts w:ascii="Arial" w:hAnsi="Arial" w:cs="Arial"/>
          <w:sz w:val="28"/>
          <w:szCs w:val="28"/>
          <w:lang w:val="nl-NL"/>
        </w:rPr>
        <w:t>Nida Jamil</w:t>
      </w:r>
    </w:p>
    <w:p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2D1190" w:rsidRPr="002D1190">
        <w:t xml:space="preserve"> </w:t>
      </w:r>
      <w:r w:rsidR="002D1190" w:rsidRPr="002D1190">
        <w:rPr>
          <w:rFonts w:ascii="Arial" w:hAnsi="Arial" w:cs="Arial"/>
          <w:sz w:val="28"/>
          <w:szCs w:val="28"/>
          <w:lang w:val="nl-NL"/>
        </w:rPr>
        <w:t>2516924</w:t>
      </w:r>
    </w:p>
    <w:p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F06401">
        <w:rPr>
          <w:rFonts w:ascii="Arial" w:hAnsi="Arial" w:cs="Arial"/>
          <w:sz w:val="28"/>
          <w:szCs w:val="28"/>
        </w:rPr>
        <w:t xml:space="preserve"> Mr. Mark Kane</w:t>
      </w:r>
    </w:p>
    <w:p w:rsidR="00074402" w:rsidRPr="00CD33A8" w:rsidRDefault="00074402" w:rsidP="00CD33A8">
      <w:pPr>
        <w:tabs>
          <w:tab w:val="left" w:pos="6540"/>
        </w:tabs>
        <w:spacing w:line="360" w:lineRule="auto"/>
        <w:rPr>
          <w:rFonts w:asciiTheme="minorBidi" w:hAnsiTheme="minorBidi"/>
          <w:sz w:val="22"/>
        </w:rPr>
      </w:pPr>
    </w:p>
    <w:p w:rsidR="00074402" w:rsidRPr="00CD33A8" w:rsidRDefault="00074402" w:rsidP="00CD33A8">
      <w:pPr>
        <w:tabs>
          <w:tab w:val="left" w:pos="6540"/>
        </w:tabs>
        <w:spacing w:line="360" w:lineRule="auto"/>
        <w:rPr>
          <w:rFonts w:asciiTheme="minorBidi" w:hAnsiTheme="minorBidi"/>
          <w:sz w:val="22"/>
        </w:rPr>
      </w:pPr>
    </w:p>
    <w:p w:rsidR="00074402" w:rsidRPr="00CD33A8" w:rsidRDefault="00074402" w:rsidP="00CD33A8">
      <w:pPr>
        <w:tabs>
          <w:tab w:val="left" w:pos="6540"/>
        </w:tabs>
        <w:spacing w:line="360" w:lineRule="auto"/>
        <w:rPr>
          <w:rFonts w:asciiTheme="minorBidi" w:hAnsiTheme="minorBidi"/>
          <w:sz w:val="22"/>
        </w:rPr>
      </w:pPr>
    </w:p>
    <w:p w:rsidR="00B87E75" w:rsidRPr="00CD33A8" w:rsidRDefault="00B87E75" w:rsidP="00CD33A8">
      <w:pPr>
        <w:tabs>
          <w:tab w:val="left" w:pos="6540"/>
        </w:tabs>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rsidR="00B87E75" w:rsidRPr="00CD33A8" w:rsidRDefault="00B87E75" w:rsidP="006C0151">
      <w:pPr>
        <w:pStyle w:val="Heading1"/>
      </w:pPr>
      <w:r w:rsidRPr="00CD33A8">
        <w:lastRenderedPageBreak/>
        <w:t>Table of contents</w:t>
      </w:r>
    </w:p>
    <w:p w:rsidR="00925C83" w:rsidRDefault="00925C83" w:rsidP="00CD33A8">
      <w:pPr>
        <w:spacing w:line="360" w:lineRule="auto"/>
        <w:rPr>
          <w:rFonts w:ascii="Arial" w:hAnsi="Arial" w:cs="Arial"/>
          <w:sz w:val="22"/>
        </w:rPr>
      </w:pPr>
      <w:r>
        <w:rPr>
          <w:rFonts w:ascii="Arial" w:hAnsi="Arial" w:cs="Arial"/>
          <w:sz w:val="22"/>
        </w:rPr>
        <w:t>Case study overview...............................................................................................................3</w:t>
      </w:r>
    </w:p>
    <w:p w:rsidR="00B87E75" w:rsidRDefault="002D1190" w:rsidP="00CD33A8">
      <w:pPr>
        <w:spacing w:line="360" w:lineRule="auto"/>
        <w:rPr>
          <w:rFonts w:ascii="Arial" w:hAnsi="Arial" w:cs="Arial"/>
          <w:sz w:val="22"/>
        </w:rPr>
      </w:pPr>
      <w:r w:rsidRPr="002D1190">
        <w:rPr>
          <w:rFonts w:ascii="Arial" w:hAnsi="Arial" w:cs="Arial"/>
          <w:sz w:val="22"/>
        </w:rPr>
        <w:t xml:space="preserve">Introduction </w:t>
      </w:r>
      <w:r>
        <w:rPr>
          <w:rFonts w:ascii="Arial" w:hAnsi="Arial" w:cs="Arial"/>
          <w:sz w:val="22"/>
        </w:rPr>
        <w:t>..............................................................................................</w:t>
      </w:r>
      <w:r w:rsidR="00925C83">
        <w:rPr>
          <w:rFonts w:ascii="Arial" w:hAnsi="Arial" w:cs="Arial"/>
          <w:sz w:val="22"/>
        </w:rPr>
        <w:t>...............................4</w:t>
      </w:r>
    </w:p>
    <w:p w:rsidR="002D1190" w:rsidRDefault="002D1190" w:rsidP="00CD33A8">
      <w:pPr>
        <w:spacing w:line="360" w:lineRule="auto"/>
        <w:rPr>
          <w:rFonts w:ascii="Arial" w:hAnsi="Arial" w:cs="Arial"/>
          <w:sz w:val="22"/>
        </w:rPr>
      </w:pPr>
      <w:r>
        <w:rPr>
          <w:rFonts w:ascii="Arial" w:hAnsi="Arial" w:cs="Arial"/>
          <w:sz w:val="22"/>
        </w:rPr>
        <w:t>Conclusion ...............................................................................................</w:t>
      </w:r>
      <w:r w:rsidR="00202A10">
        <w:rPr>
          <w:rFonts w:ascii="Arial" w:hAnsi="Arial" w:cs="Arial"/>
          <w:sz w:val="22"/>
        </w:rPr>
        <w:t>...............................7</w:t>
      </w:r>
    </w:p>
    <w:p w:rsidR="002D1190" w:rsidRPr="002D1190" w:rsidRDefault="002D1190" w:rsidP="00CD33A8">
      <w:pPr>
        <w:spacing w:line="360" w:lineRule="auto"/>
        <w:rPr>
          <w:rFonts w:ascii="Arial" w:hAnsi="Arial" w:cs="Arial"/>
          <w:sz w:val="22"/>
        </w:rPr>
      </w:pPr>
      <w:r>
        <w:rPr>
          <w:rFonts w:ascii="Arial" w:hAnsi="Arial" w:cs="Arial"/>
          <w:sz w:val="22"/>
        </w:rPr>
        <w:t>References......................................................................................................................</w:t>
      </w:r>
      <w:r w:rsidR="00202A10">
        <w:rPr>
          <w:rFonts w:ascii="Arial" w:hAnsi="Arial" w:cs="Arial"/>
          <w:sz w:val="22"/>
        </w:rPr>
        <w:t>........8</w:t>
      </w:r>
    </w:p>
    <w:p w:rsidR="00B87E75" w:rsidRPr="00CD33A8" w:rsidRDefault="00B87E75" w:rsidP="00CD33A8">
      <w:pPr>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p>
    <w:p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rsidR="00F44F5B" w:rsidRDefault="00F44F5B" w:rsidP="006C0151">
      <w:pPr>
        <w:pStyle w:val="Heading1"/>
      </w:pPr>
    </w:p>
    <w:p w:rsidR="00374BEC" w:rsidRPr="00F73EDE" w:rsidRDefault="0052373E" w:rsidP="00374BEC">
      <w:pPr>
        <w:rPr>
          <w:rFonts w:ascii="Arial" w:hAnsi="Arial" w:cs="Arial"/>
          <w:b/>
          <w:sz w:val="32"/>
          <w:szCs w:val="32"/>
        </w:rPr>
      </w:pPr>
      <w:r w:rsidRPr="00374BEC">
        <w:rPr>
          <w:rFonts w:ascii="Arial" w:hAnsi="Arial" w:cs="Arial"/>
          <w:b/>
          <w:sz w:val="32"/>
          <w:szCs w:val="32"/>
        </w:rPr>
        <w:t>A Critical Analysis of Communication, Administrative Practice and Multidisciplinary Collaboration in the Care of a Stroke Patient: A Case Study of Mr Ahmed</w:t>
      </w:r>
    </w:p>
    <w:p w:rsidR="00374BEC" w:rsidRDefault="00374BEC" w:rsidP="00374BEC">
      <w:pPr>
        <w:rPr>
          <w:rFonts w:ascii="Arial" w:hAnsi="Arial" w:cs="Arial"/>
          <w:b/>
          <w:szCs w:val="24"/>
        </w:rPr>
      </w:pPr>
    </w:p>
    <w:p w:rsidR="00374BEC" w:rsidRDefault="00374BEC" w:rsidP="00374BEC">
      <w:pPr>
        <w:rPr>
          <w:rFonts w:ascii="Arial" w:hAnsi="Arial" w:cs="Arial"/>
          <w:b/>
          <w:szCs w:val="24"/>
        </w:rPr>
      </w:pPr>
    </w:p>
    <w:p w:rsidR="00374BEC" w:rsidRDefault="00F44F5B" w:rsidP="00374BEC">
      <w:pPr>
        <w:rPr>
          <w:rFonts w:ascii="Arial" w:hAnsi="Arial" w:cs="Arial"/>
          <w:b/>
          <w:szCs w:val="24"/>
        </w:rPr>
      </w:pPr>
      <w:r w:rsidRPr="00C666CE">
        <w:rPr>
          <w:rFonts w:ascii="Arial" w:hAnsi="Arial" w:cs="Arial"/>
          <w:b/>
          <w:szCs w:val="24"/>
        </w:rPr>
        <w:t xml:space="preserve">Case Study Overview </w:t>
      </w:r>
    </w:p>
    <w:p w:rsidR="00F44F5B" w:rsidRPr="00F73EDE" w:rsidRDefault="00F44F5B" w:rsidP="00F73EDE">
      <w:pPr>
        <w:rPr>
          <w:rFonts w:ascii="Arial" w:hAnsi="Arial" w:cs="Arial"/>
          <w:b/>
          <w:szCs w:val="24"/>
        </w:rPr>
      </w:pPr>
      <w:r w:rsidRPr="00C666CE">
        <w:rPr>
          <w:b/>
        </w:rPr>
        <w:t xml:space="preserve">Mr Ahmed is a 68-year-old man who has recently been discharged from hospital following a stroke. As a result of his condition, he experiences physical limitations and communication difficulties, which affect his ability to carry out daily activities independently. He lives with his wife, who provides informal support, alongside a domiciliary care agency that visits three times a day to assist with personal care, medication administration and meal </w:t>
      </w:r>
      <w:r w:rsidR="00F73EDE" w:rsidRPr="00C666CE">
        <w:rPr>
          <w:b/>
        </w:rPr>
        <w:t>preparation</w:t>
      </w:r>
      <w:r w:rsidRPr="00C666CE">
        <w:t xml:space="preserve"> Ahmed’s care needs are further complicated by communication barriers, as Bengali is his first language and his stroke has affected both his speech and understanding. While his wife often communicates on his behalf, he retains mental capacity and should therefore be supported to express his own needs, preferences and </w:t>
      </w:r>
      <w:r w:rsidR="00F73EDE" w:rsidRPr="00C666CE">
        <w:t>choices. A</w:t>
      </w:r>
      <w:r w:rsidRPr="00C666CE">
        <w:t xml:space="preserve"> recent incident involving a missed home visit, which resulted in Mr Ahmed not receiving his medication on time, raises concerns regarding communication, record keeping and the coordination of care. This situation highlights potential risks to patient safety and emphasises the importance of effective communication, accurate administrative practices and collaborative working between professionals to ensure safe, consistent and person-centred care.</w:t>
      </w:r>
    </w:p>
    <w:p w:rsidR="00F44F5B" w:rsidRPr="00C666CE" w:rsidRDefault="00F44F5B" w:rsidP="006C0151">
      <w:pPr>
        <w:pStyle w:val="Heading1"/>
      </w:pPr>
    </w:p>
    <w:p w:rsidR="00F44F5B" w:rsidRPr="00F44F5B" w:rsidRDefault="00F44F5B" w:rsidP="006C0151">
      <w:pPr>
        <w:pStyle w:val="Heading1"/>
      </w:pPr>
    </w:p>
    <w:p w:rsidR="00F44F5B" w:rsidRDefault="00F44F5B" w:rsidP="006C0151">
      <w:pPr>
        <w:pStyle w:val="Heading1"/>
      </w:pPr>
    </w:p>
    <w:p w:rsidR="00F44F5B" w:rsidRDefault="00F44F5B" w:rsidP="006C0151">
      <w:pPr>
        <w:pStyle w:val="Heading1"/>
      </w:pPr>
    </w:p>
    <w:p w:rsidR="00F44F5B" w:rsidRDefault="00F44F5B" w:rsidP="006C0151">
      <w:pPr>
        <w:pStyle w:val="Heading1"/>
      </w:pPr>
    </w:p>
    <w:p w:rsidR="00F44F5B" w:rsidRDefault="00F44F5B" w:rsidP="006C0151">
      <w:pPr>
        <w:pStyle w:val="Heading1"/>
      </w:pPr>
    </w:p>
    <w:p w:rsidR="00F44F5B" w:rsidRDefault="00F44F5B" w:rsidP="006C0151">
      <w:pPr>
        <w:pStyle w:val="Heading1"/>
      </w:pPr>
    </w:p>
    <w:p w:rsidR="00F44F5B" w:rsidRDefault="00F44F5B" w:rsidP="006C0151">
      <w:pPr>
        <w:pStyle w:val="Heading1"/>
      </w:pPr>
    </w:p>
    <w:p w:rsidR="00F44F5B" w:rsidRDefault="00F44F5B" w:rsidP="006C0151">
      <w:pPr>
        <w:pStyle w:val="Heading1"/>
      </w:pPr>
    </w:p>
    <w:p w:rsidR="00F44F5B" w:rsidRDefault="00F44F5B" w:rsidP="00F44F5B">
      <w:pPr>
        <w:rPr>
          <w:rFonts w:ascii="Arial" w:hAnsi="Arial" w:cs="Arial"/>
          <w:b/>
        </w:rPr>
      </w:pPr>
    </w:p>
    <w:p w:rsidR="00C666CE" w:rsidRDefault="00C666CE" w:rsidP="008E1457">
      <w:pPr>
        <w:rPr>
          <w:rFonts w:ascii="Arial" w:hAnsi="Arial" w:cs="Arial"/>
          <w:b/>
        </w:rPr>
      </w:pPr>
    </w:p>
    <w:p w:rsidR="00C666CE" w:rsidRDefault="00C666CE" w:rsidP="008E1457">
      <w:pPr>
        <w:rPr>
          <w:rFonts w:ascii="Arial" w:hAnsi="Arial" w:cs="Arial"/>
          <w:b/>
        </w:rPr>
      </w:pPr>
    </w:p>
    <w:p w:rsidR="008E1457" w:rsidRPr="008E1457" w:rsidRDefault="00B87E75" w:rsidP="008E1457">
      <w:pPr>
        <w:rPr>
          <w:rFonts w:ascii="Arial" w:hAnsi="Arial" w:cs="Arial"/>
          <w:b/>
        </w:rPr>
      </w:pPr>
      <w:r w:rsidRPr="00F44F5B">
        <w:rPr>
          <w:rFonts w:ascii="Arial" w:hAnsi="Arial" w:cs="Arial"/>
          <w:b/>
        </w:rPr>
        <w:t>Introduction</w:t>
      </w:r>
    </w:p>
    <w:p w:rsidR="008E1457" w:rsidRPr="00FF2BD4" w:rsidRDefault="008E1457" w:rsidP="008E1457">
      <w:pPr>
        <w:rPr>
          <w:rFonts w:ascii="Arial" w:hAnsi="Arial" w:cs="Arial"/>
          <w:sz w:val="22"/>
        </w:rPr>
      </w:pPr>
      <w:r w:rsidRPr="00FF2BD4">
        <w:rPr>
          <w:rFonts w:ascii="Arial" w:hAnsi="Arial" w:cs="Arial"/>
          <w:sz w:val="22"/>
        </w:rPr>
        <w:t>This report critically explores the care provided to Mr Ahmed, focusing on three key aspects of health and social care practice: effective communication, administrative skills and record keeping, and collaborative working within a multidisciplinary team. These elements are essential in ensuring that care is safe, coordinated and person-centred, particularly for individuals with complex needs such as those recovering from a stroke.</w:t>
      </w:r>
    </w:p>
    <w:p w:rsidR="008E1457" w:rsidRPr="00FF2BD4" w:rsidRDefault="008E1457" w:rsidP="008E1457">
      <w:pPr>
        <w:rPr>
          <w:rFonts w:ascii="Arial" w:hAnsi="Arial" w:cs="Arial"/>
          <w:sz w:val="22"/>
        </w:rPr>
      </w:pPr>
      <w:r w:rsidRPr="00FF2BD4">
        <w:rPr>
          <w:rFonts w:ascii="Arial" w:hAnsi="Arial" w:cs="Arial"/>
          <w:sz w:val="22"/>
        </w:rPr>
        <w:t>The report will examine how communication barriers can impact the delivery of care, the role of accurate documentation in maintaining patient safety and accountability, and the importance of collaborative working in achieving positive health outcomes. Reference will be made to relevant legislation, professional guidelines and academic literature to support the discussion.</w:t>
      </w:r>
    </w:p>
    <w:p w:rsidR="008E1457" w:rsidRPr="00FF2BD4" w:rsidRDefault="008E1457" w:rsidP="008E1457">
      <w:pPr>
        <w:rPr>
          <w:rFonts w:ascii="Arial" w:hAnsi="Arial" w:cs="Arial"/>
          <w:sz w:val="22"/>
        </w:rPr>
      </w:pPr>
      <w:r w:rsidRPr="00FF2BD4">
        <w:rPr>
          <w:rFonts w:ascii="Arial" w:hAnsi="Arial" w:cs="Arial"/>
          <w:sz w:val="22"/>
        </w:rPr>
        <w:t>Overall, the report aims to demonstrate how these key practices contribute to maintaining dignity, promoting independence and improving the quality and safety of care provided to Mr Ahmed.</w:t>
      </w:r>
    </w:p>
    <w:p w:rsidR="008E1457" w:rsidRDefault="008E1457" w:rsidP="00F44F5B">
      <w:pPr>
        <w:rPr>
          <w:rFonts w:ascii="Arial" w:hAnsi="Arial" w:cs="Arial"/>
          <w:b/>
        </w:rPr>
      </w:pPr>
    </w:p>
    <w:p w:rsidR="008E1457" w:rsidRPr="00F44F5B" w:rsidRDefault="008E1457" w:rsidP="00F44F5B">
      <w:pPr>
        <w:rPr>
          <w:rFonts w:ascii="Arial" w:hAnsi="Arial" w:cs="Arial"/>
          <w:b/>
        </w:rPr>
      </w:pPr>
    </w:p>
    <w:p w:rsidR="008E3943" w:rsidRDefault="008E3943" w:rsidP="006C0151">
      <w:pPr>
        <w:pStyle w:val="Heading1"/>
      </w:pPr>
      <w:r>
        <w:t>I</w:t>
      </w:r>
      <w:r w:rsidRPr="008E3943">
        <w:t>mportance of effective communication</w:t>
      </w:r>
    </w:p>
    <w:p w:rsidR="00FC1FB6" w:rsidRPr="008346B2" w:rsidRDefault="001107CA" w:rsidP="00FC1FB6">
      <w:pPr>
        <w:rPr>
          <w:rFonts w:ascii="Arial" w:hAnsi="Arial" w:cs="Arial"/>
          <w:sz w:val="22"/>
        </w:rPr>
      </w:pPr>
      <w:r w:rsidRPr="001107CA">
        <w:rPr>
          <w:rFonts w:ascii="Arial" w:hAnsi="Arial" w:cs="Arial"/>
          <w:sz w:val="22"/>
        </w:rPr>
        <w:t>Communication is fundamental to person</w:t>
      </w:r>
      <w:r w:rsidRPr="001107CA">
        <w:rPr>
          <w:rFonts w:ascii="Cambria Math" w:hAnsi="Cambria Math" w:cs="Cambria Math"/>
          <w:sz w:val="22"/>
        </w:rPr>
        <w:t xml:space="preserve"> </w:t>
      </w:r>
      <w:r w:rsidRPr="001107CA">
        <w:rPr>
          <w:rFonts w:ascii="Arial" w:hAnsi="Arial" w:cs="Arial"/>
          <w:sz w:val="22"/>
        </w:rPr>
        <w:t>centred care because it ensures understanding, promotes dignity, supports decision</w:t>
      </w:r>
      <w:r w:rsidRPr="001107CA">
        <w:rPr>
          <w:rFonts w:ascii="Cambria Math" w:hAnsi="Cambria Math" w:cs="Cambria Math"/>
          <w:sz w:val="22"/>
        </w:rPr>
        <w:t xml:space="preserve"> </w:t>
      </w:r>
      <w:r w:rsidRPr="001107CA">
        <w:rPr>
          <w:rFonts w:ascii="Arial" w:hAnsi="Arial" w:cs="Arial"/>
          <w:sz w:val="22"/>
        </w:rPr>
        <w:t>making, and builds therapeutic relationships</w:t>
      </w:r>
      <w:r>
        <w:rPr>
          <w:rFonts w:ascii="Arial" w:hAnsi="Arial" w:cs="Arial"/>
          <w:sz w:val="22"/>
        </w:rPr>
        <w:t xml:space="preserve">. </w:t>
      </w:r>
      <w:r w:rsidRPr="008346B2">
        <w:rPr>
          <w:rFonts w:ascii="Arial" w:hAnsi="Arial" w:cs="Arial"/>
          <w:sz w:val="22"/>
        </w:rPr>
        <w:t>Effective</w:t>
      </w:r>
      <w:r w:rsidR="00FC1FB6" w:rsidRPr="008346B2">
        <w:rPr>
          <w:rFonts w:ascii="Arial" w:hAnsi="Arial" w:cs="Arial"/>
          <w:sz w:val="22"/>
        </w:rPr>
        <w:t xml:space="preserve"> communication is essential in Mr Ahmed’s care because it enables him to express his needs, make informed decisions, and receive person-centred, dignified care. Person-centred communication is a key principle in health and social care and is associated with improved patient outcomes and satisfaction (Street et al., 2009). This is further supported by the Equality Act (2010), which requires reasonable adjustments to reduce communication barriers.</w:t>
      </w:r>
    </w:p>
    <w:p w:rsidR="00FC1FB6" w:rsidRPr="008346B2" w:rsidRDefault="001107CA" w:rsidP="00FC1FB6">
      <w:pPr>
        <w:rPr>
          <w:rFonts w:ascii="Arial" w:hAnsi="Arial" w:cs="Arial"/>
          <w:sz w:val="22"/>
        </w:rPr>
      </w:pPr>
      <w:r w:rsidRPr="001107CA">
        <w:rPr>
          <w:rFonts w:ascii="Arial" w:hAnsi="Arial" w:cs="Arial"/>
          <w:sz w:val="22"/>
        </w:rPr>
        <w:t>One key consideration is the need for accessible communication methods.</w:t>
      </w:r>
      <w:r>
        <w:rPr>
          <w:rFonts w:ascii="Arial" w:hAnsi="Arial" w:cs="Arial"/>
          <w:sz w:val="22"/>
        </w:rPr>
        <w:t xml:space="preserve"> Since </w:t>
      </w:r>
      <w:r w:rsidR="00FC1FB6" w:rsidRPr="008346B2">
        <w:rPr>
          <w:rFonts w:ascii="Arial" w:hAnsi="Arial" w:cs="Arial"/>
          <w:sz w:val="22"/>
        </w:rPr>
        <w:t>Mr Ahmed experiences communication difficulties due to both his stroke and the fact that Bengali is his first language.</w:t>
      </w:r>
      <w:r w:rsidR="00D36433">
        <w:rPr>
          <w:rFonts w:ascii="Arial" w:hAnsi="Arial" w:cs="Arial"/>
          <w:sz w:val="22"/>
        </w:rPr>
        <w:t xml:space="preserve"> I</w:t>
      </w:r>
      <w:r w:rsidR="00D36433" w:rsidRPr="00D36433">
        <w:rPr>
          <w:rFonts w:ascii="Arial" w:hAnsi="Arial" w:cs="Arial"/>
          <w:sz w:val="22"/>
        </w:rPr>
        <w:t>n addition to spoken communication techniques, consideration should be given to culture and religion</w:t>
      </w:r>
      <w:r w:rsidR="00D36433">
        <w:rPr>
          <w:rFonts w:ascii="Arial" w:hAnsi="Arial" w:cs="Arial"/>
          <w:sz w:val="22"/>
        </w:rPr>
        <w:t xml:space="preserve">, </w:t>
      </w:r>
      <w:r w:rsidR="00D36433" w:rsidRPr="00D36433">
        <w:rPr>
          <w:rFonts w:ascii="Arial" w:hAnsi="Arial" w:cs="Arial"/>
          <w:sz w:val="22"/>
        </w:rPr>
        <w:t xml:space="preserve">simple questions about his preferred foods, religion or the roles his family play can be used to promote Mr Ahmed’s wellbeing and demonstrate cultural competence. </w:t>
      </w:r>
      <w:r w:rsidR="00D36433">
        <w:rPr>
          <w:rFonts w:ascii="Arial" w:hAnsi="Arial" w:cs="Arial"/>
          <w:sz w:val="22"/>
        </w:rPr>
        <w:t xml:space="preserve"> </w:t>
      </w:r>
      <w:r w:rsidR="00FC1FB6" w:rsidRPr="008346B2">
        <w:rPr>
          <w:rFonts w:ascii="Arial" w:hAnsi="Arial" w:cs="Arial"/>
          <w:sz w:val="22"/>
        </w:rPr>
        <w:t>Communication impairments following stroke are common and can significantly affect a patient’s ability to participate in their own care (Royal College of Physicians, 2016). The Questioning Model (Milner and O’Byrne, 2002) can be used to structure assessment</w:t>
      </w:r>
      <w:r w:rsidR="007D69B4" w:rsidRPr="008346B2">
        <w:rPr>
          <w:rFonts w:ascii="Arial" w:hAnsi="Arial" w:cs="Arial"/>
          <w:sz w:val="22"/>
        </w:rPr>
        <w:t xml:space="preserve"> through the use of visual aids, picture cards </w:t>
      </w:r>
      <w:r w:rsidR="00FC1FB6" w:rsidRPr="008346B2">
        <w:rPr>
          <w:rFonts w:ascii="Arial" w:hAnsi="Arial" w:cs="Arial"/>
          <w:sz w:val="22"/>
        </w:rPr>
        <w:t>and interpreter services, supporting accurate information gathering</w:t>
      </w:r>
      <w:r w:rsidR="007D69B4" w:rsidRPr="008346B2">
        <w:rPr>
          <w:rFonts w:ascii="Arial" w:hAnsi="Arial" w:cs="Arial"/>
          <w:sz w:val="22"/>
        </w:rPr>
        <w:t>, and to overcome the his communication barriers</w:t>
      </w:r>
      <w:r w:rsidR="008D09E6" w:rsidRPr="008346B2">
        <w:rPr>
          <w:rFonts w:ascii="Arial" w:hAnsi="Arial" w:cs="Arial"/>
          <w:sz w:val="22"/>
        </w:rPr>
        <w:t xml:space="preserve"> </w:t>
      </w:r>
      <w:r w:rsidR="00FC1FB6" w:rsidRPr="008346B2">
        <w:rPr>
          <w:rFonts w:ascii="Arial" w:hAnsi="Arial" w:cs="Arial"/>
          <w:sz w:val="22"/>
        </w:rPr>
        <w:t>and care planning.</w:t>
      </w:r>
      <w:r w:rsidR="007D69B4" w:rsidRPr="008346B2">
        <w:rPr>
          <w:rFonts w:ascii="Arial" w:hAnsi="Arial" w:cs="Arial"/>
          <w:sz w:val="22"/>
        </w:rPr>
        <w:t xml:space="preserve"> </w:t>
      </w:r>
    </w:p>
    <w:p w:rsidR="00FF2BD4" w:rsidRPr="008346B2" w:rsidRDefault="00FC1FB6" w:rsidP="00FC1FB6">
      <w:pPr>
        <w:rPr>
          <w:rFonts w:ascii="Arial" w:hAnsi="Arial" w:cs="Arial"/>
          <w:sz w:val="22"/>
        </w:rPr>
      </w:pPr>
      <w:r w:rsidRPr="008346B2">
        <w:rPr>
          <w:rFonts w:ascii="Arial" w:hAnsi="Arial" w:cs="Arial"/>
          <w:sz w:val="22"/>
        </w:rPr>
        <w:t>Although his wife often communicates on his behalf, over-reliance on this may undermine his autonomy. The Mental Capacity Act (2005) states that individuals should be supported to make their own decisions wherever possible. In addition, effective communication has been shown to promote patient autonomy and engagement in care (O’Halloran et al., 2012). Therefore, the use of a professional interpreter alongside input from a speech and language therapist is essential to support effective communication.</w:t>
      </w:r>
      <w:r w:rsidR="00D36433">
        <w:rPr>
          <w:rFonts w:ascii="Arial" w:hAnsi="Arial" w:cs="Arial"/>
          <w:sz w:val="22"/>
        </w:rPr>
        <w:t xml:space="preserve"> </w:t>
      </w:r>
      <w:r w:rsidR="00D36433" w:rsidRPr="00D36433">
        <w:rPr>
          <w:rFonts w:ascii="Arial" w:hAnsi="Arial" w:cs="Arial"/>
          <w:sz w:val="22"/>
        </w:rPr>
        <w:t xml:space="preserve">Providing written communication is </w:t>
      </w:r>
      <w:r w:rsidR="00D36433" w:rsidRPr="00D36433">
        <w:rPr>
          <w:rFonts w:ascii="Arial" w:hAnsi="Arial" w:cs="Arial"/>
          <w:sz w:val="22"/>
        </w:rPr>
        <w:lastRenderedPageBreak/>
        <w:t>also vital. Clear, respectful care plans and documentation that can be read and understood by all staff will support consistency in communication between team members. Failure to do this could have contributed to Mr Ahmed missing his home visit last week. Sharing information effectively between teams also promotes safe practice by minimising duplication and clinical risk (Skills for Care 2021).</w:t>
      </w:r>
    </w:p>
    <w:p w:rsidR="00FC1FB6" w:rsidRPr="008346B2" w:rsidRDefault="00B34C93" w:rsidP="00FF2BD4">
      <w:pPr>
        <w:rPr>
          <w:rFonts w:ascii="Arial" w:hAnsi="Arial" w:cs="Arial"/>
          <w:sz w:val="22"/>
        </w:rPr>
      </w:pPr>
      <w:r w:rsidRPr="008346B2">
        <w:rPr>
          <w:rFonts w:ascii="Arial" w:hAnsi="Arial" w:cs="Arial"/>
          <w:sz w:val="22"/>
        </w:rPr>
        <w:t>Mr Ahmed may struggle to speak following his stroke, so non-verbal communication becomes important to ensure that the attention and support he needs from carers is met. Carers can identify his needs through his facial expressions, body language and gestures. When these signals are noticed, carers should respond promptly to ensure Mr Ahmed is not neglected. If these signals are ignored, his pain may worsen and his dignity as a person will be disrespected.</w:t>
      </w:r>
    </w:p>
    <w:p w:rsidR="00FC1FB6" w:rsidRPr="008346B2" w:rsidRDefault="00FC1FB6" w:rsidP="00CD33A8">
      <w:pPr>
        <w:tabs>
          <w:tab w:val="left" w:pos="6540"/>
        </w:tabs>
        <w:spacing w:line="360" w:lineRule="auto"/>
        <w:rPr>
          <w:rFonts w:ascii="Arial" w:hAnsi="Arial" w:cs="Arial"/>
          <w:sz w:val="22"/>
        </w:rPr>
      </w:pPr>
    </w:p>
    <w:p w:rsidR="00D23A7C" w:rsidRPr="00D23A7C" w:rsidRDefault="008E3943" w:rsidP="006C0151">
      <w:pPr>
        <w:pStyle w:val="Heading1"/>
      </w:pPr>
      <w:r>
        <w:t>I</w:t>
      </w:r>
      <w:r w:rsidRPr="008E3943">
        <w:t xml:space="preserve">mportance of good administrative skills </w:t>
      </w:r>
    </w:p>
    <w:p w:rsidR="008346B2" w:rsidRPr="0052373E" w:rsidRDefault="008346B2" w:rsidP="008346B2">
      <w:pPr>
        <w:tabs>
          <w:tab w:val="left" w:pos="6540"/>
        </w:tabs>
        <w:spacing w:line="360" w:lineRule="auto"/>
        <w:rPr>
          <w:rFonts w:ascii="Arial" w:hAnsi="Arial" w:cs="Arial"/>
          <w:sz w:val="22"/>
        </w:rPr>
      </w:pPr>
      <w:r w:rsidRPr="0052373E">
        <w:rPr>
          <w:rFonts w:ascii="Arial" w:hAnsi="Arial" w:cs="Arial"/>
          <w:sz w:val="22"/>
        </w:rPr>
        <w:t>Accurate record keeping</w:t>
      </w:r>
      <w:r w:rsidR="0087590C">
        <w:rPr>
          <w:rFonts w:ascii="Arial" w:hAnsi="Arial" w:cs="Arial"/>
          <w:sz w:val="22"/>
        </w:rPr>
        <w:t xml:space="preserve">, </w:t>
      </w:r>
      <w:r w:rsidR="0087590C" w:rsidRPr="0087590C">
        <w:rPr>
          <w:rFonts w:ascii="Arial" w:hAnsi="Arial" w:cs="Arial"/>
          <w:sz w:val="22"/>
        </w:rPr>
        <w:t>time management, documentation, information sharing and administrative processes</w:t>
      </w:r>
      <w:r w:rsidR="0087590C">
        <w:rPr>
          <w:rFonts w:ascii="Arial" w:hAnsi="Arial" w:cs="Arial"/>
          <w:sz w:val="22"/>
        </w:rPr>
        <w:t xml:space="preserve"> are</w:t>
      </w:r>
      <w:r w:rsidRPr="0052373E">
        <w:rPr>
          <w:rFonts w:ascii="Arial" w:hAnsi="Arial" w:cs="Arial"/>
          <w:sz w:val="22"/>
        </w:rPr>
        <w:t xml:space="preserve"> fundamental to safe and effective care delivery. The Nursing and Midwifery Council (NMC, 2018) states that records must be clear, accurate and completed promptly. Poor documentation has been linked to increased risk of errors and compromised patient safety (Griffith, 2015). </w:t>
      </w:r>
      <w:r w:rsidR="0087590C" w:rsidRPr="0087590C">
        <w:rPr>
          <w:rFonts w:ascii="Arial" w:hAnsi="Arial" w:cs="Arial"/>
          <w:sz w:val="22"/>
        </w:rPr>
        <w:t>Missing Mr Ahmed’s home visit last week and not administering medication on time are examples of how poor administration can impact service users.</w:t>
      </w:r>
    </w:p>
    <w:p w:rsidR="008346B2" w:rsidRPr="0052373E" w:rsidRDefault="008346B2" w:rsidP="008346B2">
      <w:pPr>
        <w:tabs>
          <w:tab w:val="left" w:pos="6540"/>
        </w:tabs>
        <w:spacing w:line="360" w:lineRule="auto"/>
        <w:rPr>
          <w:rFonts w:ascii="Arial" w:hAnsi="Arial" w:cs="Arial"/>
          <w:sz w:val="22"/>
        </w:rPr>
      </w:pPr>
      <w:r w:rsidRPr="0052373E">
        <w:rPr>
          <w:rFonts w:ascii="Arial" w:hAnsi="Arial" w:cs="Arial"/>
          <w:sz w:val="22"/>
        </w:rPr>
        <w:t>The Data Protection Act (2018) ensures that personal information is only shared with professionals directly involved in care, maintaining confidentiality. Maintaining confidentiality is essential in building trust between patients and healthcare professionals (Dimond, 2021). Additionally, the Care Act (2014) places a duty on local authorities to assess and meet care needs, ensuring continuity and appropriate support.</w:t>
      </w:r>
    </w:p>
    <w:p w:rsidR="008346B2" w:rsidRPr="0052373E" w:rsidRDefault="008346B2" w:rsidP="008346B2">
      <w:pPr>
        <w:tabs>
          <w:tab w:val="left" w:pos="6540"/>
        </w:tabs>
        <w:spacing w:line="360" w:lineRule="auto"/>
        <w:rPr>
          <w:rFonts w:ascii="Arial" w:hAnsi="Arial" w:cs="Arial"/>
          <w:sz w:val="22"/>
        </w:rPr>
      </w:pPr>
      <w:r w:rsidRPr="0052373E">
        <w:rPr>
          <w:rFonts w:ascii="Arial" w:hAnsi="Arial" w:cs="Arial"/>
          <w:sz w:val="22"/>
        </w:rPr>
        <w:t>The Care Quality Commission (CQC), established under the Health and Social Care Act (2008), regulates care providers and ensures accountability. The missed visit would require investigation under the duty of candour, which promotes openness and transparency when errors occur (CQC, 2022).</w:t>
      </w:r>
    </w:p>
    <w:p w:rsidR="008346B2" w:rsidRDefault="008346B2" w:rsidP="008346B2">
      <w:pPr>
        <w:tabs>
          <w:tab w:val="left" w:pos="6540"/>
        </w:tabs>
        <w:spacing w:line="360" w:lineRule="auto"/>
        <w:rPr>
          <w:rFonts w:ascii="Arial" w:hAnsi="Arial" w:cs="Arial"/>
          <w:sz w:val="22"/>
        </w:rPr>
      </w:pPr>
      <w:r w:rsidRPr="0052373E">
        <w:rPr>
          <w:rFonts w:ascii="Arial" w:hAnsi="Arial" w:cs="Arial"/>
          <w:sz w:val="22"/>
        </w:rPr>
        <w:t>Poor administrative practice can lead to serious risks, including missed medication and delayed care. Accurate record keeping ensures continuity of care and allows professionals to respond appropriately to changes in a patient’s condition (Griffith, 2015).</w:t>
      </w:r>
      <w:r w:rsidR="00294768">
        <w:rPr>
          <w:rFonts w:ascii="Arial" w:hAnsi="Arial" w:cs="Arial"/>
          <w:sz w:val="22"/>
        </w:rPr>
        <w:t xml:space="preserve"> </w:t>
      </w:r>
      <w:r w:rsidR="00294768" w:rsidRPr="00294768">
        <w:rPr>
          <w:rFonts w:ascii="Arial" w:hAnsi="Arial" w:cs="Arial"/>
          <w:sz w:val="22"/>
        </w:rPr>
        <w:t xml:space="preserve">Practicing </w:t>
      </w:r>
      <w:r w:rsidR="00294768">
        <w:rPr>
          <w:rFonts w:ascii="Arial" w:hAnsi="Arial" w:cs="Arial"/>
          <w:sz w:val="22"/>
        </w:rPr>
        <w:t>safely also requires administra</w:t>
      </w:r>
      <w:r w:rsidR="00294768" w:rsidRPr="00294768">
        <w:rPr>
          <w:rFonts w:ascii="Arial" w:hAnsi="Arial" w:cs="Arial"/>
          <w:sz w:val="22"/>
        </w:rPr>
        <w:t xml:space="preserve">tion of care to follow organisational policies, such as how incident reporting should be conducted. Safeguarding Mr Ahmed requires incidents to be reported to senior management and investigated. Working safely with colleagues also involves sharing relevant information between teams. For example, the district nurses’ wound care notes and recording of Mr Ahmed’s blood pressure and water intake should be shared with the </w:t>
      </w:r>
      <w:r w:rsidR="00294768" w:rsidRPr="00294768">
        <w:rPr>
          <w:rFonts w:ascii="Arial" w:hAnsi="Arial" w:cs="Arial"/>
          <w:sz w:val="22"/>
        </w:rPr>
        <w:lastRenderedPageBreak/>
        <w:t>domiciliary care agency and GP. Failure to do this may result in contradictory advice being provided to Mr Ahmed. Recording which professionals have seen Mr Ahmed during the week and updating team members will help prevent this.</w:t>
      </w:r>
    </w:p>
    <w:p w:rsidR="006500AE" w:rsidRPr="006500AE" w:rsidRDefault="006500AE" w:rsidP="006500AE">
      <w:pPr>
        <w:tabs>
          <w:tab w:val="left" w:pos="6540"/>
        </w:tabs>
        <w:spacing w:line="360" w:lineRule="auto"/>
        <w:rPr>
          <w:rFonts w:ascii="Arial" w:hAnsi="Arial" w:cs="Arial"/>
          <w:sz w:val="22"/>
        </w:rPr>
      </w:pPr>
      <w:r w:rsidRPr="006500AE">
        <w:rPr>
          <w:rFonts w:ascii="Arial" w:hAnsi="Arial" w:cs="Arial"/>
          <w:sz w:val="22"/>
        </w:rPr>
        <w:t>Collaborative working ensures that professionals share information effectively to provide coordinated and holistic care. Interprofessional collaboration has been shown to improve patient outcomes and reduce medical errors (Reeves et al., 2017). The Care Act (2014) highlights the importance of partnership working across health and social care services.</w:t>
      </w:r>
    </w:p>
    <w:p w:rsidR="006500AE" w:rsidRPr="006500AE" w:rsidRDefault="006500AE" w:rsidP="006500AE">
      <w:pPr>
        <w:tabs>
          <w:tab w:val="left" w:pos="6540"/>
        </w:tabs>
        <w:spacing w:line="360" w:lineRule="auto"/>
        <w:rPr>
          <w:rFonts w:ascii="Arial" w:hAnsi="Arial" w:cs="Arial"/>
          <w:sz w:val="22"/>
        </w:rPr>
      </w:pPr>
      <w:r w:rsidRPr="006500AE">
        <w:rPr>
          <w:rFonts w:ascii="Arial" w:hAnsi="Arial" w:cs="Arial"/>
          <w:sz w:val="22"/>
        </w:rPr>
        <w:t>In Mr Ahmed’s case, a multidisciplinary team (MDT) may include carers, a GP, a speech and language therapist and an interpreter. Each professional contributes specialist knowledge to support recovery following stroke. Effective teamwork is essential in complex care situations, particularly where communication barriers exist (Nancarrow et al., 2013).</w:t>
      </w:r>
    </w:p>
    <w:p w:rsidR="00D23A7C" w:rsidRPr="00802E6B" w:rsidRDefault="006500AE" w:rsidP="00D23A7C">
      <w:pPr>
        <w:tabs>
          <w:tab w:val="left" w:pos="6540"/>
        </w:tabs>
        <w:spacing w:line="360" w:lineRule="auto"/>
        <w:rPr>
          <w:rFonts w:ascii="Arial" w:hAnsi="Arial" w:cs="Arial"/>
          <w:sz w:val="22"/>
        </w:rPr>
      </w:pPr>
      <w:r w:rsidRPr="006500AE">
        <w:rPr>
          <w:rFonts w:ascii="Arial" w:hAnsi="Arial" w:cs="Arial"/>
          <w:sz w:val="22"/>
        </w:rPr>
        <w:t>The Health and Social Care Act (2012) supports integrated care systems, enabling professionals to work together to improve outcomes. Without effective collaboration, care may become fragmented, increasing risks to patient safety and overall wellbeing (Reeves et al., 2017).</w:t>
      </w:r>
    </w:p>
    <w:p w:rsidR="008E3943" w:rsidRPr="00CD33A8" w:rsidRDefault="002D1190" w:rsidP="00802E6B">
      <w:pPr>
        <w:rPr>
          <w:rFonts w:asciiTheme="minorBidi" w:hAnsiTheme="minorBidi"/>
          <w:sz w:val="22"/>
        </w:rPr>
      </w:pPr>
      <w:r>
        <w:rPr>
          <w:rFonts w:asciiTheme="minorBidi" w:hAnsiTheme="minorBidi"/>
          <w:sz w:val="22"/>
        </w:rPr>
        <w:br w:type="page"/>
      </w:r>
    </w:p>
    <w:p w:rsidR="00B87E75" w:rsidRPr="006C0151" w:rsidRDefault="00B87E75" w:rsidP="006C0151">
      <w:pPr>
        <w:pStyle w:val="Heading1"/>
      </w:pPr>
      <w:r w:rsidRPr="006C0151">
        <w:lastRenderedPageBreak/>
        <w:t>Conclusion</w:t>
      </w:r>
    </w:p>
    <w:p w:rsidR="00CD33A8" w:rsidRPr="00F26F2E" w:rsidRDefault="00F26F2E" w:rsidP="008E3943">
      <w:pPr>
        <w:tabs>
          <w:tab w:val="left" w:pos="6540"/>
        </w:tabs>
        <w:spacing w:line="360" w:lineRule="auto"/>
        <w:rPr>
          <w:rFonts w:ascii="Arial" w:hAnsi="Arial" w:cs="Arial"/>
          <w:sz w:val="22"/>
        </w:rPr>
      </w:pPr>
      <w:r w:rsidRPr="00F26F2E">
        <w:rPr>
          <w:rFonts w:ascii="Arial" w:hAnsi="Arial" w:cs="Arial"/>
          <w:sz w:val="22"/>
        </w:rPr>
        <w:t>In conclusion, this assignment has explored the importance of effective communication in assessing Mr Ahmed's needs, the role of administrative skills and record keeping in ensuring safe and dignified care, and the significance of collaborative working in providing holistic support</w:t>
      </w:r>
      <w:r>
        <w:rPr>
          <w:rFonts w:ascii="Arial" w:hAnsi="Arial" w:cs="Arial"/>
          <w:sz w:val="22"/>
        </w:rPr>
        <w:t xml:space="preserve">. </w:t>
      </w:r>
      <w:r w:rsidRPr="00F26F2E">
        <w:rPr>
          <w:rFonts w:ascii="Arial" w:hAnsi="Arial" w:cs="Arial"/>
          <w:sz w:val="22"/>
        </w:rPr>
        <w:t>These skills and approaches are essential in health and social care practice to ensure that service users like Mr Ahmed receive care that respects their dignity, personal choices, values, language, and indi</w:t>
      </w:r>
      <w:r>
        <w:rPr>
          <w:rFonts w:ascii="Arial" w:hAnsi="Arial" w:cs="Arial"/>
          <w:sz w:val="22"/>
        </w:rPr>
        <w:t xml:space="preserve">vidual rights (Care Act, 2014). </w:t>
      </w:r>
      <w:r w:rsidRPr="00F26F2E">
        <w:rPr>
          <w:rFonts w:ascii="Arial" w:hAnsi="Arial" w:cs="Arial"/>
          <w:sz w:val="22"/>
        </w:rPr>
        <w:t>As a health and social care professional, it is therefore vital to continuously develop these skills in order to deliver high-quality, person-centred care that upholds the dignity a</w:t>
      </w:r>
      <w:r w:rsidR="00B25190">
        <w:rPr>
          <w:rFonts w:ascii="Arial" w:hAnsi="Arial" w:cs="Arial"/>
          <w:sz w:val="22"/>
        </w:rPr>
        <w:t>nd rights of all service users.</w:t>
      </w:r>
    </w:p>
    <w:p w:rsidR="0090040D" w:rsidRPr="00CD33A8" w:rsidRDefault="0090040D" w:rsidP="00CD33A8">
      <w:pPr>
        <w:tabs>
          <w:tab w:val="left" w:pos="6540"/>
        </w:tabs>
        <w:spacing w:line="360" w:lineRule="auto"/>
        <w:rPr>
          <w:rFonts w:asciiTheme="minorBidi" w:hAnsiTheme="minorBidi"/>
          <w:sz w:val="22"/>
        </w:rPr>
      </w:pPr>
    </w:p>
    <w:p w:rsidR="002D1190" w:rsidRDefault="002D1190" w:rsidP="00D23A7C">
      <w:pPr>
        <w:rPr>
          <w:rFonts w:ascii="Arial" w:hAnsi="Arial" w:cs="Arial"/>
          <w:b/>
          <w:sz w:val="32"/>
          <w:szCs w:val="32"/>
        </w:rPr>
      </w:pPr>
    </w:p>
    <w:p w:rsidR="002D1190" w:rsidRDefault="002D1190" w:rsidP="00D23A7C">
      <w:pPr>
        <w:rPr>
          <w:rFonts w:ascii="Arial" w:hAnsi="Arial" w:cs="Arial"/>
          <w:b/>
          <w:sz w:val="32"/>
          <w:szCs w:val="32"/>
        </w:rPr>
      </w:pPr>
    </w:p>
    <w:p w:rsidR="002D1190" w:rsidRDefault="002D1190"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6C0151" w:rsidRDefault="006C0151" w:rsidP="00D23A7C">
      <w:pPr>
        <w:rPr>
          <w:rFonts w:ascii="Arial" w:hAnsi="Arial" w:cs="Arial"/>
          <w:b/>
          <w:sz w:val="32"/>
          <w:szCs w:val="32"/>
        </w:rPr>
      </w:pPr>
    </w:p>
    <w:p w:rsidR="00B87E75" w:rsidRDefault="00B87E75" w:rsidP="00D23A7C">
      <w:pPr>
        <w:rPr>
          <w:rFonts w:ascii="Arial" w:hAnsi="Arial" w:cs="Arial"/>
          <w:b/>
          <w:sz w:val="32"/>
          <w:szCs w:val="32"/>
        </w:rPr>
      </w:pPr>
      <w:r w:rsidRPr="00D23A7C">
        <w:rPr>
          <w:rFonts w:ascii="Arial" w:hAnsi="Arial" w:cs="Arial"/>
          <w:b/>
          <w:sz w:val="32"/>
          <w:szCs w:val="32"/>
        </w:rPr>
        <w:t>References</w:t>
      </w:r>
    </w:p>
    <w:p w:rsidR="00FB4265" w:rsidRDefault="00FB4265" w:rsidP="00D23A7C">
      <w:pPr>
        <w:rPr>
          <w:rFonts w:ascii="Arial" w:hAnsi="Arial" w:cs="Arial"/>
          <w:b/>
          <w:sz w:val="32"/>
          <w:szCs w:val="32"/>
        </w:rPr>
      </w:pPr>
    </w:p>
    <w:p w:rsidR="00FB4265" w:rsidRPr="006D30B5" w:rsidRDefault="00FB4265" w:rsidP="00FB4265">
      <w:pPr>
        <w:rPr>
          <w:rFonts w:ascii="Arial" w:hAnsi="Arial" w:cs="Arial"/>
          <w:b/>
          <w:sz w:val="22"/>
        </w:rPr>
      </w:pPr>
      <w:r w:rsidRPr="006D30B5">
        <w:rPr>
          <w:rFonts w:ascii="Arial" w:hAnsi="Arial" w:cs="Arial"/>
          <w:b/>
          <w:sz w:val="22"/>
        </w:rPr>
        <w:t>Care Act 2014. London: The Stationery Office.</w:t>
      </w:r>
    </w:p>
    <w:p w:rsidR="00FB4265" w:rsidRPr="006D30B5" w:rsidRDefault="00FB4265" w:rsidP="00FB4265">
      <w:pPr>
        <w:rPr>
          <w:rFonts w:ascii="Arial" w:hAnsi="Arial" w:cs="Arial"/>
          <w:b/>
          <w:sz w:val="22"/>
        </w:rPr>
      </w:pPr>
      <w:r w:rsidRPr="006D30B5">
        <w:rPr>
          <w:rFonts w:ascii="Arial" w:hAnsi="Arial" w:cs="Arial"/>
          <w:b/>
          <w:sz w:val="22"/>
        </w:rPr>
        <w:t>Available at: https://www.legislation.gov.uk/ukpga/2014/23/contents</w:t>
      </w:r>
      <w:r w:rsidRPr="006D30B5">
        <w:rPr>
          <w:rFonts w:ascii="Arial" w:hAnsi="Tahoma" w:cs="Arial"/>
          <w:b/>
          <w:sz w:val="22"/>
        </w:rPr>
        <w:t>⁠</w:t>
      </w:r>
    </w:p>
    <w:p w:rsidR="00FB4265" w:rsidRPr="006D30B5" w:rsidRDefault="006D30B5" w:rsidP="00FB4265">
      <w:pPr>
        <w:rPr>
          <w:rFonts w:ascii="Arial" w:hAnsi="Arial" w:cs="Arial"/>
          <w:b/>
          <w:sz w:val="22"/>
        </w:rPr>
      </w:pPr>
      <w:r>
        <w:rPr>
          <w:rFonts w:ascii="Arial" w:hAnsi="Arial" w:cs="Arial"/>
          <w:b/>
          <w:sz w:val="22"/>
        </w:rPr>
        <w:t>(Accessed: 16</w:t>
      </w:r>
      <w:r w:rsidR="00FB4265" w:rsidRPr="006D30B5">
        <w:rPr>
          <w:rFonts w:ascii="Arial" w:hAnsi="Arial" w:cs="Arial"/>
          <w:b/>
          <w:sz w:val="22"/>
        </w:rPr>
        <w:t xml:space="preserve"> April 2026).</w:t>
      </w:r>
    </w:p>
    <w:p w:rsidR="00FB4265" w:rsidRPr="006D30B5" w:rsidRDefault="00FB4265" w:rsidP="00FB4265">
      <w:pPr>
        <w:rPr>
          <w:rFonts w:ascii="Arial" w:hAnsi="Arial" w:cs="Arial"/>
          <w:b/>
          <w:sz w:val="22"/>
        </w:rPr>
      </w:pPr>
      <w:r w:rsidRPr="006D30B5">
        <w:rPr>
          <w:rFonts w:ascii="Arial" w:hAnsi="Arial" w:cs="Arial"/>
          <w:b/>
          <w:sz w:val="22"/>
        </w:rPr>
        <w:t>Care Quality Commission (CQC) (2022) Regulation 20: Duty of candour.</w:t>
      </w:r>
    </w:p>
    <w:p w:rsidR="00FB4265" w:rsidRPr="006D30B5" w:rsidRDefault="00FB4265" w:rsidP="00FB4265">
      <w:pPr>
        <w:rPr>
          <w:rFonts w:ascii="Arial" w:hAnsi="Arial" w:cs="Arial"/>
          <w:b/>
          <w:sz w:val="22"/>
        </w:rPr>
      </w:pPr>
      <w:r w:rsidRPr="006D30B5">
        <w:rPr>
          <w:rFonts w:ascii="Arial" w:hAnsi="Arial" w:cs="Arial"/>
          <w:b/>
          <w:sz w:val="22"/>
        </w:rPr>
        <w:t>Available at: https://www.cqc.org.uk/guidance-providers/regulations-enforcement/regulation-20</w:t>
      </w:r>
      <w:r w:rsidRPr="006D30B5">
        <w:rPr>
          <w:rFonts w:ascii="Arial" w:hAnsi="Arial" w:cs="Arial"/>
          <w:b/>
          <w:i/>
          <w:sz w:val="22"/>
        </w:rPr>
        <w:t>-duty-candour</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Data Protection Act 2018. London: The Stationery Office.</w:t>
      </w:r>
    </w:p>
    <w:p w:rsidR="00FB4265" w:rsidRPr="006D30B5" w:rsidRDefault="00FB4265" w:rsidP="00FB4265">
      <w:pPr>
        <w:rPr>
          <w:rFonts w:ascii="Arial" w:hAnsi="Arial" w:cs="Arial"/>
          <w:b/>
          <w:sz w:val="22"/>
        </w:rPr>
      </w:pPr>
      <w:r w:rsidRPr="006D30B5">
        <w:rPr>
          <w:rFonts w:ascii="Arial" w:hAnsi="Arial" w:cs="Arial"/>
          <w:b/>
          <w:sz w:val="22"/>
        </w:rPr>
        <w:t>Available at: https://www.legislation.gov.uk/ukpga/2018/12/contents</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Dimond, B. (2021</w:t>
      </w:r>
      <w:r w:rsidRPr="00CA3620">
        <w:rPr>
          <w:rFonts w:ascii="Arial" w:hAnsi="Arial" w:cs="Arial"/>
          <w:b/>
          <w:i/>
          <w:sz w:val="22"/>
        </w:rPr>
        <w:t>) Legal Aspects of Nursing</w:t>
      </w:r>
      <w:r w:rsidRPr="006D30B5">
        <w:rPr>
          <w:rFonts w:ascii="Arial" w:hAnsi="Arial" w:cs="Arial"/>
          <w:b/>
          <w:sz w:val="22"/>
        </w:rPr>
        <w:t>. 8th edn. Harlow: Pearson.</w:t>
      </w:r>
    </w:p>
    <w:p w:rsidR="00FB4265" w:rsidRPr="006D30B5" w:rsidRDefault="00FB4265" w:rsidP="00FB4265">
      <w:pPr>
        <w:rPr>
          <w:rFonts w:ascii="Arial" w:hAnsi="Arial" w:cs="Arial"/>
          <w:b/>
          <w:sz w:val="22"/>
        </w:rPr>
      </w:pPr>
      <w:r w:rsidRPr="006D30B5">
        <w:rPr>
          <w:rFonts w:ascii="Arial" w:hAnsi="Arial" w:cs="Arial"/>
          <w:b/>
          <w:sz w:val="22"/>
        </w:rPr>
        <w:t>Equality Act 2010. London: The Stationery Office.</w:t>
      </w:r>
    </w:p>
    <w:p w:rsidR="00FB4265" w:rsidRPr="006D30B5" w:rsidRDefault="00FB4265" w:rsidP="00FB4265">
      <w:pPr>
        <w:rPr>
          <w:rFonts w:ascii="Arial" w:hAnsi="Arial" w:cs="Arial"/>
          <w:b/>
          <w:sz w:val="22"/>
        </w:rPr>
      </w:pPr>
      <w:r w:rsidRPr="006D30B5">
        <w:rPr>
          <w:rFonts w:ascii="Arial" w:hAnsi="Arial" w:cs="Arial"/>
          <w:b/>
          <w:sz w:val="22"/>
        </w:rPr>
        <w:t>Available at: https://www.legislation.gov.uk/ukpga/2010/15/contents</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 xml:space="preserve">Griffith, R. (2015) ‘Record keeping and documentation’, </w:t>
      </w:r>
      <w:r w:rsidRPr="00C66799">
        <w:rPr>
          <w:rFonts w:ascii="Arial" w:hAnsi="Arial" w:cs="Arial"/>
          <w:b/>
          <w:i/>
          <w:sz w:val="22"/>
        </w:rPr>
        <w:t>British Journal of Community Nursing,</w:t>
      </w:r>
      <w:r w:rsidRPr="006D30B5">
        <w:rPr>
          <w:rFonts w:ascii="Arial" w:hAnsi="Arial" w:cs="Arial"/>
          <w:b/>
          <w:sz w:val="22"/>
        </w:rPr>
        <w:t xml:space="preserve"> 20(5), pp. 246–249.</w:t>
      </w:r>
    </w:p>
    <w:p w:rsidR="00FB4265" w:rsidRPr="006D30B5" w:rsidRDefault="00FB4265" w:rsidP="00FB4265">
      <w:pPr>
        <w:rPr>
          <w:rFonts w:ascii="Arial" w:hAnsi="Arial" w:cs="Arial"/>
          <w:b/>
          <w:sz w:val="22"/>
        </w:rPr>
      </w:pPr>
      <w:r w:rsidRPr="006D30B5">
        <w:rPr>
          <w:rFonts w:ascii="Arial" w:hAnsi="Arial" w:cs="Arial"/>
          <w:b/>
          <w:sz w:val="22"/>
        </w:rPr>
        <w:t>Health and Social Care Act 2008. London: The Stationery Office.</w:t>
      </w:r>
    </w:p>
    <w:p w:rsidR="00FB4265" w:rsidRPr="006D30B5" w:rsidRDefault="00FB4265" w:rsidP="00FB4265">
      <w:pPr>
        <w:rPr>
          <w:rFonts w:ascii="Arial" w:hAnsi="Arial" w:cs="Arial"/>
          <w:b/>
          <w:sz w:val="22"/>
        </w:rPr>
      </w:pPr>
      <w:r w:rsidRPr="006D30B5">
        <w:rPr>
          <w:rFonts w:ascii="Arial" w:hAnsi="Arial" w:cs="Arial"/>
          <w:b/>
          <w:sz w:val="22"/>
        </w:rPr>
        <w:t>Available at: https://www.legislation.gov.uk/ukpga/2008/14/contents</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Health and Social Care Act 2012. London: The Stationery Office.</w:t>
      </w:r>
    </w:p>
    <w:p w:rsidR="00FB4265" w:rsidRPr="006D30B5" w:rsidRDefault="00FB4265" w:rsidP="00FB4265">
      <w:pPr>
        <w:rPr>
          <w:rFonts w:ascii="Arial" w:hAnsi="Arial" w:cs="Arial"/>
          <w:b/>
          <w:sz w:val="22"/>
        </w:rPr>
      </w:pPr>
      <w:r w:rsidRPr="006D30B5">
        <w:rPr>
          <w:rFonts w:ascii="Arial" w:hAnsi="Arial" w:cs="Arial"/>
          <w:b/>
          <w:sz w:val="22"/>
        </w:rPr>
        <w:t>Available at: https://www.legislation.gov.uk/ukpga/2012/7/contents</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Mental Capacity Act 2005. London: The Stationery Office.</w:t>
      </w:r>
    </w:p>
    <w:p w:rsidR="00FB4265" w:rsidRPr="006D30B5" w:rsidRDefault="00FB4265" w:rsidP="00FB4265">
      <w:pPr>
        <w:rPr>
          <w:rFonts w:ascii="Arial" w:hAnsi="Arial" w:cs="Arial"/>
          <w:b/>
          <w:sz w:val="22"/>
        </w:rPr>
      </w:pPr>
      <w:r w:rsidRPr="006D30B5">
        <w:rPr>
          <w:rFonts w:ascii="Arial" w:hAnsi="Arial" w:cs="Arial"/>
          <w:b/>
          <w:sz w:val="22"/>
        </w:rPr>
        <w:t>Available at: https://www.legislation.gov.uk/ukpga/2005/9/contents</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 xml:space="preserve">Milner, J. and O’Byrne, P. (2002) </w:t>
      </w:r>
      <w:r w:rsidRPr="00C66799">
        <w:rPr>
          <w:rFonts w:ascii="Arial" w:hAnsi="Arial" w:cs="Arial"/>
          <w:b/>
          <w:i/>
          <w:sz w:val="22"/>
        </w:rPr>
        <w:t>Assessment in Social Work</w:t>
      </w:r>
      <w:r w:rsidRPr="006D30B5">
        <w:rPr>
          <w:rFonts w:ascii="Arial" w:hAnsi="Arial" w:cs="Arial"/>
          <w:b/>
          <w:sz w:val="22"/>
        </w:rPr>
        <w:t>. Basingstoke: Palgrave Macmillan.</w:t>
      </w:r>
    </w:p>
    <w:p w:rsidR="00FB4265" w:rsidRPr="006D30B5" w:rsidRDefault="00FB4265" w:rsidP="00FB4265">
      <w:pPr>
        <w:rPr>
          <w:rFonts w:ascii="Arial" w:hAnsi="Arial" w:cs="Arial"/>
          <w:b/>
          <w:sz w:val="22"/>
        </w:rPr>
      </w:pPr>
      <w:r w:rsidRPr="006D30B5">
        <w:rPr>
          <w:rFonts w:ascii="Arial" w:hAnsi="Arial" w:cs="Arial"/>
          <w:b/>
          <w:sz w:val="22"/>
        </w:rPr>
        <w:t xml:space="preserve">Nancarrow, S.A. et al. (2013) ‘Ten principles of good interdisciplinary team work’, </w:t>
      </w:r>
      <w:r w:rsidRPr="00C66799">
        <w:rPr>
          <w:rFonts w:ascii="Arial" w:hAnsi="Arial" w:cs="Arial"/>
          <w:b/>
          <w:i/>
          <w:sz w:val="22"/>
        </w:rPr>
        <w:t>Human Resources for Health</w:t>
      </w:r>
      <w:r w:rsidRPr="006D30B5">
        <w:rPr>
          <w:rFonts w:ascii="Arial" w:hAnsi="Arial" w:cs="Arial"/>
          <w:b/>
          <w:sz w:val="22"/>
        </w:rPr>
        <w:t>, 11(19).</w:t>
      </w:r>
    </w:p>
    <w:p w:rsidR="00FB4265" w:rsidRPr="00C66799" w:rsidRDefault="00FB4265" w:rsidP="00FB4265">
      <w:pPr>
        <w:rPr>
          <w:rFonts w:ascii="Arial" w:hAnsi="Arial" w:cs="Arial"/>
          <w:b/>
          <w:i/>
          <w:sz w:val="22"/>
        </w:rPr>
      </w:pPr>
      <w:r w:rsidRPr="006D30B5">
        <w:rPr>
          <w:rFonts w:ascii="Arial" w:hAnsi="Arial" w:cs="Arial"/>
          <w:b/>
          <w:sz w:val="22"/>
        </w:rPr>
        <w:t xml:space="preserve">Nursing and Midwifery Council (NMC) (2018) </w:t>
      </w:r>
      <w:r w:rsidRPr="00C66799">
        <w:rPr>
          <w:rFonts w:ascii="Arial" w:hAnsi="Arial" w:cs="Arial"/>
          <w:b/>
          <w:i/>
          <w:sz w:val="22"/>
        </w:rPr>
        <w:t>The Code.</w:t>
      </w:r>
    </w:p>
    <w:p w:rsidR="00FB4265" w:rsidRPr="006D30B5" w:rsidRDefault="00FB4265" w:rsidP="00FB4265">
      <w:pPr>
        <w:rPr>
          <w:rFonts w:ascii="Arial" w:hAnsi="Arial" w:cs="Arial"/>
          <w:b/>
          <w:sz w:val="22"/>
        </w:rPr>
      </w:pPr>
      <w:r w:rsidRPr="006D30B5">
        <w:rPr>
          <w:rFonts w:ascii="Arial" w:hAnsi="Arial" w:cs="Arial"/>
          <w:b/>
          <w:sz w:val="22"/>
        </w:rPr>
        <w:lastRenderedPageBreak/>
        <w:t>Available at: https://www.nmc.org.uk/standards/code/</w:t>
      </w:r>
      <w:r w:rsidRPr="006D30B5">
        <w:rPr>
          <w:rFonts w:ascii="Arial" w:hAnsi="Tahoma" w:cs="Arial"/>
          <w:b/>
          <w:sz w:val="22"/>
        </w:rPr>
        <w:t>⁠</w:t>
      </w:r>
    </w:p>
    <w:p w:rsidR="00FB4265" w:rsidRPr="006D30B5" w:rsidRDefault="00FB4265" w:rsidP="00FB4265">
      <w:pPr>
        <w:rPr>
          <w:rFonts w:ascii="Arial" w:hAnsi="Arial" w:cs="Arial"/>
          <w:b/>
          <w:sz w:val="22"/>
        </w:rPr>
      </w:pPr>
      <w:r w:rsidRPr="006D30B5">
        <w:rPr>
          <w:rFonts w:ascii="Arial" w:hAnsi="Arial" w:cs="Arial"/>
          <w:b/>
          <w:sz w:val="22"/>
        </w:rPr>
        <w:t>(Accessed: 16 April 2026).</w:t>
      </w:r>
    </w:p>
    <w:p w:rsidR="00FB4265" w:rsidRPr="006D30B5" w:rsidRDefault="00FB4265" w:rsidP="00FB4265">
      <w:pPr>
        <w:rPr>
          <w:rFonts w:ascii="Arial" w:hAnsi="Arial" w:cs="Arial"/>
          <w:b/>
          <w:sz w:val="22"/>
        </w:rPr>
      </w:pPr>
      <w:r w:rsidRPr="006D30B5">
        <w:rPr>
          <w:rFonts w:ascii="Arial" w:hAnsi="Arial" w:cs="Arial"/>
          <w:b/>
          <w:sz w:val="22"/>
        </w:rPr>
        <w:t xml:space="preserve">O’Halloran, R., Worrall, L. and Hickson, L. (2012) ‘Environmental factors that influence communication’, </w:t>
      </w:r>
      <w:r w:rsidRPr="00C66799">
        <w:rPr>
          <w:rFonts w:ascii="Arial" w:hAnsi="Arial" w:cs="Arial"/>
          <w:b/>
          <w:i/>
          <w:sz w:val="22"/>
        </w:rPr>
        <w:t>Disability and Rehabilitation</w:t>
      </w:r>
      <w:r w:rsidRPr="006D30B5">
        <w:rPr>
          <w:rFonts w:ascii="Arial" w:hAnsi="Arial" w:cs="Arial"/>
          <w:b/>
          <w:sz w:val="22"/>
        </w:rPr>
        <w:t>, 34(21), pp. 1809–1822.</w:t>
      </w:r>
    </w:p>
    <w:p w:rsidR="00FB4265" w:rsidRPr="006D30B5" w:rsidRDefault="00FB4265" w:rsidP="00FB4265">
      <w:pPr>
        <w:rPr>
          <w:rFonts w:ascii="Arial" w:hAnsi="Arial" w:cs="Arial"/>
          <w:b/>
          <w:sz w:val="22"/>
        </w:rPr>
      </w:pPr>
      <w:r w:rsidRPr="006D30B5">
        <w:rPr>
          <w:rFonts w:ascii="Arial" w:hAnsi="Arial" w:cs="Arial"/>
          <w:b/>
          <w:sz w:val="22"/>
        </w:rPr>
        <w:t xml:space="preserve">Reeves, S. et al. (2017) </w:t>
      </w:r>
      <w:r w:rsidRPr="00C66799">
        <w:rPr>
          <w:rFonts w:ascii="Arial" w:hAnsi="Arial" w:cs="Arial"/>
          <w:b/>
          <w:i/>
          <w:sz w:val="22"/>
        </w:rPr>
        <w:t>Interprofessional teamwork for health and social care</w:t>
      </w:r>
      <w:r w:rsidRPr="006D30B5">
        <w:rPr>
          <w:rFonts w:ascii="Arial" w:hAnsi="Arial" w:cs="Arial"/>
          <w:b/>
          <w:sz w:val="22"/>
        </w:rPr>
        <w:t>. Oxford: Wiley-Blackwell.</w:t>
      </w:r>
    </w:p>
    <w:p w:rsidR="00FB4265" w:rsidRPr="00C66799" w:rsidRDefault="00FB4265" w:rsidP="00FB4265">
      <w:pPr>
        <w:rPr>
          <w:rFonts w:ascii="Arial" w:hAnsi="Arial" w:cs="Arial"/>
          <w:b/>
          <w:i/>
          <w:sz w:val="22"/>
        </w:rPr>
      </w:pPr>
      <w:r w:rsidRPr="006D30B5">
        <w:rPr>
          <w:rFonts w:ascii="Arial" w:hAnsi="Arial" w:cs="Arial"/>
          <w:b/>
          <w:sz w:val="22"/>
        </w:rPr>
        <w:t xml:space="preserve">Royal College of Physicians (2016) </w:t>
      </w:r>
      <w:r w:rsidRPr="00C66799">
        <w:rPr>
          <w:rFonts w:ascii="Arial" w:hAnsi="Arial" w:cs="Arial"/>
          <w:b/>
          <w:i/>
          <w:sz w:val="22"/>
        </w:rPr>
        <w:t>National clinical guideline for stroke.</w:t>
      </w:r>
    </w:p>
    <w:p w:rsidR="00FB4265" w:rsidRPr="006D30B5" w:rsidRDefault="00FB4265" w:rsidP="00FB4265">
      <w:pPr>
        <w:rPr>
          <w:rFonts w:ascii="Arial" w:hAnsi="Arial" w:cs="Arial"/>
          <w:b/>
          <w:sz w:val="22"/>
        </w:rPr>
      </w:pPr>
      <w:r w:rsidRPr="006D30B5">
        <w:rPr>
          <w:rFonts w:ascii="Arial" w:hAnsi="Arial" w:cs="Arial"/>
          <w:b/>
          <w:sz w:val="22"/>
        </w:rPr>
        <w:t>Available at: https://www.rcplondon.ac.uk/guidelines-policy/stroke-guidelines</w:t>
      </w:r>
      <w:r w:rsidRPr="006D30B5">
        <w:rPr>
          <w:rFonts w:ascii="Arial" w:hAnsi="Tahoma" w:cs="Arial"/>
          <w:b/>
          <w:sz w:val="22"/>
        </w:rPr>
        <w:t>⁠</w:t>
      </w:r>
    </w:p>
    <w:p w:rsidR="00FB4265" w:rsidRDefault="00FB4265" w:rsidP="00FB4265">
      <w:pPr>
        <w:rPr>
          <w:rFonts w:ascii="Arial" w:hAnsi="Arial" w:cs="Arial"/>
          <w:b/>
          <w:sz w:val="22"/>
        </w:rPr>
      </w:pPr>
      <w:r w:rsidRPr="006D30B5">
        <w:rPr>
          <w:rFonts w:ascii="Arial" w:hAnsi="Arial" w:cs="Arial"/>
          <w:b/>
          <w:sz w:val="22"/>
        </w:rPr>
        <w:t>(Accessed: 16 April 2026).</w:t>
      </w:r>
    </w:p>
    <w:p w:rsidR="00294768" w:rsidRPr="00CA3620" w:rsidRDefault="00294768" w:rsidP="00294768">
      <w:pPr>
        <w:spacing w:after="0" w:line="240" w:lineRule="auto"/>
        <w:rPr>
          <w:rFonts w:ascii="Arial" w:eastAsia="Times New Roman" w:hAnsi="Arial" w:cs="Arial"/>
          <w:b/>
          <w:sz w:val="22"/>
          <w:lang w:eastAsia="en-GB"/>
        </w:rPr>
      </w:pPr>
      <w:r w:rsidRPr="0087590C">
        <w:rPr>
          <w:rFonts w:ascii="Arial" w:eastAsia="Times New Roman" w:hAnsi="Arial" w:cs="Arial"/>
          <w:b/>
          <w:sz w:val="22"/>
          <w:lang w:eastAsia="en-GB"/>
        </w:rPr>
        <w:t xml:space="preserve">Skills for Care (2021) </w:t>
      </w:r>
      <w:r w:rsidRPr="00CA3620">
        <w:rPr>
          <w:rFonts w:ascii="Arial" w:eastAsia="Times New Roman" w:hAnsi="Arial" w:cs="Arial"/>
          <w:b/>
          <w:i/>
          <w:iCs/>
          <w:sz w:val="22"/>
          <w:lang w:eastAsia="en-GB"/>
        </w:rPr>
        <w:t>Effective Communication in Care Settings</w:t>
      </w:r>
      <w:r w:rsidRPr="00CA3620">
        <w:rPr>
          <w:rFonts w:ascii="Arial" w:eastAsia="Times New Roman" w:hAnsi="Arial" w:cs="Arial"/>
          <w:b/>
          <w:sz w:val="22"/>
          <w:lang w:eastAsia="en-GB"/>
        </w:rPr>
        <w:t xml:space="preserve">. Available at </w:t>
      </w:r>
      <w:r w:rsidRPr="0087590C">
        <w:rPr>
          <w:rFonts w:ascii="Arial" w:eastAsia="Times New Roman" w:hAnsi="Arial" w:cs="Arial"/>
          <w:b/>
          <w:sz w:val="22"/>
          <w:lang w:eastAsia="en-GB"/>
        </w:rPr>
        <w:t>(Accessed: 21 April 2026).</w:t>
      </w:r>
    </w:p>
    <w:p w:rsidR="00294768" w:rsidRPr="00CA3620" w:rsidRDefault="00294768" w:rsidP="00294768">
      <w:pPr>
        <w:spacing w:after="0" w:line="240" w:lineRule="auto"/>
        <w:rPr>
          <w:rFonts w:eastAsia="Times New Roman" w:cs="Times New Roman"/>
          <w:b/>
          <w:szCs w:val="24"/>
          <w:lang w:eastAsia="en-GB"/>
        </w:rPr>
      </w:pPr>
    </w:p>
    <w:p w:rsidR="00FB4265" w:rsidRDefault="00FB4265" w:rsidP="00FB4265">
      <w:pPr>
        <w:rPr>
          <w:rFonts w:ascii="Arial" w:hAnsi="Arial" w:cs="Arial"/>
          <w:b/>
          <w:sz w:val="22"/>
        </w:rPr>
      </w:pPr>
      <w:r w:rsidRPr="006D30B5">
        <w:rPr>
          <w:rFonts w:ascii="Arial" w:hAnsi="Arial" w:cs="Arial"/>
          <w:b/>
          <w:sz w:val="22"/>
        </w:rPr>
        <w:t xml:space="preserve">Street, R.L. et al. (2009) ‘How does communication heal?’, </w:t>
      </w:r>
      <w:r w:rsidRPr="00C66799">
        <w:rPr>
          <w:rFonts w:ascii="Arial" w:hAnsi="Arial" w:cs="Arial"/>
          <w:b/>
          <w:i/>
          <w:sz w:val="22"/>
        </w:rPr>
        <w:t>Patient Education and Counseling</w:t>
      </w:r>
      <w:r w:rsidRPr="006D30B5">
        <w:rPr>
          <w:rFonts w:ascii="Arial" w:hAnsi="Arial" w:cs="Arial"/>
          <w:b/>
          <w:sz w:val="22"/>
        </w:rPr>
        <w:t>, 74(3), pp. 295–301.</w:t>
      </w:r>
    </w:p>
    <w:p w:rsidR="00FB4265" w:rsidRDefault="00FB4265" w:rsidP="00D23A7C">
      <w:pPr>
        <w:rPr>
          <w:rFonts w:eastAsia="Times New Roman" w:cs="Times New Roman"/>
          <w:szCs w:val="24"/>
          <w:lang w:eastAsia="en-GB"/>
        </w:rPr>
      </w:pPr>
    </w:p>
    <w:p w:rsidR="00294768" w:rsidRPr="006D30B5" w:rsidRDefault="00294768" w:rsidP="00D23A7C">
      <w:pPr>
        <w:rPr>
          <w:rFonts w:ascii="Arial" w:hAnsi="Arial" w:cs="Arial"/>
          <w:b/>
          <w:sz w:val="22"/>
        </w:rPr>
      </w:pPr>
    </w:p>
    <w:p w:rsidR="00F44F5B" w:rsidRDefault="00F44F5B">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B2F4F" w:rsidRPr="00847C8B" w:rsidRDefault="00F87673" w:rsidP="00847C8B">
      <w:pPr>
        <w:numPr>
          <w:ilvl w:val="0"/>
          <w:numId w:val="2"/>
        </w:numPr>
        <w:tabs>
          <w:tab w:val="left" w:pos="6540"/>
        </w:tabs>
        <w:spacing w:line="360" w:lineRule="auto"/>
        <w:rPr>
          <w:rFonts w:ascii="Arial" w:hAnsi="Arial" w:cs="Arial"/>
          <w:b/>
          <w:sz w:val="22"/>
        </w:rPr>
      </w:pPr>
      <w:r w:rsidRPr="00847C8B">
        <w:rPr>
          <w:rFonts w:ascii="Arial" w:hAnsi="Arial" w:cs="Arial"/>
          <w:b/>
          <w:sz w:val="22"/>
        </w:rPr>
        <w:t xml:space="preserve"> </w:t>
      </w: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4D1056" w:rsidRDefault="004D1056">
      <w:pPr>
        <w:tabs>
          <w:tab w:val="left" w:pos="6540"/>
        </w:tabs>
        <w:spacing w:line="360" w:lineRule="auto"/>
        <w:rPr>
          <w:rFonts w:ascii="Arial" w:hAnsi="Arial" w:cs="Arial"/>
          <w:b/>
          <w:sz w:val="22"/>
        </w:rPr>
      </w:pPr>
    </w:p>
    <w:p w:rsidR="00925C83" w:rsidRDefault="00925C83">
      <w:pPr>
        <w:tabs>
          <w:tab w:val="left" w:pos="6540"/>
        </w:tabs>
        <w:spacing w:line="360" w:lineRule="auto"/>
        <w:rPr>
          <w:rFonts w:ascii="Arial" w:hAnsi="Arial" w:cs="Arial"/>
          <w:b/>
          <w:sz w:val="22"/>
        </w:rPr>
      </w:pPr>
    </w:p>
    <w:p w:rsidR="00925C83" w:rsidRDefault="00925C83" w:rsidP="00925C83">
      <w:pPr>
        <w:rPr>
          <w:rFonts w:ascii="Arial" w:hAnsi="Arial" w:cs="Arial"/>
          <w:sz w:val="22"/>
        </w:rPr>
      </w:pPr>
    </w:p>
    <w:p w:rsidR="004D1056" w:rsidRPr="00925C83" w:rsidRDefault="004D1056" w:rsidP="00925C83">
      <w:pPr>
        <w:rPr>
          <w:rFonts w:ascii="Arial" w:hAnsi="Arial" w:cs="Arial"/>
          <w:sz w:val="22"/>
        </w:rPr>
      </w:pPr>
    </w:p>
    <w:sectPr w:rsidR="004D1056" w:rsidRPr="00925C83"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79E7" w:rsidRDefault="009A79E7" w:rsidP="003E4ECF">
      <w:pPr>
        <w:spacing w:after="0" w:line="240" w:lineRule="auto"/>
      </w:pPr>
      <w:r>
        <w:separator/>
      </w:r>
    </w:p>
  </w:endnote>
  <w:endnote w:type="continuationSeparator" w:id="1">
    <w:p w:rsidR="009A79E7" w:rsidRDefault="009A79E7" w:rsidP="003E4E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7988516"/>
      <w:docPartObj>
        <w:docPartGallery w:val="Page Numbers (Bottom of Page)"/>
        <w:docPartUnique/>
      </w:docPartObj>
    </w:sdtPr>
    <w:sdtEndPr>
      <w:rPr>
        <w:rFonts w:asciiTheme="minorBidi" w:hAnsiTheme="minorBidi"/>
        <w:noProof/>
        <w:sz w:val="22"/>
      </w:rPr>
    </w:sdtEndPr>
    <w:sdtContent>
      <w:p w:rsidR="003E4ECF" w:rsidRPr="00E620E7" w:rsidRDefault="004B2F4F">
        <w:pPr>
          <w:pStyle w:val="Footer"/>
          <w:jc w:val="center"/>
          <w:rPr>
            <w:rFonts w:asciiTheme="minorBidi" w:hAnsiTheme="minorBidi"/>
            <w:sz w:val="22"/>
          </w:rPr>
        </w:pPr>
        <w:r w:rsidRPr="00E620E7">
          <w:rPr>
            <w:rFonts w:asciiTheme="minorBidi" w:hAnsiTheme="minorBidi"/>
            <w:sz w:val="22"/>
          </w:rPr>
          <w:fldChar w:fldCharType="begin"/>
        </w:r>
        <w:r w:rsidR="003E4ECF"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00202A10">
          <w:rPr>
            <w:rFonts w:asciiTheme="minorBidi" w:hAnsiTheme="minorBidi"/>
            <w:noProof/>
            <w:sz w:val="22"/>
          </w:rPr>
          <w:t>9</w:t>
        </w:r>
        <w:r w:rsidRPr="00E620E7">
          <w:rPr>
            <w:rFonts w:asciiTheme="minorBidi" w:hAnsiTheme="minorBidi"/>
            <w:noProof/>
            <w:sz w:val="22"/>
          </w:rPr>
          <w:fldChar w:fldCharType="end"/>
        </w:r>
      </w:p>
    </w:sdtContent>
  </w:sdt>
  <w:p w:rsidR="003E4ECF" w:rsidRDefault="003E4E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79E7" w:rsidRDefault="009A79E7" w:rsidP="003E4ECF">
      <w:pPr>
        <w:spacing w:after="0" w:line="240" w:lineRule="auto"/>
      </w:pPr>
      <w:r>
        <w:separator/>
      </w:r>
    </w:p>
  </w:footnote>
  <w:footnote w:type="continuationSeparator" w:id="1">
    <w:p w:rsidR="009A79E7" w:rsidRDefault="009A79E7" w:rsidP="003E4E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93720"/>
    <w:multiLevelType w:val="hybridMultilevel"/>
    <w:tmpl w:val="1144DD26"/>
    <w:lvl w:ilvl="0" w:tplc="8FC601E4">
      <w:start w:val="1"/>
      <w:numFmt w:val="bullet"/>
      <w:lvlText w:val="•"/>
      <w:lvlJc w:val="left"/>
      <w:pPr>
        <w:tabs>
          <w:tab w:val="num" w:pos="720"/>
        </w:tabs>
        <w:ind w:left="720" w:hanging="360"/>
      </w:pPr>
      <w:rPr>
        <w:rFonts w:ascii="Arial" w:hAnsi="Arial" w:hint="default"/>
      </w:rPr>
    </w:lvl>
    <w:lvl w:ilvl="1" w:tplc="CE9E0BC4" w:tentative="1">
      <w:start w:val="1"/>
      <w:numFmt w:val="bullet"/>
      <w:lvlText w:val="•"/>
      <w:lvlJc w:val="left"/>
      <w:pPr>
        <w:tabs>
          <w:tab w:val="num" w:pos="1440"/>
        </w:tabs>
        <w:ind w:left="1440" w:hanging="360"/>
      </w:pPr>
      <w:rPr>
        <w:rFonts w:ascii="Arial" w:hAnsi="Arial" w:hint="default"/>
      </w:rPr>
    </w:lvl>
    <w:lvl w:ilvl="2" w:tplc="A0AC6188" w:tentative="1">
      <w:start w:val="1"/>
      <w:numFmt w:val="bullet"/>
      <w:lvlText w:val="•"/>
      <w:lvlJc w:val="left"/>
      <w:pPr>
        <w:tabs>
          <w:tab w:val="num" w:pos="2160"/>
        </w:tabs>
        <w:ind w:left="2160" w:hanging="360"/>
      </w:pPr>
      <w:rPr>
        <w:rFonts w:ascii="Arial" w:hAnsi="Arial" w:hint="default"/>
      </w:rPr>
    </w:lvl>
    <w:lvl w:ilvl="3" w:tplc="FF90C29C" w:tentative="1">
      <w:start w:val="1"/>
      <w:numFmt w:val="bullet"/>
      <w:lvlText w:val="•"/>
      <w:lvlJc w:val="left"/>
      <w:pPr>
        <w:tabs>
          <w:tab w:val="num" w:pos="2880"/>
        </w:tabs>
        <w:ind w:left="2880" w:hanging="360"/>
      </w:pPr>
      <w:rPr>
        <w:rFonts w:ascii="Arial" w:hAnsi="Arial" w:hint="default"/>
      </w:rPr>
    </w:lvl>
    <w:lvl w:ilvl="4" w:tplc="6F9ACD16" w:tentative="1">
      <w:start w:val="1"/>
      <w:numFmt w:val="bullet"/>
      <w:lvlText w:val="•"/>
      <w:lvlJc w:val="left"/>
      <w:pPr>
        <w:tabs>
          <w:tab w:val="num" w:pos="3600"/>
        </w:tabs>
        <w:ind w:left="3600" w:hanging="360"/>
      </w:pPr>
      <w:rPr>
        <w:rFonts w:ascii="Arial" w:hAnsi="Arial" w:hint="default"/>
      </w:rPr>
    </w:lvl>
    <w:lvl w:ilvl="5" w:tplc="669258EA" w:tentative="1">
      <w:start w:val="1"/>
      <w:numFmt w:val="bullet"/>
      <w:lvlText w:val="•"/>
      <w:lvlJc w:val="left"/>
      <w:pPr>
        <w:tabs>
          <w:tab w:val="num" w:pos="4320"/>
        </w:tabs>
        <w:ind w:left="4320" w:hanging="360"/>
      </w:pPr>
      <w:rPr>
        <w:rFonts w:ascii="Arial" w:hAnsi="Arial" w:hint="default"/>
      </w:rPr>
    </w:lvl>
    <w:lvl w:ilvl="6" w:tplc="7352782A" w:tentative="1">
      <w:start w:val="1"/>
      <w:numFmt w:val="bullet"/>
      <w:lvlText w:val="•"/>
      <w:lvlJc w:val="left"/>
      <w:pPr>
        <w:tabs>
          <w:tab w:val="num" w:pos="5040"/>
        </w:tabs>
        <w:ind w:left="5040" w:hanging="360"/>
      </w:pPr>
      <w:rPr>
        <w:rFonts w:ascii="Arial" w:hAnsi="Arial" w:hint="default"/>
      </w:rPr>
    </w:lvl>
    <w:lvl w:ilvl="7" w:tplc="73B437EE" w:tentative="1">
      <w:start w:val="1"/>
      <w:numFmt w:val="bullet"/>
      <w:lvlText w:val="•"/>
      <w:lvlJc w:val="left"/>
      <w:pPr>
        <w:tabs>
          <w:tab w:val="num" w:pos="5760"/>
        </w:tabs>
        <w:ind w:left="5760" w:hanging="360"/>
      </w:pPr>
      <w:rPr>
        <w:rFonts w:ascii="Arial" w:hAnsi="Arial" w:hint="default"/>
      </w:rPr>
    </w:lvl>
    <w:lvl w:ilvl="8" w:tplc="26D07180" w:tentative="1">
      <w:start w:val="1"/>
      <w:numFmt w:val="bullet"/>
      <w:lvlText w:val="•"/>
      <w:lvlJc w:val="left"/>
      <w:pPr>
        <w:tabs>
          <w:tab w:val="num" w:pos="6480"/>
        </w:tabs>
        <w:ind w:left="6480" w:hanging="360"/>
      </w:pPr>
      <w:rPr>
        <w:rFonts w:ascii="Arial" w:hAnsi="Arial" w:hint="default"/>
      </w:rPr>
    </w:lvl>
  </w:abstractNum>
  <w:abstractNum w:abstractNumId="1">
    <w:nsid w:val="62273042"/>
    <w:multiLevelType w:val="hybridMultilevel"/>
    <w:tmpl w:val="6F966B94"/>
    <w:lvl w:ilvl="0" w:tplc="8070C9F8">
      <w:start w:val="1"/>
      <w:numFmt w:val="bullet"/>
      <w:lvlText w:val=""/>
      <w:lvlJc w:val="left"/>
      <w:pPr>
        <w:tabs>
          <w:tab w:val="num" w:pos="720"/>
        </w:tabs>
        <w:ind w:left="720" w:hanging="360"/>
      </w:pPr>
      <w:rPr>
        <w:rFonts w:ascii="Symbol" w:hAnsi="Symbol" w:hint="default"/>
      </w:rPr>
    </w:lvl>
    <w:lvl w:ilvl="1" w:tplc="E9B6B15A" w:tentative="1">
      <w:start w:val="1"/>
      <w:numFmt w:val="bullet"/>
      <w:lvlText w:val=""/>
      <w:lvlJc w:val="left"/>
      <w:pPr>
        <w:tabs>
          <w:tab w:val="num" w:pos="1440"/>
        </w:tabs>
        <w:ind w:left="1440" w:hanging="360"/>
      </w:pPr>
      <w:rPr>
        <w:rFonts w:ascii="Symbol" w:hAnsi="Symbol" w:hint="default"/>
      </w:rPr>
    </w:lvl>
    <w:lvl w:ilvl="2" w:tplc="59022224" w:tentative="1">
      <w:start w:val="1"/>
      <w:numFmt w:val="bullet"/>
      <w:lvlText w:val=""/>
      <w:lvlJc w:val="left"/>
      <w:pPr>
        <w:tabs>
          <w:tab w:val="num" w:pos="2160"/>
        </w:tabs>
        <w:ind w:left="2160" w:hanging="360"/>
      </w:pPr>
      <w:rPr>
        <w:rFonts w:ascii="Symbol" w:hAnsi="Symbol" w:hint="default"/>
      </w:rPr>
    </w:lvl>
    <w:lvl w:ilvl="3" w:tplc="1F6CC4BA" w:tentative="1">
      <w:start w:val="1"/>
      <w:numFmt w:val="bullet"/>
      <w:lvlText w:val=""/>
      <w:lvlJc w:val="left"/>
      <w:pPr>
        <w:tabs>
          <w:tab w:val="num" w:pos="2880"/>
        </w:tabs>
        <w:ind w:left="2880" w:hanging="360"/>
      </w:pPr>
      <w:rPr>
        <w:rFonts w:ascii="Symbol" w:hAnsi="Symbol" w:hint="default"/>
      </w:rPr>
    </w:lvl>
    <w:lvl w:ilvl="4" w:tplc="97BA2786" w:tentative="1">
      <w:start w:val="1"/>
      <w:numFmt w:val="bullet"/>
      <w:lvlText w:val=""/>
      <w:lvlJc w:val="left"/>
      <w:pPr>
        <w:tabs>
          <w:tab w:val="num" w:pos="3600"/>
        </w:tabs>
        <w:ind w:left="3600" w:hanging="360"/>
      </w:pPr>
      <w:rPr>
        <w:rFonts w:ascii="Symbol" w:hAnsi="Symbol" w:hint="default"/>
      </w:rPr>
    </w:lvl>
    <w:lvl w:ilvl="5" w:tplc="85DE11C8" w:tentative="1">
      <w:start w:val="1"/>
      <w:numFmt w:val="bullet"/>
      <w:lvlText w:val=""/>
      <w:lvlJc w:val="left"/>
      <w:pPr>
        <w:tabs>
          <w:tab w:val="num" w:pos="4320"/>
        </w:tabs>
        <w:ind w:left="4320" w:hanging="360"/>
      </w:pPr>
      <w:rPr>
        <w:rFonts w:ascii="Symbol" w:hAnsi="Symbol" w:hint="default"/>
      </w:rPr>
    </w:lvl>
    <w:lvl w:ilvl="6" w:tplc="6C1AA7F4" w:tentative="1">
      <w:start w:val="1"/>
      <w:numFmt w:val="bullet"/>
      <w:lvlText w:val=""/>
      <w:lvlJc w:val="left"/>
      <w:pPr>
        <w:tabs>
          <w:tab w:val="num" w:pos="5040"/>
        </w:tabs>
        <w:ind w:left="5040" w:hanging="360"/>
      </w:pPr>
      <w:rPr>
        <w:rFonts w:ascii="Symbol" w:hAnsi="Symbol" w:hint="default"/>
      </w:rPr>
    </w:lvl>
    <w:lvl w:ilvl="7" w:tplc="ACF4795E" w:tentative="1">
      <w:start w:val="1"/>
      <w:numFmt w:val="bullet"/>
      <w:lvlText w:val=""/>
      <w:lvlJc w:val="left"/>
      <w:pPr>
        <w:tabs>
          <w:tab w:val="num" w:pos="5760"/>
        </w:tabs>
        <w:ind w:left="5760" w:hanging="360"/>
      </w:pPr>
      <w:rPr>
        <w:rFonts w:ascii="Symbol" w:hAnsi="Symbol" w:hint="default"/>
      </w:rPr>
    </w:lvl>
    <w:lvl w:ilvl="8" w:tplc="6CA2E72E"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hdrShapeDefaults>
    <o:shapedefaults v:ext="edit" spidmax="4098"/>
  </w:hdrShapeDefaults>
  <w:footnotePr>
    <w:footnote w:id="0"/>
    <w:footnote w:id="1"/>
  </w:footnotePr>
  <w:endnotePr>
    <w:endnote w:id="0"/>
    <w:endnote w:id="1"/>
  </w:endnotePr>
  <w:compat/>
  <w:rsids>
    <w:rsidRoot w:val="00074402"/>
    <w:rsid w:val="00022966"/>
    <w:rsid w:val="000572BF"/>
    <w:rsid w:val="00074402"/>
    <w:rsid w:val="000B0C58"/>
    <w:rsid w:val="001107CA"/>
    <w:rsid w:val="00147926"/>
    <w:rsid w:val="00175D20"/>
    <w:rsid w:val="001D7C03"/>
    <w:rsid w:val="00202A10"/>
    <w:rsid w:val="00216C85"/>
    <w:rsid w:val="0026393A"/>
    <w:rsid w:val="00273EDD"/>
    <w:rsid w:val="00294768"/>
    <w:rsid w:val="002C3965"/>
    <w:rsid w:val="002D1190"/>
    <w:rsid w:val="00321C4C"/>
    <w:rsid w:val="00354A8C"/>
    <w:rsid w:val="00374BEC"/>
    <w:rsid w:val="00392BBC"/>
    <w:rsid w:val="003B3BF9"/>
    <w:rsid w:val="003E4ECF"/>
    <w:rsid w:val="004025C1"/>
    <w:rsid w:val="004156F3"/>
    <w:rsid w:val="00486008"/>
    <w:rsid w:val="004A736E"/>
    <w:rsid w:val="004B2F4F"/>
    <w:rsid w:val="004D1056"/>
    <w:rsid w:val="0052373E"/>
    <w:rsid w:val="00550332"/>
    <w:rsid w:val="00594ECF"/>
    <w:rsid w:val="005B2C1E"/>
    <w:rsid w:val="005E723F"/>
    <w:rsid w:val="006500AE"/>
    <w:rsid w:val="00662E35"/>
    <w:rsid w:val="006925AA"/>
    <w:rsid w:val="006C0151"/>
    <w:rsid w:val="006D30B5"/>
    <w:rsid w:val="006F4F2C"/>
    <w:rsid w:val="006F6F4B"/>
    <w:rsid w:val="00705AF9"/>
    <w:rsid w:val="00725177"/>
    <w:rsid w:val="00731798"/>
    <w:rsid w:val="007A1B8D"/>
    <w:rsid w:val="007D69B4"/>
    <w:rsid w:val="00802E6B"/>
    <w:rsid w:val="00814A9E"/>
    <w:rsid w:val="00822B9F"/>
    <w:rsid w:val="008346B2"/>
    <w:rsid w:val="00847C8B"/>
    <w:rsid w:val="00857E6C"/>
    <w:rsid w:val="008678D5"/>
    <w:rsid w:val="0087590C"/>
    <w:rsid w:val="008D09E6"/>
    <w:rsid w:val="008E1457"/>
    <w:rsid w:val="008E3943"/>
    <w:rsid w:val="0090040D"/>
    <w:rsid w:val="00925C83"/>
    <w:rsid w:val="00927019"/>
    <w:rsid w:val="009A79E7"/>
    <w:rsid w:val="009C6B11"/>
    <w:rsid w:val="009D052C"/>
    <w:rsid w:val="009D1D1E"/>
    <w:rsid w:val="00A035FD"/>
    <w:rsid w:val="00A04600"/>
    <w:rsid w:val="00A531F2"/>
    <w:rsid w:val="00AD23A0"/>
    <w:rsid w:val="00B24F4A"/>
    <w:rsid w:val="00B25190"/>
    <w:rsid w:val="00B34C93"/>
    <w:rsid w:val="00B75F8A"/>
    <w:rsid w:val="00B87E75"/>
    <w:rsid w:val="00BD6B6C"/>
    <w:rsid w:val="00C126A4"/>
    <w:rsid w:val="00C5782B"/>
    <w:rsid w:val="00C666CE"/>
    <w:rsid w:val="00C66799"/>
    <w:rsid w:val="00CA3620"/>
    <w:rsid w:val="00CD33A8"/>
    <w:rsid w:val="00D23A7C"/>
    <w:rsid w:val="00D36433"/>
    <w:rsid w:val="00D92016"/>
    <w:rsid w:val="00E569FD"/>
    <w:rsid w:val="00E620E7"/>
    <w:rsid w:val="00E75F5D"/>
    <w:rsid w:val="00EC2231"/>
    <w:rsid w:val="00F06401"/>
    <w:rsid w:val="00F26F2E"/>
    <w:rsid w:val="00F44F5B"/>
    <w:rsid w:val="00F66E1B"/>
    <w:rsid w:val="00F73EDE"/>
    <w:rsid w:val="00F87673"/>
    <w:rsid w:val="00FB4265"/>
    <w:rsid w:val="00FC1FB6"/>
    <w:rsid w:val="00FF2BD4"/>
    <w:rsid w:val="00FF5D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231"/>
  </w:style>
  <w:style w:type="paragraph" w:styleId="Heading1">
    <w:name w:val="heading 1"/>
    <w:basedOn w:val="Normal"/>
    <w:next w:val="Normal"/>
    <w:link w:val="Heading1Char"/>
    <w:autoRedefine/>
    <w:uiPriority w:val="9"/>
    <w:qFormat/>
    <w:rsid w:val="006C0151"/>
    <w:pPr>
      <w:keepNext/>
      <w:keepLines/>
      <w:spacing w:before="240" w:after="0" w:line="360" w:lineRule="auto"/>
      <w:outlineLvl w:val="0"/>
    </w:pPr>
    <w:rPr>
      <w:rFonts w:ascii="Arial" w:eastAsiaTheme="majorEastAsia" w:hAnsi="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151"/>
    <w:rPr>
      <w:rFonts w:ascii="Arial" w:eastAsiaTheme="majorEastAsia" w:hAnsi="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6F6F4B"/>
    <w:rPr>
      <w:color w:val="0563C1" w:themeColor="hyperlink"/>
      <w:u w:val="single"/>
    </w:rPr>
  </w:style>
  <w:style w:type="paragraph" w:styleId="NormalWeb">
    <w:name w:val="Normal (Web)"/>
    <w:basedOn w:val="Normal"/>
    <w:uiPriority w:val="99"/>
    <w:semiHidden/>
    <w:unhideWhenUsed/>
    <w:rsid w:val="006F6F4B"/>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6F6F4B"/>
    <w:rPr>
      <w:i/>
      <w:iCs/>
    </w:rPr>
  </w:style>
  <w:style w:type="character" w:customStyle="1" w:styleId="max-w-180px">
    <w:name w:val="max-w-[180px]"/>
    <w:basedOn w:val="DefaultParagraphFont"/>
    <w:rsid w:val="006F6F4B"/>
  </w:style>
  <w:style w:type="paragraph" w:styleId="BalloonText">
    <w:name w:val="Balloon Text"/>
    <w:basedOn w:val="Normal"/>
    <w:link w:val="BalloonTextChar"/>
    <w:uiPriority w:val="99"/>
    <w:semiHidden/>
    <w:unhideWhenUsed/>
    <w:rsid w:val="006F6F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F4B"/>
    <w:rPr>
      <w:rFonts w:ascii="Tahoma" w:hAnsi="Tahoma" w:cs="Tahoma"/>
      <w:sz w:val="16"/>
      <w:szCs w:val="16"/>
    </w:rPr>
  </w:style>
  <w:style w:type="character" w:customStyle="1" w:styleId="font-semibold">
    <w:name w:val="font-semibold"/>
    <w:basedOn w:val="DefaultParagraphFont"/>
    <w:rsid w:val="004D1056"/>
  </w:style>
</w:styles>
</file>

<file path=word/webSettings.xml><?xml version="1.0" encoding="utf-8"?>
<w:webSettings xmlns:r="http://schemas.openxmlformats.org/officeDocument/2006/relationships" xmlns:w="http://schemas.openxmlformats.org/wordprocessingml/2006/main">
  <w:divs>
    <w:div w:id="113254373">
      <w:bodyDiv w:val="1"/>
      <w:marLeft w:val="0"/>
      <w:marRight w:val="0"/>
      <w:marTop w:val="0"/>
      <w:marBottom w:val="0"/>
      <w:divBdr>
        <w:top w:val="none" w:sz="0" w:space="0" w:color="auto"/>
        <w:left w:val="none" w:sz="0" w:space="0" w:color="auto"/>
        <w:bottom w:val="none" w:sz="0" w:space="0" w:color="auto"/>
        <w:right w:val="none" w:sz="0" w:space="0" w:color="auto"/>
      </w:divBdr>
      <w:divsChild>
        <w:div w:id="1462066583">
          <w:marLeft w:val="0"/>
          <w:marRight w:val="0"/>
          <w:marTop w:val="0"/>
          <w:marBottom w:val="0"/>
          <w:divBdr>
            <w:top w:val="single" w:sz="2" w:space="0" w:color="E5E7EB"/>
            <w:left w:val="single" w:sz="2" w:space="0" w:color="E5E7EB"/>
            <w:bottom w:val="single" w:sz="2" w:space="0" w:color="E5E7EB"/>
            <w:right w:val="single" w:sz="2" w:space="0" w:color="E5E7EB"/>
          </w:divBdr>
          <w:divsChild>
            <w:div w:id="63114723">
              <w:marLeft w:val="0"/>
              <w:marRight w:val="0"/>
              <w:marTop w:val="0"/>
              <w:marBottom w:val="0"/>
              <w:divBdr>
                <w:top w:val="single" w:sz="2" w:space="0" w:color="E5E7EB"/>
                <w:left w:val="single" w:sz="2" w:space="0" w:color="E5E7EB"/>
                <w:bottom w:val="single" w:sz="2" w:space="0" w:color="E5E7EB"/>
                <w:right w:val="single" w:sz="2" w:space="0" w:color="E5E7EB"/>
              </w:divBdr>
              <w:divsChild>
                <w:div w:id="1783914916">
                  <w:marLeft w:val="0"/>
                  <w:marRight w:val="0"/>
                  <w:marTop w:val="0"/>
                  <w:marBottom w:val="0"/>
                  <w:divBdr>
                    <w:top w:val="single" w:sz="2" w:space="0" w:color="E5E7EB"/>
                    <w:left w:val="single" w:sz="2" w:space="0" w:color="E5E7EB"/>
                    <w:bottom w:val="single" w:sz="2" w:space="0" w:color="E5E7EB"/>
                    <w:right w:val="single" w:sz="2" w:space="0" w:color="E5E7EB"/>
                  </w:divBdr>
                  <w:divsChild>
                    <w:div w:id="1716394509">
                      <w:marLeft w:val="0"/>
                      <w:marRight w:val="0"/>
                      <w:marTop w:val="0"/>
                      <w:marBottom w:val="0"/>
                      <w:divBdr>
                        <w:top w:val="single" w:sz="2" w:space="0" w:color="E5E7EB"/>
                        <w:left w:val="single" w:sz="2" w:space="0" w:color="E5E7EB"/>
                        <w:bottom w:val="single" w:sz="2" w:space="0" w:color="E5E7EB"/>
                        <w:right w:val="single" w:sz="2" w:space="0" w:color="E5E7EB"/>
                      </w:divBdr>
                      <w:divsChild>
                        <w:div w:id="176818196">
                          <w:marLeft w:val="0"/>
                          <w:marRight w:val="0"/>
                          <w:marTop w:val="0"/>
                          <w:marBottom w:val="0"/>
                          <w:divBdr>
                            <w:top w:val="single" w:sz="2" w:space="0" w:color="E5E7EB"/>
                            <w:left w:val="single" w:sz="2" w:space="0" w:color="E5E7EB"/>
                            <w:bottom w:val="single" w:sz="2" w:space="0" w:color="E5E7EB"/>
                            <w:right w:val="single" w:sz="2" w:space="0" w:color="E5E7EB"/>
                          </w:divBdr>
                          <w:divsChild>
                            <w:div w:id="1659072540">
                              <w:marLeft w:val="0"/>
                              <w:marRight w:val="0"/>
                              <w:marTop w:val="0"/>
                              <w:marBottom w:val="0"/>
                              <w:divBdr>
                                <w:top w:val="single" w:sz="2" w:space="0" w:color="E5E7EB"/>
                                <w:left w:val="single" w:sz="2" w:space="0" w:color="E5E7EB"/>
                                <w:bottom w:val="single" w:sz="2" w:space="0" w:color="E5E7EB"/>
                                <w:right w:val="single" w:sz="2" w:space="0" w:color="E5E7EB"/>
                              </w:divBdr>
                              <w:divsChild>
                                <w:div w:id="1331172860">
                                  <w:marLeft w:val="0"/>
                                  <w:marRight w:val="0"/>
                                  <w:marTop w:val="0"/>
                                  <w:marBottom w:val="0"/>
                                  <w:divBdr>
                                    <w:top w:val="single" w:sz="2" w:space="0" w:color="E5E7EB"/>
                                    <w:left w:val="single" w:sz="2" w:space="0" w:color="E5E7EB"/>
                                    <w:bottom w:val="single" w:sz="2" w:space="0" w:color="E5E7EB"/>
                                    <w:right w:val="single" w:sz="2" w:space="0" w:color="E5E7EB"/>
                                  </w:divBdr>
                                  <w:divsChild>
                                    <w:div w:id="1731535840">
                                      <w:marLeft w:val="0"/>
                                      <w:marRight w:val="0"/>
                                      <w:marTop w:val="0"/>
                                      <w:marBottom w:val="0"/>
                                      <w:divBdr>
                                        <w:top w:val="single" w:sz="2" w:space="0" w:color="E5E7EB"/>
                                        <w:left w:val="single" w:sz="2" w:space="0" w:color="E5E7EB"/>
                                        <w:bottom w:val="single" w:sz="2" w:space="0" w:color="E5E7EB"/>
                                        <w:right w:val="single" w:sz="2" w:space="0" w:color="E5E7EB"/>
                                      </w:divBdr>
                                      <w:divsChild>
                                        <w:div w:id="529728071">
                                          <w:marLeft w:val="0"/>
                                          <w:marRight w:val="0"/>
                                          <w:marTop w:val="0"/>
                                          <w:marBottom w:val="0"/>
                                          <w:divBdr>
                                            <w:top w:val="single" w:sz="2" w:space="0" w:color="E5E7EB"/>
                                            <w:left w:val="single" w:sz="2" w:space="0" w:color="E5E7EB"/>
                                            <w:bottom w:val="single" w:sz="2" w:space="0" w:color="E5E7EB"/>
                                            <w:right w:val="single" w:sz="2" w:space="0" w:color="E5E7EB"/>
                                          </w:divBdr>
                                          <w:divsChild>
                                            <w:div w:id="928974302">
                                              <w:marLeft w:val="0"/>
                                              <w:marRight w:val="0"/>
                                              <w:marTop w:val="0"/>
                                              <w:marBottom w:val="0"/>
                                              <w:divBdr>
                                                <w:top w:val="single" w:sz="2" w:space="0" w:color="E5E7EB"/>
                                                <w:left w:val="single" w:sz="2" w:space="0" w:color="E5E7EB"/>
                                                <w:bottom w:val="single" w:sz="2" w:space="0" w:color="E5E7EB"/>
                                                <w:right w:val="single" w:sz="2" w:space="0" w:color="E5E7EB"/>
                                              </w:divBdr>
                                              <w:divsChild>
                                                <w:div w:id="6690613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0798736">
                                              <w:marLeft w:val="0"/>
                                              <w:marRight w:val="0"/>
                                              <w:marTop w:val="0"/>
                                              <w:marBottom w:val="0"/>
                                              <w:divBdr>
                                                <w:top w:val="single" w:sz="2" w:space="0" w:color="E5E7EB"/>
                                                <w:left w:val="single" w:sz="2" w:space="0" w:color="E5E7EB"/>
                                                <w:bottom w:val="single" w:sz="2" w:space="0" w:color="E5E7EB"/>
                                                <w:right w:val="single" w:sz="2" w:space="0" w:color="E5E7EB"/>
                                              </w:divBdr>
                                              <w:divsChild>
                                                <w:div w:id="1404638457">
                                                  <w:marLeft w:val="0"/>
                                                  <w:marRight w:val="0"/>
                                                  <w:marTop w:val="0"/>
                                                  <w:marBottom w:val="0"/>
                                                  <w:divBdr>
                                                    <w:top w:val="single" w:sz="2" w:space="0" w:color="E5E7EB"/>
                                                    <w:left w:val="single" w:sz="2" w:space="0" w:color="E5E7EB"/>
                                                    <w:bottom w:val="single" w:sz="2" w:space="0" w:color="E5E7EB"/>
                                                    <w:right w:val="single" w:sz="2" w:space="0" w:color="E5E7EB"/>
                                                  </w:divBdr>
                                                  <w:divsChild>
                                                    <w:div w:id="1085954029">
                                                      <w:marLeft w:val="0"/>
                                                      <w:marRight w:val="0"/>
                                                      <w:marTop w:val="0"/>
                                                      <w:marBottom w:val="0"/>
                                                      <w:divBdr>
                                                        <w:top w:val="single" w:sz="2" w:space="0" w:color="E5E7EB"/>
                                                        <w:left w:val="single" w:sz="2" w:space="0" w:color="E5E7EB"/>
                                                        <w:bottom w:val="single" w:sz="2" w:space="0" w:color="E5E7EB"/>
                                                        <w:right w:val="single" w:sz="2" w:space="0" w:color="E5E7EB"/>
                                                      </w:divBdr>
                                                      <w:divsChild>
                                                        <w:div w:id="255402797">
                                                          <w:marLeft w:val="0"/>
                                                          <w:marRight w:val="0"/>
                                                          <w:marTop w:val="0"/>
                                                          <w:marBottom w:val="0"/>
                                                          <w:divBdr>
                                                            <w:top w:val="single" w:sz="2" w:space="0" w:color="E5E7EB"/>
                                                            <w:left w:val="single" w:sz="2" w:space="0" w:color="E5E7EB"/>
                                                            <w:bottom w:val="single" w:sz="2" w:space="0" w:color="E5E7EB"/>
                                                            <w:right w:val="single" w:sz="2" w:space="0" w:color="E5E7EB"/>
                                                          </w:divBdr>
                                                        </w:div>
                                                        <w:div w:id="20518790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157309583">
      <w:bodyDiv w:val="1"/>
      <w:marLeft w:val="0"/>
      <w:marRight w:val="0"/>
      <w:marTop w:val="0"/>
      <w:marBottom w:val="0"/>
      <w:divBdr>
        <w:top w:val="none" w:sz="0" w:space="0" w:color="auto"/>
        <w:left w:val="none" w:sz="0" w:space="0" w:color="auto"/>
        <w:bottom w:val="none" w:sz="0" w:space="0" w:color="auto"/>
        <w:right w:val="none" w:sz="0" w:space="0" w:color="auto"/>
      </w:divBdr>
    </w:div>
    <w:div w:id="618948121">
      <w:bodyDiv w:val="1"/>
      <w:marLeft w:val="0"/>
      <w:marRight w:val="0"/>
      <w:marTop w:val="0"/>
      <w:marBottom w:val="0"/>
      <w:divBdr>
        <w:top w:val="none" w:sz="0" w:space="0" w:color="auto"/>
        <w:left w:val="none" w:sz="0" w:space="0" w:color="auto"/>
        <w:bottom w:val="none" w:sz="0" w:space="0" w:color="auto"/>
        <w:right w:val="none" w:sz="0" w:space="0" w:color="auto"/>
      </w:divBdr>
    </w:div>
    <w:div w:id="1081634251">
      <w:bodyDiv w:val="1"/>
      <w:marLeft w:val="0"/>
      <w:marRight w:val="0"/>
      <w:marTop w:val="0"/>
      <w:marBottom w:val="0"/>
      <w:divBdr>
        <w:top w:val="none" w:sz="0" w:space="0" w:color="auto"/>
        <w:left w:val="none" w:sz="0" w:space="0" w:color="auto"/>
        <w:bottom w:val="none" w:sz="0" w:space="0" w:color="auto"/>
        <w:right w:val="none" w:sz="0" w:space="0" w:color="auto"/>
      </w:divBdr>
      <w:divsChild>
        <w:div w:id="930940791">
          <w:marLeft w:val="547"/>
          <w:marRight w:val="0"/>
          <w:marTop w:val="120"/>
          <w:marBottom w:val="0"/>
          <w:divBdr>
            <w:top w:val="none" w:sz="0" w:space="0" w:color="auto"/>
            <w:left w:val="none" w:sz="0" w:space="0" w:color="auto"/>
            <w:bottom w:val="none" w:sz="0" w:space="0" w:color="auto"/>
            <w:right w:val="none" w:sz="0" w:space="0" w:color="auto"/>
          </w:divBdr>
        </w:div>
        <w:div w:id="1785491996">
          <w:marLeft w:val="547"/>
          <w:marRight w:val="0"/>
          <w:marTop w:val="120"/>
          <w:marBottom w:val="0"/>
          <w:divBdr>
            <w:top w:val="none" w:sz="0" w:space="0" w:color="auto"/>
            <w:left w:val="none" w:sz="0" w:space="0" w:color="auto"/>
            <w:bottom w:val="none" w:sz="0" w:space="0" w:color="auto"/>
            <w:right w:val="none" w:sz="0" w:space="0" w:color="auto"/>
          </w:divBdr>
        </w:div>
        <w:div w:id="1818448288">
          <w:marLeft w:val="547"/>
          <w:marRight w:val="0"/>
          <w:marTop w:val="120"/>
          <w:marBottom w:val="0"/>
          <w:divBdr>
            <w:top w:val="none" w:sz="0" w:space="0" w:color="auto"/>
            <w:left w:val="none" w:sz="0" w:space="0" w:color="auto"/>
            <w:bottom w:val="none" w:sz="0" w:space="0" w:color="auto"/>
            <w:right w:val="none" w:sz="0" w:space="0" w:color="auto"/>
          </w:divBdr>
        </w:div>
        <w:div w:id="179126283">
          <w:marLeft w:val="547"/>
          <w:marRight w:val="0"/>
          <w:marTop w:val="120"/>
          <w:marBottom w:val="0"/>
          <w:divBdr>
            <w:top w:val="none" w:sz="0" w:space="0" w:color="auto"/>
            <w:left w:val="none" w:sz="0" w:space="0" w:color="auto"/>
            <w:bottom w:val="none" w:sz="0" w:space="0" w:color="auto"/>
            <w:right w:val="none" w:sz="0" w:space="0" w:color="auto"/>
          </w:divBdr>
        </w:div>
        <w:div w:id="243298660">
          <w:marLeft w:val="547"/>
          <w:marRight w:val="0"/>
          <w:marTop w:val="120"/>
          <w:marBottom w:val="0"/>
          <w:divBdr>
            <w:top w:val="none" w:sz="0" w:space="0" w:color="auto"/>
            <w:left w:val="none" w:sz="0" w:space="0" w:color="auto"/>
            <w:bottom w:val="none" w:sz="0" w:space="0" w:color="auto"/>
            <w:right w:val="none" w:sz="0" w:space="0" w:color="auto"/>
          </w:divBdr>
        </w:div>
      </w:divsChild>
    </w:div>
    <w:div w:id="1104963960">
      <w:bodyDiv w:val="1"/>
      <w:marLeft w:val="0"/>
      <w:marRight w:val="0"/>
      <w:marTop w:val="0"/>
      <w:marBottom w:val="0"/>
      <w:divBdr>
        <w:top w:val="none" w:sz="0" w:space="0" w:color="auto"/>
        <w:left w:val="none" w:sz="0" w:space="0" w:color="auto"/>
        <w:bottom w:val="none" w:sz="0" w:space="0" w:color="auto"/>
        <w:right w:val="none" w:sz="0" w:space="0" w:color="auto"/>
      </w:divBdr>
    </w:div>
    <w:div w:id="1133251162">
      <w:bodyDiv w:val="1"/>
      <w:marLeft w:val="0"/>
      <w:marRight w:val="0"/>
      <w:marTop w:val="0"/>
      <w:marBottom w:val="0"/>
      <w:divBdr>
        <w:top w:val="none" w:sz="0" w:space="0" w:color="auto"/>
        <w:left w:val="none" w:sz="0" w:space="0" w:color="auto"/>
        <w:bottom w:val="none" w:sz="0" w:space="0" w:color="auto"/>
        <w:right w:val="none" w:sz="0" w:space="0" w:color="auto"/>
      </w:divBdr>
    </w:div>
    <w:div w:id="149063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8189A-5C5C-4BB8-885D-53AAEB1FE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1864</Words>
  <Characters>10627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PC</cp:lastModifiedBy>
  <cp:revision>2</cp:revision>
  <dcterms:created xsi:type="dcterms:W3CDTF">2026-04-23T23:00:00Z</dcterms:created>
  <dcterms:modified xsi:type="dcterms:W3CDTF">2026-04-23T23:00:00Z</dcterms:modified>
</cp:coreProperties>
</file>