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76C8EF" w14:textId="513794B5" w:rsidR="00A65D2F" w:rsidRDefault="00031011" w:rsidP="001B5ED9">
      <w:pPr>
        <w:spacing w:line="360" w:lineRule="auto"/>
        <w:jc w:val="center"/>
        <w:rPr>
          <w:rFonts w:ascii="Arial" w:eastAsia="Times New Roman" w:hAnsi="Arial" w:cs="Arial"/>
          <w:color w:val="000000"/>
          <w:sz w:val="24"/>
          <w:szCs w:val="24"/>
        </w:rPr>
      </w:pPr>
      <w:r>
        <w:rPr>
          <w:rFonts w:ascii="Arial" w:eastAsia="Times New Roman" w:hAnsi="Arial" w:cs="Arial"/>
          <w:color w:val="000000"/>
          <w:sz w:val="24"/>
          <w:szCs w:val="24"/>
        </w:rPr>
        <w:t xml:space="preserve">Festivals, conventions and </w:t>
      </w:r>
      <w:r w:rsidR="001B5ED9">
        <w:rPr>
          <w:rFonts w:ascii="Arial" w:eastAsia="Times New Roman" w:hAnsi="Arial" w:cs="Arial"/>
          <w:color w:val="000000"/>
          <w:sz w:val="24"/>
          <w:szCs w:val="24"/>
        </w:rPr>
        <w:t>events</w:t>
      </w:r>
    </w:p>
    <w:p w14:paraId="696329DB" w14:textId="33CE5AD5" w:rsidR="001B5ED9" w:rsidRDefault="001B5ED9" w:rsidP="001B5ED9">
      <w:pPr>
        <w:spacing w:line="360" w:lineRule="auto"/>
        <w:jc w:val="center"/>
        <w:rPr>
          <w:rFonts w:ascii="Arial" w:eastAsia="Times New Roman" w:hAnsi="Arial" w:cs="Arial"/>
          <w:color w:val="000000"/>
          <w:sz w:val="24"/>
          <w:szCs w:val="24"/>
        </w:rPr>
      </w:pPr>
      <w:r>
        <w:rPr>
          <w:rFonts w:ascii="Arial" w:eastAsia="Times New Roman" w:hAnsi="Arial" w:cs="Arial"/>
          <w:color w:val="000000"/>
          <w:sz w:val="24"/>
          <w:szCs w:val="24"/>
        </w:rPr>
        <w:t>Global impacts on the industries and major events</w:t>
      </w:r>
    </w:p>
    <w:p w14:paraId="767EF175" w14:textId="7575F712" w:rsidR="00CB5B6F" w:rsidRPr="00CB5B6F" w:rsidRDefault="00A65D2F" w:rsidP="00CB5B6F">
      <w:pPr>
        <w:rPr>
          <w:rFonts w:ascii="Arial" w:eastAsia="Times New Roman" w:hAnsi="Arial" w:cs="Arial"/>
          <w:color w:val="000000"/>
          <w:sz w:val="24"/>
          <w:szCs w:val="24"/>
        </w:rPr>
      </w:pPr>
      <w:r>
        <w:rPr>
          <w:rFonts w:ascii="Arial" w:eastAsia="Times New Roman" w:hAnsi="Arial" w:cs="Arial"/>
          <w:color w:val="000000"/>
          <w:sz w:val="24"/>
          <w:szCs w:val="24"/>
        </w:rPr>
        <w:br w:type="page"/>
      </w:r>
    </w:p>
    <w:p w14:paraId="4392D8C6" w14:textId="77777777" w:rsidR="000E66D5" w:rsidRPr="00F65499" w:rsidRDefault="000E66D5" w:rsidP="00F65499">
      <w:pPr>
        <w:spacing w:line="360" w:lineRule="auto"/>
        <w:jc w:val="both"/>
        <w:rPr>
          <w:rFonts w:ascii="Arial" w:eastAsia="Times New Roman" w:hAnsi="Arial" w:cs="Arial"/>
          <w:color w:val="000000"/>
          <w:kern w:val="0"/>
          <w:sz w:val="24"/>
          <w:szCs w:val="24"/>
          <w14:ligatures w14:val="none"/>
        </w:rPr>
      </w:pPr>
      <w:r w:rsidRPr="00F65499">
        <w:rPr>
          <w:rFonts w:ascii="Arial" w:eastAsia="Times New Roman" w:hAnsi="Arial" w:cs="Arial"/>
          <w:color w:val="000000"/>
          <w:kern w:val="0"/>
          <w:sz w:val="24"/>
          <w:szCs w:val="24"/>
          <w14:ligatures w14:val="none"/>
        </w:rPr>
        <w:lastRenderedPageBreak/>
        <w:t>The convergence of global challenges has resulted in significant shifts within the events sector. Globally, the COVID-19 epidemic, unstable economies, and the impending threat of climate change are posing significant concerns for event planners. These elements have disrupted long-standing industry conventions, highlighting the necessity of resiliency, creativity, and sustainability in navigating adversity. The COVID-19 pandemic has caused significant disruptions to plans and anxiety among organisers in the events industry. Once-vibrant elements of the industry, conferences, festivals, and exhibitions came to an abrupt halt as a result of travel limits, gathering restrictions, and increased health concerns. Event planners quickly responded to this by using technology to create virtual experiences that were safe and interesting, all the while navigating a challenging environment of health and safety laws.</w:t>
      </w:r>
    </w:p>
    <w:p w14:paraId="6646F124" w14:textId="77777777" w:rsidR="0073385E" w:rsidRDefault="00931485" w:rsidP="00F65499">
      <w:pPr>
        <w:spacing w:line="360" w:lineRule="auto"/>
        <w:jc w:val="both"/>
        <w:divId w:val="1148397927"/>
        <w:rPr>
          <w:rFonts w:ascii="Arial" w:eastAsia="Times New Roman" w:hAnsi="Arial" w:cs="Arial"/>
          <w:color w:val="000000"/>
          <w:kern w:val="0"/>
          <w:sz w:val="24"/>
          <w:szCs w:val="24"/>
          <w14:ligatures w14:val="none"/>
        </w:rPr>
      </w:pPr>
      <w:r w:rsidRPr="00931485">
        <w:rPr>
          <w:rFonts w:ascii="Arial" w:eastAsia="Times New Roman" w:hAnsi="Arial" w:cs="Arial"/>
          <w:color w:val="000000"/>
          <w:kern w:val="0"/>
          <w:sz w:val="24"/>
          <w:szCs w:val="24"/>
          <w14:ligatures w14:val="none"/>
        </w:rPr>
        <w:t>As Getz and Page (2020) noted, the COVID-19 pandemic has generated serious problems for the events industry, which have interfered with the organisation and execution of events. To mitigate these challenges, the industry swiftly shifted to virtual or hybrid formats</w:t>
      </w:r>
      <w:r w:rsidR="0073385E">
        <w:rPr>
          <w:rFonts w:ascii="Arial" w:eastAsia="Times New Roman" w:hAnsi="Arial" w:cs="Arial"/>
          <w:color w:val="000000"/>
          <w:kern w:val="0"/>
          <w:sz w:val="24"/>
          <w:szCs w:val="24"/>
          <w14:ligatures w14:val="none"/>
        </w:rPr>
        <w:t>.</w:t>
      </w:r>
    </w:p>
    <w:p w14:paraId="605F775C" w14:textId="5C893516" w:rsidR="00931485" w:rsidRDefault="00931485" w:rsidP="00F65499">
      <w:pPr>
        <w:spacing w:line="360" w:lineRule="auto"/>
        <w:jc w:val="both"/>
        <w:divId w:val="1148397927"/>
        <w:rPr>
          <w:rFonts w:ascii="Arial" w:eastAsia="Times New Roman" w:hAnsi="Arial" w:cs="Arial"/>
          <w:color w:val="000000"/>
          <w:kern w:val="0"/>
          <w:sz w:val="24"/>
          <w:szCs w:val="24"/>
          <w14:ligatures w14:val="none"/>
        </w:rPr>
      </w:pPr>
      <w:r w:rsidRPr="00931485">
        <w:rPr>
          <w:rFonts w:ascii="Arial" w:eastAsia="Times New Roman" w:hAnsi="Arial" w:cs="Arial"/>
          <w:color w:val="000000"/>
          <w:kern w:val="0"/>
          <w:sz w:val="24"/>
          <w:szCs w:val="24"/>
          <w14:ligatures w14:val="none"/>
        </w:rPr>
        <w:br/>
        <w:t>A decrease in company discretionary expenditure has caused event planners to reassess their plans and seek out new funding sources as a result of economic downturns' detrimental effects on income streams. As a result, efficiency and resource optimisation are given more importance in order to ensure cost-effectiveness and financial stability. </w:t>
      </w:r>
    </w:p>
    <w:p w14:paraId="57ED4250" w14:textId="77777777" w:rsidR="005144DB" w:rsidRPr="005144DB" w:rsidRDefault="005144DB" w:rsidP="00F65499">
      <w:pPr>
        <w:spacing w:line="360" w:lineRule="auto"/>
        <w:jc w:val="both"/>
        <w:divId w:val="1148397927"/>
        <w:rPr>
          <w:rFonts w:ascii="Arial" w:eastAsia="Times New Roman" w:hAnsi="Arial" w:cs="Arial"/>
          <w:color w:val="000000"/>
          <w:kern w:val="0"/>
          <w:sz w:val="24"/>
          <w:szCs w:val="24"/>
          <w14:ligatures w14:val="none"/>
        </w:rPr>
      </w:pPr>
    </w:p>
    <w:p w14:paraId="0BB37948" w14:textId="77777777" w:rsidR="0073385E" w:rsidRDefault="000535EC" w:rsidP="00F65499">
      <w:pPr>
        <w:spacing w:line="360" w:lineRule="auto"/>
        <w:jc w:val="both"/>
        <w:divId w:val="1798335809"/>
        <w:rPr>
          <w:rFonts w:ascii="Arial" w:eastAsia="Times New Roman" w:hAnsi="Arial" w:cs="Arial"/>
          <w:color w:val="000000"/>
          <w:kern w:val="0"/>
          <w:sz w:val="24"/>
          <w:szCs w:val="24"/>
          <w14:ligatures w14:val="none"/>
        </w:rPr>
      </w:pPr>
      <w:r w:rsidRPr="000535EC">
        <w:rPr>
          <w:rFonts w:ascii="Arial" w:eastAsia="Times New Roman" w:hAnsi="Arial" w:cs="Arial"/>
          <w:color w:val="000000"/>
          <w:kern w:val="0"/>
          <w:sz w:val="24"/>
          <w:szCs w:val="24"/>
          <w14:ligatures w14:val="none"/>
        </w:rPr>
        <w:t>In order to lessen the impact of economic fluctuations, event planners have proactively included emergency procedures that make use of risk management and economic resilience concepts (Smith, 2019). They have implemented cost-cutting strategies and diversified their revenue streams to successfully traverse challenging economic conditions and respond to changing market dynamics.</w:t>
      </w:r>
    </w:p>
    <w:p w14:paraId="5687DF16" w14:textId="7F408164" w:rsidR="000535EC" w:rsidRPr="000535EC" w:rsidRDefault="000535EC" w:rsidP="00F65499">
      <w:pPr>
        <w:spacing w:line="360" w:lineRule="auto"/>
        <w:jc w:val="both"/>
        <w:divId w:val="1798335809"/>
        <w:rPr>
          <w:rFonts w:ascii="Arial" w:eastAsia="Times New Roman" w:hAnsi="Arial" w:cs="Arial"/>
          <w:color w:val="000000"/>
          <w:kern w:val="0"/>
          <w:sz w:val="24"/>
          <w:szCs w:val="24"/>
          <w14:ligatures w14:val="none"/>
        </w:rPr>
      </w:pPr>
      <w:r w:rsidRPr="000535EC">
        <w:rPr>
          <w:rFonts w:ascii="Arial" w:eastAsia="Times New Roman" w:hAnsi="Arial" w:cs="Arial"/>
          <w:color w:val="000000"/>
          <w:kern w:val="0"/>
          <w:sz w:val="24"/>
          <w:szCs w:val="24"/>
          <w14:ligatures w14:val="none"/>
        </w:rPr>
        <w:br/>
        <w:t>In addition, with climate change being a serious threat, the events industry must reevaluate its environmental impact. Reducing waste production, carbon emissions, and resource depletion requires the implementation of sustainability measures. This means choosing eco-friendly sites and participating in programmes to reduce carbon emissions. </w:t>
      </w:r>
    </w:p>
    <w:p w14:paraId="6F60526E" w14:textId="25F4CA6C" w:rsidR="00CB5B6F" w:rsidRPr="00F65499" w:rsidRDefault="00CB5B6F" w:rsidP="00F65499">
      <w:pPr>
        <w:spacing w:line="360" w:lineRule="auto"/>
        <w:jc w:val="both"/>
        <w:rPr>
          <w:rFonts w:ascii="Arial" w:eastAsia="Times New Roman" w:hAnsi="Arial" w:cs="Arial"/>
          <w:color w:val="000000"/>
          <w:kern w:val="0"/>
          <w:sz w:val="24"/>
          <w:szCs w:val="24"/>
          <w14:ligatures w14:val="none"/>
        </w:rPr>
      </w:pPr>
    </w:p>
    <w:p w14:paraId="2FD0BE1D" w14:textId="77777777" w:rsidR="00C90493" w:rsidRPr="00F65499" w:rsidRDefault="00C90493" w:rsidP="00F65499">
      <w:pPr>
        <w:spacing w:line="360" w:lineRule="auto"/>
        <w:jc w:val="both"/>
        <w:rPr>
          <w:rFonts w:ascii="Arial" w:eastAsia="Times New Roman" w:hAnsi="Arial" w:cs="Arial"/>
          <w:color w:val="000000"/>
          <w:kern w:val="0"/>
          <w:sz w:val="24"/>
          <w:szCs w:val="24"/>
          <w14:ligatures w14:val="none"/>
        </w:rPr>
      </w:pPr>
      <w:r w:rsidRPr="00F65499">
        <w:rPr>
          <w:rFonts w:ascii="Arial" w:eastAsia="Times New Roman" w:hAnsi="Arial" w:cs="Arial"/>
          <w:color w:val="000000"/>
          <w:kern w:val="0"/>
          <w:sz w:val="24"/>
          <w:szCs w:val="24"/>
          <w14:ligatures w14:val="none"/>
        </w:rPr>
        <w:lastRenderedPageBreak/>
        <w:t>It is both strategically advantageous and morally required to integrate sustainable practices into event operations (Font et al., 2020). By putting sustainability first, event planners may improve their brand's reputation, satisfy changing consumer demands for eco-friendly experiences, and lessen their environmental effect.</w:t>
      </w:r>
    </w:p>
    <w:p w14:paraId="761A2B69" w14:textId="77777777" w:rsidR="00C90493" w:rsidRPr="00F65499" w:rsidRDefault="00C90493" w:rsidP="00F65499">
      <w:pPr>
        <w:spacing w:line="360" w:lineRule="auto"/>
        <w:jc w:val="both"/>
        <w:rPr>
          <w:rFonts w:ascii="Arial" w:eastAsia="Times New Roman" w:hAnsi="Arial" w:cs="Arial"/>
          <w:color w:val="000000"/>
          <w:kern w:val="0"/>
          <w:sz w:val="24"/>
          <w:szCs w:val="24"/>
          <w14:ligatures w14:val="none"/>
        </w:rPr>
      </w:pPr>
    </w:p>
    <w:p w14:paraId="650042EB" w14:textId="77777777" w:rsidR="00C90493" w:rsidRPr="00F65499" w:rsidRDefault="00C90493" w:rsidP="00F65499">
      <w:pPr>
        <w:spacing w:line="360" w:lineRule="auto"/>
        <w:jc w:val="both"/>
        <w:rPr>
          <w:rFonts w:ascii="Arial" w:eastAsia="Times New Roman" w:hAnsi="Arial" w:cs="Arial"/>
          <w:color w:val="000000"/>
          <w:kern w:val="0"/>
          <w:sz w:val="24"/>
          <w:szCs w:val="24"/>
          <w14:ligatures w14:val="none"/>
        </w:rPr>
      </w:pPr>
      <w:r w:rsidRPr="00F65499">
        <w:rPr>
          <w:rFonts w:ascii="Arial" w:eastAsia="Times New Roman" w:hAnsi="Arial" w:cs="Arial"/>
          <w:color w:val="000000"/>
          <w:kern w:val="0"/>
          <w:sz w:val="24"/>
          <w:szCs w:val="24"/>
          <w14:ligatures w14:val="none"/>
        </w:rPr>
        <w:t>Those who organise events are in the vanguard of navigating a difficult environment that calls for flexibility, tenacity, and a dedication to sustainability and social responsibility. The sector needs to work together, be innovative, and take joint action to deal with the fallout from recent global disruptions. The events industry can grow stronger, more flexible, and environmentally sustainable with innovation and resilience.</w:t>
      </w:r>
    </w:p>
    <w:p w14:paraId="1CF7357E" w14:textId="77777777" w:rsidR="00CB5B6F" w:rsidRPr="00F65499" w:rsidRDefault="00CB5B6F" w:rsidP="00F65499">
      <w:pPr>
        <w:spacing w:line="360" w:lineRule="auto"/>
        <w:jc w:val="both"/>
        <w:rPr>
          <w:rFonts w:ascii="Arial" w:eastAsia="Times New Roman" w:hAnsi="Arial" w:cs="Arial"/>
          <w:color w:val="000000"/>
          <w:kern w:val="0"/>
          <w:sz w:val="24"/>
          <w:szCs w:val="24"/>
          <w14:ligatures w14:val="none"/>
        </w:rPr>
      </w:pPr>
    </w:p>
    <w:p w14:paraId="7453DF79" w14:textId="1FEA854B" w:rsidR="00CB5B6F" w:rsidRDefault="00515672" w:rsidP="00F65499">
      <w:pPr>
        <w:spacing w:line="360" w:lineRule="auto"/>
        <w:jc w:val="both"/>
        <w:rPr>
          <w:rFonts w:ascii="Arial" w:eastAsia="Times New Roman" w:hAnsi="Arial" w:cs="Arial"/>
          <w:color w:val="000000"/>
          <w:sz w:val="24"/>
          <w:szCs w:val="24"/>
        </w:rPr>
      </w:pPr>
      <w:r w:rsidRPr="00F65499">
        <w:rPr>
          <w:rFonts w:ascii="Arial" w:eastAsia="Times New Roman" w:hAnsi="Arial" w:cs="Arial"/>
          <w:color w:val="000000"/>
          <w:sz w:val="24"/>
          <w:szCs w:val="24"/>
        </w:rPr>
        <w:t xml:space="preserve">The COVID-19 epidemic caused significant disruptions to the events sector, leading to cancellations or postponements of events worldwide. Event planners swiftly adapted to social distancing measures and gathering constraints by switching to virtual or hybrid formats in an effort to maintain some feeling of routine in the face of unpredictability (Getz &amp; Page, 2020). </w:t>
      </w:r>
      <w:proofErr w:type="spellStart"/>
      <w:r w:rsidRPr="00F65499">
        <w:rPr>
          <w:rFonts w:ascii="Arial" w:eastAsia="Times New Roman" w:hAnsi="Arial" w:cs="Arial"/>
          <w:color w:val="000000"/>
          <w:sz w:val="24"/>
          <w:szCs w:val="24"/>
        </w:rPr>
        <w:t>Bowdin</w:t>
      </w:r>
      <w:proofErr w:type="spellEnd"/>
      <w:r w:rsidRPr="00F65499">
        <w:rPr>
          <w:rFonts w:ascii="Arial" w:eastAsia="Times New Roman" w:hAnsi="Arial" w:cs="Arial"/>
          <w:color w:val="000000"/>
          <w:sz w:val="24"/>
          <w:szCs w:val="24"/>
        </w:rPr>
        <w:t xml:space="preserve"> et al. (2011) emphasised the inherent limitations of virtual experiences in terms of replicating the interaction and networking opportunities of in-person gatherings, even though certain events were able to proceed as a result of these alterations. The dearth of fortuitous encounters and practical experiences highlighted the enduring significance of face-to-face interactions in fostering meaningful connections and yielding quantifiable outcomes (Pine &amp; Gilmore, 1998).</w:t>
      </w:r>
    </w:p>
    <w:p w14:paraId="19844F8A" w14:textId="77777777" w:rsidR="00F255C9" w:rsidRPr="00F65499" w:rsidRDefault="00F255C9" w:rsidP="00F65499">
      <w:pPr>
        <w:spacing w:line="360" w:lineRule="auto"/>
        <w:jc w:val="both"/>
        <w:rPr>
          <w:rFonts w:ascii="Arial" w:eastAsia="Times New Roman" w:hAnsi="Arial" w:cs="Arial"/>
          <w:color w:val="000000"/>
          <w:kern w:val="0"/>
          <w:sz w:val="24"/>
          <w:szCs w:val="24"/>
          <w14:ligatures w14:val="none"/>
        </w:rPr>
      </w:pPr>
    </w:p>
    <w:p w14:paraId="41C3B44F" w14:textId="1CC66488" w:rsidR="00D463F7" w:rsidRDefault="00D463F7" w:rsidP="00F65499">
      <w:pPr>
        <w:spacing w:line="360" w:lineRule="auto"/>
        <w:jc w:val="both"/>
        <w:divId w:val="1214537191"/>
        <w:rPr>
          <w:rFonts w:ascii="Arial" w:eastAsia="Times New Roman" w:hAnsi="Arial" w:cs="Arial"/>
          <w:kern w:val="0"/>
          <w:sz w:val="24"/>
          <w:szCs w:val="24"/>
          <w14:ligatures w14:val="none"/>
        </w:rPr>
      </w:pPr>
      <w:r w:rsidRPr="00D463F7">
        <w:rPr>
          <w:rFonts w:ascii="Arial" w:eastAsia="Times New Roman" w:hAnsi="Arial" w:cs="Arial"/>
          <w:color w:val="000000"/>
          <w:kern w:val="0"/>
          <w:sz w:val="24"/>
          <w:szCs w:val="24"/>
          <w14:ligatures w14:val="none"/>
        </w:rPr>
        <w:t>The planners faced logistical, technological, and experiential challenges when navigating the world of virtual and hybrid events. Crouch and Ritchie (1999) pointed out that technical innovation and fluency will play a crucial part in shaping the future of events and that the seamless integration of digital platforms, interactive content, and immersive technology became imperative. Furthermore, as they promoted the growth of real connections in the digital setting, content, context, and community alignment were essential to the success of virtual and hybrid events. </w:t>
      </w:r>
    </w:p>
    <w:p w14:paraId="0CC5D699" w14:textId="77777777" w:rsidR="00F255C9" w:rsidRPr="00D463F7" w:rsidRDefault="00F255C9" w:rsidP="00F65499">
      <w:pPr>
        <w:spacing w:line="360" w:lineRule="auto"/>
        <w:jc w:val="both"/>
        <w:divId w:val="1214537191"/>
        <w:rPr>
          <w:rFonts w:ascii="Arial" w:eastAsia="Times New Roman" w:hAnsi="Arial" w:cs="Arial"/>
          <w:kern w:val="0"/>
          <w:sz w:val="24"/>
          <w:szCs w:val="24"/>
          <w14:ligatures w14:val="none"/>
        </w:rPr>
      </w:pPr>
    </w:p>
    <w:p w14:paraId="15241C39" w14:textId="255B7546" w:rsidR="00F255C9" w:rsidRDefault="00FA250F" w:rsidP="00F65499">
      <w:pPr>
        <w:spacing w:line="360" w:lineRule="auto"/>
        <w:jc w:val="both"/>
        <w:divId w:val="631908841"/>
        <w:rPr>
          <w:rFonts w:ascii="Arial" w:eastAsia="Times New Roman" w:hAnsi="Arial" w:cs="Arial"/>
          <w:color w:val="000000"/>
          <w:kern w:val="0"/>
          <w:sz w:val="24"/>
          <w:szCs w:val="24"/>
          <w14:ligatures w14:val="none"/>
        </w:rPr>
      </w:pPr>
      <w:r w:rsidRPr="00FA250F">
        <w:rPr>
          <w:rFonts w:ascii="Arial" w:eastAsia="Times New Roman" w:hAnsi="Arial" w:cs="Arial"/>
          <w:color w:val="000000"/>
          <w:kern w:val="0"/>
          <w:sz w:val="24"/>
          <w:szCs w:val="24"/>
          <w14:ligatures w14:val="none"/>
        </w:rPr>
        <w:t xml:space="preserve">Even as the events industry grapples with the aftermath of the world crisis, live events remain valuable. By utilising cutting-edge technology, immersive design, and </w:t>
      </w:r>
      <w:r w:rsidRPr="00FA250F">
        <w:rPr>
          <w:rFonts w:ascii="Arial" w:eastAsia="Times New Roman" w:hAnsi="Arial" w:cs="Arial"/>
          <w:color w:val="000000"/>
          <w:kern w:val="0"/>
          <w:sz w:val="24"/>
          <w:szCs w:val="24"/>
          <w14:ligatures w14:val="none"/>
        </w:rPr>
        <w:lastRenderedPageBreak/>
        <w:t>community building, the industry is positioned to lead the way towards a more resilient, diverse, and immersive future. </w:t>
      </w:r>
    </w:p>
    <w:p w14:paraId="690F0276" w14:textId="03EC23C0" w:rsidR="00FA250F" w:rsidRDefault="00FA250F" w:rsidP="00F65499">
      <w:pPr>
        <w:spacing w:line="360" w:lineRule="auto"/>
        <w:jc w:val="both"/>
        <w:divId w:val="631908841"/>
        <w:rPr>
          <w:rFonts w:ascii="Arial" w:eastAsia="Times New Roman" w:hAnsi="Arial" w:cs="Arial"/>
          <w:color w:val="000000"/>
          <w:kern w:val="0"/>
          <w:sz w:val="24"/>
          <w:szCs w:val="24"/>
          <w14:ligatures w14:val="none"/>
        </w:rPr>
      </w:pPr>
      <w:r w:rsidRPr="00FA250F">
        <w:rPr>
          <w:rFonts w:ascii="Arial" w:eastAsia="Times New Roman" w:hAnsi="Arial" w:cs="Arial"/>
          <w:color w:val="000000"/>
          <w:kern w:val="0"/>
          <w:sz w:val="24"/>
          <w:szCs w:val="24"/>
          <w14:ligatures w14:val="none"/>
        </w:rPr>
        <w:br/>
        <w:t>The events industry has been significantly impacted by the economic slowdown brought on by the COVID-19 pandemic, which has put pressure on consumer spending and business event budgets (Getz &amp; Page, 2020). Getz and Page (2020) have illustrated how the financial health of the events sector is directly impacted by shifts in company spending and consumer confidence, hence highlighting the industry's close relationship to the economy. </w:t>
      </w:r>
    </w:p>
    <w:p w14:paraId="0B0874AC" w14:textId="77777777" w:rsidR="00F255C9" w:rsidRPr="00FA250F" w:rsidRDefault="00F255C9" w:rsidP="00F65499">
      <w:pPr>
        <w:spacing w:line="360" w:lineRule="auto"/>
        <w:jc w:val="both"/>
        <w:divId w:val="631908841"/>
        <w:rPr>
          <w:rFonts w:ascii="Arial" w:eastAsia="Times New Roman" w:hAnsi="Arial" w:cs="Arial"/>
          <w:kern w:val="0"/>
          <w:sz w:val="24"/>
          <w:szCs w:val="24"/>
          <w14:ligatures w14:val="none"/>
        </w:rPr>
      </w:pPr>
    </w:p>
    <w:p w14:paraId="3FF04B03" w14:textId="2780EECA" w:rsidR="00CB5B6F" w:rsidRPr="00F65499" w:rsidRDefault="00072320" w:rsidP="00F65499">
      <w:pPr>
        <w:spacing w:line="360" w:lineRule="auto"/>
        <w:jc w:val="both"/>
        <w:divId w:val="127362856"/>
        <w:rPr>
          <w:rFonts w:ascii="Arial" w:eastAsia="Times New Roman" w:hAnsi="Arial" w:cs="Arial"/>
          <w:kern w:val="0"/>
          <w:sz w:val="24"/>
          <w:szCs w:val="24"/>
          <w14:ligatures w14:val="none"/>
        </w:rPr>
      </w:pPr>
      <w:r w:rsidRPr="00072320">
        <w:rPr>
          <w:rFonts w:ascii="Arial" w:eastAsia="Times New Roman" w:hAnsi="Arial" w:cs="Arial"/>
          <w:color w:val="000000"/>
          <w:kern w:val="0"/>
          <w:sz w:val="24"/>
          <w:szCs w:val="24"/>
          <w14:ligatures w14:val="none"/>
        </w:rPr>
        <w:t>Many businesses have made the decision to reduce or eliminate funding for corporate events and conferences as a result of tightening budgets in response to the economic crisis. Event planners' revenue stream has been negatively impacted as a result, and they are now required to completely reevaluate their financial strategies. </w:t>
      </w:r>
      <w:r w:rsidRPr="00072320">
        <w:rPr>
          <w:rFonts w:ascii="Arial" w:eastAsia="Times New Roman" w:hAnsi="Arial" w:cs="Arial"/>
          <w:color w:val="000000"/>
          <w:kern w:val="0"/>
          <w:sz w:val="24"/>
          <w:szCs w:val="24"/>
          <w14:ligatures w14:val="none"/>
        </w:rPr>
        <w:br/>
      </w:r>
      <w:r w:rsidRPr="00072320">
        <w:rPr>
          <w:rFonts w:ascii="Arial" w:eastAsia="Times New Roman" w:hAnsi="Arial" w:cs="Arial"/>
          <w:color w:val="000000"/>
          <w:kern w:val="0"/>
          <w:sz w:val="24"/>
          <w:szCs w:val="24"/>
          <w14:ligatures w14:val="none"/>
        </w:rPr>
        <w:br/>
        <w:t>In response to these challenges, event planners have been compelled to employ a varied approach in order to weather difficult times. Organisations have been methodically reevaluating their pricing practices, utilising theories of strategic management, in an attempt to attain a delicate balance between affordability and profitability (</w:t>
      </w:r>
      <w:proofErr w:type="spellStart"/>
      <w:r w:rsidRPr="00072320">
        <w:rPr>
          <w:rFonts w:ascii="Arial" w:eastAsia="Times New Roman" w:hAnsi="Arial" w:cs="Arial"/>
          <w:color w:val="000000"/>
          <w:kern w:val="0"/>
          <w:sz w:val="24"/>
          <w:szCs w:val="24"/>
          <w14:ligatures w14:val="none"/>
        </w:rPr>
        <w:t>Kotler</w:t>
      </w:r>
      <w:proofErr w:type="spellEnd"/>
      <w:r w:rsidRPr="00072320">
        <w:rPr>
          <w:rFonts w:ascii="Arial" w:eastAsia="Times New Roman" w:hAnsi="Arial" w:cs="Arial"/>
          <w:color w:val="000000"/>
          <w:kern w:val="0"/>
          <w:sz w:val="24"/>
          <w:szCs w:val="24"/>
          <w14:ligatures w14:val="none"/>
        </w:rPr>
        <w:t xml:space="preserve"> &amp; Keller, 2016). Furthermore, cost-cutting measures have been implemented globally, with a focus on lowering administrative expenses, maximising the use of resources, and </w:t>
      </w:r>
      <w:r w:rsidR="00CB5B6F" w:rsidRPr="00F65499">
        <w:rPr>
          <w:rFonts w:ascii="Arial" w:eastAsia="Times New Roman" w:hAnsi="Arial" w:cs="Arial"/>
          <w:color w:val="000000"/>
          <w:kern w:val="0"/>
          <w:sz w:val="24"/>
          <w:szCs w:val="24"/>
          <w14:ligatures w14:val="none"/>
        </w:rPr>
        <w:t>streamlining operations.</w:t>
      </w:r>
    </w:p>
    <w:p w14:paraId="007A8EEE" w14:textId="77777777" w:rsidR="00CB5B6F" w:rsidRPr="00F65499" w:rsidRDefault="00CB5B6F" w:rsidP="00F65499">
      <w:pPr>
        <w:spacing w:line="360" w:lineRule="auto"/>
        <w:jc w:val="both"/>
        <w:rPr>
          <w:rFonts w:ascii="Arial" w:eastAsia="Times New Roman" w:hAnsi="Arial" w:cs="Arial"/>
          <w:color w:val="000000"/>
          <w:kern w:val="0"/>
          <w:sz w:val="24"/>
          <w:szCs w:val="24"/>
          <w14:ligatures w14:val="none"/>
        </w:rPr>
      </w:pPr>
    </w:p>
    <w:p w14:paraId="23C473E0" w14:textId="429E2A59" w:rsidR="00F255C9" w:rsidRDefault="00774582" w:rsidP="00F65499">
      <w:pPr>
        <w:spacing w:line="360" w:lineRule="auto"/>
        <w:jc w:val="both"/>
        <w:divId w:val="459693528"/>
        <w:rPr>
          <w:rFonts w:ascii="Arial" w:eastAsia="Times New Roman" w:hAnsi="Arial" w:cs="Arial"/>
          <w:color w:val="000000"/>
          <w:kern w:val="0"/>
          <w:sz w:val="24"/>
          <w:szCs w:val="24"/>
          <w14:ligatures w14:val="none"/>
        </w:rPr>
      </w:pPr>
      <w:r w:rsidRPr="00774582">
        <w:rPr>
          <w:rFonts w:ascii="Arial" w:eastAsia="Times New Roman" w:hAnsi="Arial" w:cs="Arial"/>
          <w:color w:val="000000"/>
          <w:kern w:val="0"/>
          <w:sz w:val="24"/>
          <w:szCs w:val="24"/>
          <w14:ligatures w14:val="none"/>
        </w:rPr>
        <w:t>Furthermore, adhering to the theories of diversification (</w:t>
      </w:r>
      <w:proofErr w:type="spellStart"/>
      <w:r w:rsidRPr="00774582">
        <w:rPr>
          <w:rFonts w:ascii="Arial" w:eastAsia="Times New Roman" w:hAnsi="Arial" w:cs="Arial"/>
          <w:color w:val="000000"/>
          <w:kern w:val="0"/>
          <w:sz w:val="24"/>
          <w:szCs w:val="24"/>
          <w14:ligatures w14:val="none"/>
        </w:rPr>
        <w:t>Pfeffer</w:t>
      </w:r>
      <w:proofErr w:type="spellEnd"/>
      <w:r w:rsidRPr="00774582">
        <w:rPr>
          <w:rFonts w:ascii="Arial" w:eastAsia="Times New Roman" w:hAnsi="Arial" w:cs="Arial"/>
          <w:color w:val="000000"/>
          <w:kern w:val="0"/>
          <w:sz w:val="24"/>
          <w:szCs w:val="24"/>
          <w14:ligatures w14:val="none"/>
        </w:rPr>
        <w:t xml:space="preserve"> &amp; </w:t>
      </w:r>
      <w:proofErr w:type="spellStart"/>
      <w:r w:rsidRPr="00774582">
        <w:rPr>
          <w:rFonts w:ascii="Arial" w:eastAsia="Times New Roman" w:hAnsi="Arial" w:cs="Arial"/>
          <w:color w:val="000000"/>
          <w:kern w:val="0"/>
          <w:sz w:val="24"/>
          <w:szCs w:val="24"/>
          <w14:ligatures w14:val="none"/>
        </w:rPr>
        <w:t>Salancik</w:t>
      </w:r>
      <w:proofErr w:type="spellEnd"/>
      <w:r w:rsidRPr="00774582">
        <w:rPr>
          <w:rFonts w:ascii="Arial" w:eastAsia="Times New Roman" w:hAnsi="Arial" w:cs="Arial"/>
          <w:color w:val="000000"/>
          <w:kern w:val="0"/>
          <w:sz w:val="24"/>
          <w:szCs w:val="24"/>
          <w14:ligatures w14:val="none"/>
        </w:rPr>
        <w:t>, 2003), event planners have explored other revenue streams to broaden the range of their sources of income. This could entail collaborating with sponsors to launch related products or services, or it could entail charging for digital content through subscription services or pay-per-view. </w:t>
      </w:r>
    </w:p>
    <w:p w14:paraId="16FA7AD3" w14:textId="5E70ADB2" w:rsidR="00CB5B6F" w:rsidRPr="00F65499" w:rsidRDefault="00774582" w:rsidP="00F65499">
      <w:pPr>
        <w:spacing w:line="360" w:lineRule="auto"/>
        <w:jc w:val="both"/>
        <w:divId w:val="459693528"/>
        <w:rPr>
          <w:rFonts w:ascii="Arial" w:eastAsia="Times New Roman" w:hAnsi="Arial" w:cs="Arial"/>
          <w:kern w:val="0"/>
          <w:sz w:val="24"/>
          <w:szCs w:val="24"/>
          <w14:ligatures w14:val="none"/>
        </w:rPr>
      </w:pPr>
      <w:r w:rsidRPr="00774582">
        <w:rPr>
          <w:rFonts w:ascii="Arial" w:eastAsia="Times New Roman" w:hAnsi="Arial" w:cs="Arial"/>
          <w:color w:val="000000"/>
          <w:kern w:val="0"/>
          <w:sz w:val="24"/>
          <w:szCs w:val="24"/>
          <w14:ligatures w14:val="none"/>
        </w:rPr>
        <w:br/>
        <w:t xml:space="preserve">Climate change has caused ongoing problems for the events industry, namely in the areas of sustainability and resilience. There is a significant increase in carbon emissions from the industry's operations, including waste management, energy use, and transportation. As Getz and Page (2020) note, event planners are coming under more and more pressure to implement sustainable techniques in order to reduce their </w:t>
      </w:r>
      <w:r w:rsidRPr="00774582">
        <w:rPr>
          <w:rFonts w:ascii="Arial" w:eastAsia="Times New Roman" w:hAnsi="Arial" w:cs="Arial"/>
          <w:color w:val="000000"/>
          <w:kern w:val="0"/>
          <w:sz w:val="24"/>
          <w:szCs w:val="24"/>
          <w14:ligatures w14:val="none"/>
        </w:rPr>
        <w:lastRenderedPageBreak/>
        <w:t>environmental effect and ensure their long-term existence. </w:t>
      </w:r>
      <w:r w:rsidR="00CB5B6F" w:rsidRPr="00F65499">
        <w:rPr>
          <w:rFonts w:ascii="Arial" w:eastAsia="Times New Roman" w:hAnsi="Arial" w:cs="Arial"/>
          <w:color w:val="000000"/>
          <w:kern w:val="0"/>
          <w:sz w:val="24"/>
          <w:szCs w:val="24"/>
          <w14:ligatures w14:val="none"/>
        </w:rPr>
        <w:t>This makes it necessary to put in place a number of efforts, including waste reduction plans, carbon offsetting, sustainable buying methods, and eco-friendly venue choices.</w:t>
      </w:r>
    </w:p>
    <w:p w14:paraId="2246C10D" w14:textId="77777777" w:rsidR="00CB5B6F" w:rsidRPr="00F65499" w:rsidRDefault="00CB5B6F" w:rsidP="00F65499">
      <w:pPr>
        <w:spacing w:line="360" w:lineRule="auto"/>
        <w:jc w:val="both"/>
        <w:rPr>
          <w:rFonts w:ascii="Arial" w:eastAsia="Times New Roman" w:hAnsi="Arial" w:cs="Arial"/>
          <w:color w:val="000000"/>
          <w:kern w:val="0"/>
          <w:sz w:val="24"/>
          <w:szCs w:val="24"/>
          <w14:ligatures w14:val="none"/>
        </w:rPr>
      </w:pPr>
    </w:p>
    <w:p w14:paraId="3E44268A" w14:textId="1D2164C0" w:rsidR="00F255C9" w:rsidRDefault="00AC7A5C" w:rsidP="00F65499">
      <w:pPr>
        <w:spacing w:line="360" w:lineRule="auto"/>
        <w:jc w:val="both"/>
        <w:divId w:val="928780309"/>
        <w:rPr>
          <w:rFonts w:ascii="Arial" w:eastAsia="Times New Roman" w:hAnsi="Arial" w:cs="Arial"/>
          <w:color w:val="000000"/>
          <w:kern w:val="0"/>
          <w:sz w:val="24"/>
          <w:szCs w:val="24"/>
          <w14:ligatures w14:val="none"/>
        </w:rPr>
      </w:pPr>
      <w:r w:rsidRPr="00AC7A5C">
        <w:rPr>
          <w:rFonts w:ascii="Arial" w:eastAsia="Times New Roman" w:hAnsi="Arial" w:cs="Arial"/>
          <w:color w:val="000000"/>
          <w:kern w:val="0"/>
          <w:sz w:val="24"/>
          <w:szCs w:val="24"/>
          <w14:ligatures w14:val="none"/>
        </w:rPr>
        <w:t xml:space="preserve">The causes behind the industry's increasing emphasis on sustainability can be seen through the lens of institutional theory. According to DiMaggio and Powell (1983), organisations adhere to institutional norms and ideals in order to gain legitimacy and guarantee their survival. By abiding by the law and social conventions, adopting sustainable practices enhances an </w:t>
      </w:r>
      <w:r w:rsidR="00F255C9" w:rsidRPr="00AC7A5C">
        <w:rPr>
          <w:rFonts w:ascii="Arial" w:eastAsia="Times New Roman" w:hAnsi="Arial" w:cs="Arial"/>
          <w:color w:val="000000"/>
          <w:kern w:val="0"/>
          <w:sz w:val="24"/>
          <w:szCs w:val="24"/>
          <w14:ligatures w14:val="none"/>
        </w:rPr>
        <w:t>organiser’s</w:t>
      </w:r>
      <w:r w:rsidRPr="00AC7A5C">
        <w:rPr>
          <w:rFonts w:ascii="Arial" w:eastAsia="Times New Roman" w:hAnsi="Arial" w:cs="Arial"/>
          <w:color w:val="000000"/>
          <w:kern w:val="0"/>
          <w:sz w:val="24"/>
          <w:szCs w:val="24"/>
          <w14:ligatures w14:val="none"/>
        </w:rPr>
        <w:t xml:space="preserve"> standing and gives them a competitive advantage in the events industry. </w:t>
      </w:r>
    </w:p>
    <w:p w14:paraId="000CAEE6" w14:textId="48CB673B" w:rsidR="00AC7A5C" w:rsidRPr="00AC7A5C" w:rsidRDefault="00AC7A5C" w:rsidP="00F65499">
      <w:pPr>
        <w:spacing w:line="360" w:lineRule="auto"/>
        <w:jc w:val="both"/>
        <w:divId w:val="928780309"/>
        <w:rPr>
          <w:rFonts w:ascii="Arial" w:eastAsia="Times New Roman" w:hAnsi="Arial" w:cs="Arial"/>
          <w:kern w:val="0"/>
          <w:sz w:val="24"/>
          <w:szCs w:val="24"/>
          <w14:ligatures w14:val="none"/>
        </w:rPr>
      </w:pPr>
      <w:r w:rsidRPr="00AC7A5C">
        <w:rPr>
          <w:rFonts w:ascii="Arial" w:eastAsia="Times New Roman" w:hAnsi="Arial" w:cs="Arial"/>
          <w:color w:val="000000"/>
          <w:kern w:val="0"/>
          <w:sz w:val="24"/>
          <w:szCs w:val="24"/>
          <w14:ligatures w14:val="none"/>
        </w:rPr>
        <w:br/>
        <w:t>Furthermore, the Triple Bottom Line theory posits that prioritising social, environmental, and economic objectives is necessary for an organisation to thrive in the long run (Elkington, 1994). By incorporating sustainability concepts into their operations, event planners may demonstrate their support for environmental stewardship while simultaneously reducing expenses and increasing attendee satisfaction. </w:t>
      </w:r>
    </w:p>
    <w:p w14:paraId="332E5113" w14:textId="77777777" w:rsidR="00CB5B6F" w:rsidRPr="00F65499" w:rsidRDefault="00CB5B6F" w:rsidP="00F65499">
      <w:pPr>
        <w:spacing w:line="360" w:lineRule="auto"/>
        <w:jc w:val="both"/>
        <w:rPr>
          <w:rFonts w:ascii="Arial" w:eastAsia="Times New Roman" w:hAnsi="Arial" w:cs="Arial"/>
          <w:color w:val="000000"/>
          <w:kern w:val="0"/>
          <w:sz w:val="24"/>
          <w:szCs w:val="24"/>
          <w14:ligatures w14:val="none"/>
        </w:rPr>
      </w:pPr>
    </w:p>
    <w:p w14:paraId="10857AF6" w14:textId="247CF7E5" w:rsidR="00CB5B6F" w:rsidRDefault="00A065CA" w:rsidP="00F65499">
      <w:pPr>
        <w:spacing w:line="360" w:lineRule="auto"/>
        <w:jc w:val="both"/>
        <w:rPr>
          <w:rFonts w:ascii="Arial" w:eastAsia="Times New Roman" w:hAnsi="Arial" w:cs="Arial"/>
          <w:color w:val="000000"/>
          <w:sz w:val="24"/>
          <w:szCs w:val="24"/>
        </w:rPr>
      </w:pPr>
      <w:r w:rsidRPr="00F65499">
        <w:rPr>
          <w:rFonts w:ascii="Arial" w:eastAsia="Times New Roman" w:hAnsi="Arial" w:cs="Arial"/>
          <w:color w:val="000000"/>
          <w:sz w:val="24"/>
          <w:szCs w:val="24"/>
        </w:rPr>
        <w:t>Hybrid events have been a crucial strategy in the events industry's recovery since the pandemic. The concept of hybridity, which draws from media studies and communication theories, has gained popularity as organisers of events attempt to maximise the advantages of both real-world and virtual formats. According to McQuail's theory of communication, hybrid events offer multi-channel communication, enabling greater audience engagement and interaction (McQuail, 2010). The concept of convergence, first put forth by Jenkins (2006), holds that platform, technological, and content convergence leads to hybrid events. Better user experiences and seamless integration are made possible by this.</w:t>
      </w:r>
    </w:p>
    <w:p w14:paraId="437E37DD" w14:textId="77777777" w:rsidR="00F255C9" w:rsidRPr="00F65499" w:rsidRDefault="00F255C9" w:rsidP="00F65499">
      <w:pPr>
        <w:spacing w:line="360" w:lineRule="auto"/>
        <w:jc w:val="both"/>
        <w:rPr>
          <w:rFonts w:ascii="Arial" w:eastAsia="Times New Roman" w:hAnsi="Arial" w:cs="Arial"/>
          <w:color w:val="000000"/>
          <w:kern w:val="0"/>
          <w:sz w:val="24"/>
          <w:szCs w:val="24"/>
          <w14:ligatures w14:val="none"/>
        </w:rPr>
      </w:pPr>
    </w:p>
    <w:p w14:paraId="01EFF3D2" w14:textId="6D696E1E" w:rsidR="00F255C9" w:rsidRDefault="00DD1F92" w:rsidP="00F65499">
      <w:pPr>
        <w:spacing w:line="360" w:lineRule="auto"/>
        <w:jc w:val="both"/>
        <w:divId w:val="819272726"/>
        <w:rPr>
          <w:rFonts w:ascii="Arial" w:eastAsia="Times New Roman" w:hAnsi="Arial" w:cs="Arial"/>
          <w:color w:val="000000"/>
          <w:kern w:val="0"/>
          <w:sz w:val="24"/>
          <w:szCs w:val="24"/>
          <w14:ligatures w14:val="none"/>
        </w:rPr>
      </w:pPr>
      <w:r w:rsidRPr="00DD1F92">
        <w:rPr>
          <w:rFonts w:ascii="Arial" w:eastAsia="Times New Roman" w:hAnsi="Arial" w:cs="Arial"/>
          <w:color w:val="000000"/>
          <w:kern w:val="0"/>
          <w:sz w:val="24"/>
          <w:szCs w:val="24"/>
          <w14:ligatures w14:val="none"/>
        </w:rPr>
        <w:t xml:space="preserve">With the advent of hybrid events, which are distinguished by an understanding of the significance of inclusivity, flexibility, and accessibility, the events industry has witnessed a paradigm shift. Using digital technologies allows event planners to overcome geographical constraints and reach a wider audience, increasing the impact and scalability of their events. This is in line with the long tail theory theory, according </w:t>
      </w:r>
      <w:r w:rsidRPr="00DD1F92">
        <w:rPr>
          <w:rFonts w:ascii="Arial" w:eastAsia="Times New Roman" w:hAnsi="Arial" w:cs="Arial"/>
          <w:color w:val="000000"/>
          <w:kern w:val="0"/>
          <w:sz w:val="24"/>
          <w:szCs w:val="24"/>
          <w14:ligatures w14:val="none"/>
        </w:rPr>
        <w:lastRenderedPageBreak/>
        <w:t>to Anderson (2004), which suggests that digital distribution channels can efficiently cater to niche markets. </w:t>
      </w:r>
    </w:p>
    <w:p w14:paraId="6D239757" w14:textId="5C31EA22" w:rsidR="00DD1F92" w:rsidRPr="00DD1F92" w:rsidRDefault="00DD1F92" w:rsidP="00F65499">
      <w:pPr>
        <w:spacing w:line="360" w:lineRule="auto"/>
        <w:jc w:val="both"/>
        <w:divId w:val="819272726"/>
        <w:rPr>
          <w:rFonts w:ascii="Arial" w:eastAsia="Times New Roman" w:hAnsi="Arial" w:cs="Arial"/>
          <w:kern w:val="0"/>
          <w:sz w:val="24"/>
          <w:szCs w:val="24"/>
          <w14:ligatures w14:val="none"/>
        </w:rPr>
      </w:pPr>
      <w:r w:rsidRPr="00DD1F92">
        <w:rPr>
          <w:rFonts w:ascii="Arial" w:eastAsia="Times New Roman" w:hAnsi="Arial" w:cs="Arial"/>
          <w:color w:val="000000"/>
          <w:kern w:val="0"/>
          <w:sz w:val="24"/>
          <w:szCs w:val="24"/>
          <w14:ligatures w14:val="none"/>
        </w:rPr>
        <w:br/>
        <w:t>Furthermore, the growing popularity of hybrid events highlights how important audience segmentation and personalisation are to event management and design. Through the application of relationship marketing theory, event organisers can tailor their services to meet the diverse needs and preferences of attendees, resulting in heightened levels of engagement and loyalty (</w:t>
      </w:r>
      <w:proofErr w:type="spellStart"/>
      <w:r w:rsidRPr="00DD1F92">
        <w:rPr>
          <w:rFonts w:ascii="Arial" w:eastAsia="Times New Roman" w:hAnsi="Arial" w:cs="Arial"/>
          <w:color w:val="000000"/>
          <w:kern w:val="0"/>
          <w:sz w:val="24"/>
          <w:szCs w:val="24"/>
          <w14:ligatures w14:val="none"/>
        </w:rPr>
        <w:t>Grönroos</w:t>
      </w:r>
      <w:proofErr w:type="spellEnd"/>
      <w:r w:rsidRPr="00DD1F92">
        <w:rPr>
          <w:rFonts w:ascii="Arial" w:eastAsia="Times New Roman" w:hAnsi="Arial" w:cs="Arial"/>
          <w:color w:val="000000"/>
          <w:kern w:val="0"/>
          <w:sz w:val="24"/>
          <w:szCs w:val="24"/>
          <w14:ligatures w14:val="none"/>
        </w:rPr>
        <w:t>, 1994). </w:t>
      </w:r>
    </w:p>
    <w:p w14:paraId="294FCD34" w14:textId="77777777" w:rsidR="002173A7" w:rsidRPr="00F65499" w:rsidRDefault="002173A7" w:rsidP="00F65499">
      <w:pPr>
        <w:spacing w:line="360" w:lineRule="auto"/>
        <w:jc w:val="both"/>
        <w:rPr>
          <w:rFonts w:ascii="Arial" w:eastAsia="Times New Roman" w:hAnsi="Arial" w:cs="Arial"/>
          <w:color w:val="000000"/>
          <w:kern w:val="0"/>
          <w:sz w:val="24"/>
          <w:szCs w:val="24"/>
          <w14:ligatures w14:val="none"/>
        </w:rPr>
      </w:pPr>
    </w:p>
    <w:p w14:paraId="49D71C18" w14:textId="65DC2FB8" w:rsidR="002173A7" w:rsidRPr="00F65499" w:rsidRDefault="00A9561D" w:rsidP="00F65499">
      <w:pPr>
        <w:spacing w:line="360" w:lineRule="auto"/>
        <w:jc w:val="both"/>
        <w:rPr>
          <w:rFonts w:ascii="Arial" w:eastAsia="Times New Roman" w:hAnsi="Arial" w:cs="Arial"/>
          <w:color w:val="000000"/>
          <w:sz w:val="24"/>
          <w:szCs w:val="24"/>
        </w:rPr>
      </w:pPr>
      <w:r w:rsidRPr="00F65499">
        <w:rPr>
          <w:rFonts w:ascii="Arial" w:eastAsia="Times New Roman" w:hAnsi="Arial" w:cs="Arial"/>
          <w:color w:val="000000"/>
          <w:sz w:val="24"/>
          <w:szCs w:val="24"/>
        </w:rPr>
        <w:t>Event planners are aware of the importance of risk management and contingency plans in managing the economic fluctuations and unpredictability that characterise the modern events business. According to Berger and Calabrese's 1975 Uncertainty Reduction Theory, proactive strategies are used by people and organisations to lessen uncertainty in their environment. This theory highlights the necessity of implementing robust risk management protocols within the event management framework to mitigate potential interruptions and safeguard against unforeseen events.</w:t>
      </w:r>
    </w:p>
    <w:p w14:paraId="1ABB3983" w14:textId="77777777" w:rsidR="00E00B08" w:rsidRPr="00F65499" w:rsidRDefault="00E00B08" w:rsidP="00F65499">
      <w:pPr>
        <w:spacing w:line="360" w:lineRule="auto"/>
        <w:jc w:val="both"/>
        <w:rPr>
          <w:rFonts w:ascii="Arial" w:eastAsia="Times New Roman" w:hAnsi="Arial" w:cs="Arial"/>
          <w:color w:val="000000"/>
          <w:sz w:val="24"/>
          <w:szCs w:val="24"/>
        </w:rPr>
      </w:pPr>
    </w:p>
    <w:p w14:paraId="346CEF03" w14:textId="77777777" w:rsidR="00282337" w:rsidRDefault="00282337" w:rsidP="00F65499">
      <w:pPr>
        <w:spacing w:line="360" w:lineRule="auto"/>
        <w:jc w:val="both"/>
        <w:divId w:val="78596761"/>
        <w:rPr>
          <w:rFonts w:ascii="Arial" w:eastAsia="Times New Roman" w:hAnsi="Arial" w:cs="Arial"/>
          <w:color w:val="000000"/>
          <w:kern w:val="0"/>
          <w:sz w:val="24"/>
          <w:szCs w:val="24"/>
          <w14:ligatures w14:val="none"/>
        </w:rPr>
      </w:pPr>
      <w:r w:rsidRPr="00282337">
        <w:rPr>
          <w:rFonts w:ascii="Arial" w:eastAsia="Times New Roman" w:hAnsi="Arial" w:cs="Arial"/>
          <w:color w:val="000000"/>
          <w:kern w:val="0"/>
          <w:sz w:val="24"/>
          <w:szCs w:val="24"/>
          <w14:ligatures w14:val="none"/>
        </w:rPr>
        <w:t>Scenario planning, which involves anticipating potential future scenarios and developing plans to handle each eventuality, is the foundation of effective risk management (Van Der Heijden, 1996). By seeing a range of plausible possibilities, event planners can enhance their capacity to anticipate challenges and provide proactive solutions. They become more resilient in the face of uncertainty as a result.</w:t>
      </w:r>
      <w:r w:rsidRPr="00282337">
        <w:rPr>
          <w:rFonts w:ascii="Arial" w:eastAsia="Times New Roman" w:hAnsi="Arial" w:cs="Arial"/>
          <w:color w:val="000000"/>
          <w:kern w:val="0"/>
          <w:sz w:val="24"/>
          <w:szCs w:val="24"/>
          <w14:ligatures w14:val="none"/>
        </w:rPr>
        <w:br/>
      </w:r>
      <w:r w:rsidRPr="00282337">
        <w:rPr>
          <w:rFonts w:ascii="Arial" w:eastAsia="Times New Roman" w:hAnsi="Arial" w:cs="Arial"/>
          <w:color w:val="000000"/>
          <w:kern w:val="0"/>
          <w:sz w:val="24"/>
          <w:szCs w:val="24"/>
          <w14:ligatures w14:val="none"/>
        </w:rPr>
        <w:br/>
        <w:t>Insurance coverage, which provides financial security against unforeseen events like cancellations, delays, or liabilities, is a crucial part of risk reduction. Event coordinators often acquire comprehensive insurance policies that meet their specific needs, including coverage for property damage, liability claims, and event cancellation expenses (Allen, 2012).</w:t>
      </w:r>
    </w:p>
    <w:p w14:paraId="5688CE78" w14:textId="77777777" w:rsidR="00F255C9" w:rsidRPr="00282337" w:rsidRDefault="00F255C9" w:rsidP="00F65499">
      <w:pPr>
        <w:spacing w:line="360" w:lineRule="auto"/>
        <w:jc w:val="both"/>
        <w:divId w:val="78596761"/>
        <w:rPr>
          <w:rFonts w:ascii="Arial" w:eastAsia="Times New Roman" w:hAnsi="Arial" w:cs="Arial"/>
          <w:kern w:val="0"/>
          <w:sz w:val="24"/>
          <w:szCs w:val="24"/>
          <w14:ligatures w14:val="none"/>
        </w:rPr>
      </w:pPr>
    </w:p>
    <w:p w14:paraId="7AF94A7D" w14:textId="77777777" w:rsidR="00E00B08" w:rsidRPr="00F65499" w:rsidRDefault="00E00B08" w:rsidP="00F65499">
      <w:pPr>
        <w:spacing w:line="360" w:lineRule="auto"/>
        <w:jc w:val="both"/>
        <w:rPr>
          <w:rFonts w:ascii="Arial" w:eastAsia="Times New Roman" w:hAnsi="Arial" w:cs="Arial"/>
          <w:color w:val="000000"/>
          <w:kern w:val="0"/>
          <w:sz w:val="24"/>
          <w:szCs w:val="24"/>
          <w14:ligatures w14:val="none"/>
        </w:rPr>
      </w:pPr>
      <w:r w:rsidRPr="00F65499">
        <w:rPr>
          <w:rFonts w:ascii="Arial" w:eastAsia="Times New Roman" w:hAnsi="Arial" w:cs="Arial"/>
          <w:color w:val="000000"/>
          <w:kern w:val="0"/>
          <w:sz w:val="24"/>
          <w:szCs w:val="24"/>
          <w14:ligatures w14:val="none"/>
        </w:rPr>
        <w:t>Another essential element of risk management is contractual flexibility, which enables organisers to minimise potential losses and quickly adjust to changing conditions.</w:t>
      </w:r>
    </w:p>
    <w:p w14:paraId="48ABA4F5" w14:textId="77777777" w:rsidR="00E00B08" w:rsidRPr="00F65499" w:rsidRDefault="00E00B08" w:rsidP="00F65499">
      <w:pPr>
        <w:spacing w:line="360" w:lineRule="auto"/>
        <w:jc w:val="both"/>
        <w:rPr>
          <w:rFonts w:ascii="Arial" w:eastAsia="Times New Roman" w:hAnsi="Arial" w:cs="Arial"/>
          <w:color w:val="000000"/>
          <w:kern w:val="0"/>
          <w:sz w:val="24"/>
          <w:szCs w:val="24"/>
          <w14:ligatures w14:val="none"/>
        </w:rPr>
      </w:pPr>
    </w:p>
    <w:p w14:paraId="0138CC11" w14:textId="77777777" w:rsidR="00E00B08" w:rsidRPr="00F65499" w:rsidRDefault="00E00B08" w:rsidP="00F65499">
      <w:pPr>
        <w:spacing w:line="360" w:lineRule="auto"/>
        <w:jc w:val="both"/>
        <w:rPr>
          <w:rFonts w:ascii="Arial" w:eastAsia="Times New Roman" w:hAnsi="Arial" w:cs="Arial"/>
          <w:color w:val="000000"/>
          <w:kern w:val="0"/>
          <w:sz w:val="24"/>
          <w:szCs w:val="24"/>
          <w14:ligatures w14:val="none"/>
        </w:rPr>
      </w:pPr>
    </w:p>
    <w:p w14:paraId="5326962A" w14:textId="77777777" w:rsidR="002173A7" w:rsidRPr="00F65499" w:rsidRDefault="002173A7" w:rsidP="00F65499">
      <w:pPr>
        <w:spacing w:line="360" w:lineRule="auto"/>
        <w:jc w:val="both"/>
        <w:rPr>
          <w:rFonts w:ascii="Arial" w:eastAsia="Times New Roman" w:hAnsi="Arial" w:cs="Arial"/>
          <w:color w:val="000000"/>
          <w:kern w:val="0"/>
          <w:sz w:val="24"/>
          <w:szCs w:val="24"/>
          <w14:ligatures w14:val="none"/>
        </w:rPr>
      </w:pPr>
    </w:p>
    <w:p w14:paraId="304E51D8" w14:textId="47A69A85" w:rsidR="00F255C9" w:rsidRDefault="007030B4" w:rsidP="00F65499">
      <w:pPr>
        <w:spacing w:line="360" w:lineRule="auto"/>
        <w:jc w:val="both"/>
        <w:divId w:val="2016567133"/>
        <w:rPr>
          <w:rFonts w:ascii="Arial" w:eastAsia="Times New Roman" w:hAnsi="Arial" w:cs="Arial"/>
          <w:color w:val="000000"/>
          <w:kern w:val="0"/>
          <w:sz w:val="24"/>
          <w:szCs w:val="24"/>
          <w14:ligatures w14:val="none"/>
        </w:rPr>
      </w:pPr>
      <w:r w:rsidRPr="007030B4">
        <w:rPr>
          <w:rFonts w:ascii="Arial" w:eastAsia="Times New Roman" w:hAnsi="Arial" w:cs="Arial"/>
          <w:color w:val="000000"/>
          <w:kern w:val="0"/>
          <w:sz w:val="24"/>
          <w:szCs w:val="24"/>
          <w14:ligatures w14:val="none"/>
        </w:rPr>
        <w:lastRenderedPageBreak/>
        <w:t>Furthermore, collaboration between governmental agencies and health authorities is required to ensure that evolving regulations and guidelines are followed, particularly in times of public health emergencies such as the COVID-19 pandemic. Event organisers should employ appropriate safety procedures, reduce the possibility of non-compliance fines, and keep abreast of legislative changes by communicating with relevant parties in a proactive manner (Hall, 2015). </w:t>
      </w:r>
    </w:p>
    <w:p w14:paraId="0D7E30E7" w14:textId="5965C548" w:rsidR="007030B4" w:rsidRPr="007030B4" w:rsidRDefault="007030B4" w:rsidP="00F65499">
      <w:pPr>
        <w:spacing w:line="360" w:lineRule="auto"/>
        <w:jc w:val="both"/>
        <w:divId w:val="2016567133"/>
        <w:rPr>
          <w:rFonts w:ascii="Arial" w:eastAsia="Times New Roman" w:hAnsi="Arial" w:cs="Arial"/>
          <w:kern w:val="0"/>
          <w:sz w:val="24"/>
          <w:szCs w:val="24"/>
          <w14:ligatures w14:val="none"/>
        </w:rPr>
      </w:pPr>
      <w:r w:rsidRPr="007030B4">
        <w:rPr>
          <w:rFonts w:ascii="Arial" w:eastAsia="Times New Roman" w:hAnsi="Arial" w:cs="Arial"/>
          <w:color w:val="000000"/>
          <w:kern w:val="0"/>
          <w:sz w:val="24"/>
          <w:szCs w:val="24"/>
          <w14:ligatures w14:val="none"/>
        </w:rPr>
        <w:br/>
        <w:t>In summary, effective risk management and contingency plans are vital tools for event coordinators navigating the complex and dynamic world of global events. By implementing proactive strategies like scenario planning, insurance coverage, contractual flexibility, and stakeholder involvement, organisers can increase their resilience and decrease the impact of uncertainty and economic fluctuations on their operations. </w:t>
      </w:r>
    </w:p>
    <w:p w14:paraId="66A9765E" w14:textId="244B4F70" w:rsidR="002173A7" w:rsidRPr="00F65499" w:rsidRDefault="002173A7" w:rsidP="00F65499">
      <w:pPr>
        <w:spacing w:line="360" w:lineRule="auto"/>
        <w:jc w:val="both"/>
        <w:rPr>
          <w:rFonts w:ascii="Arial" w:eastAsia="Times New Roman" w:hAnsi="Arial" w:cs="Arial"/>
          <w:color w:val="000000"/>
          <w:kern w:val="0"/>
          <w:sz w:val="24"/>
          <w:szCs w:val="24"/>
          <w14:ligatures w14:val="none"/>
        </w:rPr>
      </w:pPr>
    </w:p>
    <w:p w14:paraId="39839C53" w14:textId="5D82ABFE" w:rsidR="002173A7" w:rsidRPr="00F255C9" w:rsidRDefault="001F2F72" w:rsidP="00F255C9">
      <w:pPr>
        <w:spacing w:line="360" w:lineRule="auto"/>
        <w:jc w:val="both"/>
        <w:divId w:val="2009363365"/>
        <w:rPr>
          <w:rFonts w:ascii="Arial" w:eastAsia="Times New Roman" w:hAnsi="Arial" w:cs="Arial"/>
          <w:kern w:val="0"/>
          <w:sz w:val="24"/>
          <w:szCs w:val="24"/>
          <w14:ligatures w14:val="none"/>
        </w:rPr>
      </w:pPr>
      <w:r w:rsidRPr="001F2F72">
        <w:rPr>
          <w:rFonts w:ascii="Arial" w:eastAsia="Times New Roman" w:hAnsi="Arial" w:cs="Arial"/>
          <w:color w:val="000000"/>
          <w:kern w:val="0"/>
          <w:sz w:val="24"/>
          <w:szCs w:val="24"/>
          <w14:ligatures w14:val="none"/>
        </w:rPr>
        <w:t>Sustainability has become a fundamental notion in the events industry because of a number of causes, including client preferences, business culture, and legal requirements. According to the "Theory of Planned Behaviour" (</w:t>
      </w:r>
      <w:proofErr w:type="spellStart"/>
      <w:r w:rsidRPr="001F2F72">
        <w:rPr>
          <w:rFonts w:ascii="Arial" w:eastAsia="Times New Roman" w:hAnsi="Arial" w:cs="Arial"/>
          <w:color w:val="000000"/>
          <w:kern w:val="0"/>
          <w:sz w:val="24"/>
          <w:szCs w:val="24"/>
          <w14:ligatures w14:val="none"/>
        </w:rPr>
        <w:t>Ajzen</w:t>
      </w:r>
      <w:proofErr w:type="spellEnd"/>
      <w:r w:rsidRPr="001F2F72">
        <w:rPr>
          <w:rFonts w:ascii="Arial" w:eastAsia="Times New Roman" w:hAnsi="Arial" w:cs="Arial"/>
          <w:color w:val="000000"/>
          <w:kern w:val="0"/>
          <w:sz w:val="24"/>
          <w:szCs w:val="24"/>
          <w14:ligatures w14:val="none"/>
        </w:rPr>
        <w:t>, 1991), consumer behaviour is influenced by attitudes towards sustainability. Therefore, in order to meet the expectations of attendees and enhance the reputation of their company, event planners need to implement environmentally friendly practices. Furthermore, guidelines for organising sustainable events are provided by legal frameworks such as ISO 20121:2012 (International Organisation for Standardisation, 2012). This makes it necessary for organisers to put comprehensive sustainability plans into place in order to abide by both industry and governmental requirements. </w:t>
      </w:r>
      <w:r w:rsidRPr="001F2F72">
        <w:rPr>
          <w:rFonts w:ascii="Arial" w:eastAsia="Times New Roman" w:hAnsi="Arial" w:cs="Arial"/>
          <w:color w:val="000000"/>
          <w:kern w:val="0"/>
          <w:sz w:val="24"/>
          <w:szCs w:val="24"/>
          <w14:ligatures w14:val="none"/>
        </w:rPr>
        <w:br/>
      </w:r>
    </w:p>
    <w:p w14:paraId="5BAE9305" w14:textId="06C410F3" w:rsidR="00FB0068" w:rsidRPr="00FB0068" w:rsidRDefault="00FB0068" w:rsidP="00F65499">
      <w:pPr>
        <w:spacing w:line="360" w:lineRule="auto"/>
        <w:jc w:val="both"/>
        <w:divId w:val="281620530"/>
        <w:rPr>
          <w:rFonts w:ascii="Arial" w:eastAsia="Times New Roman" w:hAnsi="Arial" w:cs="Arial"/>
          <w:kern w:val="0"/>
          <w:sz w:val="24"/>
          <w:szCs w:val="24"/>
          <w14:ligatures w14:val="none"/>
        </w:rPr>
      </w:pPr>
      <w:r w:rsidRPr="00FB0068">
        <w:rPr>
          <w:rFonts w:ascii="Arial" w:eastAsia="Times New Roman" w:hAnsi="Arial" w:cs="Arial"/>
          <w:color w:val="000000"/>
          <w:kern w:val="0"/>
          <w:sz w:val="24"/>
          <w:szCs w:val="24"/>
          <w14:ligatures w14:val="none"/>
        </w:rPr>
        <w:t xml:space="preserve">The idea of sustainable event management encompasses a thorough plan for the duration of the event. Event planners employ several strategies from the beginning of planning to minimise their adverse environmental impacts, such as selecting environmentally conscious sites, optimising transportation, and implementing waste </w:t>
      </w:r>
      <w:r w:rsidR="00F255C9" w:rsidRPr="00FB0068">
        <w:rPr>
          <w:rFonts w:ascii="Arial" w:eastAsia="Times New Roman" w:hAnsi="Arial" w:cs="Arial"/>
          <w:color w:val="000000"/>
          <w:kern w:val="0"/>
          <w:sz w:val="24"/>
          <w:szCs w:val="24"/>
          <w14:ligatures w14:val="none"/>
        </w:rPr>
        <w:t>minimisation</w:t>
      </w:r>
      <w:r w:rsidRPr="00FB0068">
        <w:rPr>
          <w:rFonts w:ascii="Arial" w:eastAsia="Times New Roman" w:hAnsi="Arial" w:cs="Arial"/>
          <w:color w:val="000000"/>
          <w:kern w:val="0"/>
          <w:sz w:val="24"/>
          <w:szCs w:val="24"/>
          <w14:ligatures w14:val="none"/>
        </w:rPr>
        <w:t xml:space="preserve"> guidelines (Getz &amp; Page, 2020). During the implementation stage, initiatives such as water conservation, energy-efficient lighting, and eco-friendly catering assist lower carbon emissions and save resources (Jones, Hillier, &amp; Comfort, 2016). Post-event evaluation is a crucial stage in assessing the effectiveness of sustainability programmes and identifying areas for improvement (Chang, 2019). </w:t>
      </w:r>
      <w:r w:rsidRPr="00FB0068">
        <w:rPr>
          <w:rFonts w:ascii="Arial" w:eastAsia="Times New Roman" w:hAnsi="Arial" w:cs="Arial"/>
          <w:color w:val="000000"/>
          <w:kern w:val="0"/>
          <w:sz w:val="24"/>
          <w:szCs w:val="24"/>
          <w14:ligatures w14:val="none"/>
        </w:rPr>
        <w:lastRenderedPageBreak/>
        <w:t>Through stakeholder involvement and feedback mechanisms, organisers can gain additional knowledge about the social, economic, and environmental impacts of their events. This fosters continual improvement in sustainable practices and supports innovation.</w:t>
      </w:r>
      <w:r w:rsidRPr="00FB0068">
        <w:rPr>
          <w:rFonts w:ascii="Arial" w:eastAsia="Times New Roman" w:hAnsi="Arial" w:cs="Arial"/>
          <w:color w:val="000000"/>
          <w:kern w:val="0"/>
          <w:sz w:val="24"/>
          <w:szCs w:val="24"/>
          <w14:ligatures w14:val="none"/>
        </w:rPr>
        <w:br/>
      </w:r>
    </w:p>
    <w:p w14:paraId="22B02488" w14:textId="4C4B0A55" w:rsidR="002173A7" w:rsidRDefault="00435FA0" w:rsidP="00F65499">
      <w:pPr>
        <w:spacing w:line="360" w:lineRule="auto"/>
        <w:jc w:val="both"/>
        <w:rPr>
          <w:rFonts w:ascii="Arial" w:eastAsia="Times New Roman" w:hAnsi="Arial" w:cs="Arial"/>
          <w:color w:val="000000"/>
          <w:sz w:val="24"/>
          <w:szCs w:val="24"/>
        </w:rPr>
      </w:pPr>
      <w:r w:rsidRPr="00F65499">
        <w:rPr>
          <w:rFonts w:ascii="Arial" w:eastAsia="Times New Roman" w:hAnsi="Arial" w:cs="Arial"/>
          <w:color w:val="000000"/>
          <w:sz w:val="24"/>
          <w:szCs w:val="24"/>
        </w:rPr>
        <w:t>The events industry is at a turning point in its history because of the intricate relationship between expanding trends and pressing global issues. Many concepts and frameworks can be used to understand how the sector is navigating the aftermath of the COVID-19 epidemic, economic instability, and the necessity of climate change as it moves towards resilience, sustainability, and innovation.</w:t>
      </w:r>
    </w:p>
    <w:p w14:paraId="4535609D" w14:textId="77777777" w:rsidR="00F255C9" w:rsidRPr="00F65499" w:rsidRDefault="00F255C9" w:rsidP="00F65499">
      <w:pPr>
        <w:spacing w:line="360" w:lineRule="auto"/>
        <w:jc w:val="both"/>
        <w:rPr>
          <w:rFonts w:ascii="Arial" w:eastAsia="Times New Roman" w:hAnsi="Arial" w:cs="Arial"/>
          <w:color w:val="000000"/>
          <w:kern w:val="0"/>
          <w:sz w:val="24"/>
          <w:szCs w:val="24"/>
          <w14:ligatures w14:val="none"/>
        </w:rPr>
      </w:pPr>
    </w:p>
    <w:p w14:paraId="047AFBB7" w14:textId="09823E2B" w:rsidR="002173A7" w:rsidRDefault="003620BC" w:rsidP="00F65499">
      <w:pPr>
        <w:spacing w:line="360" w:lineRule="auto"/>
        <w:jc w:val="both"/>
        <w:rPr>
          <w:rFonts w:ascii="Arial" w:eastAsia="Times New Roman" w:hAnsi="Arial" w:cs="Arial"/>
          <w:color w:val="000000"/>
          <w:sz w:val="24"/>
          <w:szCs w:val="24"/>
        </w:rPr>
      </w:pPr>
      <w:r w:rsidRPr="00F65499">
        <w:rPr>
          <w:rFonts w:ascii="Arial" w:eastAsia="Times New Roman" w:hAnsi="Arial" w:cs="Arial"/>
          <w:color w:val="000000"/>
          <w:sz w:val="24"/>
          <w:szCs w:val="24"/>
        </w:rPr>
        <w:t>A well-known theoretical paradigm for examining the future of the events sector is adaptive resilience. According to this argument, companies that can adapt to changing external conditions without compromising their core competencies will be better positioned to thrive during challenging times (Walker et al., 2008). Adaptive resilience in the events industry refers to the capacity to swiftly adapt to changing circumstances, for as by implementing stringent health precautions, adopting virtual formats, or embracing sustainable practices.</w:t>
      </w:r>
    </w:p>
    <w:p w14:paraId="3D4DD8F6" w14:textId="77777777" w:rsidR="00F255C9" w:rsidRPr="00F65499" w:rsidRDefault="00F255C9" w:rsidP="00F65499">
      <w:pPr>
        <w:spacing w:line="360" w:lineRule="auto"/>
        <w:jc w:val="both"/>
        <w:rPr>
          <w:rFonts w:ascii="Arial" w:eastAsia="Times New Roman" w:hAnsi="Arial" w:cs="Arial"/>
          <w:color w:val="000000"/>
          <w:kern w:val="0"/>
          <w:sz w:val="24"/>
          <w:szCs w:val="24"/>
          <w14:ligatures w14:val="none"/>
        </w:rPr>
      </w:pPr>
    </w:p>
    <w:p w14:paraId="00629405" w14:textId="3C1B6D60" w:rsidR="002173A7" w:rsidRPr="00F65499" w:rsidRDefault="002071CB" w:rsidP="00F65499">
      <w:pPr>
        <w:spacing w:line="360" w:lineRule="auto"/>
        <w:jc w:val="both"/>
        <w:rPr>
          <w:rFonts w:ascii="Arial" w:eastAsia="Times New Roman" w:hAnsi="Arial" w:cs="Arial"/>
          <w:color w:val="000000"/>
          <w:kern w:val="0"/>
          <w:sz w:val="24"/>
          <w:szCs w:val="24"/>
          <w14:ligatures w14:val="none"/>
        </w:rPr>
      </w:pPr>
      <w:r w:rsidRPr="00F65499">
        <w:rPr>
          <w:rFonts w:ascii="Arial" w:eastAsia="Times New Roman" w:hAnsi="Arial" w:cs="Arial"/>
          <w:color w:val="000000"/>
          <w:sz w:val="24"/>
          <w:szCs w:val="24"/>
        </w:rPr>
        <w:t>Moreover, the concept of sustainable event management offers a solid basis for guiding the industry towards a future with a greater ecological consciousness. This approach emphasises the necessity of minimising negative environmental effects, maximising positive social and economic effects, and fostering a climate of accountability and stewardship. The concepts of sustainable development serve as its foundation (Getz &amp; Page, 2016). Event planners may lessen their environmental effect and increase their endurance by including sustainability considerations into every aspect of event planning and execution, from waste management to location selection.</w:t>
      </w:r>
    </w:p>
    <w:p w14:paraId="0118A54D" w14:textId="5BC9EA2B" w:rsidR="0073409B" w:rsidRPr="00F255C9" w:rsidRDefault="0073409B" w:rsidP="00F255C9">
      <w:pPr>
        <w:spacing w:line="360" w:lineRule="auto"/>
        <w:jc w:val="both"/>
        <w:divId w:val="1814709766"/>
        <w:rPr>
          <w:rFonts w:ascii="Arial" w:eastAsia="Times New Roman" w:hAnsi="Arial" w:cs="Arial"/>
          <w:kern w:val="0"/>
          <w:sz w:val="24"/>
          <w:szCs w:val="24"/>
          <w14:ligatures w14:val="none"/>
        </w:rPr>
      </w:pPr>
      <w:r w:rsidRPr="0073409B">
        <w:rPr>
          <w:rFonts w:ascii="Arial" w:eastAsia="Times New Roman" w:hAnsi="Arial" w:cs="Arial"/>
          <w:color w:val="000000"/>
          <w:kern w:val="0"/>
          <w:sz w:val="24"/>
          <w:szCs w:val="24"/>
          <w14:ligatures w14:val="none"/>
        </w:rPr>
        <w:t>In addition, the Triple Bottom Line (TBL) framework provides a comprehensive viewpoint for evaluating the success of future undertakings. Elkington (1998) presented the Triple Bottom Line (TBL) concept, which contends that businesses should assess their success from the perspectives of social fairness, economic prosperity, and environmental responsibility. To ensure that events benefit all parties involved, this entails finding a balance between social responsibility, financial viability, and environmental stewardship in the context of the events business.</w:t>
      </w:r>
    </w:p>
    <w:p w14:paraId="04FD11B6" w14:textId="34EAC863" w:rsidR="002173A7" w:rsidRDefault="009E2774" w:rsidP="00F65499">
      <w:pPr>
        <w:spacing w:line="360" w:lineRule="auto"/>
        <w:jc w:val="both"/>
        <w:rPr>
          <w:rFonts w:ascii="Arial" w:eastAsia="Times New Roman" w:hAnsi="Arial" w:cs="Arial"/>
          <w:color w:val="000000"/>
          <w:sz w:val="24"/>
          <w:szCs w:val="24"/>
        </w:rPr>
      </w:pPr>
      <w:r w:rsidRPr="00F65499">
        <w:rPr>
          <w:rFonts w:ascii="Arial" w:eastAsia="Times New Roman" w:hAnsi="Arial" w:cs="Arial"/>
          <w:color w:val="000000"/>
          <w:sz w:val="24"/>
          <w:szCs w:val="24"/>
        </w:rPr>
        <w:lastRenderedPageBreak/>
        <w:t>These theoretical perspectives emphasise how important it is that the events industry remain adaptable, creative, and viable in the future. The process for bidding on events has to be altered to give preference to sites and venues that demonstrate a strong commitment to sustainability and have the facilities required to organise eco-friendly events. There is a growing trend in decision-making towards values, and this is seen in the increased weight given to factors like accessibility, carbon impact, and community involvement when choosing a location for an event.</w:t>
      </w:r>
    </w:p>
    <w:p w14:paraId="0B590DD5" w14:textId="77777777" w:rsidR="00F255C9" w:rsidRPr="00F65499" w:rsidRDefault="00F255C9" w:rsidP="00F65499">
      <w:pPr>
        <w:spacing w:line="360" w:lineRule="auto"/>
        <w:jc w:val="both"/>
        <w:rPr>
          <w:rFonts w:ascii="Arial" w:eastAsia="Times New Roman" w:hAnsi="Arial" w:cs="Arial"/>
          <w:color w:val="000000"/>
          <w:sz w:val="24"/>
          <w:szCs w:val="24"/>
        </w:rPr>
      </w:pPr>
    </w:p>
    <w:p w14:paraId="10EDF90A" w14:textId="77777777" w:rsidR="00A91C66" w:rsidRPr="00F65499" w:rsidRDefault="00A91C66" w:rsidP="00F65499">
      <w:pPr>
        <w:spacing w:line="360" w:lineRule="auto"/>
        <w:jc w:val="both"/>
        <w:rPr>
          <w:rFonts w:ascii="Arial" w:eastAsia="Times New Roman" w:hAnsi="Arial" w:cs="Arial"/>
          <w:color w:val="000000"/>
          <w:kern w:val="0"/>
          <w:sz w:val="24"/>
          <w:szCs w:val="24"/>
          <w14:ligatures w14:val="none"/>
        </w:rPr>
      </w:pPr>
      <w:r w:rsidRPr="00F65499">
        <w:rPr>
          <w:rFonts w:ascii="Arial" w:eastAsia="Times New Roman" w:hAnsi="Arial" w:cs="Arial"/>
          <w:color w:val="000000"/>
          <w:kern w:val="0"/>
          <w:sz w:val="24"/>
          <w:szCs w:val="24"/>
          <w14:ligatures w14:val="none"/>
        </w:rPr>
        <w:t>In conclusion, the industry's capacity to embrace innovation, promote stakeholder engagement, and adjust to shifting environmental and sustainable implications will determine how well future events turn out. The events business can flourish in a fast-changing global context while also recovering from present issues by placing a high priority on flexibility, resilience, and sustainability. Event planners can steer towards a future that is more sustainable, equitable, and resilient by implementing theoretical frameworks like the Triple Bottom Line, adaptive resilience, and sustainable event management.</w:t>
      </w:r>
    </w:p>
    <w:p w14:paraId="1477BA65" w14:textId="77777777" w:rsidR="00A91C66" w:rsidRPr="00F65499" w:rsidRDefault="00A91C66" w:rsidP="00F65499">
      <w:pPr>
        <w:spacing w:line="360" w:lineRule="auto"/>
        <w:jc w:val="both"/>
        <w:rPr>
          <w:rFonts w:ascii="Arial" w:eastAsia="Times New Roman" w:hAnsi="Arial" w:cs="Arial"/>
          <w:color w:val="000000"/>
          <w:kern w:val="0"/>
          <w:sz w:val="24"/>
          <w:szCs w:val="24"/>
          <w14:ligatures w14:val="none"/>
        </w:rPr>
      </w:pPr>
    </w:p>
    <w:p w14:paraId="50366C4A" w14:textId="77777777" w:rsidR="00A91C66" w:rsidRPr="00F65499" w:rsidRDefault="00A91C66" w:rsidP="00F65499">
      <w:pPr>
        <w:spacing w:line="360" w:lineRule="auto"/>
        <w:jc w:val="both"/>
        <w:rPr>
          <w:rFonts w:ascii="Arial" w:hAnsi="Arial" w:cs="Arial"/>
          <w:sz w:val="24"/>
          <w:szCs w:val="24"/>
        </w:rPr>
      </w:pPr>
    </w:p>
    <w:p w14:paraId="52E5242E" w14:textId="77777777" w:rsidR="00A91C66" w:rsidRPr="00F65499" w:rsidRDefault="00A91C66" w:rsidP="00F65499">
      <w:pPr>
        <w:spacing w:line="360" w:lineRule="auto"/>
        <w:jc w:val="both"/>
        <w:rPr>
          <w:rFonts w:ascii="Arial" w:hAnsi="Arial" w:cs="Arial"/>
          <w:sz w:val="24"/>
          <w:szCs w:val="24"/>
        </w:rPr>
      </w:pPr>
    </w:p>
    <w:p w14:paraId="3BA9D59F" w14:textId="77777777" w:rsidR="00A91C66" w:rsidRPr="00F65499" w:rsidRDefault="00A91C66" w:rsidP="00F65499">
      <w:pPr>
        <w:spacing w:line="360" w:lineRule="auto"/>
        <w:jc w:val="both"/>
        <w:rPr>
          <w:rFonts w:ascii="Arial" w:hAnsi="Arial" w:cs="Arial"/>
          <w:sz w:val="24"/>
          <w:szCs w:val="24"/>
        </w:rPr>
      </w:pPr>
    </w:p>
    <w:p w14:paraId="7D751797" w14:textId="77777777" w:rsidR="00A91C66" w:rsidRPr="00F65499" w:rsidRDefault="00A91C66" w:rsidP="00F65499">
      <w:pPr>
        <w:spacing w:line="360" w:lineRule="auto"/>
        <w:jc w:val="both"/>
        <w:rPr>
          <w:rFonts w:ascii="Arial" w:hAnsi="Arial" w:cs="Arial"/>
          <w:sz w:val="24"/>
          <w:szCs w:val="24"/>
        </w:rPr>
      </w:pPr>
    </w:p>
    <w:p w14:paraId="1016EC1A" w14:textId="77777777" w:rsidR="00A91C66" w:rsidRPr="00F65499" w:rsidRDefault="00A91C66" w:rsidP="00F65499">
      <w:pPr>
        <w:spacing w:line="360" w:lineRule="auto"/>
        <w:jc w:val="both"/>
        <w:rPr>
          <w:rFonts w:ascii="Arial" w:hAnsi="Arial" w:cs="Arial"/>
          <w:sz w:val="24"/>
          <w:szCs w:val="24"/>
        </w:rPr>
      </w:pPr>
    </w:p>
    <w:p w14:paraId="5A6C58AB" w14:textId="77777777" w:rsidR="00A91C66" w:rsidRPr="00F65499" w:rsidRDefault="00A91C66" w:rsidP="00F65499">
      <w:pPr>
        <w:spacing w:line="360" w:lineRule="auto"/>
        <w:jc w:val="both"/>
        <w:rPr>
          <w:rFonts w:ascii="Arial" w:hAnsi="Arial" w:cs="Arial"/>
          <w:sz w:val="24"/>
          <w:szCs w:val="24"/>
        </w:rPr>
      </w:pPr>
    </w:p>
    <w:p w14:paraId="442BA93D" w14:textId="5A085523" w:rsidR="005144DB" w:rsidRPr="005144DB" w:rsidRDefault="00A91C66" w:rsidP="002173A7">
      <w:pPr>
        <w:spacing w:line="360" w:lineRule="auto"/>
        <w:jc w:val="both"/>
        <w:rPr>
          <w:rFonts w:ascii="Arial" w:hAnsi="Arial" w:cs="Arial"/>
          <w:sz w:val="24"/>
          <w:szCs w:val="24"/>
        </w:rPr>
      </w:pPr>
      <w:r w:rsidRPr="00390884">
        <w:rPr>
          <w:rFonts w:ascii="Arial" w:hAnsi="Arial" w:cs="Arial"/>
          <w:sz w:val="24"/>
          <w:szCs w:val="24"/>
        </w:rPr>
        <w:br w:type="page"/>
      </w:r>
    </w:p>
    <w:p w14:paraId="0C5E28D1" w14:textId="77777777" w:rsidR="00A91C66" w:rsidRDefault="00A91C66">
      <w:pPr>
        <w:rPr>
          <w:rFonts w:ascii="Arial" w:eastAsia="Times New Roman" w:hAnsi="Arial" w:cs="Arial"/>
          <w:color w:val="000000"/>
          <w:kern w:val="0"/>
          <w:sz w:val="24"/>
          <w:szCs w:val="24"/>
          <w14:ligatures w14:val="none"/>
        </w:rPr>
      </w:pPr>
      <w:r>
        <w:rPr>
          <w:rFonts w:ascii="Arial" w:eastAsia="Times New Roman" w:hAnsi="Arial" w:cs="Arial"/>
          <w:color w:val="000000"/>
          <w:kern w:val="0"/>
          <w:sz w:val="24"/>
          <w:szCs w:val="24"/>
          <w14:ligatures w14:val="none"/>
        </w:rPr>
        <w:lastRenderedPageBreak/>
        <w:br w:type="page"/>
      </w:r>
    </w:p>
    <w:p w14:paraId="6A64F4E2" w14:textId="77777777" w:rsidR="00A91C66" w:rsidRPr="002173A7" w:rsidRDefault="00A91C66" w:rsidP="002173A7">
      <w:pPr>
        <w:spacing w:line="360" w:lineRule="auto"/>
        <w:jc w:val="both"/>
        <w:rPr>
          <w:rFonts w:ascii="Arial" w:eastAsia="Times New Roman" w:hAnsi="Arial" w:cs="Arial"/>
          <w:color w:val="000000"/>
          <w:kern w:val="0"/>
          <w:sz w:val="24"/>
          <w:szCs w:val="24"/>
          <w14:ligatures w14:val="none"/>
        </w:rPr>
      </w:pPr>
    </w:p>
    <w:p w14:paraId="1A9F442B" w14:textId="77777777" w:rsidR="009E2774" w:rsidRDefault="009E2774" w:rsidP="00390884">
      <w:pPr>
        <w:spacing w:line="360" w:lineRule="auto"/>
        <w:jc w:val="both"/>
        <w:rPr>
          <w:rFonts w:ascii="Arial" w:hAnsi="Arial" w:cs="Arial"/>
          <w:sz w:val="24"/>
          <w:szCs w:val="24"/>
        </w:rPr>
      </w:pPr>
    </w:p>
    <w:p w14:paraId="2A809A54" w14:textId="7FFFFD24" w:rsidR="0027483E" w:rsidRPr="00390884" w:rsidRDefault="0027483E" w:rsidP="00390884">
      <w:pPr>
        <w:spacing w:line="360" w:lineRule="auto"/>
        <w:jc w:val="both"/>
        <w:rPr>
          <w:rFonts w:ascii="Arial" w:hAnsi="Arial" w:cs="Arial"/>
          <w:sz w:val="24"/>
          <w:szCs w:val="24"/>
        </w:rPr>
      </w:pPr>
      <w:r w:rsidRPr="00390884">
        <w:rPr>
          <w:rFonts w:ascii="Arial" w:hAnsi="Arial" w:cs="Arial"/>
          <w:sz w:val="24"/>
          <w:szCs w:val="24"/>
        </w:rPr>
        <w:t>References:</w:t>
      </w:r>
    </w:p>
    <w:p w14:paraId="22AD41C3" w14:textId="77777777" w:rsidR="0027483E" w:rsidRPr="00390884" w:rsidRDefault="0027483E" w:rsidP="00390884">
      <w:pPr>
        <w:spacing w:line="360" w:lineRule="auto"/>
        <w:jc w:val="both"/>
        <w:rPr>
          <w:rFonts w:ascii="Arial" w:hAnsi="Arial" w:cs="Arial"/>
          <w:sz w:val="24"/>
          <w:szCs w:val="24"/>
        </w:rPr>
      </w:pPr>
    </w:p>
    <w:p w14:paraId="6BC0A6FC" w14:textId="77777777" w:rsidR="0027483E" w:rsidRPr="00390884" w:rsidRDefault="0027483E" w:rsidP="00390884">
      <w:pPr>
        <w:spacing w:line="360" w:lineRule="auto"/>
        <w:jc w:val="both"/>
        <w:rPr>
          <w:rFonts w:ascii="Arial" w:hAnsi="Arial" w:cs="Arial"/>
          <w:sz w:val="24"/>
          <w:szCs w:val="24"/>
        </w:rPr>
      </w:pPr>
      <w:r w:rsidRPr="00390884">
        <w:rPr>
          <w:rFonts w:ascii="Arial" w:hAnsi="Arial" w:cs="Arial"/>
          <w:sz w:val="24"/>
          <w:szCs w:val="24"/>
        </w:rPr>
        <w:t>Getz, D., &amp; Page, S. J. (2020). Event Studies: Theory, Research, and Policy for Planned Events (2nd ed.). Routledge.</w:t>
      </w:r>
    </w:p>
    <w:p w14:paraId="58D306E2" w14:textId="77777777" w:rsidR="0027483E" w:rsidRPr="00390884" w:rsidRDefault="0027483E" w:rsidP="00390884">
      <w:pPr>
        <w:spacing w:line="360" w:lineRule="auto"/>
        <w:jc w:val="both"/>
        <w:rPr>
          <w:rFonts w:ascii="Arial" w:hAnsi="Arial" w:cs="Arial"/>
          <w:sz w:val="24"/>
          <w:szCs w:val="24"/>
        </w:rPr>
      </w:pPr>
    </w:p>
    <w:p w14:paraId="32BBF72D" w14:textId="77777777" w:rsidR="0027483E" w:rsidRPr="00390884" w:rsidRDefault="0027483E" w:rsidP="00390884">
      <w:pPr>
        <w:spacing w:line="360" w:lineRule="auto"/>
        <w:jc w:val="both"/>
        <w:rPr>
          <w:rFonts w:ascii="Arial" w:hAnsi="Arial" w:cs="Arial"/>
          <w:sz w:val="24"/>
          <w:szCs w:val="24"/>
        </w:rPr>
      </w:pPr>
      <w:r w:rsidRPr="00390884">
        <w:rPr>
          <w:rFonts w:ascii="Arial" w:hAnsi="Arial" w:cs="Arial"/>
          <w:sz w:val="24"/>
          <w:szCs w:val="24"/>
        </w:rPr>
        <w:t>Smith, A. (2019). Risk and Resilience in the Events Industry: A New Conceptual Framework. Event Management, 23(2), 177-189.</w:t>
      </w:r>
    </w:p>
    <w:p w14:paraId="7006427A" w14:textId="77777777" w:rsidR="0027483E" w:rsidRPr="00390884" w:rsidRDefault="0027483E" w:rsidP="00390884">
      <w:pPr>
        <w:spacing w:line="360" w:lineRule="auto"/>
        <w:jc w:val="both"/>
        <w:rPr>
          <w:rFonts w:ascii="Arial" w:hAnsi="Arial" w:cs="Arial"/>
          <w:sz w:val="24"/>
          <w:szCs w:val="24"/>
        </w:rPr>
      </w:pPr>
    </w:p>
    <w:p w14:paraId="36DA3005" w14:textId="3B3126F3" w:rsidR="0027483E" w:rsidRPr="00390884" w:rsidRDefault="0027483E" w:rsidP="00390884">
      <w:pPr>
        <w:spacing w:line="360" w:lineRule="auto"/>
        <w:jc w:val="both"/>
        <w:rPr>
          <w:rFonts w:ascii="Arial" w:hAnsi="Arial" w:cs="Arial"/>
          <w:sz w:val="24"/>
          <w:szCs w:val="24"/>
        </w:rPr>
      </w:pPr>
      <w:r w:rsidRPr="00390884">
        <w:rPr>
          <w:rFonts w:ascii="Arial" w:hAnsi="Arial" w:cs="Arial"/>
          <w:sz w:val="24"/>
          <w:szCs w:val="24"/>
        </w:rPr>
        <w:t xml:space="preserve">Font, X., McCabe, S., &amp; </w:t>
      </w:r>
      <w:proofErr w:type="spellStart"/>
      <w:r w:rsidRPr="00390884">
        <w:rPr>
          <w:rFonts w:ascii="Arial" w:hAnsi="Arial" w:cs="Arial"/>
          <w:sz w:val="24"/>
          <w:szCs w:val="24"/>
        </w:rPr>
        <w:t>Gollnhofer</w:t>
      </w:r>
      <w:proofErr w:type="spellEnd"/>
      <w:r w:rsidRPr="00390884">
        <w:rPr>
          <w:rFonts w:ascii="Arial" w:hAnsi="Arial" w:cs="Arial"/>
          <w:sz w:val="24"/>
          <w:szCs w:val="24"/>
        </w:rPr>
        <w:t>, J. F. (2020). The Co-Creation of Sustainable Event Management Practices: A research Agenda. Journal of Sustainable Tourism, 28(6), 847-864.</w:t>
      </w:r>
    </w:p>
    <w:p w14:paraId="0BB4E638" w14:textId="77777777" w:rsidR="00B9530E" w:rsidRPr="00390884" w:rsidRDefault="00B9530E" w:rsidP="00390884">
      <w:pPr>
        <w:spacing w:line="360" w:lineRule="auto"/>
        <w:jc w:val="both"/>
        <w:rPr>
          <w:rFonts w:ascii="Arial" w:hAnsi="Arial" w:cs="Arial"/>
          <w:sz w:val="24"/>
          <w:szCs w:val="24"/>
        </w:rPr>
      </w:pPr>
    </w:p>
    <w:p w14:paraId="04BEF185" w14:textId="7CF0173D" w:rsidR="00B9530E" w:rsidRDefault="00B9530E" w:rsidP="00390884">
      <w:pPr>
        <w:spacing w:line="360" w:lineRule="auto"/>
        <w:jc w:val="both"/>
        <w:rPr>
          <w:rFonts w:ascii="Arial" w:hAnsi="Arial" w:cs="Arial"/>
          <w:sz w:val="24"/>
          <w:szCs w:val="24"/>
        </w:rPr>
      </w:pPr>
      <w:proofErr w:type="spellStart"/>
      <w:r w:rsidRPr="00390884">
        <w:rPr>
          <w:rFonts w:ascii="Arial" w:hAnsi="Arial" w:cs="Arial"/>
          <w:sz w:val="24"/>
          <w:szCs w:val="24"/>
        </w:rPr>
        <w:t>Bowdin</w:t>
      </w:r>
      <w:proofErr w:type="spellEnd"/>
      <w:r w:rsidRPr="00390884">
        <w:rPr>
          <w:rFonts w:ascii="Arial" w:hAnsi="Arial" w:cs="Arial"/>
          <w:sz w:val="24"/>
          <w:szCs w:val="24"/>
        </w:rPr>
        <w:t>, G., Allen, J., O’Toole, W., Harris, R., &amp; McDonnell, I. (2011). Events management. Routledge.</w:t>
      </w:r>
    </w:p>
    <w:p w14:paraId="2170BA93" w14:textId="77777777" w:rsidR="00390884" w:rsidRPr="00390884" w:rsidRDefault="00390884" w:rsidP="00390884">
      <w:pPr>
        <w:spacing w:line="360" w:lineRule="auto"/>
        <w:jc w:val="both"/>
        <w:rPr>
          <w:rFonts w:ascii="Arial" w:hAnsi="Arial" w:cs="Arial"/>
          <w:sz w:val="24"/>
          <w:szCs w:val="24"/>
        </w:rPr>
      </w:pPr>
    </w:p>
    <w:p w14:paraId="2C443D54" w14:textId="41BBAA07" w:rsidR="00B9530E" w:rsidRDefault="00B9530E" w:rsidP="00390884">
      <w:pPr>
        <w:spacing w:line="360" w:lineRule="auto"/>
        <w:jc w:val="both"/>
        <w:rPr>
          <w:rFonts w:ascii="Arial" w:hAnsi="Arial" w:cs="Arial"/>
          <w:sz w:val="24"/>
          <w:szCs w:val="24"/>
        </w:rPr>
      </w:pPr>
      <w:r w:rsidRPr="00390884">
        <w:rPr>
          <w:rFonts w:ascii="Arial" w:hAnsi="Arial" w:cs="Arial"/>
          <w:sz w:val="24"/>
          <w:szCs w:val="24"/>
        </w:rPr>
        <w:t>Crouch, G. I., &amp; Ritchie, J. R. (1999). Tourism, competitiveness, and societal prosperity. Journal of Business Research, 44(3), 137-152.</w:t>
      </w:r>
    </w:p>
    <w:p w14:paraId="639D32F9" w14:textId="77777777" w:rsidR="00390884" w:rsidRPr="00390884" w:rsidRDefault="00390884" w:rsidP="00390884">
      <w:pPr>
        <w:spacing w:line="360" w:lineRule="auto"/>
        <w:jc w:val="both"/>
        <w:rPr>
          <w:rFonts w:ascii="Arial" w:hAnsi="Arial" w:cs="Arial"/>
          <w:sz w:val="24"/>
          <w:szCs w:val="24"/>
        </w:rPr>
      </w:pPr>
    </w:p>
    <w:p w14:paraId="5FBA680C" w14:textId="21510ECA" w:rsidR="00B9530E" w:rsidRDefault="00B9530E" w:rsidP="00390884">
      <w:pPr>
        <w:spacing w:line="360" w:lineRule="auto"/>
        <w:jc w:val="both"/>
        <w:rPr>
          <w:rFonts w:ascii="Arial" w:hAnsi="Arial" w:cs="Arial"/>
          <w:sz w:val="24"/>
          <w:szCs w:val="24"/>
        </w:rPr>
      </w:pPr>
      <w:r w:rsidRPr="00390884">
        <w:rPr>
          <w:rFonts w:ascii="Arial" w:hAnsi="Arial" w:cs="Arial"/>
          <w:sz w:val="24"/>
          <w:szCs w:val="24"/>
        </w:rPr>
        <w:t>Pine, B. J., &amp; Gilmore, J. H. (1998). Welcome to the experience economy. Harvard business review, 76(4), 97-105.</w:t>
      </w:r>
    </w:p>
    <w:p w14:paraId="016DB314" w14:textId="77777777" w:rsidR="00390884" w:rsidRPr="00390884" w:rsidRDefault="00390884" w:rsidP="00390884">
      <w:pPr>
        <w:spacing w:line="360" w:lineRule="auto"/>
        <w:jc w:val="both"/>
        <w:rPr>
          <w:rFonts w:ascii="Arial" w:hAnsi="Arial" w:cs="Arial"/>
          <w:sz w:val="24"/>
          <w:szCs w:val="24"/>
        </w:rPr>
      </w:pPr>
    </w:p>
    <w:p w14:paraId="7566B6BA" w14:textId="39F4E428" w:rsidR="008A5525" w:rsidRDefault="008A5525" w:rsidP="00390884">
      <w:pPr>
        <w:spacing w:line="360" w:lineRule="auto"/>
        <w:jc w:val="both"/>
        <w:rPr>
          <w:rFonts w:ascii="Arial" w:eastAsia="Times New Roman" w:hAnsi="Arial" w:cs="Arial"/>
          <w:color w:val="000000"/>
          <w:sz w:val="24"/>
          <w:szCs w:val="24"/>
        </w:rPr>
      </w:pPr>
      <w:r w:rsidRPr="00390884">
        <w:rPr>
          <w:rFonts w:ascii="Arial" w:eastAsia="Times New Roman" w:hAnsi="Arial" w:cs="Arial"/>
          <w:color w:val="000000"/>
          <w:sz w:val="24"/>
          <w:szCs w:val="24"/>
        </w:rPr>
        <w:t>Getz, D., &amp; Page, S. J. (2020). Event studies: Theory, research, and policy for planned events (2nd ed.). Routledge.</w:t>
      </w:r>
    </w:p>
    <w:p w14:paraId="6C9A4AD1" w14:textId="77777777" w:rsidR="00390884" w:rsidRPr="00390884" w:rsidRDefault="00390884" w:rsidP="00390884">
      <w:pPr>
        <w:spacing w:line="360" w:lineRule="auto"/>
        <w:jc w:val="both"/>
        <w:rPr>
          <w:rFonts w:ascii="Arial" w:eastAsia="Times New Roman" w:hAnsi="Arial" w:cs="Arial"/>
          <w:color w:val="000000"/>
          <w:sz w:val="24"/>
          <w:szCs w:val="24"/>
        </w:rPr>
      </w:pPr>
    </w:p>
    <w:p w14:paraId="007CE13B" w14:textId="26D80799" w:rsidR="008A5525" w:rsidRDefault="008A5525" w:rsidP="00390884">
      <w:pPr>
        <w:spacing w:line="360" w:lineRule="auto"/>
        <w:jc w:val="both"/>
        <w:rPr>
          <w:rFonts w:ascii="Arial" w:eastAsia="Times New Roman" w:hAnsi="Arial" w:cs="Arial"/>
          <w:color w:val="000000"/>
          <w:sz w:val="24"/>
          <w:szCs w:val="24"/>
        </w:rPr>
      </w:pPr>
      <w:proofErr w:type="spellStart"/>
      <w:r w:rsidRPr="00390884">
        <w:rPr>
          <w:rFonts w:ascii="Arial" w:eastAsia="Times New Roman" w:hAnsi="Arial" w:cs="Arial"/>
          <w:color w:val="000000"/>
          <w:sz w:val="24"/>
          <w:szCs w:val="24"/>
        </w:rPr>
        <w:t>Kotler</w:t>
      </w:r>
      <w:proofErr w:type="spellEnd"/>
      <w:r w:rsidRPr="00390884">
        <w:rPr>
          <w:rFonts w:ascii="Arial" w:eastAsia="Times New Roman" w:hAnsi="Arial" w:cs="Arial"/>
          <w:color w:val="000000"/>
          <w:sz w:val="24"/>
          <w:szCs w:val="24"/>
        </w:rPr>
        <w:t>, P., &amp; Keller, K. L. (2016). Marketing management (15th ed.). Pearson Education.</w:t>
      </w:r>
    </w:p>
    <w:p w14:paraId="6F632715" w14:textId="77777777" w:rsidR="00390884" w:rsidRPr="00390884" w:rsidRDefault="00390884" w:rsidP="00390884">
      <w:pPr>
        <w:spacing w:line="360" w:lineRule="auto"/>
        <w:jc w:val="both"/>
        <w:rPr>
          <w:rFonts w:ascii="Arial" w:eastAsia="Times New Roman" w:hAnsi="Arial" w:cs="Arial"/>
          <w:color w:val="000000"/>
          <w:sz w:val="24"/>
          <w:szCs w:val="24"/>
        </w:rPr>
      </w:pPr>
    </w:p>
    <w:p w14:paraId="51D937E0" w14:textId="70DE8383" w:rsidR="008A5525" w:rsidRDefault="008A5525" w:rsidP="00390884">
      <w:pPr>
        <w:spacing w:line="360" w:lineRule="auto"/>
        <w:jc w:val="both"/>
        <w:rPr>
          <w:rFonts w:ascii="Arial" w:eastAsia="Times New Roman" w:hAnsi="Arial" w:cs="Arial"/>
          <w:color w:val="000000"/>
          <w:sz w:val="24"/>
          <w:szCs w:val="24"/>
        </w:rPr>
      </w:pPr>
      <w:proofErr w:type="spellStart"/>
      <w:r w:rsidRPr="00390884">
        <w:rPr>
          <w:rFonts w:ascii="Arial" w:eastAsia="Times New Roman" w:hAnsi="Arial" w:cs="Arial"/>
          <w:color w:val="000000"/>
          <w:sz w:val="24"/>
          <w:szCs w:val="24"/>
        </w:rPr>
        <w:t>Pfeffer</w:t>
      </w:r>
      <w:proofErr w:type="spellEnd"/>
      <w:r w:rsidRPr="00390884">
        <w:rPr>
          <w:rFonts w:ascii="Arial" w:eastAsia="Times New Roman" w:hAnsi="Arial" w:cs="Arial"/>
          <w:color w:val="000000"/>
          <w:sz w:val="24"/>
          <w:szCs w:val="24"/>
        </w:rPr>
        <w:t xml:space="preserve">, J., &amp; </w:t>
      </w:r>
      <w:proofErr w:type="spellStart"/>
      <w:r w:rsidRPr="00390884">
        <w:rPr>
          <w:rFonts w:ascii="Arial" w:eastAsia="Times New Roman" w:hAnsi="Arial" w:cs="Arial"/>
          <w:color w:val="000000"/>
          <w:sz w:val="24"/>
          <w:szCs w:val="24"/>
        </w:rPr>
        <w:t>Salancik</w:t>
      </w:r>
      <w:proofErr w:type="spellEnd"/>
      <w:r w:rsidRPr="00390884">
        <w:rPr>
          <w:rFonts w:ascii="Arial" w:eastAsia="Times New Roman" w:hAnsi="Arial" w:cs="Arial"/>
          <w:color w:val="000000"/>
          <w:sz w:val="24"/>
          <w:szCs w:val="24"/>
        </w:rPr>
        <w:t>, G. R. (2003). The external control of organisations: A resource dependence perspective. Stanford University Press.</w:t>
      </w:r>
    </w:p>
    <w:p w14:paraId="17B6C6EC" w14:textId="77777777" w:rsidR="00390884" w:rsidRPr="00390884" w:rsidRDefault="00390884" w:rsidP="00390884">
      <w:pPr>
        <w:spacing w:line="360" w:lineRule="auto"/>
        <w:jc w:val="both"/>
        <w:rPr>
          <w:rFonts w:ascii="Arial" w:eastAsia="Times New Roman" w:hAnsi="Arial" w:cs="Arial"/>
          <w:color w:val="000000"/>
          <w:sz w:val="24"/>
          <w:szCs w:val="24"/>
        </w:rPr>
      </w:pPr>
    </w:p>
    <w:p w14:paraId="569207EC" w14:textId="469DB381" w:rsidR="00FE33B6" w:rsidRPr="00390884" w:rsidRDefault="00FE33B6" w:rsidP="00390884">
      <w:pPr>
        <w:spacing w:line="360" w:lineRule="auto"/>
        <w:jc w:val="both"/>
        <w:rPr>
          <w:rFonts w:ascii="Arial" w:hAnsi="Arial" w:cs="Arial"/>
          <w:sz w:val="24"/>
          <w:szCs w:val="24"/>
        </w:rPr>
      </w:pPr>
      <w:r w:rsidRPr="00390884">
        <w:rPr>
          <w:rFonts w:ascii="Arial" w:hAnsi="Arial" w:cs="Arial"/>
          <w:sz w:val="24"/>
          <w:szCs w:val="24"/>
        </w:rPr>
        <w:lastRenderedPageBreak/>
        <w:t xml:space="preserve">DiMaggio, P. J., &amp; Powell, W. W. (1983). The iron cage revisited: Institutional isomorphism and collective rationality in </w:t>
      </w:r>
      <w:r w:rsidR="007A005B" w:rsidRPr="00390884">
        <w:rPr>
          <w:rFonts w:ascii="Arial" w:hAnsi="Arial" w:cs="Arial"/>
          <w:sz w:val="24"/>
          <w:szCs w:val="24"/>
        </w:rPr>
        <w:t>organisational</w:t>
      </w:r>
      <w:r w:rsidRPr="00390884">
        <w:rPr>
          <w:rFonts w:ascii="Arial" w:hAnsi="Arial" w:cs="Arial"/>
          <w:sz w:val="24"/>
          <w:szCs w:val="24"/>
        </w:rPr>
        <w:t xml:space="preserve"> fields. American Sociological Review, 48(2), 147–160.</w:t>
      </w:r>
    </w:p>
    <w:p w14:paraId="23D45C63" w14:textId="6AE939D4" w:rsidR="00FE33B6" w:rsidRDefault="00FE33B6" w:rsidP="00390884">
      <w:pPr>
        <w:spacing w:line="360" w:lineRule="auto"/>
        <w:jc w:val="both"/>
        <w:rPr>
          <w:rFonts w:ascii="Arial" w:hAnsi="Arial" w:cs="Arial"/>
          <w:sz w:val="24"/>
          <w:szCs w:val="24"/>
        </w:rPr>
      </w:pPr>
      <w:r w:rsidRPr="00390884">
        <w:rPr>
          <w:rFonts w:ascii="Arial" w:hAnsi="Arial" w:cs="Arial"/>
          <w:sz w:val="24"/>
          <w:szCs w:val="24"/>
        </w:rPr>
        <w:t>Elkington, J. (1994). Towards the sustainable corporation: Win-win-win business strategies for sustainable development. California Management Review, 36(2), 90–100.</w:t>
      </w:r>
    </w:p>
    <w:p w14:paraId="66D4AB62" w14:textId="77777777" w:rsidR="00390884" w:rsidRPr="00390884" w:rsidRDefault="00390884" w:rsidP="00390884">
      <w:pPr>
        <w:spacing w:line="360" w:lineRule="auto"/>
        <w:jc w:val="both"/>
        <w:rPr>
          <w:rFonts w:ascii="Arial" w:hAnsi="Arial" w:cs="Arial"/>
          <w:sz w:val="24"/>
          <w:szCs w:val="24"/>
        </w:rPr>
      </w:pPr>
    </w:p>
    <w:p w14:paraId="79B04446" w14:textId="77777777" w:rsidR="00C94F11" w:rsidRPr="00390884" w:rsidRDefault="00C94F11" w:rsidP="00390884">
      <w:pPr>
        <w:spacing w:line="360" w:lineRule="auto"/>
        <w:jc w:val="both"/>
        <w:rPr>
          <w:rFonts w:ascii="Arial" w:eastAsia="Times New Roman" w:hAnsi="Arial" w:cs="Arial"/>
          <w:color w:val="000000"/>
          <w:sz w:val="24"/>
          <w:szCs w:val="24"/>
        </w:rPr>
      </w:pPr>
      <w:r w:rsidRPr="00390884">
        <w:rPr>
          <w:rFonts w:ascii="Arial" w:eastAsia="Times New Roman" w:hAnsi="Arial" w:cs="Arial"/>
          <w:color w:val="000000"/>
          <w:sz w:val="24"/>
          <w:szCs w:val="24"/>
        </w:rPr>
        <w:t>Anderson, C. (2004). The Long Tail. Wired, 12(10), 170-177.</w:t>
      </w:r>
    </w:p>
    <w:p w14:paraId="7A3817C7" w14:textId="77777777" w:rsidR="00C94F11" w:rsidRPr="00390884" w:rsidRDefault="00C94F11" w:rsidP="00390884">
      <w:pPr>
        <w:spacing w:line="360" w:lineRule="auto"/>
        <w:jc w:val="both"/>
        <w:rPr>
          <w:rFonts w:ascii="Arial" w:eastAsia="Times New Roman" w:hAnsi="Arial" w:cs="Arial"/>
          <w:color w:val="000000"/>
          <w:sz w:val="24"/>
          <w:szCs w:val="24"/>
        </w:rPr>
      </w:pPr>
    </w:p>
    <w:p w14:paraId="54F53224" w14:textId="77777777" w:rsidR="00C94F11" w:rsidRPr="00390884" w:rsidRDefault="00C94F11" w:rsidP="00390884">
      <w:pPr>
        <w:spacing w:line="360" w:lineRule="auto"/>
        <w:jc w:val="both"/>
        <w:rPr>
          <w:rFonts w:ascii="Arial" w:eastAsia="Times New Roman" w:hAnsi="Arial" w:cs="Arial"/>
          <w:color w:val="000000"/>
          <w:sz w:val="24"/>
          <w:szCs w:val="24"/>
        </w:rPr>
      </w:pPr>
      <w:proofErr w:type="spellStart"/>
      <w:r w:rsidRPr="00390884">
        <w:rPr>
          <w:rFonts w:ascii="Arial" w:eastAsia="Times New Roman" w:hAnsi="Arial" w:cs="Arial"/>
          <w:color w:val="000000"/>
          <w:sz w:val="24"/>
          <w:szCs w:val="24"/>
        </w:rPr>
        <w:t>Grönroos</w:t>
      </w:r>
      <w:proofErr w:type="spellEnd"/>
      <w:r w:rsidRPr="00390884">
        <w:rPr>
          <w:rFonts w:ascii="Arial" w:eastAsia="Times New Roman" w:hAnsi="Arial" w:cs="Arial"/>
          <w:color w:val="000000"/>
          <w:sz w:val="24"/>
          <w:szCs w:val="24"/>
        </w:rPr>
        <w:t>, C. (1994). From Marketing Mix to Relationship Marketing: Towards a Paradigm Shift in Marketing. Management Decision, 32(2), 4-20.</w:t>
      </w:r>
    </w:p>
    <w:p w14:paraId="5D916ADD" w14:textId="77777777" w:rsidR="00C94F11" w:rsidRPr="00390884" w:rsidRDefault="00C94F11" w:rsidP="00390884">
      <w:pPr>
        <w:spacing w:line="360" w:lineRule="auto"/>
        <w:jc w:val="both"/>
        <w:rPr>
          <w:rFonts w:ascii="Arial" w:eastAsia="Times New Roman" w:hAnsi="Arial" w:cs="Arial"/>
          <w:color w:val="000000"/>
          <w:sz w:val="24"/>
          <w:szCs w:val="24"/>
        </w:rPr>
      </w:pPr>
    </w:p>
    <w:p w14:paraId="2EBD8DAF" w14:textId="77777777" w:rsidR="00C94F11" w:rsidRPr="00390884" w:rsidRDefault="00C94F11" w:rsidP="00390884">
      <w:pPr>
        <w:spacing w:line="360" w:lineRule="auto"/>
        <w:jc w:val="both"/>
        <w:rPr>
          <w:rFonts w:ascii="Arial" w:eastAsia="Times New Roman" w:hAnsi="Arial" w:cs="Arial"/>
          <w:color w:val="000000"/>
          <w:sz w:val="24"/>
          <w:szCs w:val="24"/>
        </w:rPr>
      </w:pPr>
      <w:r w:rsidRPr="00390884">
        <w:rPr>
          <w:rFonts w:ascii="Arial" w:eastAsia="Times New Roman" w:hAnsi="Arial" w:cs="Arial"/>
          <w:color w:val="000000"/>
          <w:sz w:val="24"/>
          <w:szCs w:val="24"/>
        </w:rPr>
        <w:t>Jenkins, H. (2006). Convergence Culture: Where Old and New Media Collide. New York: New York University Press.</w:t>
      </w:r>
    </w:p>
    <w:p w14:paraId="38F12D8B" w14:textId="77777777" w:rsidR="00C94F11" w:rsidRPr="00390884" w:rsidRDefault="00C94F11" w:rsidP="00390884">
      <w:pPr>
        <w:spacing w:line="360" w:lineRule="auto"/>
        <w:jc w:val="both"/>
        <w:rPr>
          <w:rFonts w:ascii="Arial" w:eastAsia="Times New Roman" w:hAnsi="Arial" w:cs="Arial"/>
          <w:color w:val="000000"/>
          <w:sz w:val="24"/>
          <w:szCs w:val="24"/>
        </w:rPr>
      </w:pPr>
    </w:p>
    <w:p w14:paraId="176D0577" w14:textId="77777777" w:rsidR="00C94F11" w:rsidRDefault="00C94F11" w:rsidP="00390884">
      <w:pPr>
        <w:spacing w:line="360" w:lineRule="auto"/>
        <w:jc w:val="both"/>
        <w:rPr>
          <w:rFonts w:ascii="Arial" w:eastAsia="Times New Roman" w:hAnsi="Arial" w:cs="Arial"/>
          <w:color w:val="000000"/>
          <w:sz w:val="24"/>
          <w:szCs w:val="24"/>
        </w:rPr>
      </w:pPr>
      <w:r w:rsidRPr="00390884">
        <w:rPr>
          <w:rFonts w:ascii="Arial" w:eastAsia="Times New Roman" w:hAnsi="Arial" w:cs="Arial"/>
          <w:color w:val="000000"/>
          <w:sz w:val="24"/>
          <w:szCs w:val="24"/>
        </w:rPr>
        <w:t>McQuail, D. (2010). McQuail's Mass Communication Theory. London: SAGE Publications.</w:t>
      </w:r>
    </w:p>
    <w:p w14:paraId="60099913" w14:textId="77777777" w:rsidR="00390884" w:rsidRPr="00390884" w:rsidRDefault="00390884" w:rsidP="00390884">
      <w:pPr>
        <w:spacing w:line="360" w:lineRule="auto"/>
        <w:jc w:val="both"/>
        <w:rPr>
          <w:rFonts w:ascii="Arial" w:eastAsia="Times New Roman" w:hAnsi="Arial" w:cs="Arial"/>
          <w:color w:val="000000"/>
          <w:sz w:val="24"/>
          <w:szCs w:val="24"/>
        </w:rPr>
      </w:pPr>
    </w:p>
    <w:p w14:paraId="29053455" w14:textId="77777777" w:rsidR="00542045" w:rsidRDefault="00542045" w:rsidP="00390884">
      <w:pPr>
        <w:spacing w:line="360" w:lineRule="auto"/>
        <w:jc w:val="both"/>
        <w:rPr>
          <w:rFonts w:ascii="Arial" w:eastAsia="Times New Roman" w:hAnsi="Arial" w:cs="Arial"/>
          <w:color w:val="000000"/>
          <w:sz w:val="24"/>
          <w:szCs w:val="24"/>
        </w:rPr>
      </w:pPr>
      <w:r w:rsidRPr="00390884">
        <w:rPr>
          <w:rFonts w:ascii="Arial" w:eastAsia="Times New Roman" w:hAnsi="Arial" w:cs="Arial"/>
          <w:color w:val="000000"/>
          <w:sz w:val="24"/>
          <w:szCs w:val="24"/>
        </w:rPr>
        <w:t>Berger, C. R., &amp; Calabrese, R. J. (1975). Some Explorations in Initial Interaction and Beyond: Toward a Developmental Theory of Interpersonal Communication. Human Communication Research, 1(2), 99–112.</w:t>
      </w:r>
    </w:p>
    <w:p w14:paraId="68B8B657" w14:textId="77777777" w:rsidR="00390884" w:rsidRPr="00390884" w:rsidRDefault="00390884" w:rsidP="00390884">
      <w:pPr>
        <w:spacing w:line="360" w:lineRule="auto"/>
        <w:jc w:val="both"/>
        <w:rPr>
          <w:rFonts w:ascii="Arial" w:eastAsia="Times New Roman" w:hAnsi="Arial" w:cs="Arial"/>
          <w:color w:val="000000"/>
          <w:sz w:val="24"/>
          <w:szCs w:val="24"/>
        </w:rPr>
      </w:pPr>
    </w:p>
    <w:p w14:paraId="47B57732" w14:textId="77777777" w:rsidR="00542045" w:rsidRDefault="00542045" w:rsidP="00390884">
      <w:pPr>
        <w:spacing w:line="360" w:lineRule="auto"/>
        <w:jc w:val="both"/>
        <w:rPr>
          <w:rFonts w:ascii="Arial" w:eastAsia="Times New Roman" w:hAnsi="Arial" w:cs="Arial"/>
          <w:color w:val="000000"/>
          <w:sz w:val="24"/>
          <w:szCs w:val="24"/>
        </w:rPr>
      </w:pPr>
      <w:r w:rsidRPr="00390884">
        <w:rPr>
          <w:rFonts w:ascii="Arial" w:eastAsia="Times New Roman" w:hAnsi="Arial" w:cs="Arial"/>
          <w:color w:val="000000"/>
          <w:sz w:val="24"/>
          <w:szCs w:val="24"/>
        </w:rPr>
        <w:t>Van Der Heijden, K. (1996). Scenarios: The Art of Strategic Conversation. John Wiley &amp; Sons.</w:t>
      </w:r>
    </w:p>
    <w:p w14:paraId="2FA4612B" w14:textId="77777777" w:rsidR="00390884" w:rsidRPr="00390884" w:rsidRDefault="00390884" w:rsidP="00390884">
      <w:pPr>
        <w:spacing w:line="360" w:lineRule="auto"/>
        <w:jc w:val="both"/>
        <w:rPr>
          <w:rFonts w:ascii="Arial" w:eastAsia="Times New Roman" w:hAnsi="Arial" w:cs="Arial"/>
          <w:color w:val="000000"/>
          <w:sz w:val="24"/>
          <w:szCs w:val="24"/>
        </w:rPr>
      </w:pPr>
    </w:p>
    <w:p w14:paraId="17AA9C99" w14:textId="77777777" w:rsidR="00542045" w:rsidRDefault="00542045" w:rsidP="00390884">
      <w:pPr>
        <w:spacing w:line="360" w:lineRule="auto"/>
        <w:jc w:val="both"/>
        <w:rPr>
          <w:rFonts w:ascii="Arial" w:eastAsia="Times New Roman" w:hAnsi="Arial" w:cs="Arial"/>
          <w:color w:val="000000"/>
          <w:sz w:val="24"/>
          <w:szCs w:val="24"/>
        </w:rPr>
      </w:pPr>
      <w:r w:rsidRPr="00390884">
        <w:rPr>
          <w:rFonts w:ascii="Arial" w:eastAsia="Times New Roman" w:hAnsi="Arial" w:cs="Arial"/>
          <w:color w:val="000000"/>
          <w:sz w:val="24"/>
          <w:szCs w:val="24"/>
        </w:rPr>
        <w:t>Allen, J. (2012). Festival and Special Event Management. John Wiley &amp; Sons.</w:t>
      </w:r>
    </w:p>
    <w:p w14:paraId="70D8E992" w14:textId="77777777" w:rsidR="00390884" w:rsidRPr="00390884" w:rsidRDefault="00390884" w:rsidP="00390884">
      <w:pPr>
        <w:spacing w:line="360" w:lineRule="auto"/>
        <w:jc w:val="both"/>
        <w:rPr>
          <w:rFonts w:ascii="Arial" w:eastAsia="Times New Roman" w:hAnsi="Arial" w:cs="Arial"/>
          <w:color w:val="000000"/>
          <w:sz w:val="24"/>
          <w:szCs w:val="24"/>
        </w:rPr>
      </w:pPr>
    </w:p>
    <w:p w14:paraId="07464E7C" w14:textId="77777777" w:rsidR="00542045" w:rsidRDefault="00542045" w:rsidP="00390884">
      <w:pPr>
        <w:spacing w:line="360" w:lineRule="auto"/>
        <w:jc w:val="both"/>
        <w:rPr>
          <w:rFonts w:ascii="Arial" w:eastAsia="Times New Roman" w:hAnsi="Arial" w:cs="Arial"/>
          <w:color w:val="000000"/>
          <w:sz w:val="24"/>
          <w:szCs w:val="24"/>
        </w:rPr>
      </w:pPr>
      <w:r w:rsidRPr="00390884">
        <w:rPr>
          <w:rFonts w:ascii="Arial" w:eastAsia="Times New Roman" w:hAnsi="Arial" w:cs="Arial"/>
          <w:color w:val="000000"/>
          <w:sz w:val="24"/>
          <w:szCs w:val="24"/>
        </w:rPr>
        <w:t>Hall, C. M. (2015). Event Management: Theory and Practice. Routledge.</w:t>
      </w:r>
    </w:p>
    <w:p w14:paraId="389B945C" w14:textId="77777777" w:rsidR="00390884" w:rsidRPr="00390884" w:rsidRDefault="00390884" w:rsidP="00390884">
      <w:pPr>
        <w:spacing w:line="360" w:lineRule="auto"/>
        <w:jc w:val="both"/>
        <w:rPr>
          <w:rFonts w:ascii="Arial" w:eastAsia="Times New Roman" w:hAnsi="Arial" w:cs="Arial"/>
          <w:color w:val="000000"/>
          <w:sz w:val="24"/>
          <w:szCs w:val="24"/>
        </w:rPr>
      </w:pPr>
    </w:p>
    <w:p w14:paraId="1D8E3DE7" w14:textId="24F5D9D9" w:rsidR="007A005B" w:rsidRDefault="007A005B" w:rsidP="00390884">
      <w:pPr>
        <w:spacing w:line="360" w:lineRule="auto"/>
        <w:jc w:val="both"/>
        <w:rPr>
          <w:rFonts w:ascii="Arial" w:eastAsia="Times New Roman" w:hAnsi="Arial" w:cs="Arial"/>
          <w:color w:val="000000"/>
          <w:sz w:val="24"/>
          <w:szCs w:val="24"/>
        </w:rPr>
      </w:pPr>
      <w:proofErr w:type="spellStart"/>
      <w:r w:rsidRPr="00390884">
        <w:rPr>
          <w:rFonts w:ascii="Arial" w:eastAsia="Times New Roman" w:hAnsi="Arial" w:cs="Arial"/>
          <w:color w:val="000000"/>
          <w:sz w:val="24"/>
          <w:szCs w:val="24"/>
        </w:rPr>
        <w:t>Ajzen</w:t>
      </w:r>
      <w:proofErr w:type="spellEnd"/>
      <w:r w:rsidRPr="00390884">
        <w:rPr>
          <w:rFonts w:ascii="Arial" w:eastAsia="Times New Roman" w:hAnsi="Arial" w:cs="Arial"/>
          <w:color w:val="000000"/>
          <w:sz w:val="24"/>
          <w:szCs w:val="24"/>
        </w:rPr>
        <w:t xml:space="preserve">, I. (1991). The theory of planned </w:t>
      </w:r>
      <w:r w:rsidR="00390884" w:rsidRPr="00390884">
        <w:rPr>
          <w:rFonts w:ascii="Arial" w:eastAsia="Times New Roman" w:hAnsi="Arial" w:cs="Arial"/>
          <w:color w:val="000000"/>
          <w:sz w:val="24"/>
          <w:szCs w:val="24"/>
        </w:rPr>
        <w:t>behaviour</w:t>
      </w:r>
      <w:r w:rsidRPr="00390884">
        <w:rPr>
          <w:rFonts w:ascii="Arial" w:eastAsia="Times New Roman" w:hAnsi="Arial" w:cs="Arial"/>
          <w:color w:val="000000"/>
          <w:sz w:val="24"/>
          <w:szCs w:val="24"/>
        </w:rPr>
        <w:t xml:space="preserve">. </w:t>
      </w:r>
      <w:r w:rsidR="00390884" w:rsidRPr="00390884">
        <w:rPr>
          <w:rFonts w:ascii="Arial" w:eastAsia="Times New Roman" w:hAnsi="Arial" w:cs="Arial"/>
          <w:color w:val="000000"/>
          <w:sz w:val="24"/>
          <w:szCs w:val="24"/>
        </w:rPr>
        <w:t>Organisational</w:t>
      </w:r>
      <w:r w:rsidRPr="00390884">
        <w:rPr>
          <w:rFonts w:ascii="Arial" w:eastAsia="Times New Roman" w:hAnsi="Arial" w:cs="Arial"/>
          <w:color w:val="000000"/>
          <w:sz w:val="24"/>
          <w:szCs w:val="24"/>
        </w:rPr>
        <w:t xml:space="preserve"> </w:t>
      </w:r>
      <w:r w:rsidR="00390884" w:rsidRPr="00390884">
        <w:rPr>
          <w:rFonts w:ascii="Arial" w:eastAsia="Times New Roman" w:hAnsi="Arial" w:cs="Arial"/>
          <w:color w:val="000000"/>
          <w:sz w:val="24"/>
          <w:szCs w:val="24"/>
        </w:rPr>
        <w:t>Behaviour</w:t>
      </w:r>
      <w:r w:rsidRPr="00390884">
        <w:rPr>
          <w:rFonts w:ascii="Arial" w:eastAsia="Times New Roman" w:hAnsi="Arial" w:cs="Arial"/>
          <w:color w:val="000000"/>
          <w:sz w:val="24"/>
          <w:szCs w:val="24"/>
        </w:rPr>
        <w:t xml:space="preserve"> and Human Decision Processes, 50(2), 179–211.</w:t>
      </w:r>
    </w:p>
    <w:p w14:paraId="1FC944E3" w14:textId="77777777" w:rsidR="00390884" w:rsidRPr="00390884" w:rsidRDefault="00390884" w:rsidP="00390884">
      <w:pPr>
        <w:spacing w:line="360" w:lineRule="auto"/>
        <w:jc w:val="both"/>
        <w:rPr>
          <w:rFonts w:ascii="Arial" w:eastAsia="Times New Roman" w:hAnsi="Arial" w:cs="Arial"/>
          <w:color w:val="000000"/>
          <w:sz w:val="24"/>
          <w:szCs w:val="24"/>
        </w:rPr>
      </w:pPr>
    </w:p>
    <w:p w14:paraId="74E9778B" w14:textId="77777777" w:rsidR="007A005B" w:rsidRPr="00390884" w:rsidRDefault="007A005B" w:rsidP="00390884">
      <w:pPr>
        <w:spacing w:line="360" w:lineRule="auto"/>
        <w:jc w:val="both"/>
        <w:rPr>
          <w:rFonts w:ascii="Arial" w:eastAsia="Times New Roman" w:hAnsi="Arial" w:cs="Arial"/>
          <w:color w:val="000000"/>
          <w:sz w:val="24"/>
          <w:szCs w:val="24"/>
        </w:rPr>
      </w:pPr>
      <w:r w:rsidRPr="00390884">
        <w:rPr>
          <w:rFonts w:ascii="Arial" w:eastAsia="Times New Roman" w:hAnsi="Arial" w:cs="Arial"/>
          <w:color w:val="000000"/>
          <w:sz w:val="24"/>
          <w:szCs w:val="24"/>
        </w:rPr>
        <w:lastRenderedPageBreak/>
        <w:t>Chang, R. C. Y. (2019). Assessing the sustainability performance of international events using a hybrid multi-criteria decision-making model. Sustainability, 11(10), 2857.</w:t>
      </w:r>
    </w:p>
    <w:p w14:paraId="3B9C0B47" w14:textId="77777777" w:rsidR="007A005B" w:rsidRPr="00390884" w:rsidRDefault="007A005B" w:rsidP="00390884">
      <w:pPr>
        <w:spacing w:line="360" w:lineRule="auto"/>
        <w:jc w:val="both"/>
        <w:rPr>
          <w:rFonts w:ascii="Arial" w:eastAsia="Times New Roman" w:hAnsi="Arial" w:cs="Arial"/>
          <w:color w:val="000000"/>
          <w:sz w:val="24"/>
          <w:szCs w:val="24"/>
        </w:rPr>
      </w:pPr>
    </w:p>
    <w:p w14:paraId="6C697F54" w14:textId="77777777" w:rsidR="007A005B" w:rsidRPr="00390884" w:rsidRDefault="007A005B" w:rsidP="00390884">
      <w:pPr>
        <w:spacing w:line="360" w:lineRule="auto"/>
        <w:jc w:val="both"/>
        <w:rPr>
          <w:rFonts w:ascii="Arial" w:eastAsia="Times New Roman" w:hAnsi="Arial" w:cs="Arial"/>
          <w:color w:val="000000"/>
          <w:sz w:val="24"/>
          <w:szCs w:val="24"/>
        </w:rPr>
      </w:pPr>
      <w:r w:rsidRPr="00390884">
        <w:rPr>
          <w:rFonts w:ascii="Arial" w:eastAsia="Times New Roman" w:hAnsi="Arial" w:cs="Arial"/>
          <w:color w:val="000000"/>
          <w:sz w:val="24"/>
          <w:szCs w:val="24"/>
        </w:rPr>
        <w:t>Getz, D., &amp; Page, S. J. (2020). Progress and prospects for event tourism research. Tourism Management, 79, 104092.</w:t>
      </w:r>
    </w:p>
    <w:p w14:paraId="26469FDF" w14:textId="77777777" w:rsidR="007A005B" w:rsidRPr="00390884" w:rsidRDefault="007A005B" w:rsidP="00390884">
      <w:pPr>
        <w:spacing w:line="360" w:lineRule="auto"/>
        <w:jc w:val="both"/>
        <w:rPr>
          <w:rFonts w:ascii="Arial" w:eastAsia="Times New Roman" w:hAnsi="Arial" w:cs="Arial"/>
          <w:color w:val="000000"/>
          <w:sz w:val="24"/>
          <w:szCs w:val="24"/>
        </w:rPr>
      </w:pPr>
    </w:p>
    <w:p w14:paraId="7E6FE621" w14:textId="7CED2707" w:rsidR="007A005B" w:rsidRPr="00390884" w:rsidRDefault="007A005B" w:rsidP="00390884">
      <w:pPr>
        <w:spacing w:line="360" w:lineRule="auto"/>
        <w:jc w:val="both"/>
        <w:rPr>
          <w:rFonts w:ascii="Arial" w:eastAsia="Times New Roman" w:hAnsi="Arial" w:cs="Arial"/>
          <w:color w:val="000000"/>
          <w:sz w:val="24"/>
          <w:szCs w:val="24"/>
        </w:rPr>
      </w:pPr>
      <w:r w:rsidRPr="00390884">
        <w:rPr>
          <w:rFonts w:ascii="Arial" w:eastAsia="Times New Roman" w:hAnsi="Arial" w:cs="Arial"/>
          <w:color w:val="000000"/>
          <w:sz w:val="24"/>
          <w:szCs w:val="24"/>
        </w:rPr>
        <w:t xml:space="preserve">International Organisation for Standardisation. (2012). ISO 20121:2012 Event sustainability management systems—Requirements with guidance for use. ISO. </w:t>
      </w:r>
    </w:p>
    <w:p w14:paraId="25DC8211" w14:textId="77777777" w:rsidR="007A005B" w:rsidRPr="00390884" w:rsidRDefault="007A005B" w:rsidP="00390884">
      <w:pPr>
        <w:spacing w:line="360" w:lineRule="auto"/>
        <w:jc w:val="both"/>
        <w:rPr>
          <w:rFonts w:ascii="Arial" w:eastAsia="Times New Roman" w:hAnsi="Arial" w:cs="Arial"/>
          <w:color w:val="000000"/>
          <w:sz w:val="24"/>
          <w:szCs w:val="24"/>
        </w:rPr>
      </w:pPr>
    </w:p>
    <w:p w14:paraId="1776863E" w14:textId="77777777" w:rsidR="007A005B" w:rsidRDefault="007A005B" w:rsidP="00390884">
      <w:pPr>
        <w:spacing w:line="360" w:lineRule="auto"/>
        <w:jc w:val="both"/>
        <w:rPr>
          <w:rFonts w:ascii="Arial" w:eastAsia="Times New Roman" w:hAnsi="Arial" w:cs="Arial"/>
          <w:color w:val="000000"/>
          <w:sz w:val="24"/>
          <w:szCs w:val="24"/>
        </w:rPr>
      </w:pPr>
      <w:r w:rsidRPr="00390884">
        <w:rPr>
          <w:rFonts w:ascii="Arial" w:eastAsia="Times New Roman" w:hAnsi="Arial" w:cs="Arial"/>
          <w:color w:val="000000"/>
          <w:sz w:val="24"/>
          <w:szCs w:val="24"/>
        </w:rPr>
        <w:t>Jones, P., Hillier, D., &amp; Comfort, D. (2016). Sustainability in the global events industry. In The Routledge Handbook of Sustainable Food and Gastronomy (pp. 396-414). Routledge.</w:t>
      </w:r>
    </w:p>
    <w:p w14:paraId="372B3912" w14:textId="77777777" w:rsidR="00390884" w:rsidRPr="00390884" w:rsidRDefault="00390884" w:rsidP="00390884">
      <w:pPr>
        <w:spacing w:line="360" w:lineRule="auto"/>
        <w:jc w:val="both"/>
        <w:rPr>
          <w:rFonts w:ascii="Arial" w:eastAsia="Times New Roman" w:hAnsi="Arial" w:cs="Arial"/>
          <w:color w:val="000000"/>
          <w:sz w:val="24"/>
          <w:szCs w:val="24"/>
        </w:rPr>
      </w:pPr>
    </w:p>
    <w:p w14:paraId="1628586F" w14:textId="77777777" w:rsidR="006555D8" w:rsidRPr="00390884" w:rsidRDefault="006555D8" w:rsidP="00390884">
      <w:pPr>
        <w:spacing w:line="360" w:lineRule="auto"/>
        <w:jc w:val="both"/>
        <w:rPr>
          <w:rFonts w:ascii="Arial" w:hAnsi="Arial" w:cs="Arial"/>
          <w:sz w:val="24"/>
          <w:szCs w:val="24"/>
        </w:rPr>
      </w:pPr>
      <w:r w:rsidRPr="00390884">
        <w:rPr>
          <w:rFonts w:ascii="Arial" w:hAnsi="Arial" w:cs="Arial"/>
          <w:sz w:val="24"/>
          <w:szCs w:val="24"/>
        </w:rPr>
        <w:t>Elkington, J. (1998). Cannibals with forks: The triple bottom line of 21st century business. New Society Publishers.</w:t>
      </w:r>
    </w:p>
    <w:p w14:paraId="24D55F09" w14:textId="77777777" w:rsidR="006555D8" w:rsidRPr="00390884" w:rsidRDefault="006555D8" w:rsidP="00390884">
      <w:pPr>
        <w:spacing w:line="360" w:lineRule="auto"/>
        <w:jc w:val="both"/>
        <w:rPr>
          <w:rFonts w:ascii="Arial" w:hAnsi="Arial" w:cs="Arial"/>
          <w:sz w:val="24"/>
          <w:szCs w:val="24"/>
        </w:rPr>
      </w:pPr>
    </w:p>
    <w:p w14:paraId="28ABA567" w14:textId="77777777" w:rsidR="006555D8" w:rsidRPr="00390884" w:rsidRDefault="006555D8" w:rsidP="00390884">
      <w:pPr>
        <w:spacing w:line="360" w:lineRule="auto"/>
        <w:jc w:val="both"/>
        <w:rPr>
          <w:rFonts w:ascii="Arial" w:hAnsi="Arial" w:cs="Arial"/>
          <w:sz w:val="24"/>
          <w:szCs w:val="24"/>
        </w:rPr>
      </w:pPr>
      <w:r w:rsidRPr="00390884">
        <w:rPr>
          <w:rFonts w:ascii="Arial" w:hAnsi="Arial" w:cs="Arial"/>
          <w:sz w:val="24"/>
          <w:szCs w:val="24"/>
        </w:rPr>
        <w:t>Getz, D., &amp; Page, S. J. (2016). Event studies: Theory, research, and policy for planned events. Routledge.</w:t>
      </w:r>
    </w:p>
    <w:p w14:paraId="5BF51EAF" w14:textId="77777777" w:rsidR="006555D8" w:rsidRPr="00390884" w:rsidRDefault="006555D8" w:rsidP="00390884">
      <w:pPr>
        <w:spacing w:line="360" w:lineRule="auto"/>
        <w:jc w:val="both"/>
        <w:rPr>
          <w:rFonts w:ascii="Arial" w:hAnsi="Arial" w:cs="Arial"/>
          <w:sz w:val="24"/>
          <w:szCs w:val="24"/>
        </w:rPr>
      </w:pPr>
    </w:p>
    <w:p w14:paraId="1FD48858" w14:textId="2ABA57DD" w:rsidR="000C52C8" w:rsidRDefault="006555D8" w:rsidP="002173A7">
      <w:pPr>
        <w:spacing w:line="360" w:lineRule="auto"/>
        <w:jc w:val="both"/>
        <w:rPr>
          <w:rFonts w:ascii="Arial" w:hAnsi="Arial" w:cs="Arial"/>
          <w:sz w:val="24"/>
          <w:szCs w:val="24"/>
        </w:rPr>
      </w:pPr>
      <w:r w:rsidRPr="00390884">
        <w:rPr>
          <w:rFonts w:ascii="Arial" w:hAnsi="Arial" w:cs="Arial"/>
          <w:sz w:val="24"/>
          <w:szCs w:val="24"/>
        </w:rPr>
        <w:t xml:space="preserve">Walker, B., </w:t>
      </w:r>
      <w:proofErr w:type="spellStart"/>
      <w:r w:rsidRPr="00390884">
        <w:rPr>
          <w:rFonts w:ascii="Arial" w:hAnsi="Arial" w:cs="Arial"/>
          <w:sz w:val="24"/>
          <w:szCs w:val="24"/>
        </w:rPr>
        <w:t>Holling</w:t>
      </w:r>
      <w:proofErr w:type="spellEnd"/>
      <w:r w:rsidRPr="00390884">
        <w:rPr>
          <w:rFonts w:ascii="Arial" w:hAnsi="Arial" w:cs="Arial"/>
          <w:sz w:val="24"/>
          <w:szCs w:val="24"/>
        </w:rPr>
        <w:t xml:space="preserve">, C. S., Carpenter, S. R., &amp; </w:t>
      </w:r>
      <w:proofErr w:type="spellStart"/>
      <w:r w:rsidRPr="00390884">
        <w:rPr>
          <w:rFonts w:ascii="Arial" w:hAnsi="Arial" w:cs="Arial"/>
          <w:sz w:val="24"/>
          <w:szCs w:val="24"/>
        </w:rPr>
        <w:t>Kinzig</w:t>
      </w:r>
      <w:proofErr w:type="spellEnd"/>
      <w:r w:rsidRPr="00390884">
        <w:rPr>
          <w:rFonts w:ascii="Arial" w:hAnsi="Arial" w:cs="Arial"/>
          <w:sz w:val="24"/>
          <w:szCs w:val="24"/>
        </w:rPr>
        <w:t>, A. (2004). Resilience, adaptability, and transformability in social-ecological systems. Ecology and Society, 9(2), 5</w:t>
      </w:r>
      <w:r w:rsidR="000C52C8">
        <w:rPr>
          <w:rFonts w:ascii="Arial" w:hAnsi="Arial" w:cs="Arial"/>
          <w:sz w:val="24"/>
          <w:szCs w:val="24"/>
        </w:rPr>
        <w:t>.</w:t>
      </w:r>
    </w:p>
    <w:p w14:paraId="56F84F5B" w14:textId="77777777" w:rsidR="000C52C8" w:rsidRPr="002173A7" w:rsidRDefault="000C52C8" w:rsidP="0033022F">
      <w:pPr>
        <w:spacing w:line="360" w:lineRule="auto"/>
        <w:jc w:val="both"/>
        <w:rPr>
          <w:rFonts w:ascii="Arial" w:eastAsia="Times New Roman" w:hAnsi="Arial" w:cs="Arial"/>
          <w:color w:val="000000"/>
          <w:kern w:val="0"/>
          <w:sz w:val="24"/>
          <w:szCs w:val="24"/>
          <w14:ligatures w14:val="none"/>
        </w:rPr>
      </w:pPr>
      <w:proofErr w:type="spellStart"/>
      <w:r w:rsidRPr="002173A7">
        <w:rPr>
          <w:rFonts w:ascii="Arial" w:eastAsia="Times New Roman" w:hAnsi="Arial" w:cs="Arial"/>
          <w:color w:val="000000"/>
          <w:kern w:val="0"/>
          <w:sz w:val="24"/>
          <w:szCs w:val="24"/>
          <w14:ligatures w14:val="none"/>
        </w:rPr>
        <w:t>Ajzen</w:t>
      </w:r>
      <w:proofErr w:type="spellEnd"/>
      <w:r w:rsidRPr="002173A7">
        <w:rPr>
          <w:rFonts w:ascii="Arial" w:eastAsia="Times New Roman" w:hAnsi="Arial" w:cs="Arial"/>
          <w:color w:val="000000"/>
          <w:kern w:val="0"/>
          <w:sz w:val="24"/>
          <w:szCs w:val="24"/>
          <w14:ligatures w14:val="none"/>
        </w:rPr>
        <w:t xml:space="preserve">, I. (1991). The theory of planned </w:t>
      </w:r>
      <w:proofErr w:type="spellStart"/>
      <w:r w:rsidRPr="002173A7">
        <w:rPr>
          <w:rFonts w:ascii="Arial" w:eastAsia="Times New Roman" w:hAnsi="Arial" w:cs="Arial"/>
          <w:color w:val="000000"/>
          <w:kern w:val="0"/>
          <w:sz w:val="24"/>
          <w:szCs w:val="24"/>
          <w14:ligatures w14:val="none"/>
        </w:rPr>
        <w:t>behavior</w:t>
      </w:r>
      <w:proofErr w:type="spellEnd"/>
      <w:r w:rsidRPr="002173A7">
        <w:rPr>
          <w:rFonts w:ascii="Arial" w:eastAsia="Times New Roman" w:hAnsi="Arial" w:cs="Arial"/>
          <w:color w:val="000000"/>
          <w:kern w:val="0"/>
          <w:sz w:val="24"/>
          <w:szCs w:val="24"/>
          <w14:ligatures w14:val="none"/>
        </w:rPr>
        <w:t xml:space="preserve">. </w:t>
      </w:r>
      <w:proofErr w:type="spellStart"/>
      <w:r w:rsidRPr="002173A7">
        <w:rPr>
          <w:rFonts w:ascii="Arial" w:eastAsia="Times New Roman" w:hAnsi="Arial" w:cs="Arial"/>
          <w:color w:val="000000"/>
          <w:kern w:val="0"/>
          <w:sz w:val="24"/>
          <w:szCs w:val="24"/>
          <w14:ligatures w14:val="none"/>
        </w:rPr>
        <w:t>Organizational</w:t>
      </w:r>
      <w:proofErr w:type="spellEnd"/>
      <w:r w:rsidRPr="002173A7">
        <w:rPr>
          <w:rFonts w:ascii="Arial" w:eastAsia="Times New Roman" w:hAnsi="Arial" w:cs="Arial"/>
          <w:color w:val="000000"/>
          <w:kern w:val="0"/>
          <w:sz w:val="24"/>
          <w:szCs w:val="24"/>
          <w14:ligatures w14:val="none"/>
        </w:rPr>
        <w:t xml:space="preserve"> </w:t>
      </w:r>
      <w:proofErr w:type="spellStart"/>
      <w:r w:rsidRPr="002173A7">
        <w:rPr>
          <w:rFonts w:ascii="Arial" w:eastAsia="Times New Roman" w:hAnsi="Arial" w:cs="Arial"/>
          <w:color w:val="000000"/>
          <w:kern w:val="0"/>
          <w:sz w:val="24"/>
          <w:szCs w:val="24"/>
          <w14:ligatures w14:val="none"/>
        </w:rPr>
        <w:t>Behavior</w:t>
      </w:r>
      <w:proofErr w:type="spellEnd"/>
      <w:r w:rsidRPr="002173A7">
        <w:rPr>
          <w:rFonts w:ascii="Arial" w:eastAsia="Times New Roman" w:hAnsi="Arial" w:cs="Arial"/>
          <w:color w:val="000000"/>
          <w:kern w:val="0"/>
          <w:sz w:val="24"/>
          <w:szCs w:val="24"/>
          <w14:ligatures w14:val="none"/>
        </w:rPr>
        <w:t xml:space="preserve"> and Human Decision Processes, 50(2), 179–211.</w:t>
      </w:r>
    </w:p>
    <w:p w14:paraId="0F094541" w14:textId="77777777" w:rsidR="000C52C8" w:rsidRPr="002173A7" w:rsidRDefault="000C52C8" w:rsidP="0033022F">
      <w:pPr>
        <w:spacing w:line="360" w:lineRule="auto"/>
        <w:jc w:val="both"/>
        <w:rPr>
          <w:rFonts w:ascii="Arial" w:eastAsia="Times New Roman" w:hAnsi="Arial" w:cs="Arial"/>
          <w:color w:val="000000"/>
          <w:kern w:val="0"/>
          <w:sz w:val="24"/>
          <w:szCs w:val="24"/>
          <w14:ligatures w14:val="none"/>
        </w:rPr>
      </w:pPr>
    </w:p>
    <w:p w14:paraId="71B2975E" w14:textId="77777777" w:rsidR="000C52C8" w:rsidRPr="002173A7" w:rsidRDefault="000C52C8" w:rsidP="0033022F">
      <w:pPr>
        <w:spacing w:line="360" w:lineRule="auto"/>
        <w:jc w:val="both"/>
        <w:rPr>
          <w:rFonts w:ascii="Arial" w:eastAsia="Times New Roman" w:hAnsi="Arial" w:cs="Arial"/>
          <w:color w:val="000000"/>
          <w:kern w:val="0"/>
          <w:sz w:val="24"/>
          <w:szCs w:val="24"/>
          <w14:ligatures w14:val="none"/>
        </w:rPr>
      </w:pPr>
      <w:r w:rsidRPr="002173A7">
        <w:rPr>
          <w:rFonts w:ascii="Arial" w:eastAsia="Times New Roman" w:hAnsi="Arial" w:cs="Arial"/>
          <w:color w:val="000000"/>
          <w:kern w:val="0"/>
          <w:sz w:val="24"/>
          <w:szCs w:val="24"/>
          <w14:ligatures w14:val="none"/>
        </w:rPr>
        <w:t>Allen, J. (2012). Risk management for meetings and events. Routledge.</w:t>
      </w:r>
    </w:p>
    <w:p w14:paraId="6B65D94C" w14:textId="77777777" w:rsidR="000C52C8" w:rsidRPr="002173A7" w:rsidRDefault="000C52C8" w:rsidP="0033022F">
      <w:pPr>
        <w:spacing w:line="360" w:lineRule="auto"/>
        <w:jc w:val="both"/>
        <w:rPr>
          <w:rFonts w:ascii="Arial" w:eastAsia="Times New Roman" w:hAnsi="Arial" w:cs="Arial"/>
          <w:color w:val="000000"/>
          <w:kern w:val="0"/>
          <w:sz w:val="24"/>
          <w:szCs w:val="24"/>
          <w14:ligatures w14:val="none"/>
        </w:rPr>
      </w:pPr>
    </w:p>
    <w:p w14:paraId="3D4E24E2" w14:textId="77777777" w:rsidR="000C52C8" w:rsidRPr="002173A7" w:rsidRDefault="000C52C8" w:rsidP="0033022F">
      <w:pPr>
        <w:spacing w:line="360" w:lineRule="auto"/>
        <w:jc w:val="both"/>
        <w:rPr>
          <w:rFonts w:ascii="Arial" w:eastAsia="Times New Roman" w:hAnsi="Arial" w:cs="Arial"/>
          <w:color w:val="000000"/>
          <w:kern w:val="0"/>
          <w:sz w:val="24"/>
          <w:szCs w:val="24"/>
          <w14:ligatures w14:val="none"/>
        </w:rPr>
      </w:pPr>
      <w:r w:rsidRPr="002173A7">
        <w:rPr>
          <w:rFonts w:ascii="Arial" w:eastAsia="Times New Roman" w:hAnsi="Arial" w:cs="Arial"/>
          <w:color w:val="000000"/>
          <w:kern w:val="0"/>
          <w:sz w:val="24"/>
          <w:szCs w:val="24"/>
          <w14:ligatures w14:val="none"/>
        </w:rPr>
        <w:t>Anderson, C. (2004). The long tail. Wired, 12(10), 170-177.</w:t>
      </w:r>
    </w:p>
    <w:p w14:paraId="79E9B7B5" w14:textId="77777777" w:rsidR="000C52C8" w:rsidRPr="002173A7" w:rsidRDefault="000C52C8" w:rsidP="0033022F">
      <w:pPr>
        <w:spacing w:line="360" w:lineRule="auto"/>
        <w:jc w:val="both"/>
        <w:rPr>
          <w:rFonts w:ascii="Arial" w:eastAsia="Times New Roman" w:hAnsi="Arial" w:cs="Arial"/>
          <w:color w:val="000000"/>
          <w:kern w:val="0"/>
          <w:sz w:val="24"/>
          <w:szCs w:val="24"/>
          <w14:ligatures w14:val="none"/>
        </w:rPr>
      </w:pPr>
    </w:p>
    <w:p w14:paraId="16399125" w14:textId="77777777" w:rsidR="000C52C8" w:rsidRPr="002173A7" w:rsidRDefault="000C52C8" w:rsidP="0033022F">
      <w:pPr>
        <w:spacing w:line="360" w:lineRule="auto"/>
        <w:jc w:val="both"/>
        <w:rPr>
          <w:rFonts w:ascii="Arial" w:eastAsia="Times New Roman" w:hAnsi="Arial" w:cs="Arial"/>
          <w:color w:val="000000"/>
          <w:kern w:val="0"/>
          <w:sz w:val="24"/>
          <w:szCs w:val="24"/>
          <w14:ligatures w14:val="none"/>
        </w:rPr>
      </w:pPr>
      <w:r w:rsidRPr="002173A7">
        <w:rPr>
          <w:rFonts w:ascii="Arial" w:eastAsia="Times New Roman" w:hAnsi="Arial" w:cs="Arial"/>
          <w:color w:val="000000"/>
          <w:kern w:val="0"/>
          <w:sz w:val="24"/>
          <w:szCs w:val="24"/>
          <w14:ligatures w14:val="none"/>
        </w:rPr>
        <w:t>Berger, C. R., &amp; Calabrese, R. J. (1975). Some explorations in initial interaction and beyond: Toward a developmental theory of interpersonal communication. Human Communication Research, 1(2), 99-112.</w:t>
      </w:r>
    </w:p>
    <w:p w14:paraId="3981EB9E" w14:textId="77777777" w:rsidR="000C52C8" w:rsidRPr="002173A7" w:rsidRDefault="000C52C8" w:rsidP="0033022F">
      <w:pPr>
        <w:spacing w:line="360" w:lineRule="auto"/>
        <w:jc w:val="both"/>
        <w:rPr>
          <w:rFonts w:ascii="Arial" w:eastAsia="Times New Roman" w:hAnsi="Arial" w:cs="Arial"/>
          <w:color w:val="000000"/>
          <w:kern w:val="0"/>
          <w:sz w:val="24"/>
          <w:szCs w:val="24"/>
          <w14:ligatures w14:val="none"/>
        </w:rPr>
      </w:pPr>
    </w:p>
    <w:p w14:paraId="4838E88F" w14:textId="77777777" w:rsidR="000C52C8" w:rsidRPr="00390884" w:rsidRDefault="000C52C8" w:rsidP="0033022F">
      <w:pPr>
        <w:spacing w:line="360" w:lineRule="auto"/>
        <w:jc w:val="both"/>
        <w:rPr>
          <w:rFonts w:ascii="Arial" w:hAnsi="Arial" w:cs="Arial"/>
          <w:sz w:val="24"/>
          <w:szCs w:val="24"/>
        </w:rPr>
      </w:pPr>
      <w:proofErr w:type="spellStart"/>
      <w:r w:rsidRPr="002173A7">
        <w:rPr>
          <w:rFonts w:ascii="Arial" w:eastAsia="Times New Roman" w:hAnsi="Arial" w:cs="Arial"/>
          <w:color w:val="000000"/>
          <w:kern w:val="0"/>
          <w:sz w:val="24"/>
          <w:szCs w:val="24"/>
          <w14:ligatures w14:val="none"/>
        </w:rPr>
        <w:t>Bowdin</w:t>
      </w:r>
      <w:proofErr w:type="spellEnd"/>
      <w:r w:rsidRPr="002173A7">
        <w:rPr>
          <w:rFonts w:ascii="Arial" w:eastAsia="Times New Roman" w:hAnsi="Arial" w:cs="Arial"/>
          <w:color w:val="000000"/>
          <w:kern w:val="0"/>
          <w:sz w:val="24"/>
          <w:szCs w:val="24"/>
          <w14:ligatures w14:val="none"/>
        </w:rPr>
        <w:t>, G., Allen, J., O’Toole, W., Harris, R., &amp; McDonnell, I.</w:t>
      </w:r>
    </w:p>
    <w:p w14:paraId="505B3B21" w14:textId="77777777" w:rsidR="000C52C8" w:rsidRPr="002173A7" w:rsidRDefault="000C52C8" w:rsidP="002173A7">
      <w:pPr>
        <w:spacing w:line="360" w:lineRule="auto"/>
        <w:jc w:val="both"/>
        <w:rPr>
          <w:rFonts w:ascii="Arial" w:hAnsi="Arial" w:cs="Arial"/>
          <w:sz w:val="24"/>
          <w:szCs w:val="24"/>
        </w:rPr>
      </w:pPr>
    </w:p>
    <w:sectPr w:rsidR="000C52C8" w:rsidRPr="002173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8FC435" w14:textId="77777777" w:rsidR="00F155BE" w:rsidRDefault="00F155BE" w:rsidP="00107758">
      <w:r>
        <w:separator/>
      </w:r>
    </w:p>
  </w:endnote>
  <w:endnote w:type="continuationSeparator" w:id="0">
    <w:p w14:paraId="3AAD7B58" w14:textId="77777777" w:rsidR="00F155BE" w:rsidRDefault="00F155BE" w:rsidP="001077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375497" w14:textId="77777777" w:rsidR="00F155BE" w:rsidRDefault="00F155BE" w:rsidP="00107758">
      <w:r>
        <w:separator/>
      </w:r>
    </w:p>
  </w:footnote>
  <w:footnote w:type="continuationSeparator" w:id="0">
    <w:p w14:paraId="1BE70382" w14:textId="77777777" w:rsidR="00F155BE" w:rsidRDefault="00F155BE" w:rsidP="0010775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83E"/>
    <w:rsid w:val="000232D9"/>
    <w:rsid w:val="00031011"/>
    <w:rsid w:val="000535EC"/>
    <w:rsid w:val="000542F7"/>
    <w:rsid w:val="00067AAB"/>
    <w:rsid w:val="00072320"/>
    <w:rsid w:val="0007518D"/>
    <w:rsid w:val="000C52C8"/>
    <w:rsid w:val="000E66D5"/>
    <w:rsid w:val="00107758"/>
    <w:rsid w:val="0013055C"/>
    <w:rsid w:val="00133C3D"/>
    <w:rsid w:val="00163056"/>
    <w:rsid w:val="001748CF"/>
    <w:rsid w:val="001B5ED9"/>
    <w:rsid w:val="001B6D42"/>
    <w:rsid w:val="001D63FD"/>
    <w:rsid w:val="001E4B87"/>
    <w:rsid w:val="001F2F72"/>
    <w:rsid w:val="001F690B"/>
    <w:rsid w:val="001F6E1F"/>
    <w:rsid w:val="00206525"/>
    <w:rsid w:val="002071CB"/>
    <w:rsid w:val="002173A7"/>
    <w:rsid w:val="00227433"/>
    <w:rsid w:val="002313AB"/>
    <w:rsid w:val="00242C73"/>
    <w:rsid w:val="002725FC"/>
    <w:rsid w:val="0027483E"/>
    <w:rsid w:val="002820BA"/>
    <w:rsid w:val="00282337"/>
    <w:rsid w:val="002D4EAF"/>
    <w:rsid w:val="002E1C83"/>
    <w:rsid w:val="002F708C"/>
    <w:rsid w:val="003019C9"/>
    <w:rsid w:val="003162A2"/>
    <w:rsid w:val="00331A59"/>
    <w:rsid w:val="003620BC"/>
    <w:rsid w:val="00390884"/>
    <w:rsid w:val="003E031A"/>
    <w:rsid w:val="00406D25"/>
    <w:rsid w:val="00423E5A"/>
    <w:rsid w:val="00426954"/>
    <w:rsid w:val="00427F54"/>
    <w:rsid w:val="00435FA0"/>
    <w:rsid w:val="00442231"/>
    <w:rsid w:val="00493713"/>
    <w:rsid w:val="004E5A03"/>
    <w:rsid w:val="005144DB"/>
    <w:rsid w:val="00515672"/>
    <w:rsid w:val="00524A9E"/>
    <w:rsid w:val="00542045"/>
    <w:rsid w:val="005815DE"/>
    <w:rsid w:val="005A319B"/>
    <w:rsid w:val="005C25EB"/>
    <w:rsid w:val="005F1862"/>
    <w:rsid w:val="005F1AC8"/>
    <w:rsid w:val="00615F87"/>
    <w:rsid w:val="006555D8"/>
    <w:rsid w:val="0066571C"/>
    <w:rsid w:val="006A5981"/>
    <w:rsid w:val="006C2A53"/>
    <w:rsid w:val="006D4D27"/>
    <w:rsid w:val="006E0026"/>
    <w:rsid w:val="006E6CD1"/>
    <w:rsid w:val="006F3274"/>
    <w:rsid w:val="007030B4"/>
    <w:rsid w:val="00710967"/>
    <w:rsid w:val="007318EB"/>
    <w:rsid w:val="0073385E"/>
    <w:rsid w:val="0073409B"/>
    <w:rsid w:val="00755554"/>
    <w:rsid w:val="00757DD0"/>
    <w:rsid w:val="00763A48"/>
    <w:rsid w:val="007732BC"/>
    <w:rsid w:val="007742E4"/>
    <w:rsid w:val="00774582"/>
    <w:rsid w:val="007A005B"/>
    <w:rsid w:val="007D70CF"/>
    <w:rsid w:val="00874A19"/>
    <w:rsid w:val="008A0C94"/>
    <w:rsid w:val="008A5525"/>
    <w:rsid w:val="008F3A8F"/>
    <w:rsid w:val="00931485"/>
    <w:rsid w:val="00970A18"/>
    <w:rsid w:val="009C439D"/>
    <w:rsid w:val="009E2774"/>
    <w:rsid w:val="009F1154"/>
    <w:rsid w:val="00A065CA"/>
    <w:rsid w:val="00A361F9"/>
    <w:rsid w:val="00A55D96"/>
    <w:rsid w:val="00A65D2F"/>
    <w:rsid w:val="00A66435"/>
    <w:rsid w:val="00A66F45"/>
    <w:rsid w:val="00A8101D"/>
    <w:rsid w:val="00A8140D"/>
    <w:rsid w:val="00A91C66"/>
    <w:rsid w:val="00A9561D"/>
    <w:rsid w:val="00AC7A5C"/>
    <w:rsid w:val="00AE3BD8"/>
    <w:rsid w:val="00B3025F"/>
    <w:rsid w:val="00B31516"/>
    <w:rsid w:val="00B359A2"/>
    <w:rsid w:val="00B37AD8"/>
    <w:rsid w:val="00B4197E"/>
    <w:rsid w:val="00B60BB3"/>
    <w:rsid w:val="00B610BF"/>
    <w:rsid w:val="00B9530E"/>
    <w:rsid w:val="00C304D4"/>
    <w:rsid w:val="00C3444C"/>
    <w:rsid w:val="00C365FD"/>
    <w:rsid w:val="00C46065"/>
    <w:rsid w:val="00C5283F"/>
    <w:rsid w:val="00C90493"/>
    <w:rsid w:val="00C94F11"/>
    <w:rsid w:val="00CB5B6F"/>
    <w:rsid w:val="00CC320C"/>
    <w:rsid w:val="00D06509"/>
    <w:rsid w:val="00D45C12"/>
    <w:rsid w:val="00D463F7"/>
    <w:rsid w:val="00D54298"/>
    <w:rsid w:val="00D8119B"/>
    <w:rsid w:val="00D95872"/>
    <w:rsid w:val="00DB18D0"/>
    <w:rsid w:val="00DB7581"/>
    <w:rsid w:val="00DC7F60"/>
    <w:rsid w:val="00DD1F92"/>
    <w:rsid w:val="00DE0868"/>
    <w:rsid w:val="00E00B08"/>
    <w:rsid w:val="00E122C0"/>
    <w:rsid w:val="00E15628"/>
    <w:rsid w:val="00E26F12"/>
    <w:rsid w:val="00E37A2D"/>
    <w:rsid w:val="00E432A7"/>
    <w:rsid w:val="00E675F6"/>
    <w:rsid w:val="00E94332"/>
    <w:rsid w:val="00EE42DE"/>
    <w:rsid w:val="00EF20CF"/>
    <w:rsid w:val="00F155BE"/>
    <w:rsid w:val="00F213DB"/>
    <w:rsid w:val="00F255C9"/>
    <w:rsid w:val="00F367B2"/>
    <w:rsid w:val="00F65499"/>
    <w:rsid w:val="00F67295"/>
    <w:rsid w:val="00FA250F"/>
    <w:rsid w:val="00FA446B"/>
    <w:rsid w:val="00FB0068"/>
    <w:rsid w:val="00FB7009"/>
    <w:rsid w:val="00FD4C1C"/>
    <w:rsid w:val="00FE33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0E4BEC"/>
  <w15:chartTrackingRefBased/>
  <w15:docId w15:val="{35B37E91-ACB5-2A46-AA41-66D8508DD4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1F690B"/>
  </w:style>
  <w:style w:type="paragraph" w:styleId="Header">
    <w:name w:val="header"/>
    <w:basedOn w:val="Normal"/>
    <w:link w:val="HeaderChar"/>
    <w:uiPriority w:val="99"/>
    <w:unhideWhenUsed/>
    <w:rsid w:val="00107758"/>
    <w:pPr>
      <w:tabs>
        <w:tab w:val="center" w:pos="4513"/>
        <w:tab w:val="right" w:pos="9026"/>
      </w:tabs>
    </w:pPr>
  </w:style>
  <w:style w:type="character" w:customStyle="1" w:styleId="HeaderChar">
    <w:name w:val="Header Char"/>
    <w:basedOn w:val="DefaultParagraphFont"/>
    <w:link w:val="Header"/>
    <w:uiPriority w:val="99"/>
    <w:rsid w:val="00107758"/>
  </w:style>
  <w:style w:type="paragraph" w:styleId="Footer">
    <w:name w:val="footer"/>
    <w:basedOn w:val="Normal"/>
    <w:link w:val="FooterChar"/>
    <w:uiPriority w:val="99"/>
    <w:unhideWhenUsed/>
    <w:rsid w:val="00107758"/>
    <w:pPr>
      <w:tabs>
        <w:tab w:val="center" w:pos="4513"/>
        <w:tab w:val="right" w:pos="9026"/>
      </w:tabs>
    </w:pPr>
  </w:style>
  <w:style w:type="character" w:customStyle="1" w:styleId="FooterChar">
    <w:name w:val="Footer Char"/>
    <w:basedOn w:val="DefaultParagraphFont"/>
    <w:link w:val="Footer"/>
    <w:uiPriority w:val="99"/>
    <w:rsid w:val="001077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596761">
      <w:bodyDiv w:val="1"/>
      <w:marLeft w:val="0"/>
      <w:marRight w:val="0"/>
      <w:marTop w:val="0"/>
      <w:marBottom w:val="0"/>
      <w:divBdr>
        <w:top w:val="none" w:sz="0" w:space="0" w:color="auto"/>
        <w:left w:val="none" w:sz="0" w:space="0" w:color="auto"/>
        <w:bottom w:val="none" w:sz="0" w:space="0" w:color="auto"/>
        <w:right w:val="none" w:sz="0" w:space="0" w:color="auto"/>
      </w:divBdr>
    </w:div>
    <w:div w:id="127362856">
      <w:bodyDiv w:val="1"/>
      <w:marLeft w:val="0"/>
      <w:marRight w:val="0"/>
      <w:marTop w:val="0"/>
      <w:marBottom w:val="0"/>
      <w:divBdr>
        <w:top w:val="none" w:sz="0" w:space="0" w:color="auto"/>
        <w:left w:val="none" w:sz="0" w:space="0" w:color="auto"/>
        <w:bottom w:val="none" w:sz="0" w:space="0" w:color="auto"/>
        <w:right w:val="none" w:sz="0" w:space="0" w:color="auto"/>
      </w:divBdr>
    </w:div>
    <w:div w:id="281620530">
      <w:bodyDiv w:val="1"/>
      <w:marLeft w:val="0"/>
      <w:marRight w:val="0"/>
      <w:marTop w:val="0"/>
      <w:marBottom w:val="0"/>
      <w:divBdr>
        <w:top w:val="none" w:sz="0" w:space="0" w:color="auto"/>
        <w:left w:val="none" w:sz="0" w:space="0" w:color="auto"/>
        <w:bottom w:val="none" w:sz="0" w:space="0" w:color="auto"/>
        <w:right w:val="none" w:sz="0" w:space="0" w:color="auto"/>
      </w:divBdr>
    </w:div>
    <w:div w:id="459693528">
      <w:bodyDiv w:val="1"/>
      <w:marLeft w:val="0"/>
      <w:marRight w:val="0"/>
      <w:marTop w:val="0"/>
      <w:marBottom w:val="0"/>
      <w:divBdr>
        <w:top w:val="none" w:sz="0" w:space="0" w:color="auto"/>
        <w:left w:val="none" w:sz="0" w:space="0" w:color="auto"/>
        <w:bottom w:val="none" w:sz="0" w:space="0" w:color="auto"/>
        <w:right w:val="none" w:sz="0" w:space="0" w:color="auto"/>
      </w:divBdr>
    </w:div>
    <w:div w:id="631908841">
      <w:bodyDiv w:val="1"/>
      <w:marLeft w:val="0"/>
      <w:marRight w:val="0"/>
      <w:marTop w:val="0"/>
      <w:marBottom w:val="0"/>
      <w:divBdr>
        <w:top w:val="none" w:sz="0" w:space="0" w:color="auto"/>
        <w:left w:val="none" w:sz="0" w:space="0" w:color="auto"/>
        <w:bottom w:val="none" w:sz="0" w:space="0" w:color="auto"/>
        <w:right w:val="none" w:sz="0" w:space="0" w:color="auto"/>
      </w:divBdr>
    </w:div>
    <w:div w:id="819272726">
      <w:bodyDiv w:val="1"/>
      <w:marLeft w:val="0"/>
      <w:marRight w:val="0"/>
      <w:marTop w:val="0"/>
      <w:marBottom w:val="0"/>
      <w:divBdr>
        <w:top w:val="none" w:sz="0" w:space="0" w:color="auto"/>
        <w:left w:val="none" w:sz="0" w:space="0" w:color="auto"/>
        <w:bottom w:val="none" w:sz="0" w:space="0" w:color="auto"/>
        <w:right w:val="none" w:sz="0" w:space="0" w:color="auto"/>
      </w:divBdr>
    </w:div>
    <w:div w:id="928780309">
      <w:bodyDiv w:val="1"/>
      <w:marLeft w:val="0"/>
      <w:marRight w:val="0"/>
      <w:marTop w:val="0"/>
      <w:marBottom w:val="0"/>
      <w:divBdr>
        <w:top w:val="none" w:sz="0" w:space="0" w:color="auto"/>
        <w:left w:val="none" w:sz="0" w:space="0" w:color="auto"/>
        <w:bottom w:val="none" w:sz="0" w:space="0" w:color="auto"/>
        <w:right w:val="none" w:sz="0" w:space="0" w:color="auto"/>
      </w:divBdr>
    </w:div>
    <w:div w:id="1052536536">
      <w:bodyDiv w:val="1"/>
      <w:marLeft w:val="0"/>
      <w:marRight w:val="0"/>
      <w:marTop w:val="0"/>
      <w:marBottom w:val="0"/>
      <w:divBdr>
        <w:top w:val="none" w:sz="0" w:space="0" w:color="auto"/>
        <w:left w:val="none" w:sz="0" w:space="0" w:color="auto"/>
        <w:bottom w:val="none" w:sz="0" w:space="0" w:color="auto"/>
        <w:right w:val="none" w:sz="0" w:space="0" w:color="auto"/>
      </w:divBdr>
    </w:div>
    <w:div w:id="1148397927">
      <w:bodyDiv w:val="1"/>
      <w:marLeft w:val="0"/>
      <w:marRight w:val="0"/>
      <w:marTop w:val="0"/>
      <w:marBottom w:val="0"/>
      <w:divBdr>
        <w:top w:val="none" w:sz="0" w:space="0" w:color="auto"/>
        <w:left w:val="none" w:sz="0" w:space="0" w:color="auto"/>
        <w:bottom w:val="none" w:sz="0" w:space="0" w:color="auto"/>
        <w:right w:val="none" w:sz="0" w:space="0" w:color="auto"/>
      </w:divBdr>
    </w:div>
    <w:div w:id="1188984045">
      <w:bodyDiv w:val="1"/>
      <w:marLeft w:val="0"/>
      <w:marRight w:val="0"/>
      <w:marTop w:val="0"/>
      <w:marBottom w:val="0"/>
      <w:divBdr>
        <w:top w:val="none" w:sz="0" w:space="0" w:color="auto"/>
        <w:left w:val="none" w:sz="0" w:space="0" w:color="auto"/>
        <w:bottom w:val="none" w:sz="0" w:space="0" w:color="auto"/>
        <w:right w:val="none" w:sz="0" w:space="0" w:color="auto"/>
      </w:divBdr>
    </w:div>
    <w:div w:id="1214537191">
      <w:bodyDiv w:val="1"/>
      <w:marLeft w:val="0"/>
      <w:marRight w:val="0"/>
      <w:marTop w:val="0"/>
      <w:marBottom w:val="0"/>
      <w:divBdr>
        <w:top w:val="none" w:sz="0" w:space="0" w:color="auto"/>
        <w:left w:val="none" w:sz="0" w:space="0" w:color="auto"/>
        <w:bottom w:val="none" w:sz="0" w:space="0" w:color="auto"/>
        <w:right w:val="none" w:sz="0" w:space="0" w:color="auto"/>
      </w:divBdr>
    </w:div>
    <w:div w:id="1439178404">
      <w:bodyDiv w:val="1"/>
      <w:marLeft w:val="0"/>
      <w:marRight w:val="0"/>
      <w:marTop w:val="0"/>
      <w:marBottom w:val="0"/>
      <w:divBdr>
        <w:top w:val="none" w:sz="0" w:space="0" w:color="auto"/>
        <w:left w:val="none" w:sz="0" w:space="0" w:color="auto"/>
        <w:bottom w:val="none" w:sz="0" w:space="0" w:color="auto"/>
        <w:right w:val="none" w:sz="0" w:space="0" w:color="auto"/>
      </w:divBdr>
    </w:div>
    <w:div w:id="1443375020">
      <w:bodyDiv w:val="1"/>
      <w:marLeft w:val="0"/>
      <w:marRight w:val="0"/>
      <w:marTop w:val="0"/>
      <w:marBottom w:val="0"/>
      <w:divBdr>
        <w:top w:val="none" w:sz="0" w:space="0" w:color="auto"/>
        <w:left w:val="none" w:sz="0" w:space="0" w:color="auto"/>
        <w:bottom w:val="none" w:sz="0" w:space="0" w:color="auto"/>
        <w:right w:val="none" w:sz="0" w:space="0" w:color="auto"/>
      </w:divBdr>
    </w:div>
    <w:div w:id="1798335809">
      <w:bodyDiv w:val="1"/>
      <w:marLeft w:val="0"/>
      <w:marRight w:val="0"/>
      <w:marTop w:val="0"/>
      <w:marBottom w:val="0"/>
      <w:divBdr>
        <w:top w:val="none" w:sz="0" w:space="0" w:color="auto"/>
        <w:left w:val="none" w:sz="0" w:space="0" w:color="auto"/>
        <w:bottom w:val="none" w:sz="0" w:space="0" w:color="auto"/>
        <w:right w:val="none" w:sz="0" w:space="0" w:color="auto"/>
      </w:divBdr>
    </w:div>
    <w:div w:id="1814709766">
      <w:bodyDiv w:val="1"/>
      <w:marLeft w:val="0"/>
      <w:marRight w:val="0"/>
      <w:marTop w:val="0"/>
      <w:marBottom w:val="0"/>
      <w:divBdr>
        <w:top w:val="none" w:sz="0" w:space="0" w:color="auto"/>
        <w:left w:val="none" w:sz="0" w:space="0" w:color="auto"/>
        <w:bottom w:val="none" w:sz="0" w:space="0" w:color="auto"/>
        <w:right w:val="none" w:sz="0" w:space="0" w:color="auto"/>
      </w:divBdr>
    </w:div>
    <w:div w:id="1816798762">
      <w:bodyDiv w:val="1"/>
      <w:marLeft w:val="0"/>
      <w:marRight w:val="0"/>
      <w:marTop w:val="0"/>
      <w:marBottom w:val="0"/>
      <w:divBdr>
        <w:top w:val="none" w:sz="0" w:space="0" w:color="auto"/>
        <w:left w:val="none" w:sz="0" w:space="0" w:color="auto"/>
        <w:bottom w:val="none" w:sz="0" w:space="0" w:color="auto"/>
        <w:right w:val="none" w:sz="0" w:space="0" w:color="auto"/>
      </w:divBdr>
    </w:div>
    <w:div w:id="1926642647">
      <w:bodyDiv w:val="1"/>
      <w:marLeft w:val="0"/>
      <w:marRight w:val="0"/>
      <w:marTop w:val="0"/>
      <w:marBottom w:val="0"/>
      <w:divBdr>
        <w:top w:val="none" w:sz="0" w:space="0" w:color="auto"/>
        <w:left w:val="none" w:sz="0" w:space="0" w:color="auto"/>
        <w:bottom w:val="none" w:sz="0" w:space="0" w:color="auto"/>
        <w:right w:val="none" w:sz="0" w:space="0" w:color="auto"/>
      </w:divBdr>
    </w:div>
    <w:div w:id="1955089014">
      <w:bodyDiv w:val="1"/>
      <w:marLeft w:val="0"/>
      <w:marRight w:val="0"/>
      <w:marTop w:val="0"/>
      <w:marBottom w:val="0"/>
      <w:divBdr>
        <w:top w:val="none" w:sz="0" w:space="0" w:color="auto"/>
        <w:left w:val="none" w:sz="0" w:space="0" w:color="auto"/>
        <w:bottom w:val="none" w:sz="0" w:space="0" w:color="auto"/>
        <w:right w:val="none" w:sz="0" w:space="0" w:color="auto"/>
      </w:divBdr>
    </w:div>
    <w:div w:id="2009363365">
      <w:bodyDiv w:val="1"/>
      <w:marLeft w:val="0"/>
      <w:marRight w:val="0"/>
      <w:marTop w:val="0"/>
      <w:marBottom w:val="0"/>
      <w:divBdr>
        <w:top w:val="none" w:sz="0" w:space="0" w:color="auto"/>
        <w:left w:val="none" w:sz="0" w:space="0" w:color="auto"/>
        <w:bottom w:val="none" w:sz="0" w:space="0" w:color="auto"/>
        <w:right w:val="none" w:sz="0" w:space="0" w:color="auto"/>
      </w:divBdr>
    </w:div>
    <w:div w:id="2016567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14</Pages>
  <Words>3159</Words>
  <Characters>18008</Characters>
  <Application>Microsoft Office Word</Application>
  <DocSecurity>0</DocSecurity>
  <Lines>150</Lines>
  <Paragraphs>42</Paragraphs>
  <ScaleCrop>false</ScaleCrop>
  <Company/>
  <LinksUpToDate>false</LinksUpToDate>
  <CharactersWithSpaces>21125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Haskins (1912233)</dc:creator>
  <cp:keywords/>
  <dc:description/>
  <cp:lastModifiedBy>Elinor Haskins (1912233)</cp:lastModifiedBy>
  <cp:revision>66</cp:revision>
  <dcterms:created xsi:type="dcterms:W3CDTF">2024-03-13T17:20:00Z</dcterms:created>
  <dcterms:modified xsi:type="dcterms:W3CDTF">2024-03-22T01:41:00Z</dcterms:modified>
</cp:coreProperties>
</file>