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word/glossary/websettings.xml" ContentType="application/vnd.openxmlformats-officedocument.wordprocessingml.webSettings+xml"/>
  <Override PartName="/word/glossary/fonttable.xml" ContentType="application/vnd.openxmlformats-officedocument.wordprocessingml.fontTable+xml"/>
  <Override PartName="/word/numbering.xml" ContentType="application/vnd.openxmlformats-officedocument.wordprocessingml.numbering+xml"/>
  <Override PartName="/word/glossary/document.xml" ContentType="application/vnd.openxmlformats-officedocument.wordprocessingml.document.glossary+xml"/>
  <Override PartName="/word/glossary/settings.xml" ContentType="application/vnd.openxmlformats-officedocument.wordprocessingml.settings+xml"/>
  <Override PartName="/word/fonttable.xml" ContentType="application/vnd.openxmlformats-officedocument.wordprocessingml.fontTable+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settings.xml" ContentType="application/vnd.openxmlformats-officedocument.wordprocessingml.settings+xml"/>
  <Override PartName="/word/footer1.xml" ContentType="application/vnd.openxmlformats-officedocument.wordprocessingml.footer+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word/glossary/styles.xml" ContentType="application/vnd.openxmlformats-officedocument.wordprocessingml.styl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pStyle w:val="NoSpacing"/>
        <w:spacing w:before="1540" w:after="240"/>
        <w:jc w:val="center"/>
        <w:rPr>
          <w:rFonts w:ascii="Times New Roman" w:cs="Times New Roman" w:hAnsi="Times New Roman"/>
        </w:rPr>
      </w:pPr>
    </w:p>
    <w:p>
      <w:pPr>
        <w:pStyle w:val="NoSpacing"/>
        <w:pBdr>
          <w:top w:val="single" w:color="4472c4" w:themeColor="accent1" w:sz="6" w:space="6"/>
          <w:bottom w:val="single" w:color="4472c4" w:themeColor="accent1" w:sz="6" w:space="6"/>
        </w:pBdr>
        <w:spacing w:after="240"/>
        <w:jc w:val="center"/>
        <w:rPr>
          <w:rFonts w:ascii="Times New Roman" w:cs="Times New Roman" w:eastAsiaTheme="majorEastAsia" w:hAnsi="Times New Roman"/>
          <w:caps/>
          <w:sz w:val="72"/>
          <w:szCs w:val="72"/>
        </w:rPr>
      </w:pPr>
      <w:r>
        <w:rPr>
          <w:rFonts w:ascii="Times New Roman" w:cs="Times New Roman" w:eastAsiaTheme="majorEastAsia" w:hAnsi="Times New Roman"/>
          <w:caps/>
          <w:sz w:val="72"/>
          <w:szCs w:val="72"/>
        </w:rPr>
        <w:t>Assessment 1 Community Engagement(lcbb4002)</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Student ID:</w:t>
      </w:r>
      <w:r>
        <w:rPr>
          <w:rFonts w:ascii="Times New Roman" w:cs="Times New Roman" w:hAnsi="Times New Roman"/>
          <w:sz w:val="28"/>
          <w:szCs w:val="28"/>
        </w:rPr>
        <w:t xml:space="preserve"> 2114679</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Student name:Petronela Hurmuzache</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Tutor name:Dr Molly Jack</w:t>
      </w:r>
    </w:p>
    <w:p>
      <w:pPr>
        <w:pStyle w:val="NoSpacing"/>
        <w:pBdr>
          <w:top w:val="single" w:color="4472c4" w:themeColor="accent1" w:sz="6" w:space="6"/>
          <w:bottom w:val="single" w:color="4472c4" w:themeColor="accent1" w:sz="6" w:space="6"/>
        </w:pBdr>
        <w:spacing w:after="240"/>
        <w:jc w:val="center"/>
        <w:rPr>
          <w:color w:val="4472c4" w:themeColor="accent1"/>
          <w:sz w:val="28"/>
          <w:szCs w:val="28"/>
        </w:rPr>
      </w:pPr>
    </w:p>
    <w:p>
      <w:pPr>
        <w:pStyle w:val="NoSpacing"/>
        <w:spacing w:before="480"/>
        <w:jc w:val="center"/>
        <w:rPr>
          <w:color w:val="4472c4" w:themeColor="accent1"/>
        </w:rPr>
      </w:pPr>
    </w:p>
    <w:p>
      <w:r>
        <w:rPr/>
        <w:br w:type="page"/>
      </w:r>
    </w:p>
    <w:p>
      <w:pPr>
        <w:pStyle w:val="TOCHeading"/>
        <w:rPr/>
      </w:pPr>
      <w:r>
        <w:t>Table of Contents</w:t>
      </w:r>
    </w:p>
    <w:p>
      <w:pPr>
        <w:pStyle w:val="Toc1"/>
        <w:tabs>
          <w:tab w:val="right" w:leader="dot" w:pos="9350"/>
        </w:tabs>
        <w:rPr>
          <w:rFonts w:asciiTheme="minorHAnsi" w:cstheme="minorBidi" w:eastAsiaTheme="minorEastAsia" w:hAnsiTheme="minorHAnsi"/>
          <w:lang w:eastAsia="en-GB"/>
        </w:rPr>
      </w:pPr>
      <w:r>
        <w:fldChar w:fldCharType="begin"/>
      </w:r>
      <w:r>
        <w:instrText xml:space="preserve"> TOC \o "1-3" \h \z \u </w:instrText>
      </w:r>
      <w:r>
        <w:fldChar w:fldCharType="separate"/>
      </w:r>
      <w:r>
        <w:fldChar w:fldCharType="begin"/>
      </w:r>
      <w:r>
        <w:instrText xml:space="preserve">HYPERLINK \l "_Toc112610005" </w:instrText>
      </w:r>
      <w:r>
        <w:fldChar w:fldCharType="separate"/>
      </w:r>
      <w:r>
        <w:rPr>
          <w:rStyle w:val="Hyperlink"/>
        </w:rPr>
        <w:t>Introduction</w:t>
      </w:r>
      <w:r>
        <w:tab/>
      </w:r>
      <w:r>
        <w:fldChar w:fldCharType="begin"/>
      </w:r>
      <w:r>
        <w:instrText xml:space="preserve"> PAGEREF _Toc112610005 \h </w:instrText>
      </w:r>
      <w:r>
        <w:fldChar w:fldCharType="separate"/>
      </w:r>
      <w:r>
        <w:t>2</w:t>
      </w:r>
      <w:r>
        <w:fldChar w:fldCharType="end"/>
      </w:r>
      <w:r>
        <w:fldChar w:fldCharType="end"/>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"_Toc112610006" </w:instrText>
      </w:r>
      <w:r>
        <w:fldChar w:fldCharType="separate"/>
      </w:r>
      <w:r>
        <w:rPr>
          <w:rStyle w:val="Hyperlink"/>
        </w:rPr>
        <w:t>Analysis of the project</w:t>
      </w:r>
      <w:r>
        <w:tab/>
      </w:r>
      <w:r>
        <w:fldChar w:fldCharType="end"/>
      </w:r>
      <w:r>
        <w:rPr>
          <w:rFonts w:asciiTheme="minorHAnsi" w:cstheme="minorBidi" w:eastAsiaTheme="minorEastAsia" w:hAnsiTheme="minorHAnsi"/>
          <w:lang w:eastAsia="en-GB"/>
        </w:rPr>
        <w:t>3</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"_Toc112610007" </w:instrText>
      </w:r>
      <w:r>
        <w:fldChar w:fldCharType="separate"/>
      </w:r>
      <w:r>
        <w:rPr>
          <w:rStyle w:val="Hyperlink"/>
        </w:rPr>
        <w:t>Reason for community engagement</w:t>
      </w:r>
      <w:r>
        <w:tab/>
      </w:r>
      <w:r>
        <w:fldChar w:fldCharType="end"/>
      </w:r>
      <w:r>
        <w:rPr>
          <w:rFonts w:asciiTheme="minorHAnsi" w:cstheme="minorBidi" w:eastAsiaTheme="minorEastAsia" w:hAnsiTheme="minorHAnsi"/>
          <w:lang w:eastAsia="en-GB"/>
        </w:rPr>
        <w:t>4</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"_Toc112610008" </w:instrText>
      </w:r>
      <w:r>
        <w:fldChar w:fldCharType="separate"/>
      </w:r>
      <w:r>
        <w:rPr>
          <w:rStyle w:val="Hyperlink"/>
        </w:rPr>
        <w:t>Community engagement in Project</w:t>
      </w:r>
      <w:r>
        <w:tab/>
      </w:r>
      <w:r>
        <w:fldChar w:fldCharType="end"/>
      </w:r>
      <w:r>
        <w:rPr>
          <w:rFonts w:asciiTheme="minorHAnsi" w:cstheme="minorBidi" w:eastAsiaTheme="minorEastAsia" w:hAnsiTheme="minorHAnsi"/>
          <w:lang w:eastAsia="en-GB"/>
        </w:rPr>
        <w:t>5</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"_Toc112610009" </w:instrText>
      </w:r>
      <w:r>
        <w:fldChar w:fldCharType="separate"/>
      </w:r>
      <w:r>
        <w:rPr>
          <w:rStyle w:val="Hyperlink"/>
        </w:rPr>
        <w:t>Effective community organising via social and cultural means</w:t>
      </w:r>
      <w:r>
        <w:tab/>
      </w:r>
      <w:r>
        <w:fldChar w:fldCharType="end"/>
      </w:r>
      <w:r>
        <w:rPr>
          <w:rFonts w:asciiTheme="minorHAnsi" w:cstheme="minorBidi" w:eastAsiaTheme="minorEastAsia" w:hAnsiTheme="minorHAnsi"/>
          <w:lang w:eastAsia="en-GB"/>
        </w:rPr>
        <w:t>6</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"_Toc112610010" </w:instrText>
      </w:r>
      <w:r>
        <w:fldChar w:fldCharType="separate"/>
      </w:r>
      <w:r>
        <w:rPr>
          <w:rStyle w:val="Hyperlink"/>
        </w:rPr>
        <w:t>Recommendations</w:t>
      </w:r>
      <w:r>
        <w:tab/>
      </w:r>
      <w:r>
        <w:fldChar w:fldCharType="end"/>
      </w:r>
      <w:r>
        <w:rPr>
          <w:rFonts w:asciiTheme="minorHAnsi" w:cstheme="minorBidi" w:eastAsiaTheme="minorEastAsia" w:hAnsiTheme="minorHAnsi"/>
          <w:lang w:eastAsia="en-GB"/>
        </w:rPr>
        <w:t>8</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"_Toc112610011" </w:instrText>
      </w:r>
      <w:r>
        <w:fldChar w:fldCharType="separate"/>
      </w:r>
      <w:r>
        <w:rPr>
          <w:rStyle w:val="Hyperlink"/>
        </w:rPr>
        <w:t>Conclusion</w:t>
      </w:r>
      <w:r>
        <w:tab/>
      </w:r>
      <w:r>
        <w:fldChar w:fldCharType="end"/>
      </w:r>
      <w:r>
        <w:rPr>
          <w:rFonts w:asciiTheme="minorHAnsi" w:cstheme="minorBidi" w:eastAsiaTheme="minorEastAsia" w:hAnsiTheme="minorHAnsi"/>
          <w:lang w:eastAsia="en-GB"/>
        </w:rPr>
        <w:t>9</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"_Toc112610012" </w:instrText>
      </w:r>
      <w:r>
        <w:fldChar w:fldCharType="separate"/>
      </w:r>
      <w:r>
        <w:rPr>
          <w:rStyle w:val="Hyperlink"/>
        </w:rPr>
        <w:t>References</w:t>
      </w:r>
      <w:r>
        <w:tab/>
      </w:r>
      <w:r>
        <w:fldChar w:fldCharType="end"/>
      </w:r>
      <w:r>
        <w:rPr>
          <w:rFonts w:asciiTheme="minorHAnsi" w:cstheme="minorBidi" w:eastAsiaTheme="minorEastAsia" w:hAnsiTheme="minorHAnsi"/>
          <w:lang w:eastAsia="en-GB"/>
        </w:rPr>
        <w:t>10</w:t>
      </w:r>
    </w:p>
    <w:p>
      <w:r>
        <w:fldChar w:fldCharType="end"/>
      </w:r>
    </w:p>
    <w:p/>
    <w:p/>
    <w:p/>
    <w:p/>
    <w:p/>
    <w:p/>
    <w:p/>
    <w:p/>
    <w:p/>
    <w:p>
      <w:pPr>
        <w:pStyle w:val="Heading1"/>
        <w:rPr/>
      </w:pPr>
      <w:bookmarkStart w:id="0" w:name="_Toc112610005"/>
      <w:r>
        <w:t>Introduction</w:t>
      </w:r>
      <w:bookmarkEnd w:id="0"/>
    </w:p>
    <w:p>
      <w:r>
        <w:t xml:space="preserve">This report will specifically focus on community engagement activities, which include interacting with various members of the community. These activities are essential to contributing to the varied operations of the company in a number of different ways, and they will be the primary focus of this report. Civic education </w:t>
      </w:r>
      <w:r>
        <w:t xml:space="preserve">on the ageing education </w:t>
      </w:r>
      <w:r>
        <w:t xml:space="preserve">is intimately connected to the social programme that has been given top priority for community engagement. The provision of a myriad of classroom-based and extracurricular teaching services is essential to the success of any community education programme. </w:t>
      </w:r>
      <w:r>
        <w:t>It</w:t>
      </w:r>
      <w:r>
        <w:t xml:space="preserve"> places an emphasis on the need of providing public education services, which are essential in order to treat the socioeconomic issue at its root. It has been observed that social settings and activities are essential for recognising the worth of a variety of functional capabilities. This is something that is especially useful when thinking about business after examining activities for engagement in the community. This is quite important for proving the fact that each and every one of the company's functional divisions makes a contribution to the expansion of the company's productivity as well as its advantage over its competitors. Discovering the reasons for the critical importance of community involvement to the accomplishment of the project is one of the primary objectives of this research. Within the scope of this investigation, more work will be done to create approaches that are critical to increasing people's participation in the communities in which they live. The importance of a culture of cooperation among workers, which is essential for increasing the quantity as well as the quality of a company's output, will be one of the most important aspects of this research, and one of the most important aspects of this research will be the role that community involvement activities have in fostering that culture. Due to the association between proximity and common interests, participation in local activities has a favourable influence on people's awareness of environmental and behavioural changes, which in turn has a positive effect on the environment.</w:t>
      </w:r>
      <w:r>
        <w:t xml:space="preserve"> </w:t>
      </w:r>
      <w:r>
        <w:t>Within the scope of this evaluation, a variety of hypotheses and models will be scrutinised in order to design a strategy for the community involvement programme that allows for the most effective coordination</w:t>
      </w:r>
      <w:r>
        <w:t xml:space="preserve"> and the most engagement of the ageing population.</w:t>
      </w:r>
    </w:p>
    <w:p>
      <w:pPr>
        <w:pStyle w:val="Heading1"/>
        <w:rPr/>
      </w:pPr>
      <w:bookmarkStart w:id="1" w:name="_Toc112610006"/>
      <w:r>
        <w:t>Analysis of the project</w:t>
      </w:r>
      <w:bookmarkEnd w:id="1"/>
    </w:p>
    <w:p>
      <w:r>
        <w:t>It is very necessary for the health and happiness of the people that they be actively involved in the communities in which they live. People get involved in their communities when they look for jobs in which they may collaborate with others to run businesses that include a number of different groups that are located in close proximity to one another. This is the process known as "community engagement." To put it another way, the effectiveness of a social programme is diminished when there is insufficient community participation in the management of that programme. Community participation is widely regarded as an essential tool for comprehending the behavioural and environmental shifts that have a tendency to influence the daily activities of an organisation (Mayo, 2019). It has also been shown that activities involving community involvement have a propensity to have an effect on the whole operating system of the company, to monitor the risk indicators that may be detected by any organisation, and to extend across a variety of social programme activities</w:t>
      </w:r>
      <w:r>
        <w:t xml:space="preserve"> (</w:t>
      </w:r>
      <w:r>
        <w:t>Medina</w:t>
      </w:r>
      <w:r>
        <w:t>, 2019)</w:t>
      </w:r>
      <w:r>
        <w:t>.</w:t>
      </w:r>
    </w:p>
    <w:p>
      <w:r>
        <w:t>Participating in activities that engage the community can help one gain an understanding of the organisational structure of the programme</w:t>
      </w:r>
      <w:r>
        <w:t xml:space="preserve"> as well as gain awareness of aging issues.</w:t>
      </w:r>
      <w:r>
        <w:t xml:space="preserve"> Participating in community activities need to be regarded as one of the activities that demand the greatest effort and time (Dostilio, 2017). People need to be given the appropriate training in order for the goal of the social programme to be realised, and this training must be delivered. Incorporating committed human, financial, and time resources into the available resources of the firm is one way to accomplish this goal (Welch, 2016). Community engagement activities are in high demand in the United Kingdom to maintain collaboration, guarantee that activities are carried out correctly, and ensure that activities are carried out properly while managing diversity within social programmes (UK). Citizens and communities located there, on the other hand, have struggled to choose the community involvement programme that best meets their needs.</w:t>
      </w:r>
      <w:bookmarkStart w:id="2" w:name="_Toc112610007"/>
    </w:p>
    <w:p>
      <w:pPr>
        <w:rPr>
          <w:b/>
          <w:bCs/>
        </w:rPr>
      </w:pPr>
      <w:r>
        <w:rPr>
          <w:b/>
          <w:bCs/>
        </w:rPr>
        <w:t>Reason for community engagement</w:t>
      </w:r>
      <w:bookmarkEnd w:id="2"/>
    </w:p>
    <w:p>
      <w:r>
        <w:t>Students' levels of awareness should be developed by involvement in social activities and engagement in their local communities</w:t>
      </w:r>
      <w:r>
        <w:t xml:space="preserve"> and the ageing population</w:t>
      </w:r>
      <w:r>
        <w:t>. This not only teaches students responsibility for their own actions but also prepares them to satisfy the needs of persons in the future. Students need to have the capability of catering to the requirements of persons in the future.</w:t>
      </w:r>
      <w:r>
        <w:t xml:space="preserve"> People may be able to improve their present volunteer work in the area of education by increasing their investment in the company. Contributions may be made in monetary form, in the form of labour or in the shape of materials; they can also be taken from the public in line with their particular preferences. Contributions can be made in the form of materials. The expansion of community education as a social programme that encourages community engagement may also be accomplished by encouraging individuals to take part in various volunteer activities. This is one of many ways in which activities related to community education may be broadened to become part of social programmes that encourage community engagement (Lee, 2020). It has also been pointed out that community education encourages learning and social development activities among people and groups by using formal and unofficial forms of teaching. Community involvement is beneficial to corporate organisations because it educates them about the resources available in the surrounding area. In addition, the data that was acquired as a result of these efforts provided significant insight into the preferences of the customers, which is critical to the success of the firm. As part of their corporate social responsibility (CSR) efforts, many companies prioritise the management of a diverse variety of programmes. Because of this, speculators will have more wealth at their disposal, which they might use toward supporting other community endeavours. As a consequence of this, this is very important for lowering the societal effect of the many issues faced by corporations. Several companies established in the United Kingdom place a high priority on providing assistance to elderly citizens in their participation in community activities. This is due to the fact that these organisations actively attempt to foster healthy socialisation among seniors as well as continuing engagement in events that are held in the community. In their older years, they won't have to be concerned about the potentially negative effects of living alone, and they'll be able to keep enjoying life according to their own terms thanks to this arrangement. On the British market, there is a tremendous level of competition between businesses, many of which are especially keen in (Martinez et al. 2020).</w:t>
      </w:r>
    </w:p>
    <w:p>
      <w:pPr>
        <w:pStyle w:val="Heading1"/>
        <w:rPr/>
      </w:pPr>
      <w:bookmarkStart w:id="3" w:name="_Toc112610008"/>
      <w:r>
        <w:t>Community engagement in</w:t>
      </w:r>
      <w:r>
        <w:t xml:space="preserve"> Project</w:t>
      </w:r>
      <w:bookmarkEnd w:id="3"/>
    </w:p>
    <w:p>
      <w:r>
        <w:t xml:space="preserve">Only with the active engagement of the community as a whole can the standard of living of residents of the area who are </w:t>
      </w:r>
      <w:r>
        <w:t>poor</w:t>
      </w:r>
      <w:r>
        <w:t xml:space="preserve"> see an improvement in their quality of life. If an organisation is going to be productive and operate in an effective manner, the members of its staff need to be provided with the knowledge, abilities, and procedures required to participate in community activities. Community service organisations have a responsibility to ensure that its employees, including volunteers, are well-versed in the information, skills, and resources required to provide effective assistance to people in need. According to the findings of a research conducted by the Center for Economic and Community Development at Penn State University</w:t>
      </w:r>
      <w:r>
        <w:t xml:space="preserve"> </w:t>
      </w:r>
      <w:r>
        <w:t>(2011)</w:t>
      </w:r>
      <w:r>
        <w:t>, these skill sets should also be a solid match with the services of the organisation</w:t>
      </w:r>
      <w:r>
        <w:t xml:space="preserve">. </w:t>
      </w:r>
      <w:r>
        <w:t>The following is a list of abilities and characteristics that potential volunteers should have that may be valuable to employers.</w:t>
      </w:r>
    </w:p>
    <w:p>
      <w:r>
        <w:t xml:space="preserve">In the business world, having the capacity to present information in a straightforward and straightforward manner is really essential. It is required of anyone who work for or volunteer with Age UK that they have good communication skills. This is done to ensure that they are able to support people who are in need of assistance as a consequence of ageing as efficiently as possible. In social situations, it is essential to have specialised interpersonal talents, such as employing body language and facial expressions to engage people and display joy while chatting. Additional requirements include a high level of competence in a large number of languages, as well as superior hearing and speaking ability (Abram, 2018). The members of the staff </w:t>
      </w:r>
      <w:r>
        <w:t>must</w:t>
      </w:r>
      <w:r>
        <w:t xml:space="preserve"> have an in-depth awareness with the challenges that are faced by the neighbourhood as well as the greater community. Because younger people are less susceptible to coronavirus infection than older people, the staff members of health and care organisations like Age UK should be informed on the preventative measures and emergency procedures that need to be undertaken in the event of a pandemic. This is because older people are more likely to be infected by the coronavirus. As a result of the diverse nature of the work that volunteers at Age UK conduct in order to assist those who are old as well as those who are in need, these individuals </w:t>
      </w:r>
      <w:r>
        <w:t>need</w:t>
      </w:r>
      <w:r>
        <w:t xml:space="preserve"> to be proficient at problem-solving and making choices in order to perform their responsibilities effectively. For people who wish to contribute without compromising their impact, developing excellent abilities in critical thinking and decision making is very necessary</w:t>
      </w:r>
      <w:r>
        <w:t xml:space="preserve"> (AGE UK, 2018)</w:t>
      </w:r>
      <w:r>
        <w:t>. Workers at Age UK are required to make split-second judgments depending on the particulars of each scenario in order to swiftly address the wide variety of challenges that older people may be confronted with (Abram, 2018). Donations are constantly needed for charitable organisations in the United Kingdom that provide assistance to those in need, particularly given the current state of the economy. According to research published by the Center for Economic and Community Development at Penn State University (2011), in order for volunteers to meet with other organisations, make requests, and develop partnerships, they require financial assistance. This is really necessary in order to assist older people who are having difficulty.</w:t>
      </w:r>
      <w:bookmarkStart w:id="4" w:name="_Toc112610009"/>
    </w:p>
    <w:p>
      <w:pPr>
        <w:rPr>
          <w:b/>
          <w:bCs/>
        </w:rPr>
      </w:pPr>
      <w:r>
        <w:rPr>
          <w:b/>
          <w:bCs/>
        </w:rPr>
        <w:t>Effective community organising via social and cultural means</w:t>
      </w:r>
      <w:bookmarkEnd w:id="4"/>
    </w:p>
    <w:p>
      <w:r>
        <w:t>To achieve success, it is necessary to accept new cultural norms and to make active efforts to recruit and keep a younger workforce that is interested in participating in civic activities. Promoting their products on the internet and via mobile apps is a common practise among businesses nowadays since it allows them to reach a larger audience. The staff at Age UK makes use of social media platforms such as Twitter and Facebook in order to inspire individuals of the surrounding community to become engaged (Memon, 2021). Age UK utilises the internet and social media to promote awareness and funding, attract volunteers, and form partnerships with companies in order to help elderly people who have nowhere else to turn for assistance. Those elderly people who have nowhere else to turn for support will be able to get assistance from Age UK. A community's level of engagement with a program's attempts to promote participation may be measured using a variety of platforms, including Facebook, YouTube, LinkedIn, and Google, among others. It has been proposed that Age UK make their mission more interesting by placing a greater focus on technological techniques and devoting more resources to the prospects of younger people. As a consequence of this, young people may discover on these websites tools that might help them obtain jobs and develop their own talents and interests. In order to entice and keep readers interested, staff members need to have a strong grasp of social media, and the content that is published on various websites should be current and thought-provoking. A certain amount of creative ability and expert knowledge is required in order to be helpful to the campaign as a whole and to attract the attention of the audience for whom the campaign is designed. The capacity of management to instruct and develop staff members is directly proportional to the success of the organisation. In order to demonstrate respect for the residents' values and beliefs, the staff has to have had exposure to a diverse variety of cultural traditions. This is due to the fact that there is no such thing as a "typical" circumstance when dealing with older people.</w:t>
      </w:r>
      <w:r>
        <w:t xml:space="preserve"> Campaigns are also led through community engagement in order to make the people of the community more included through cultural or social means.</w:t>
      </w:r>
    </w:p>
    <w:p>
      <w:pPr>
        <w:pStyle w:val="Heading1"/>
        <w:rPr/>
      </w:pPr>
      <w:bookmarkStart w:id="5" w:name="_Toc112610010"/>
      <w:r>
        <w:t>Recommendations</w:t>
      </w:r>
      <w:bookmarkEnd w:id="5"/>
    </w:p>
    <w:p>
      <w:r>
        <w:t xml:space="preserve">In order for Age UK to successfully complete its purpose, the organisation must make it simpler for a greater number of individuals to become engaged. Simplifying the procedure would be to the advantage of all parties involved since it would allow more individuals to connect with charitable organisations and assist those in their communities who are in need of assistance. Age UK may also campaign for youth-oriented fundraisers and activities in order to encourage engagement in the overarching effort to produce money for older people. This is done in order to accumulate a greater sum of money. The town is now facing a critical situation, but as a result of the grave conditions, more people will be motivated to assist in the rescue attempt and provide financial resources. If a socially responsible </w:t>
      </w:r>
      <w:r>
        <w:t>company is going to fulfil its obligation to contribute to the solution of societal problems, it is necessary for the company to be an active member of the community in which it is located. Maintaining a communication in both directions serves two purposes: first, it makes it easier to get an understanding of the needs that the persons have, and second, it guarantees that the actions of the job are carried out in conjun</w:t>
      </w:r>
      <w:r>
        <w:t xml:space="preserve">ction with one another. In light of the fact that the expansion of management activities is dependent on the inspiration and motivation of staff members, it is essential for the organisation to take into consideration a variety of activities that might accomplish these objectives. Participation from the audience is essential because it provides organisers with information that helps them better understand the demographic they are trying to reach (Evans </w:t>
      </w:r>
      <w:r>
        <w:t>et,al</w:t>
      </w:r>
      <w:r>
        <w:t>. 2018). It has also been observed that companies often examine a range of entertainment alternatives in the hopes that doing so would raise the mood of their employees and increase the happiness of their customers.</w:t>
      </w:r>
    </w:p>
    <w:p>
      <w:pPr>
        <w:pStyle w:val="Heading1"/>
        <w:rPr/>
      </w:pPr>
      <w:bookmarkStart w:id="6" w:name="_Toc112610011"/>
      <w:r>
        <w:t>Conclusion</w:t>
      </w:r>
      <w:bookmarkEnd w:id="6"/>
    </w:p>
    <w:p>
      <w:r>
        <w:t xml:space="preserve">On the basis of the conversation that has just taken place, it is possible to assert that the results of this research have offered information about community education, which is one kind of activity that falls under the category of community involvement activities. This research has further placed a focus on examining the many actions of community involvement, which is something that is mainly regarded by organisations. This helps to contribute to the establishment of a society in which a greater degree of equality is shown toward those who are affluent and those who are poor. If the citizens of a society aren't given a voice in the path that their country is taking, it might result in anarchy and a domino effect of crises, both of which could have devastating effects on the society and the people who live in it. People are going to have to work together in order for them to have any chance of surviving a catastrophic event. People may be of aid to one another by educating themselves on the difficulties provided by an ageing population and participating in discourse about possible solutions to these issues. This can </w:t>
      </w:r>
      <w:r>
        <w:t>help people become more aware of the problems that are being caused by an ageing population.</w:t>
      </w:r>
    </w:p>
    <w:p/>
    <w:p/>
    <w:p/>
    <w:p/>
    <w:p/>
    <w:p/>
    <w:p/>
    <w:p/>
    <w:p/>
    <w:p/>
    <w:p>
      <w:pPr>
        <w:pStyle w:val="Heading1"/>
        <w:rPr/>
      </w:pPr>
      <w:bookmarkStart w:id="7" w:name="_Toc112610012"/>
      <w:r>
        <w:t>References</w:t>
      </w:r>
      <w:bookmarkEnd w:id="7"/>
    </w:p>
    <w:p>
      <w:pPr>
        <w:pStyle w:val="ListParagraph"/>
        <w:numPr>
          <w:ilvl w:val="0"/>
          <w:numId w:val="1"/>
        </w:numPr>
        <w:rPr/>
      </w:pPr>
      <w:r>
        <w:t>Abram, S. 2018. 50 Essential Skills in Community Management. [Online]. Available from: https://communityroundtable.com/community-manager-role/50- essential-skills-in-community-management/</w:t>
      </w:r>
    </w:p>
    <w:p>
      <w:pPr>
        <w:pStyle w:val="ListParagraph"/>
        <w:numPr>
          <w:ilvl w:val="0"/>
          <w:numId w:val="1"/>
        </w:numPr>
        <w:rPr/>
      </w:pPr>
      <w:r>
        <w:t xml:space="preserve">AGE UK (2018). Age UK | The UK’s largest charity working with older people. [online] Ageuk.org.uk. Available at: https://www.ageuk.org.uk/. </w:t>
      </w:r>
    </w:p>
    <w:p>
      <w:pPr>
        <w:pStyle w:val="ListParagraph"/>
        <w:numPr>
          <w:ilvl w:val="0"/>
          <w:numId w:val="1"/>
        </w:numPr>
        <w:rPr/>
      </w:pPr>
      <w:r>
        <w:t>Center for Economic and Community Development (Penn State University). (2011). What is Community Engagement? (Center for Economic and Community Development). [online] Available at: https://aese.psu.edu/research/centers/cecd/engagement-toolbox/engagement/what-is-community-engagement.</w:t>
      </w:r>
    </w:p>
    <w:p>
      <w:pPr>
        <w:pStyle w:val="ListParagraph"/>
        <w:numPr>
          <w:ilvl w:val="0"/>
          <w:numId w:val="1"/>
        </w:numPr>
        <w:rPr/>
      </w:pPr>
      <w:r>
        <w:t xml:space="preserve">Dostilio, L.D. ed., 2017. The community engagement professional in higher education: A competency model for an emerging field. Stylus Publishing, LLC. </w:t>
      </w:r>
    </w:p>
    <w:p>
      <w:pPr>
        <w:pStyle w:val="ListParagraph"/>
        <w:numPr>
          <w:ilvl w:val="0"/>
          <w:numId w:val="1"/>
        </w:numPr>
        <w:rPr/>
      </w:pPr>
      <w:r>
        <w:t xml:space="preserve">Evans, E., Funes, M., Hong, H., </w:t>
      </w:r>
      <w:r>
        <w:t xml:space="preserve"> </w:t>
      </w:r>
      <w:r>
        <w:t xml:space="preserve">Reuter, K., Ahmed, S., Calhoun, K., Corbie-Smith, G., Dave, G., DeFino, M., Harwood, E. and Kissack, A., 2018. Defining and measuring community engagement and community-engaged research: Clinical and translational science institutional practices. Progress in community health partnerships: research, education, and action, 12(2), pp.145-156. </w:t>
      </w:r>
    </w:p>
    <w:p>
      <w:pPr>
        <w:pStyle w:val="ListParagraph"/>
        <w:numPr>
          <w:ilvl w:val="0"/>
          <w:numId w:val="1"/>
        </w:numPr>
        <w:rPr/>
      </w:pPr>
      <w:r>
        <w:t xml:space="preserve">Lee, C.W., 2020. Who Is Community Engagement For?: The Endless Loop of Democratic Transparency. American Behavioral Scientist, 64(11), pp.1565-1587. </w:t>
      </w:r>
    </w:p>
    <w:p>
      <w:pPr>
        <w:pStyle w:val="ListParagraph"/>
        <w:numPr>
          <w:ilvl w:val="0"/>
          <w:numId w:val="1"/>
        </w:numPr>
        <w:rPr/>
      </w:pPr>
      <w:r>
        <w:t xml:space="preserve">Martinez, L.S., Rapkin, B.D., Young, A., Freisthler, B., Glasgow, L., Hunt, T., Salsberry, P.J., Oga, E.A., Bennet-Fallin, A., Plouck, T.J. and Drainoni, M.L., 2020. Community engagement to implement evidence-based practices in the HEALing Communities Study. Drug and Alcohol Dependence, 217, p.108326. </w:t>
      </w:r>
    </w:p>
    <w:p>
      <w:pPr>
        <w:pStyle w:val="ListParagraph"/>
        <w:numPr>
          <w:ilvl w:val="0"/>
          <w:numId w:val="1"/>
        </w:numPr>
        <w:rPr/>
      </w:pPr>
      <w:r>
        <w:t>Mayo, P., 2019. Higher education in a globalising world: Community engagement and lifelong learning.</w:t>
      </w:r>
    </w:p>
    <w:p>
      <w:pPr>
        <w:pStyle w:val="ListParagraph"/>
        <w:numPr>
          <w:ilvl w:val="0"/>
          <w:numId w:val="1"/>
        </w:numPr>
        <w:rPr/>
      </w:pPr>
      <w:r>
        <w:t>Medina, M.A., Cosby, G. and Grim, J., 2019. Community engagement through partnerships: Lessons learned from a decade of full-service community school implementation. Journal of Education for Students Placed at Risk (JESPAR), 24(3), pp.272-287.</w:t>
      </w:r>
    </w:p>
    <w:p>
      <w:pPr>
        <w:pStyle w:val="ListParagraph"/>
        <w:numPr>
          <w:ilvl w:val="0"/>
          <w:numId w:val="1"/>
        </w:numPr>
        <w:rPr/>
      </w:pPr>
      <w:r>
        <w:t xml:space="preserve">Memon, R., Asif, M., Khoso, A.B. et al. Recognising values and engaging communities across cultures: towards developing a cultural protocol for researchers. BMC Med Ethics 22, 47 (2021). </w:t>
      </w:r>
      <w:r>
        <w:fldChar w:fldCharType="begin"/>
      </w:r>
      <w:r>
        <w:instrText xml:space="preserve">HYPERLINK "https://doi.org/10.1186/s12910-021-00608-4" </w:instrText>
      </w:r>
      <w:r>
        <w:fldChar w:fldCharType="separate"/>
      </w:r>
      <w:r>
        <w:rPr>
          <w:rStyle w:val="Hyperlink"/>
        </w:rPr>
        <w:t>https://doi.org/10.1186/s12910-021-00608-4</w:t>
      </w:r>
      <w:r>
        <w:fldChar w:fldCharType="end"/>
      </w:r>
    </w:p>
    <w:p>
      <w:pPr>
        <w:pStyle w:val="ListParagraph"/>
        <w:numPr>
          <w:ilvl w:val="0"/>
          <w:numId w:val="1"/>
        </w:numPr>
        <w:rPr/>
      </w:pPr>
      <w:r>
        <w:t xml:space="preserve">Welch, M. and Plaxton-Moore, S., 2017. Faculty development for advancing community engagement in higher education: Current trends and future directions. Journal of Higher Education Outreach and Engagement, 21(2), pp.131-166. </w:t>
      </w:r>
    </w:p>
    <w:sectPr>
      <w:footerReference w:type="default" r:id="rId1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r>
        <w:rPr/>
        <w:separator/>
      </w:r>
    </w:p>
  </w:endnote>
  <w:endnote w:type="continuationSeparator" w:id="1">
    <w:p>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r>
        <w:rPr/>
        <w:separator/>
      </w:r>
    </w:p>
  </w:footnote>
  <w:footnote w:type="continuationSeparator" w:id="1">
    <w:p>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CB4"/>
    <w:rsid w:val="000771B2"/>
    <w:rsid w:val="00115D3C"/>
    <w:rsid w:val="00150B6F"/>
    <w:rsid w:val="00180C00"/>
    <w:rsid w:val="001F2B89"/>
    <w:rsid w:val="002E1F1D"/>
    <w:rsid w:val="00350582"/>
    <w:rsid w:val="00372CB4"/>
    <w:rsid w:val="0040495F"/>
    <w:rsid w:val="00411C30"/>
    <w:rsid w:val="00417C92"/>
    <w:rsid w:val="00483645"/>
    <w:rsid w:val="00556F08"/>
    <w:rsid w:val="00567052"/>
    <w:rsid w:val="005C0D76"/>
    <w:rsid w:val="006606D0"/>
    <w:rsid w:val="006C2637"/>
    <w:rsid w:val="008E31D9"/>
    <w:rsid w:val="00A76CA5"/>
    <w:rsid w:val="00B41113"/>
    <w:rsid w:val="00B84685"/>
    <w:rsid w:val="00BC004F"/>
    <w:rsid w:val="00BE6FDE"/>
    <w:rsid w:val="00C577AB"/>
    <w:rsid w:val="00C7636A"/>
    <w:rsid w:val="00D01694"/>
    <w:rsid w:val="00D95029"/>
    <w:rsid w:val="00DD2DD3"/>
    <w:rsid w:val="00EE530D"/>
    <w:rsid w:val="00F0250A"/>
    <w:rsid w:val="00FC2D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7D2E9"/>
  <w15:chartTrackingRefBased/>
  <w15:docId w15:val="{449ABE57-DECC-4E86-80AE-7D76E0DA0781}"/>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1Char">
    <w:name w:val="Heading 1 Char"/>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472c4"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link w:val="IntenseQuote"/>
    <w:uiPriority w:val="30"/>
    <w:rPr>
      <w:b/>
      <w:bCs/>
      <w:i/>
      <w:iCs/>
      <w:color w:val="4472c4" w:themeColor="accent1"/>
    </w:rPr>
  </w:style>
  <w:style w:type="character" w:styleId="SubtleReference">
    <w:name w:val="Subtle Reference"/>
    <w:uiPriority w:val="31"/>
    <w:qFormat w:val="on"/>
    <w:rPr>
      <w:smallCaps/>
      <w:color w:val="ed7d31" w:themeColor="accent2"/>
      <w:u w:val="single"/>
    </w:rPr>
  </w:style>
  <w:style w:type="character" w:styleId="IntenseReference">
    <w:name w:val="Intense Reference"/>
    <w:uiPriority w:val="32"/>
    <w:qFormat w:val="on"/>
    <w:rPr>
      <w:b/>
      <w:bCs/>
      <w:smallCaps/>
      <w:color w:val="ed7d31" w:themeColor="accent2"/>
      <w:spacing w:val="5"/>
      <w:u w:val="single"/>
    </w:rPr>
  </w:style>
  <w:style w:type="character" w:styleId="BookTitle">
    <w:name w:val="Book Title"/>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character" w:customStyle="1" w:styleId="HeaderChar">
    <w:name w:val="Header Char"/>
    <w:uiPriority w:val="99"/>
  </w:style>
  <w:style w:type="character" w:customStyle="1" w:styleId="FooterChar">
    <w:name w:val="Footer Char"/>
    <w:uiPriority w:val="99"/>
  </w:style>
  <w:style w:type="paragraph" w:default="1" w:styleId="Normal">
    <w:name w:val="Normal"/>
    <w:uiPriority w:val="99"/>
    <w:qFormat w:val="on"/>
    <w:pPr>
      <w:spacing w:line="360" w:lineRule="auto"/>
      <w:jc w:val="both"/>
    </w:pPr>
    <w:rPr>
      <w:rFonts w:ascii="Times New Roman" w:cs="Times New Roman" w:hAnsi="Times New Roman"/>
    </w:rPr>
  </w:style>
  <w:style w:type="paragraph" w:styleId="Heading1">
    <w:name w:val="Heading 1"/>
    <w:basedOn w:val="Normal"/>
    <w:next w:val="Normal"/>
    <w:link w:val="Titlu1Caracter"/>
    <w:uiPriority w:val="9"/>
    <w:qFormat w:val="on"/>
    <w:pPr>
      <w:keepNext w:val="on"/>
      <w:keepLines w:val="on"/>
      <w:spacing w:before="240" w:after="0"/>
    </w:pPr>
    <w:rPr>
      <w:rFonts w:eastAsiaTheme="majorEastAsia"/>
      <w:b/>
      <w:bCs/>
    </w:rPr>
  </w:style>
  <w:style w:type="paragraph" w:styleId="Heading2">
    <w:name w:val="Heading 2"/>
    <w:basedOn w:val="Normal"/>
    <w:next w:val="Normal"/>
    <w:link w:val="Titlu2Caracter"/>
    <w:uiPriority w:val="9"/>
    <w:unhideWhenUsed w:val="on"/>
    <w:qFormat w:val="on"/>
    <w:pPr>
      <w:keepNext w:val="on"/>
      <w:keepLines w:val="on"/>
      <w:spacing w:before="40" w:after="0"/>
    </w:pPr>
    <w:rPr>
      <w:rFonts w:asciiTheme="majorHAnsi" w:cstheme="majorBidi" w:eastAsiaTheme="majorEastAsia" w:hAnsiTheme="majorHAnsi"/>
      <w:color w:val="2f5395" w:themeColor="accent1" w:themeShade="bf"/>
      <w:sz w:val="26"/>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link w:val="FărăspațiereCaracter"/>
    <w:uiPriority w:val="1"/>
    <w:qFormat w:val="on"/>
    <w:pPr>
      <w:spacing w:after="0" w:line="240" w:lineRule="auto"/>
    </w:pPr>
    <w:rPr>
      <w:rFonts w:eastAsiaTheme="minorEastAsia"/>
      <w:lang w:val="en-US"/>
    </w:rPr>
  </w:style>
  <w:style w:type="character" w:customStyle="1" w:styleId="FărăspațiereCaracter">
    <w:name w:val="Fără spațiere Caracter"/>
    <w:basedOn w:val="DefaultParagraphFont"/>
    <w:link w:val="NoSpacing"/>
    <w:uiPriority w:val="1"/>
    <w:rPr>
      <w:rFonts w:eastAsiaTheme="minorEastAsia"/>
      <w:lang w:val="en-US"/>
    </w:rPr>
  </w:style>
  <w:style w:type="character" w:customStyle="1" w:styleId="Titlu1Caracter">
    <w:name w:val="Titlu 1 Caracter"/>
    <w:basedOn w:val="DefaultParagraphFont"/>
    <w:link w:val="Heading1"/>
    <w:uiPriority w:val="9"/>
    <w:rPr>
      <w:rFonts w:ascii="Times New Roman" w:cs="Times New Roman" w:eastAsiaTheme="majorEastAsia" w:hAnsi="Times New Roman"/>
      <w:b/>
      <w:bCs/>
      <w:sz w:val="24"/>
      <w:szCs w:val="24"/>
    </w:r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unhideWhenUsed w:val="on"/>
    <w:qFormat w:val="on"/>
    <w:pPr/>
    <w:rPr>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Header">
    <w:name w:val="Header"/>
    <w:basedOn w:val="Normal"/>
    <w:link w:val="AntetCaracter"/>
    <w:uiPriority w:val="99"/>
    <w:unhideWhenUsed w:val="on"/>
    <w:pPr>
      <w:tabs>
        <w:tab w:val="center" w:pos="4513"/>
        <w:tab w:val="right" w:pos="9026"/>
      </w:tabs>
      <w:spacing w:after="0" w:line="240" w:lineRule="auto"/>
    </w:pPr>
  </w:style>
  <w:style w:type="character" w:customStyle="1" w:styleId="AntetCaracter">
    <w:name w:val="Antet Caracter"/>
    <w:basedOn w:val="DefaultParagraphFont"/>
    <w:link w:val="Header"/>
    <w:uiPriority w:val="99"/>
  </w:style>
  <w:style w:type="paragraph" w:styleId="Footer">
    <w:name w:val="Footer"/>
    <w:basedOn w:val="Normal"/>
    <w:link w:val="SubsolCaracter"/>
    <w:uiPriority w:val="99"/>
    <w:unhideWhenUsed w:val="on"/>
    <w:pPr>
      <w:tabs>
        <w:tab w:val="center" w:pos="4513"/>
        <w:tab w:val="right" w:pos="9026"/>
      </w:tabs>
      <w:spacing w:after="0" w:line="240" w:lineRule="auto"/>
    </w:pPr>
  </w:style>
  <w:style w:type="character" w:customStyle="1" w:styleId="SubsolCaracter">
    <w:name w:val="Subsol Caracter"/>
    <w:basedOn w:val="DefaultParagraphFont"/>
    <w:link w:val="Footer"/>
    <w:uiPriority w:val="99"/>
  </w:style>
  <w:style w:type="character" w:customStyle="1" w:styleId="Titlu2Caracter">
    <w:name w:val="Titlu 2 Caracter"/>
    <w:basedOn w:val="DefaultParagraphFont"/>
    <w:link w:val="Heading2"/>
    <w:uiPriority w:val="9"/>
    <w:rPr>
      <w:rFonts w:asciiTheme="majorHAnsi" w:cstheme="majorBidi" w:eastAsiaTheme="majorEastAsia" w:hAnsiTheme="majorHAnsi"/>
      <w:color w:val="2f5395" w:themeColor="accent1" w:themeShade="bf"/>
      <w:sz w:val="26"/>
      <w:szCs w:val="26"/>
    </w:rPr>
  </w:style>
  <w:style w:type="character" w:styleId="UnresolvedMention">
    <w:name w:val="Unresolved Mention"/>
    <w:basedOn w:val="DefaultParagraphFont"/>
    <w:uiPriority w:val="99"/>
    <w:semiHidden w:val="on"/>
    <w:unhideWhenUsed w:val="on"/>
    <w:rPr>
      <w:color w:val="605e5c"/>
      <w:shd w:val="clear" w:color="auto" w:fill="e1dfdd"/>
    </w:rPr>
  </w:style>
  <w:style w:type="paragraph" w:styleId="Toc2">
    <w:name w:val="Toc 2"/>
    <w:basedOn w:val="Normal"/>
    <w:next w:val="Normal"/>
    <w:uiPriority w:val="39"/>
    <w:unhideWhenUsed w:val="on"/>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2" Type="http://schemas.openxmlformats.org/officeDocument/2006/relationships/theme" Target="theme/theme1.xml"/><Relationship Id="rId13" Type="http://schemas.openxmlformats.org/officeDocument/2006/relationships/footer" Target="footer1.xml"/><Relationship Id="rId14"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9" Type="http://schemas.openxmlformats.org/officeDocument/2006/relationships/footer" Target="footer1.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hyperlink" Target="https://doi.org/10.1186/s12910-021-00608-4" TargetMode="External"/><Relationship Id="rId11"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91D20FAA794A7CA569D2CD72B3245A"/>
        <w:category>
          <w:name w:val="General"/>
          <w:gallery w:val="placeholder"/>
        </w:category>
        <w:types>
          <w:type w:val="bbPlcHdr"/>
        </w:types>
        <w:behaviors>
          <w:behavior w:val="content"/>
        </w:behaviors>
        <w:guid w:val="{4F1D3945-46F1-45B8-BBB4-19D0245C5C58}"/>
      </w:docPartPr>
      <w:docPartBody>
        <w:p w:rsidR="00FE222B" w:rsidRDefault="00FD1418" w:rsidP="00FD1418">
          <w:pPr>
            <w:pStyle w:val="5591D20FAA794A7CA569D2CD72B3245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0CC"/>
    <w:rsid w:val="000A65B9"/>
    <w:rsid w:val="001D5A3F"/>
    <w:rsid w:val="00BF2F42"/>
    <w:rsid w:val="00C32028"/>
    <w:rsid w:val="00EA1774"/>
    <w:rsid w:val="00EF40CC"/>
    <w:rsid w:val="00FD1418"/>
    <w:rsid w:val="00FE2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5591D20FAA794A7CA569D2CD72B3245A">
    <w:name w:val="5591D20FAA794A7CA569D2CD72B3245A"/>
    <w:rsid w:val="00FD14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02BE1-F051-47B3-8F45-162613A075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2896</Words>
  <Characters>16799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Assessment 1 Blogging to communicate</vt:lpstr>
    </vt:vector>
  </TitlesOfParts>
  <Company/>
  <LinksUpToDate>false</LinksUpToDate>
  <CharactersWithSpaces>19656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Blogging to communicate</dc:title>
  <dc:subject>Student ID:</dc:subject>
  <dc:creator>Diana-Rose Albu (Student)</dc:creator>
  <cp:lastModifiedBy>cristinadffdf</cp:lastModifiedBy>
</cp:coreProperties>
</file>