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83A4E" w:rsidP="1E99BFFD" w:rsidRDefault="00000000" w14:paraId="4FDF6A7F" w14:textId="77777777">
      <w:pPr>
        <w:spacing w:after="200"/>
        <w:jc w:val="center"/>
        <w:rPr>
          <w:rFonts w:ascii="Arial" w:hAnsi="Arial" w:eastAsia="Arial" w:cs="Arial"/>
          <w:b w:val="1"/>
          <w:bCs w:val="1"/>
          <w:sz w:val="26"/>
          <w:szCs w:val="26"/>
        </w:rPr>
      </w:pPr>
      <w:r w:rsidRPr="1E99BFFD" w:rsidR="00000000">
        <w:rPr>
          <w:rFonts w:ascii="Arial" w:hAnsi="Arial" w:eastAsia="Arial" w:cs="Arial"/>
          <w:b w:val="1"/>
          <w:bCs w:val="1"/>
          <w:sz w:val="26"/>
          <w:szCs w:val="26"/>
        </w:rPr>
        <w:t>BMHP5019_BIRM – Introduction to Independent Research Skills</w:t>
      </w:r>
    </w:p>
    <w:p w:rsidR="00A83A4E" w:rsidP="1E99BFFD" w:rsidRDefault="00000000" w14:paraId="49057B0E" w14:textId="77777777">
      <w:pPr>
        <w:spacing w:after="200"/>
        <w:jc w:val="center"/>
        <w:rPr>
          <w:rFonts w:ascii="Arial" w:hAnsi="Arial" w:eastAsia="Arial" w:cs="Arial"/>
          <w:b w:val="1"/>
          <w:bCs w:val="1"/>
          <w:sz w:val="26"/>
          <w:szCs w:val="26"/>
        </w:rPr>
      </w:pPr>
      <w:r w:rsidRPr="1E99BFFD" w:rsidR="00000000">
        <w:rPr>
          <w:rFonts w:ascii="Arial" w:hAnsi="Arial" w:eastAsia="Arial" w:cs="Arial"/>
          <w:b w:val="1"/>
          <w:bCs w:val="1"/>
          <w:sz w:val="26"/>
          <w:szCs w:val="26"/>
        </w:rPr>
        <w:t>Component 2</w:t>
      </w:r>
    </w:p>
    <w:p w:rsidR="00A83A4E" w:rsidP="1E99BFFD" w:rsidRDefault="00000000" w14:paraId="724E97A8" w14:textId="77777777">
      <w:pPr>
        <w:spacing w:after="600"/>
        <w:jc w:val="center"/>
        <w:rPr>
          <w:rFonts w:ascii="Arial" w:hAnsi="Arial" w:eastAsia="Arial" w:cs="Arial"/>
          <w:b w:val="1"/>
          <w:bCs w:val="1"/>
          <w:sz w:val="26"/>
          <w:szCs w:val="26"/>
        </w:rPr>
      </w:pPr>
      <w:r w:rsidRPr="1E99BFFD" w:rsidR="00000000">
        <w:rPr>
          <w:rFonts w:ascii="Arial" w:hAnsi="Arial" w:eastAsia="Arial" w:cs="Arial"/>
          <w:b w:val="1"/>
          <w:bCs w:val="1"/>
          <w:sz w:val="26"/>
          <w:szCs w:val="26"/>
        </w:rPr>
        <w:t>Scoping Review Report</w:t>
      </w:r>
    </w:p>
    <w:p w:rsidR="00A83A4E" w:rsidP="1E99BFFD" w:rsidRDefault="00000000" w14:paraId="4C1D047D" w14:textId="77777777">
      <w:pPr>
        <w:spacing w:after="200"/>
        <w:jc w:val="center"/>
        <w:rPr>
          <w:rFonts w:ascii="Arial" w:hAnsi="Arial" w:eastAsia="Arial" w:cs="Arial"/>
          <w:b w:val="1"/>
          <w:bCs w:val="1"/>
          <w:sz w:val="22"/>
          <w:szCs w:val="22"/>
        </w:rPr>
      </w:pPr>
      <w:r w:rsidRPr="1E99BFFD" w:rsidR="00000000">
        <w:rPr>
          <w:rFonts w:ascii="Arial" w:hAnsi="Arial" w:eastAsia="Arial" w:cs="Arial"/>
          <w:b w:val="1"/>
          <w:bCs w:val="1"/>
          <w:sz w:val="22"/>
          <w:szCs w:val="22"/>
        </w:rPr>
        <w:t>Student Name: Joan Miller</w:t>
      </w:r>
    </w:p>
    <w:p w:rsidR="00A83A4E" w:rsidP="1E99BFFD" w:rsidRDefault="00000000" w14:paraId="1041FE03" w14:textId="77777777">
      <w:pPr>
        <w:spacing w:after="200"/>
        <w:jc w:val="center"/>
        <w:rPr>
          <w:rFonts w:ascii="Arial" w:hAnsi="Arial" w:eastAsia="Arial" w:cs="Arial"/>
          <w:b w:val="1"/>
          <w:bCs w:val="1"/>
          <w:sz w:val="22"/>
          <w:szCs w:val="22"/>
        </w:rPr>
      </w:pPr>
      <w:r w:rsidRPr="1E99BFFD" w:rsidR="00000000">
        <w:rPr>
          <w:rFonts w:ascii="Arial" w:hAnsi="Arial" w:eastAsia="Arial" w:cs="Arial"/>
          <w:b w:val="1"/>
          <w:bCs w:val="1"/>
          <w:sz w:val="22"/>
          <w:szCs w:val="22"/>
        </w:rPr>
        <w:t>Student Number: 2406689</w:t>
      </w:r>
    </w:p>
    <w:p w:rsidR="00A83A4E" w:rsidP="1E99BFFD" w:rsidRDefault="00000000" w14:paraId="4EBA8152" w14:textId="77777777">
      <w:pPr>
        <w:spacing w:after="600"/>
        <w:jc w:val="center"/>
        <w:rPr>
          <w:rFonts w:ascii="Arial" w:hAnsi="Arial" w:eastAsia="Arial" w:cs="Arial"/>
          <w:b w:val="1"/>
          <w:bCs w:val="1"/>
          <w:sz w:val="22"/>
          <w:szCs w:val="22"/>
        </w:rPr>
      </w:pPr>
      <w:r w:rsidRPr="1E99BFFD" w:rsidR="00000000">
        <w:rPr>
          <w:rFonts w:ascii="Arial" w:hAnsi="Arial" w:eastAsia="Arial" w:cs="Arial"/>
          <w:b w:val="1"/>
          <w:bCs w:val="1"/>
          <w:sz w:val="22"/>
          <w:szCs w:val="22"/>
        </w:rPr>
        <w:t>Lecturer: Zakiyyah Ahmed</w:t>
      </w:r>
    </w:p>
    <w:p w:rsidR="00A83A4E" w:rsidP="1E99BFFD" w:rsidRDefault="00000000" w14:paraId="6FBA6B6F" w14:textId="77777777">
      <w:pPr>
        <w:spacing w:after="200"/>
        <w:jc w:val="center"/>
        <w:rPr>
          <w:rFonts w:ascii="Arial" w:hAnsi="Arial" w:eastAsia="Arial" w:cs="Arial"/>
          <w:b w:val="1"/>
          <w:bCs w:val="1"/>
          <w:sz w:val="24"/>
          <w:szCs w:val="24"/>
          <w:u w:val="single"/>
        </w:rPr>
      </w:pPr>
      <w:r w:rsidRPr="1E99BFFD" w:rsidR="00000000">
        <w:rPr>
          <w:rFonts w:ascii="Arial" w:hAnsi="Arial" w:eastAsia="Arial" w:cs="Arial"/>
          <w:b w:val="1"/>
          <w:bCs w:val="1"/>
          <w:sz w:val="24"/>
          <w:szCs w:val="24"/>
          <w:u w:val="single"/>
        </w:rPr>
        <w:t>Title</w:t>
      </w:r>
    </w:p>
    <w:p w:rsidR="00A83A4E" w:rsidP="1E99BFFD" w:rsidRDefault="00000000" w14:paraId="5DB86A99" w14:textId="77777777">
      <w:pPr>
        <w:spacing w:after="200"/>
        <w:jc w:val="center"/>
        <w:rPr>
          <w:rFonts w:ascii="Arial" w:hAnsi="Arial" w:eastAsia="Arial" w:cs="Arial"/>
          <w:sz w:val="22"/>
          <w:szCs w:val="22"/>
        </w:rPr>
      </w:pPr>
      <w:r w:rsidRPr="1E99BFFD" w:rsidR="00000000">
        <w:rPr>
          <w:rFonts w:ascii="Arial" w:hAnsi="Arial" w:eastAsia="Arial" w:cs="Arial"/>
          <w:sz w:val="22"/>
          <w:szCs w:val="22"/>
        </w:rPr>
        <w:t>A scoping review of the experiences and barriers affecting Black women throughout the breast cancer care pathway in the United Kingdom: identifying themes using Aveyard's simplified thematic analysis</w:t>
      </w:r>
    </w:p>
    <w:p w:rsidR="00A83A4E" w:rsidP="1E99BFFD" w:rsidRDefault="00000000" w14:paraId="137E4035" w14:textId="348EBB39">
      <w:pPr>
        <w:pStyle w:val="Normal"/>
      </w:pPr>
    </w:p>
    <w:p w:rsidR="00A83A4E" w:rsidRDefault="00000000" w14:paraId="6D71E0FB" w14:textId="77777777">
      <w:r>
        <w:br w:type="page"/>
      </w:r>
    </w:p>
    <w:sdt>
      <w:sdtPr>
        <w:id w:val="-142277138"/>
        <w:docPartObj>
          <w:docPartGallery w:val="Table of Contents"/>
          <w:docPartUnique/>
        </w:docPartObj>
      </w:sdtPr>
      <w:sdtEndPr>
        <w:rPr>
          <w:rFonts w:ascii="Times New Roman" w:hAnsi="Times New Roman" w:eastAsia="Times New Roman" w:cs="Times New Roman"/>
          <w:b/>
          <w:bCs/>
          <w:noProof/>
          <w:color w:val="auto"/>
          <w:sz w:val="20"/>
          <w:szCs w:val="20"/>
          <w:lang w:val="en-GB" w:eastAsia="en-GB"/>
        </w:rPr>
      </w:sdtEndPr>
      <w:sdtContent>
        <w:p w:rsidR="004610E4" w:rsidRDefault="004610E4" w14:paraId="6150B455" w14:textId="05071526">
          <w:pPr>
            <w:pStyle w:val="TOCHeading"/>
          </w:pPr>
          <w:r>
            <w:t>Contents</w:t>
          </w:r>
        </w:p>
        <w:p w:rsidR="003576A5" w:rsidRDefault="004610E4" w14:paraId="1D10E43A" w14:textId="3BFAEE5D">
          <w:pPr>
            <w:pStyle w:val="TOC1"/>
            <w:tabs>
              <w:tab w:val="right" w:leader="dot" w:pos="9016"/>
            </w:tabs>
            <w:rPr>
              <w:rFonts w:asciiTheme="minorHAnsi" w:hAnsiTheme="minorHAnsi" w:eastAsiaTheme="minorEastAsia" w:cstheme="minorBidi"/>
              <w:noProof/>
              <w:kern w:val="2"/>
              <w:sz w:val="24"/>
              <w:szCs w:val="24"/>
              <w14:ligatures w14:val="standardContextual"/>
            </w:rPr>
          </w:pPr>
          <w:r>
            <w:fldChar w:fldCharType="begin"/>
          </w:r>
          <w:r>
            <w:instrText xml:space="preserve"> TOC \o "1-3" \h \z \u </w:instrText>
          </w:r>
          <w:r>
            <w:fldChar w:fldCharType="separate"/>
          </w:r>
          <w:hyperlink w:history="1" w:anchor="_Toc235442315">
            <w:r w:rsidRPr="003326DA" w:rsidR="003576A5">
              <w:rPr>
                <w:rStyle w:val="Hyperlink"/>
                <w:rFonts w:ascii="Calibri" w:hAnsi="Calibri" w:eastAsia="Calibri" w:cs="Calibri"/>
                <w:b/>
                <w:bCs/>
                <w:noProof/>
              </w:rPr>
              <w:t>Introduction</w:t>
            </w:r>
            <w:r w:rsidR="003576A5">
              <w:rPr>
                <w:noProof/>
                <w:webHidden/>
              </w:rPr>
              <w:tab/>
            </w:r>
            <w:r w:rsidR="003576A5">
              <w:rPr>
                <w:noProof/>
                <w:webHidden/>
              </w:rPr>
              <w:fldChar w:fldCharType="begin"/>
            </w:r>
            <w:r w:rsidR="003576A5">
              <w:rPr>
                <w:noProof/>
                <w:webHidden/>
              </w:rPr>
              <w:instrText xml:space="preserve"> PAGEREF _Toc235442315 \h </w:instrText>
            </w:r>
            <w:r w:rsidR="003576A5">
              <w:rPr>
                <w:noProof/>
                <w:webHidden/>
              </w:rPr>
            </w:r>
            <w:r w:rsidR="003576A5">
              <w:rPr>
                <w:noProof/>
                <w:webHidden/>
              </w:rPr>
              <w:fldChar w:fldCharType="separate"/>
            </w:r>
            <w:r w:rsidR="003576A5">
              <w:rPr>
                <w:noProof/>
                <w:webHidden/>
              </w:rPr>
              <w:t>4</w:t>
            </w:r>
            <w:r w:rsidR="003576A5">
              <w:rPr>
                <w:noProof/>
                <w:webHidden/>
              </w:rPr>
              <w:fldChar w:fldCharType="end"/>
            </w:r>
          </w:hyperlink>
        </w:p>
        <w:p w:rsidR="003576A5" w:rsidRDefault="003576A5" w14:paraId="2C1042F6" w14:textId="5AEEFD98">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16">
            <w:r w:rsidRPr="003326DA">
              <w:rPr>
                <w:rStyle w:val="Hyperlink"/>
                <w:rFonts w:ascii="Calibri" w:hAnsi="Calibri" w:eastAsia="Calibri" w:cs="Calibri"/>
                <w:b/>
                <w:bCs/>
                <w:noProof/>
              </w:rPr>
              <w:t>Background</w:t>
            </w:r>
            <w:r>
              <w:rPr>
                <w:noProof/>
                <w:webHidden/>
              </w:rPr>
              <w:tab/>
            </w:r>
            <w:r>
              <w:rPr>
                <w:noProof/>
                <w:webHidden/>
              </w:rPr>
              <w:fldChar w:fldCharType="begin"/>
            </w:r>
            <w:r>
              <w:rPr>
                <w:noProof/>
                <w:webHidden/>
              </w:rPr>
              <w:instrText xml:space="preserve"> PAGEREF _Toc235442316 \h </w:instrText>
            </w:r>
            <w:r>
              <w:rPr>
                <w:noProof/>
                <w:webHidden/>
              </w:rPr>
            </w:r>
            <w:r>
              <w:rPr>
                <w:noProof/>
                <w:webHidden/>
              </w:rPr>
              <w:fldChar w:fldCharType="separate"/>
            </w:r>
            <w:r>
              <w:rPr>
                <w:noProof/>
                <w:webHidden/>
              </w:rPr>
              <w:t>5</w:t>
            </w:r>
            <w:r>
              <w:rPr>
                <w:noProof/>
                <w:webHidden/>
              </w:rPr>
              <w:fldChar w:fldCharType="end"/>
            </w:r>
          </w:hyperlink>
        </w:p>
        <w:p w:rsidR="003576A5" w:rsidRDefault="003576A5" w14:paraId="06E5B28F" w14:textId="5E5C24B1">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17">
            <w:r w:rsidRPr="003326DA">
              <w:rPr>
                <w:rStyle w:val="Hyperlink"/>
                <w:rFonts w:ascii="Calibri" w:hAnsi="Calibri" w:eastAsia="Calibri" w:cs="Calibri"/>
                <w:b/>
                <w:bCs/>
                <w:noProof/>
              </w:rPr>
              <w:t>Methods</w:t>
            </w:r>
            <w:r>
              <w:rPr>
                <w:noProof/>
                <w:webHidden/>
              </w:rPr>
              <w:tab/>
            </w:r>
            <w:r>
              <w:rPr>
                <w:noProof/>
                <w:webHidden/>
              </w:rPr>
              <w:fldChar w:fldCharType="begin"/>
            </w:r>
            <w:r>
              <w:rPr>
                <w:noProof/>
                <w:webHidden/>
              </w:rPr>
              <w:instrText xml:space="preserve"> PAGEREF _Toc235442317 \h </w:instrText>
            </w:r>
            <w:r>
              <w:rPr>
                <w:noProof/>
                <w:webHidden/>
              </w:rPr>
            </w:r>
            <w:r>
              <w:rPr>
                <w:noProof/>
                <w:webHidden/>
              </w:rPr>
              <w:fldChar w:fldCharType="separate"/>
            </w:r>
            <w:r>
              <w:rPr>
                <w:noProof/>
                <w:webHidden/>
              </w:rPr>
              <w:t>6</w:t>
            </w:r>
            <w:r>
              <w:rPr>
                <w:noProof/>
                <w:webHidden/>
              </w:rPr>
              <w:fldChar w:fldCharType="end"/>
            </w:r>
          </w:hyperlink>
        </w:p>
        <w:p w:rsidR="003576A5" w:rsidRDefault="003576A5" w14:paraId="34FFCD99" w14:textId="4BFC1EB0">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18">
            <w:r w:rsidRPr="003326DA">
              <w:rPr>
                <w:rStyle w:val="Hyperlink"/>
                <w:rFonts w:ascii="Calibri" w:hAnsi="Calibri" w:eastAsia="Calibri" w:cs="Calibri"/>
                <w:b/>
                <w:bCs/>
                <w:noProof/>
              </w:rPr>
              <w:t>Research Question</w:t>
            </w:r>
            <w:r>
              <w:rPr>
                <w:noProof/>
                <w:webHidden/>
              </w:rPr>
              <w:tab/>
            </w:r>
            <w:r>
              <w:rPr>
                <w:noProof/>
                <w:webHidden/>
              </w:rPr>
              <w:fldChar w:fldCharType="begin"/>
            </w:r>
            <w:r>
              <w:rPr>
                <w:noProof/>
                <w:webHidden/>
              </w:rPr>
              <w:instrText xml:space="preserve"> PAGEREF _Toc235442318 \h </w:instrText>
            </w:r>
            <w:r>
              <w:rPr>
                <w:noProof/>
                <w:webHidden/>
              </w:rPr>
            </w:r>
            <w:r>
              <w:rPr>
                <w:noProof/>
                <w:webHidden/>
              </w:rPr>
              <w:fldChar w:fldCharType="separate"/>
            </w:r>
            <w:r>
              <w:rPr>
                <w:noProof/>
                <w:webHidden/>
              </w:rPr>
              <w:t>6</w:t>
            </w:r>
            <w:r>
              <w:rPr>
                <w:noProof/>
                <w:webHidden/>
              </w:rPr>
              <w:fldChar w:fldCharType="end"/>
            </w:r>
          </w:hyperlink>
        </w:p>
        <w:p w:rsidR="003576A5" w:rsidRDefault="003576A5" w14:paraId="547F4285" w14:textId="761F9C4D">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19">
            <w:r w:rsidRPr="003326DA">
              <w:rPr>
                <w:rStyle w:val="Hyperlink"/>
                <w:rFonts w:ascii="Calibri" w:hAnsi="Calibri" w:eastAsia="Calibri" w:cs="Calibri"/>
                <w:b/>
                <w:bCs/>
                <w:noProof/>
              </w:rPr>
              <w:t>Search Strategy</w:t>
            </w:r>
            <w:r>
              <w:rPr>
                <w:noProof/>
                <w:webHidden/>
              </w:rPr>
              <w:tab/>
            </w:r>
            <w:r>
              <w:rPr>
                <w:noProof/>
                <w:webHidden/>
              </w:rPr>
              <w:fldChar w:fldCharType="begin"/>
            </w:r>
            <w:r>
              <w:rPr>
                <w:noProof/>
                <w:webHidden/>
              </w:rPr>
              <w:instrText xml:space="preserve"> PAGEREF _Toc235442319 \h </w:instrText>
            </w:r>
            <w:r>
              <w:rPr>
                <w:noProof/>
                <w:webHidden/>
              </w:rPr>
            </w:r>
            <w:r>
              <w:rPr>
                <w:noProof/>
                <w:webHidden/>
              </w:rPr>
              <w:fldChar w:fldCharType="separate"/>
            </w:r>
            <w:r>
              <w:rPr>
                <w:noProof/>
                <w:webHidden/>
              </w:rPr>
              <w:t>6</w:t>
            </w:r>
            <w:r>
              <w:rPr>
                <w:noProof/>
                <w:webHidden/>
              </w:rPr>
              <w:fldChar w:fldCharType="end"/>
            </w:r>
          </w:hyperlink>
        </w:p>
        <w:p w:rsidR="003576A5" w:rsidRDefault="003576A5" w14:paraId="3127BD49" w14:textId="0ED0A109">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20">
            <w:r w:rsidRPr="003326DA">
              <w:rPr>
                <w:rStyle w:val="Hyperlink"/>
                <w:rFonts w:ascii="Calibri" w:hAnsi="Calibri" w:eastAsia="Calibri" w:cs="Calibri"/>
                <w:b/>
                <w:bCs/>
                <w:noProof/>
              </w:rPr>
              <w:t>Inclusion and Exclusion Criteria</w:t>
            </w:r>
            <w:r>
              <w:rPr>
                <w:noProof/>
                <w:webHidden/>
              </w:rPr>
              <w:tab/>
            </w:r>
            <w:r>
              <w:rPr>
                <w:noProof/>
                <w:webHidden/>
              </w:rPr>
              <w:fldChar w:fldCharType="begin"/>
            </w:r>
            <w:r>
              <w:rPr>
                <w:noProof/>
                <w:webHidden/>
              </w:rPr>
              <w:instrText xml:space="preserve"> PAGEREF _Toc235442320 \h </w:instrText>
            </w:r>
            <w:r>
              <w:rPr>
                <w:noProof/>
                <w:webHidden/>
              </w:rPr>
            </w:r>
            <w:r>
              <w:rPr>
                <w:noProof/>
                <w:webHidden/>
              </w:rPr>
              <w:fldChar w:fldCharType="separate"/>
            </w:r>
            <w:r>
              <w:rPr>
                <w:noProof/>
                <w:webHidden/>
              </w:rPr>
              <w:t>7</w:t>
            </w:r>
            <w:r>
              <w:rPr>
                <w:noProof/>
                <w:webHidden/>
              </w:rPr>
              <w:fldChar w:fldCharType="end"/>
            </w:r>
          </w:hyperlink>
        </w:p>
        <w:p w:rsidR="003576A5" w:rsidRDefault="003576A5" w14:paraId="5C95729C" w14:textId="4B7264AC">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21">
            <w:r w:rsidRPr="003326DA">
              <w:rPr>
                <w:rStyle w:val="Hyperlink"/>
                <w:rFonts w:ascii="Calibri" w:hAnsi="Calibri" w:eastAsia="Calibri" w:cs="Calibri"/>
                <w:b/>
                <w:bCs/>
                <w:noProof/>
              </w:rPr>
              <w:t>Ethical Considerations</w:t>
            </w:r>
            <w:r>
              <w:rPr>
                <w:noProof/>
                <w:webHidden/>
              </w:rPr>
              <w:tab/>
            </w:r>
            <w:r>
              <w:rPr>
                <w:noProof/>
                <w:webHidden/>
              </w:rPr>
              <w:fldChar w:fldCharType="begin"/>
            </w:r>
            <w:r>
              <w:rPr>
                <w:noProof/>
                <w:webHidden/>
              </w:rPr>
              <w:instrText xml:space="preserve"> PAGEREF _Toc235442321 \h </w:instrText>
            </w:r>
            <w:r>
              <w:rPr>
                <w:noProof/>
                <w:webHidden/>
              </w:rPr>
            </w:r>
            <w:r>
              <w:rPr>
                <w:noProof/>
                <w:webHidden/>
              </w:rPr>
              <w:fldChar w:fldCharType="separate"/>
            </w:r>
            <w:r>
              <w:rPr>
                <w:noProof/>
                <w:webHidden/>
              </w:rPr>
              <w:t>7</w:t>
            </w:r>
            <w:r>
              <w:rPr>
                <w:noProof/>
                <w:webHidden/>
              </w:rPr>
              <w:fldChar w:fldCharType="end"/>
            </w:r>
          </w:hyperlink>
        </w:p>
        <w:p w:rsidR="003576A5" w:rsidRDefault="003576A5" w14:paraId="6C5AA362" w14:textId="01439D4B">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22">
            <w:r w:rsidRPr="003326DA">
              <w:rPr>
                <w:rStyle w:val="Hyperlink"/>
                <w:rFonts w:ascii="Calibri" w:hAnsi="Calibri" w:eastAsia="Calibri" w:cs="Calibri"/>
                <w:b/>
                <w:bCs/>
                <w:noProof/>
              </w:rPr>
              <w:t>Results</w:t>
            </w:r>
            <w:r>
              <w:rPr>
                <w:noProof/>
                <w:webHidden/>
              </w:rPr>
              <w:tab/>
            </w:r>
            <w:r>
              <w:rPr>
                <w:noProof/>
                <w:webHidden/>
              </w:rPr>
              <w:fldChar w:fldCharType="begin"/>
            </w:r>
            <w:r>
              <w:rPr>
                <w:noProof/>
                <w:webHidden/>
              </w:rPr>
              <w:instrText xml:space="preserve"> PAGEREF _Toc235442322 \h </w:instrText>
            </w:r>
            <w:r>
              <w:rPr>
                <w:noProof/>
                <w:webHidden/>
              </w:rPr>
            </w:r>
            <w:r>
              <w:rPr>
                <w:noProof/>
                <w:webHidden/>
              </w:rPr>
              <w:fldChar w:fldCharType="separate"/>
            </w:r>
            <w:r>
              <w:rPr>
                <w:noProof/>
                <w:webHidden/>
              </w:rPr>
              <w:t>7</w:t>
            </w:r>
            <w:r>
              <w:rPr>
                <w:noProof/>
                <w:webHidden/>
              </w:rPr>
              <w:fldChar w:fldCharType="end"/>
            </w:r>
          </w:hyperlink>
        </w:p>
        <w:p w:rsidR="003576A5" w:rsidRDefault="003576A5" w14:paraId="6C3AE933" w14:textId="0BE4869C">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23">
            <w:r w:rsidRPr="003326DA">
              <w:rPr>
                <w:rStyle w:val="Hyperlink"/>
                <w:rFonts w:ascii="Calibri" w:hAnsi="Calibri" w:eastAsia="Calibri" w:cs="Calibri"/>
                <w:b/>
                <w:bCs/>
                <w:noProof/>
              </w:rPr>
              <w:t>Discussion</w:t>
            </w:r>
            <w:r>
              <w:rPr>
                <w:noProof/>
                <w:webHidden/>
              </w:rPr>
              <w:tab/>
            </w:r>
            <w:r>
              <w:rPr>
                <w:noProof/>
                <w:webHidden/>
              </w:rPr>
              <w:fldChar w:fldCharType="begin"/>
            </w:r>
            <w:r>
              <w:rPr>
                <w:noProof/>
                <w:webHidden/>
              </w:rPr>
              <w:instrText xml:space="preserve"> PAGEREF _Toc235442323 \h </w:instrText>
            </w:r>
            <w:r>
              <w:rPr>
                <w:noProof/>
                <w:webHidden/>
              </w:rPr>
            </w:r>
            <w:r>
              <w:rPr>
                <w:noProof/>
                <w:webHidden/>
              </w:rPr>
              <w:fldChar w:fldCharType="separate"/>
            </w:r>
            <w:r>
              <w:rPr>
                <w:noProof/>
                <w:webHidden/>
              </w:rPr>
              <w:t>10</w:t>
            </w:r>
            <w:r>
              <w:rPr>
                <w:noProof/>
                <w:webHidden/>
              </w:rPr>
              <w:fldChar w:fldCharType="end"/>
            </w:r>
          </w:hyperlink>
        </w:p>
        <w:p w:rsidR="003576A5" w:rsidRDefault="003576A5" w14:paraId="2B113A72" w14:textId="58C795D1">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24">
            <w:r w:rsidRPr="003326DA">
              <w:rPr>
                <w:rStyle w:val="Hyperlink"/>
                <w:rFonts w:ascii="Calibri" w:hAnsi="Calibri" w:eastAsia="Calibri" w:cs="Calibri"/>
                <w:b/>
                <w:bCs/>
                <w:noProof/>
              </w:rPr>
              <w:t>Comparison of Findings</w:t>
            </w:r>
            <w:r>
              <w:rPr>
                <w:noProof/>
                <w:webHidden/>
              </w:rPr>
              <w:tab/>
            </w:r>
            <w:r>
              <w:rPr>
                <w:noProof/>
                <w:webHidden/>
              </w:rPr>
              <w:fldChar w:fldCharType="begin"/>
            </w:r>
            <w:r>
              <w:rPr>
                <w:noProof/>
                <w:webHidden/>
              </w:rPr>
              <w:instrText xml:space="preserve"> PAGEREF _Toc235442324 \h </w:instrText>
            </w:r>
            <w:r>
              <w:rPr>
                <w:noProof/>
                <w:webHidden/>
              </w:rPr>
            </w:r>
            <w:r>
              <w:rPr>
                <w:noProof/>
                <w:webHidden/>
              </w:rPr>
              <w:fldChar w:fldCharType="separate"/>
            </w:r>
            <w:r>
              <w:rPr>
                <w:noProof/>
                <w:webHidden/>
              </w:rPr>
              <w:t>10</w:t>
            </w:r>
            <w:r>
              <w:rPr>
                <w:noProof/>
                <w:webHidden/>
              </w:rPr>
              <w:fldChar w:fldCharType="end"/>
            </w:r>
          </w:hyperlink>
        </w:p>
        <w:p w:rsidR="003576A5" w:rsidRDefault="003576A5" w14:paraId="4EFBF710" w14:textId="43B11154">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25">
            <w:r w:rsidRPr="003326DA">
              <w:rPr>
                <w:rStyle w:val="Hyperlink"/>
                <w:rFonts w:ascii="Calibri" w:hAnsi="Calibri" w:eastAsia="Calibri" w:cs="Calibri"/>
                <w:b/>
                <w:bCs/>
                <w:noProof/>
              </w:rPr>
              <w:t>Gaps in the Existing Literature</w:t>
            </w:r>
            <w:r>
              <w:rPr>
                <w:noProof/>
                <w:webHidden/>
              </w:rPr>
              <w:tab/>
            </w:r>
            <w:r>
              <w:rPr>
                <w:noProof/>
                <w:webHidden/>
              </w:rPr>
              <w:fldChar w:fldCharType="begin"/>
            </w:r>
            <w:r>
              <w:rPr>
                <w:noProof/>
                <w:webHidden/>
              </w:rPr>
              <w:instrText xml:space="preserve"> PAGEREF _Toc235442325 \h </w:instrText>
            </w:r>
            <w:r>
              <w:rPr>
                <w:noProof/>
                <w:webHidden/>
              </w:rPr>
            </w:r>
            <w:r>
              <w:rPr>
                <w:noProof/>
                <w:webHidden/>
              </w:rPr>
              <w:fldChar w:fldCharType="separate"/>
            </w:r>
            <w:r>
              <w:rPr>
                <w:noProof/>
                <w:webHidden/>
              </w:rPr>
              <w:t>11</w:t>
            </w:r>
            <w:r>
              <w:rPr>
                <w:noProof/>
                <w:webHidden/>
              </w:rPr>
              <w:fldChar w:fldCharType="end"/>
            </w:r>
          </w:hyperlink>
        </w:p>
        <w:p w:rsidR="003576A5" w:rsidRDefault="003576A5" w14:paraId="3341FDE0" w14:textId="492C767D">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26">
            <w:r w:rsidRPr="003326DA">
              <w:rPr>
                <w:rStyle w:val="Hyperlink"/>
                <w:rFonts w:ascii="Calibri" w:hAnsi="Calibri" w:eastAsia="Calibri" w:cs="Calibri"/>
                <w:noProof/>
              </w:rPr>
              <w:t>.</w:t>
            </w:r>
            <w:r w:rsidRPr="003326DA">
              <w:rPr>
                <w:rStyle w:val="Hyperlink"/>
                <w:rFonts w:ascii="Calibri" w:hAnsi="Calibri" w:eastAsia="Calibri" w:cs="Calibri"/>
                <w:b/>
                <w:bCs/>
                <w:noProof/>
              </w:rPr>
              <w:t>Conclusion and Recommendations</w:t>
            </w:r>
            <w:r>
              <w:rPr>
                <w:noProof/>
                <w:webHidden/>
              </w:rPr>
              <w:tab/>
            </w:r>
            <w:r>
              <w:rPr>
                <w:noProof/>
                <w:webHidden/>
              </w:rPr>
              <w:fldChar w:fldCharType="begin"/>
            </w:r>
            <w:r>
              <w:rPr>
                <w:noProof/>
                <w:webHidden/>
              </w:rPr>
              <w:instrText xml:space="preserve"> PAGEREF _Toc235442326 \h </w:instrText>
            </w:r>
            <w:r>
              <w:rPr>
                <w:noProof/>
                <w:webHidden/>
              </w:rPr>
            </w:r>
            <w:r>
              <w:rPr>
                <w:noProof/>
                <w:webHidden/>
              </w:rPr>
              <w:fldChar w:fldCharType="separate"/>
            </w:r>
            <w:r>
              <w:rPr>
                <w:noProof/>
                <w:webHidden/>
              </w:rPr>
              <w:t>11</w:t>
            </w:r>
            <w:r>
              <w:rPr>
                <w:noProof/>
                <w:webHidden/>
              </w:rPr>
              <w:fldChar w:fldCharType="end"/>
            </w:r>
          </w:hyperlink>
        </w:p>
        <w:p w:rsidR="003576A5" w:rsidRDefault="003576A5" w14:paraId="05B544C8" w14:textId="7691B179">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27">
            <w:r w:rsidRPr="003326DA">
              <w:rPr>
                <w:rStyle w:val="Hyperlink"/>
                <w:rFonts w:ascii="Calibri" w:hAnsi="Calibri" w:eastAsia="Calibri" w:cs="Calibri"/>
                <w:b/>
                <w:bCs/>
                <w:noProof/>
              </w:rPr>
              <w:t>Conclusion</w:t>
            </w:r>
            <w:r>
              <w:rPr>
                <w:noProof/>
                <w:webHidden/>
              </w:rPr>
              <w:tab/>
            </w:r>
            <w:r>
              <w:rPr>
                <w:noProof/>
                <w:webHidden/>
              </w:rPr>
              <w:fldChar w:fldCharType="begin"/>
            </w:r>
            <w:r>
              <w:rPr>
                <w:noProof/>
                <w:webHidden/>
              </w:rPr>
              <w:instrText xml:space="preserve"> PAGEREF _Toc235442327 \h </w:instrText>
            </w:r>
            <w:r>
              <w:rPr>
                <w:noProof/>
                <w:webHidden/>
              </w:rPr>
            </w:r>
            <w:r>
              <w:rPr>
                <w:noProof/>
                <w:webHidden/>
              </w:rPr>
              <w:fldChar w:fldCharType="separate"/>
            </w:r>
            <w:r>
              <w:rPr>
                <w:noProof/>
                <w:webHidden/>
              </w:rPr>
              <w:t>11</w:t>
            </w:r>
            <w:r>
              <w:rPr>
                <w:noProof/>
                <w:webHidden/>
              </w:rPr>
              <w:fldChar w:fldCharType="end"/>
            </w:r>
          </w:hyperlink>
        </w:p>
        <w:p w:rsidR="003576A5" w:rsidRDefault="003576A5" w14:paraId="161C6E4C" w14:textId="4757B97E">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28">
            <w:r w:rsidRPr="003326DA">
              <w:rPr>
                <w:rStyle w:val="Hyperlink"/>
                <w:rFonts w:ascii="Calibri" w:hAnsi="Calibri" w:eastAsia="Calibri" w:cs="Calibri"/>
                <w:b/>
                <w:bCs/>
                <w:noProof/>
              </w:rPr>
              <w:t>Recommendations</w:t>
            </w:r>
            <w:r>
              <w:rPr>
                <w:noProof/>
                <w:webHidden/>
              </w:rPr>
              <w:tab/>
            </w:r>
            <w:r>
              <w:rPr>
                <w:noProof/>
                <w:webHidden/>
              </w:rPr>
              <w:fldChar w:fldCharType="begin"/>
            </w:r>
            <w:r>
              <w:rPr>
                <w:noProof/>
                <w:webHidden/>
              </w:rPr>
              <w:instrText xml:space="preserve"> PAGEREF _Toc235442328 \h </w:instrText>
            </w:r>
            <w:r>
              <w:rPr>
                <w:noProof/>
                <w:webHidden/>
              </w:rPr>
            </w:r>
            <w:r>
              <w:rPr>
                <w:noProof/>
                <w:webHidden/>
              </w:rPr>
              <w:fldChar w:fldCharType="separate"/>
            </w:r>
            <w:r>
              <w:rPr>
                <w:noProof/>
                <w:webHidden/>
              </w:rPr>
              <w:t>12</w:t>
            </w:r>
            <w:r>
              <w:rPr>
                <w:noProof/>
                <w:webHidden/>
              </w:rPr>
              <w:fldChar w:fldCharType="end"/>
            </w:r>
          </w:hyperlink>
        </w:p>
        <w:p w:rsidR="003576A5" w:rsidRDefault="003576A5" w14:paraId="5BC01194" w14:textId="7966EE44">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29">
            <w:r w:rsidRPr="003326DA">
              <w:rPr>
                <w:rStyle w:val="Hyperlink"/>
                <w:rFonts w:ascii="Calibri" w:hAnsi="Calibri" w:eastAsia="Calibri" w:cs="Calibri"/>
                <w:b/>
                <w:bCs/>
                <w:noProof/>
              </w:rPr>
              <w:t>References</w:t>
            </w:r>
            <w:r>
              <w:rPr>
                <w:noProof/>
                <w:webHidden/>
              </w:rPr>
              <w:tab/>
            </w:r>
            <w:r>
              <w:rPr>
                <w:noProof/>
                <w:webHidden/>
              </w:rPr>
              <w:fldChar w:fldCharType="begin"/>
            </w:r>
            <w:r>
              <w:rPr>
                <w:noProof/>
                <w:webHidden/>
              </w:rPr>
              <w:instrText xml:space="preserve"> PAGEREF _Toc235442329 \h </w:instrText>
            </w:r>
            <w:r>
              <w:rPr>
                <w:noProof/>
                <w:webHidden/>
              </w:rPr>
            </w:r>
            <w:r>
              <w:rPr>
                <w:noProof/>
                <w:webHidden/>
              </w:rPr>
              <w:fldChar w:fldCharType="separate"/>
            </w:r>
            <w:r>
              <w:rPr>
                <w:noProof/>
                <w:webHidden/>
              </w:rPr>
              <w:t>12</w:t>
            </w:r>
            <w:r>
              <w:rPr>
                <w:noProof/>
                <w:webHidden/>
              </w:rPr>
              <w:fldChar w:fldCharType="end"/>
            </w:r>
          </w:hyperlink>
        </w:p>
        <w:p w:rsidR="003576A5" w:rsidRDefault="003576A5" w14:paraId="726F4EE7" w14:textId="43011E19">
          <w:pPr>
            <w:pStyle w:val="TOC1"/>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30">
            <w:r w:rsidRPr="003326DA">
              <w:rPr>
                <w:rStyle w:val="Hyperlink"/>
                <w:rFonts w:ascii="Calibri" w:hAnsi="Calibri" w:eastAsia="Calibri" w:cs="Calibri"/>
                <w:b/>
                <w:bCs/>
                <w:noProof/>
              </w:rPr>
              <w:t>Appendices</w:t>
            </w:r>
            <w:r>
              <w:rPr>
                <w:noProof/>
                <w:webHidden/>
              </w:rPr>
              <w:tab/>
            </w:r>
            <w:r>
              <w:rPr>
                <w:noProof/>
                <w:webHidden/>
              </w:rPr>
              <w:fldChar w:fldCharType="begin"/>
            </w:r>
            <w:r>
              <w:rPr>
                <w:noProof/>
                <w:webHidden/>
              </w:rPr>
              <w:instrText xml:space="preserve"> PAGEREF _Toc235442330 \h </w:instrText>
            </w:r>
            <w:r>
              <w:rPr>
                <w:noProof/>
                <w:webHidden/>
              </w:rPr>
            </w:r>
            <w:r>
              <w:rPr>
                <w:noProof/>
                <w:webHidden/>
              </w:rPr>
              <w:fldChar w:fldCharType="separate"/>
            </w:r>
            <w:r>
              <w:rPr>
                <w:noProof/>
                <w:webHidden/>
              </w:rPr>
              <w:t>13</w:t>
            </w:r>
            <w:r>
              <w:rPr>
                <w:noProof/>
                <w:webHidden/>
              </w:rPr>
              <w:fldChar w:fldCharType="end"/>
            </w:r>
          </w:hyperlink>
        </w:p>
        <w:p w:rsidR="003576A5" w:rsidRDefault="003576A5" w14:paraId="3332E297" w14:textId="377D7907">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31">
            <w:r w:rsidRPr="003326DA">
              <w:rPr>
                <w:rStyle w:val="Hyperlink"/>
                <w:rFonts w:ascii="Calibri" w:hAnsi="Calibri" w:eastAsia="Calibri" w:cs="Calibri"/>
                <w:b/>
                <w:bCs/>
                <w:noProof/>
              </w:rPr>
              <w:t>Appendix 1: Full Search Strategy</w:t>
            </w:r>
            <w:r>
              <w:rPr>
                <w:noProof/>
                <w:webHidden/>
              </w:rPr>
              <w:tab/>
            </w:r>
            <w:r>
              <w:rPr>
                <w:noProof/>
                <w:webHidden/>
              </w:rPr>
              <w:fldChar w:fldCharType="begin"/>
            </w:r>
            <w:r>
              <w:rPr>
                <w:noProof/>
                <w:webHidden/>
              </w:rPr>
              <w:instrText xml:space="preserve"> PAGEREF _Toc235442331 \h </w:instrText>
            </w:r>
            <w:r>
              <w:rPr>
                <w:noProof/>
                <w:webHidden/>
              </w:rPr>
            </w:r>
            <w:r>
              <w:rPr>
                <w:noProof/>
                <w:webHidden/>
              </w:rPr>
              <w:fldChar w:fldCharType="separate"/>
            </w:r>
            <w:r>
              <w:rPr>
                <w:noProof/>
                <w:webHidden/>
              </w:rPr>
              <w:t>14</w:t>
            </w:r>
            <w:r>
              <w:rPr>
                <w:noProof/>
                <w:webHidden/>
              </w:rPr>
              <w:fldChar w:fldCharType="end"/>
            </w:r>
          </w:hyperlink>
        </w:p>
        <w:p w:rsidR="003576A5" w:rsidRDefault="003576A5" w14:paraId="422B7945" w14:textId="7A1F5087">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32">
            <w:r w:rsidRPr="003326DA">
              <w:rPr>
                <w:rStyle w:val="Hyperlink"/>
                <w:rFonts w:ascii="Calibri" w:hAnsi="Calibri" w:eastAsia="Calibri" w:cs="Calibri"/>
                <w:b/>
                <w:bCs/>
                <w:noProof/>
              </w:rPr>
              <w:t>Appendix 2: Full Inclusion and Exclusion Criteria</w:t>
            </w:r>
            <w:r>
              <w:rPr>
                <w:noProof/>
                <w:webHidden/>
              </w:rPr>
              <w:tab/>
            </w:r>
            <w:r>
              <w:rPr>
                <w:noProof/>
                <w:webHidden/>
              </w:rPr>
              <w:fldChar w:fldCharType="begin"/>
            </w:r>
            <w:r>
              <w:rPr>
                <w:noProof/>
                <w:webHidden/>
              </w:rPr>
              <w:instrText xml:space="preserve"> PAGEREF _Toc235442332 \h </w:instrText>
            </w:r>
            <w:r>
              <w:rPr>
                <w:noProof/>
                <w:webHidden/>
              </w:rPr>
            </w:r>
            <w:r>
              <w:rPr>
                <w:noProof/>
                <w:webHidden/>
              </w:rPr>
              <w:fldChar w:fldCharType="separate"/>
            </w:r>
            <w:r>
              <w:rPr>
                <w:noProof/>
                <w:webHidden/>
              </w:rPr>
              <w:t>14</w:t>
            </w:r>
            <w:r>
              <w:rPr>
                <w:noProof/>
                <w:webHidden/>
              </w:rPr>
              <w:fldChar w:fldCharType="end"/>
            </w:r>
          </w:hyperlink>
        </w:p>
        <w:p w:rsidR="003576A5" w:rsidRDefault="003576A5" w14:paraId="18D831AC" w14:textId="16BB7430">
          <w:pPr>
            <w:pStyle w:val="TOC2"/>
            <w:tabs>
              <w:tab w:val="right" w:leader="dot" w:pos="9016"/>
            </w:tabs>
            <w:rPr>
              <w:rFonts w:asciiTheme="minorHAnsi" w:hAnsiTheme="minorHAnsi" w:eastAsiaTheme="minorEastAsia" w:cstheme="minorBidi"/>
              <w:noProof/>
              <w:kern w:val="2"/>
              <w:sz w:val="24"/>
              <w:szCs w:val="24"/>
              <w14:ligatures w14:val="standardContextual"/>
            </w:rPr>
          </w:pPr>
          <w:hyperlink w:history="1" w:anchor="_Toc235442333">
            <w:r w:rsidRPr="003326DA">
              <w:rPr>
                <w:rStyle w:val="Hyperlink"/>
                <w:rFonts w:ascii="Calibri" w:hAnsi="Calibri" w:eastAsia="Calibri" w:cs="Calibri"/>
                <w:b/>
                <w:bCs/>
                <w:noProof/>
              </w:rPr>
              <w:t>Appendix 3: Data Extraction Table template</w:t>
            </w:r>
            <w:r>
              <w:rPr>
                <w:noProof/>
                <w:webHidden/>
              </w:rPr>
              <w:tab/>
            </w:r>
            <w:r>
              <w:rPr>
                <w:noProof/>
                <w:webHidden/>
              </w:rPr>
              <w:fldChar w:fldCharType="begin"/>
            </w:r>
            <w:r>
              <w:rPr>
                <w:noProof/>
                <w:webHidden/>
              </w:rPr>
              <w:instrText xml:space="preserve"> PAGEREF _Toc235442333 \h </w:instrText>
            </w:r>
            <w:r>
              <w:rPr>
                <w:noProof/>
                <w:webHidden/>
              </w:rPr>
            </w:r>
            <w:r>
              <w:rPr>
                <w:noProof/>
                <w:webHidden/>
              </w:rPr>
              <w:fldChar w:fldCharType="separate"/>
            </w:r>
            <w:r>
              <w:rPr>
                <w:noProof/>
                <w:webHidden/>
              </w:rPr>
              <w:t>14</w:t>
            </w:r>
            <w:r>
              <w:rPr>
                <w:noProof/>
                <w:webHidden/>
              </w:rPr>
              <w:fldChar w:fldCharType="end"/>
            </w:r>
          </w:hyperlink>
        </w:p>
        <w:p w:rsidR="004610E4" w:rsidRDefault="004610E4" w14:paraId="70231517" w14:textId="38F652A6">
          <w:r>
            <w:rPr>
              <w:b/>
              <w:bCs/>
              <w:noProof/>
            </w:rPr>
            <w:fldChar w:fldCharType="end"/>
          </w:r>
        </w:p>
      </w:sdtContent>
    </w:sdt>
    <w:p w:rsidR="00A83A4E" w:rsidRDefault="00A83A4E" w14:paraId="44D0F212" w14:textId="77777777">
      <w:pPr>
        <w:sectPr w:rsidR="00A83A4E">
          <w:pgSz w:w="11906" w:h="16838" w:orient="portrait"/>
          <w:pgMar w:top="1440" w:right="1440" w:bottom="1440" w:left="1440" w:header="708" w:footer="708" w:gutter="0"/>
          <w:cols w:space="720"/>
          <w:docGrid w:linePitch="360"/>
        </w:sectPr>
      </w:pPr>
    </w:p>
    <w:p w:rsidR="00A83A4E" w:rsidP="1E99BFFD" w:rsidRDefault="00000000" w14:paraId="1EE3842B" w14:textId="77777777">
      <w:pPr>
        <w:pStyle w:val="Heading1"/>
        <w:spacing w:before="400" w:after="200" w:line="360" w:lineRule="auto"/>
        <w:rPr>
          <w:rFonts w:ascii="Arial" w:hAnsi="Arial" w:eastAsia="Arial" w:cs="Arial"/>
          <w:b w:val="1"/>
          <w:bCs w:val="1"/>
          <w:color w:val="auto"/>
          <w:sz w:val="22"/>
          <w:szCs w:val="22"/>
        </w:rPr>
      </w:pPr>
      <w:bookmarkStart w:name="_Toc235442315" w:id="0"/>
      <w:r w:rsidRPr="1E99BFFD" w:rsidR="00000000">
        <w:rPr>
          <w:rFonts w:ascii="Arial" w:hAnsi="Arial" w:eastAsia="Arial" w:cs="Arial"/>
          <w:b w:val="1"/>
          <w:bCs w:val="1"/>
          <w:color w:val="auto"/>
          <w:sz w:val="22"/>
          <w:szCs w:val="22"/>
        </w:rPr>
        <w:t>Introduction</w:t>
      </w:r>
      <w:bookmarkEnd w:id="0"/>
    </w:p>
    <w:p w:rsidR="00A83A4E" w:rsidP="1E99BFFD" w:rsidRDefault="00000000" w14:paraId="1952211E"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Breast cancer is the most common cancer affecting women in the United Kingdom (UK), with approximately 56,000 new cases diagnosed each year (Cancer Research UK, 2024). Although advances in screening, diagnosis and treatment have improved overall survival, these improvements have not been shared equally: Black women, particularly those of Black African and Black Caribbean heritage, continue to experience poorer outcomes across diagnosis, treatment and survival despite receiving care within the same National Health Service (NHS) (Marcu et al., 2022; </w:t>
      </w:r>
      <w:r w:rsidRPr="1E99BFFD" w:rsidR="00000000">
        <w:rPr>
          <w:rFonts w:ascii="Arial" w:hAnsi="Arial" w:eastAsia="Arial" w:cs="Arial"/>
          <w:color w:val="auto"/>
          <w:sz w:val="22"/>
          <w:szCs w:val="22"/>
        </w:rPr>
        <w:t>Estupiñán</w:t>
      </w:r>
      <w:r w:rsidRPr="1E99BFFD" w:rsidR="00000000">
        <w:rPr>
          <w:rFonts w:ascii="Arial" w:hAnsi="Arial" w:eastAsia="Arial" w:cs="Arial"/>
          <w:color w:val="auto"/>
          <w:sz w:val="22"/>
          <w:szCs w:val="22"/>
        </w:rPr>
        <w:t xml:space="preserve"> Fdez. de Mesa et al., 2024). This pattern is significant because it cannot be explained by biology alone; it points instead to systemic barriers within how care is organised and delivered, and to social and cultural factors shaping whether, when and how Black women engage with breast cancer services. Understanding these barriers is therefore a precondition for reducing the outcome gap, rather than a peripheral addition to it.</w:t>
      </w:r>
    </w:p>
    <w:p w:rsidR="00A83A4E" w:rsidP="1E99BFFD" w:rsidRDefault="00000000" w14:paraId="3B833E33" w14:textId="775F904E">
      <w:pPr>
        <w:spacing w:after="200" w:line="360" w:lineRule="auto"/>
        <w:jc w:val="both"/>
      </w:pPr>
      <w:r w:rsidRPr="1E99BFFD" w:rsidR="00000000">
        <w:rPr>
          <w:rFonts w:ascii="Arial" w:hAnsi="Arial" w:eastAsia="Arial" w:cs="Arial"/>
          <w:color w:val="auto"/>
          <w:sz w:val="22"/>
          <w:szCs w:val="22"/>
        </w:rPr>
        <w:t xml:space="preserve">A scoping review was chosen as the methodology for this project because it is designed to map the breadth of existing evidence on a topic and highlight gaps requiring further investigation, rather than to evaluate the effectiveness of a single, narrowly defined intervention as a systematic review would (Arksey and O'Malley, 2005). This distinction matters because evidence on Black women's experiences of breast cancer care is spread across different study designs and different stages of the pathway; a method capable of synthesising this diverse evidence base was required to capture the full picture. The rationale for adopting this approach follows from a specific gap in the literature: existing research on Black women and breast cancer in the UK has concentrated heavily on screening uptake (Aliu, Kerrison and Marcu, 2025; Baird et al., 2021), while comparatively little attention has been paid to women's experiences across the wider care pathway, including diagnosis, treatment and survivorship (Sajjad et al., 2024). </w:t>
      </w:r>
    </w:p>
    <w:p w:rsidR="00A83A4E" w:rsidP="1E99BFFD" w:rsidRDefault="00000000" w14:paraId="7ECD37EA" w14:textId="34D26040">
      <w:pPr>
        <w:pStyle w:val="Normal"/>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As a result, the evidence base </w:t>
      </w:r>
      <w:r w:rsidRPr="1E99BFFD" w:rsidR="00000000">
        <w:rPr>
          <w:rFonts w:ascii="Arial" w:hAnsi="Arial" w:eastAsia="Arial" w:cs="Arial"/>
          <w:color w:val="auto"/>
          <w:sz w:val="22"/>
          <w:szCs w:val="22"/>
        </w:rPr>
        <w:t>remains</w:t>
      </w:r>
      <w:r w:rsidRPr="1E99BFFD" w:rsidR="00000000">
        <w:rPr>
          <w:rFonts w:ascii="Arial" w:hAnsi="Arial" w:eastAsia="Arial" w:cs="Arial"/>
          <w:color w:val="auto"/>
          <w:sz w:val="22"/>
          <w:szCs w:val="22"/>
        </w:rPr>
        <w:t xml:space="preserve"> fragmented, and it is not yet clear whether the barriers </w:t>
      </w:r>
      <w:r w:rsidRPr="1E99BFFD" w:rsidR="00000000">
        <w:rPr>
          <w:rFonts w:ascii="Arial" w:hAnsi="Arial" w:eastAsia="Arial" w:cs="Arial"/>
          <w:color w:val="auto"/>
          <w:sz w:val="22"/>
          <w:szCs w:val="22"/>
        </w:rPr>
        <w:t>identified</w:t>
      </w:r>
      <w:r w:rsidRPr="1E99BFFD" w:rsidR="00000000">
        <w:rPr>
          <w:rFonts w:ascii="Arial" w:hAnsi="Arial" w:eastAsia="Arial" w:cs="Arial"/>
          <w:color w:val="auto"/>
          <w:sz w:val="22"/>
          <w:szCs w:val="22"/>
        </w:rPr>
        <w:t xml:space="preserve"> at screening persist, change, or are replaced by different barriers later in the pathway</w:t>
      </w:r>
      <w:r w:rsidRPr="1E99BFFD" w:rsidR="1423D84A">
        <w:rPr>
          <w:rFonts w:ascii="Arial" w:hAnsi="Arial" w:eastAsia="Arial" w:cs="Arial"/>
          <w:color w:val="auto"/>
          <w:sz w:val="22"/>
          <w:szCs w:val="22"/>
        </w:rPr>
        <w:t>(Sajjad et al., 2024)</w:t>
      </w:r>
      <w:r w:rsidRPr="1E99BFFD" w:rsidR="00000000">
        <w:rPr>
          <w:rFonts w:ascii="Arial" w:hAnsi="Arial" w:eastAsia="Arial" w:cs="Arial"/>
          <w:color w:val="auto"/>
          <w:sz w:val="22"/>
          <w:szCs w:val="22"/>
        </w:rPr>
        <w:t>. Mapping the existing evidence across the full pathway, rather than at</w:t>
      </w:r>
      <w:r w:rsidRPr="1E99BFFD" w:rsidR="00000000">
        <w:rPr>
          <w:rFonts w:ascii="Arial" w:hAnsi="Arial" w:eastAsia="Arial" w:cs="Arial"/>
          <w:color w:val="auto"/>
          <w:sz w:val="22"/>
          <w:szCs w:val="22"/>
        </w:rPr>
        <w:t xml:space="preserve"> a single stage, is intended to make this fragmentation visible and to </w:t>
      </w:r>
      <w:r w:rsidRPr="1E99BFFD" w:rsidR="00000000">
        <w:rPr>
          <w:rFonts w:ascii="Arial" w:hAnsi="Arial" w:eastAsia="Arial" w:cs="Arial"/>
          <w:color w:val="auto"/>
          <w:sz w:val="22"/>
          <w:szCs w:val="22"/>
        </w:rPr>
        <w:t>identify</w:t>
      </w:r>
      <w:r w:rsidRPr="1E99BFFD" w:rsidR="00000000">
        <w:rPr>
          <w:rFonts w:ascii="Arial" w:hAnsi="Arial" w:eastAsia="Arial" w:cs="Arial"/>
          <w:color w:val="auto"/>
          <w:sz w:val="22"/>
          <w:szCs w:val="22"/>
        </w:rPr>
        <w:t xml:space="preserve"> where gaps in current knowledge and policy attention lie.</w:t>
      </w:r>
    </w:p>
    <w:p w:rsidR="00A83A4E" w:rsidP="1E99BFFD" w:rsidRDefault="00000000" w14:paraId="21E6F8CE"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The review is guided by the following research question:</w:t>
      </w:r>
    </w:p>
    <w:p w:rsidR="00A83A4E" w:rsidP="1E99BFFD" w:rsidRDefault="00000000" w14:paraId="34E3C6C9" w14:textId="77777777">
      <w:pPr>
        <w:spacing w:after="200" w:line="360" w:lineRule="auto"/>
        <w:jc w:val="both"/>
        <w:rPr>
          <w:rFonts w:ascii="Arial" w:hAnsi="Arial" w:eastAsia="Arial" w:cs="Arial"/>
          <w:b w:val="1"/>
          <w:bCs w:val="1"/>
          <w:i w:val="1"/>
          <w:iCs w:val="1"/>
          <w:color w:val="auto"/>
          <w:sz w:val="22"/>
          <w:szCs w:val="22"/>
        </w:rPr>
      </w:pPr>
      <w:r w:rsidRPr="1E99BFFD" w:rsidR="00000000">
        <w:rPr>
          <w:rFonts w:ascii="Arial" w:hAnsi="Arial" w:eastAsia="Arial" w:cs="Arial"/>
          <w:b w:val="1"/>
          <w:bCs w:val="1"/>
          <w:i w:val="1"/>
          <w:iCs w:val="1"/>
          <w:color w:val="auto"/>
          <w:sz w:val="22"/>
          <w:szCs w:val="22"/>
        </w:rPr>
        <w:t>What evidence exists regarding the experiences and barriers affecting Black women throughout the breast cancer care pathway in the United Kingdom?</w:t>
      </w:r>
    </w:p>
    <w:p w:rsidR="00A83A4E" w:rsidP="1E99BFFD" w:rsidRDefault="00000000" w14:paraId="214DDF98"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The aim of this scoping review is to map and synthesise the existing peer-reviewed literature relating to the experiences and barriers affecting Black women throughout the breast cancer care pathway in the UK. The objectives of the review are to:</w:t>
      </w:r>
    </w:p>
    <w:p w:rsidR="00A83A4E" w:rsidP="1E99BFFD" w:rsidRDefault="00000000" w14:paraId="43878423" w14:textId="77777777">
      <w:pPr>
        <w:pStyle w:val="ListParagraph"/>
        <w:numPr>
          <w:ilvl w:val="0"/>
          <w:numId w:val="2"/>
        </w:numPr>
        <w:spacing w:after="100" w:line="360" w:lineRule="auto"/>
        <w:rPr>
          <w:rFonts w:ascii="Arial" w:hAnsi="Arial" w:eastAsia="Arial" w:cs="Arial"/>
          <w:color w:val="auto"/>
          <w:sz w:val="22"/>
          <w:szCs w:val="22"/>
        </w:rPr>
      </w:pPr>
      <w:r w:rsidRPr="1E99BFFD" w:rsidR="00000000">
        <w:rPr>
          <w:rFonts w:ascii="Arial" w:hAnsi="Arial" w:eastAsia="Arial" w:cs="Arial"/>
          <w:color w:val="auto"/>
          <w:sz w:val="22"/>
          <w:szCs w:val="22"/>
        </w:rPr>
        <w:t>identify the experiences of Black women throughout the breast cancer care pathway in the UK;</w:t>
      </w:r>
    </w:p>
    <w:p w:rsidR="00A83A4E" w:rsidP="1E99BFFD" w:rsidRDefault="00000000" w14:paraId="40E51C37" w14:textId="77777777">
      <w:pPr>
        <w:pStyle w:val="ListParagraph"/>
        <w:numPr>
          <w:ilvl w:val="0"/>
          <w:numId w:val="2"/>
        </w:numPr>
        <w:spacing w:after="100" w:line="360" w:lineRule="auto"/>
        <w:rPr>
          <w:rFonts w:ascii="Arial" w:hAnsi="Arial" w:eastAsia="Arial" w:cs="Arial"/>
          <w:color w:val="auto"/>
          <w:sz w:val="22"/>
          <w:szCs w:val="22"/>
        </w:rPr>
      </w:pPr>
      <w:r w:rsidRPr="1E99BFFD" w:rsidR="00000000">
        <w:rPr>
          <w:rFonts w:ascii="Arial" w:hAnsi="Arial" w:eastAsia="Arial" w:cs="Arial"/>
          <w:color w:val="auto"/>
          <w:sz w:val="22"/>
          <w:szCs w:val="22"/>
        </w:rPr>
        <w:t>identify barriers influencing breast cancer screening, diagnosis, treatment and follow-up care;</w:t>
      </w:r>
    </w:p>
    <w:p w:rsidR="00A83A4E" w:rsidP="1E99BFFD" w:rsidRDefault="00000000" w14:paraId="30783A3B" w14:textId="77777777">
      <w:pPr>
        <w:pStyle w:val="ListParagraph"/>
        <w:numPr>
          <w:ilvl w:val="0"/>
          <w:numId w:val="2"/>
        </w:numPr>
        <w:spacing w:after="100" w:line="360" w:lineRule="auto"/>
        <w:rPr>
          <w:rFonts w:ascii="Arial" w:hAnsi="Arial" w:eastAsia="Arial" w:cs="Arial"/>
          <w:color w:val="auto"/>
          <w:sz w:val="22"/>
          <w:szCs w:val="22"/>
        </w:rPr>
      </w:pPr>
      <w:r w:rsidRPr="1E99BFFD" w:rsidR="00000000">
        <w:rPr>
          <w:rFonts w:ascii="Arial" w:hAnsi="Arial" w:eastAsia="Arial" w:cs="Arial"/>
          <w:color w:val="auto"/>
          <w:sz w:val="22"/>
          <w:szCs w:val="22"/>
        </w:rPr>
        <w:t>identify recurring themes within the literature using Aveyard's (2019) simplified thematic analysis;</w:t>
      </w:r>
    </w:p>
    <w:p w:rsidR="00A83A4E" w:rsidP="1E99BFFD" w:rsidRDefault="00000000" w14:paraId="0F5EB185" w14:textId="77777777">
      <w:pPr>
        <w:pStyle w:val="ListParagraph"/>
        <w:numPr>
          <w:ilvl w:val="0"/>
          <w:numId w:val="2"/>
        </w:numPr>
        <w:spacing w:after="100" w:line="360" w:lineRule="auto"/>
        <w:rPr>
          <w:rFonts w:ascii="Arial" w:hAnsi="Arial" w:eastAsia="Arial" w:cs="Arial"/>
          <w:color w:val="auto"/>
          <w:sz w:val="22"/>
          <w:szCs w:val="22"/>
        </w:rPr>
      </w:pPr>
      <w:r w:rsidRPr="1E99BFFD" w:rsidR="00000000">
        <w:rPr>
          <w:rFonts w:ascii="Arial" w:hAnsi="Arial" w:eastAsia="Arial" w:cs="Arial"/>
          <w:color w:val="auto"/>
          <w:sz w:val="22"/>
          <w:szCs w:val="22"/>
        </w:rPr>
        <w:t>identify gaps within the existing evidence and discuss implications for healthcare practice and future research.</w:t>
      </w:r>
    </w:p>
    <w:p w:rsidR="00A83A4E" w:rsidP="1E99BFFD" w:rsidRDefault="00000000" w14:paraId="3ECCE4C1"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This review seeks to contribute to the growing body of evidence concerning ethnic inequalities in breast cancer care. By identifying common themes and evidence gaps across the literature, the findings are intended to inform healthcare professionals and policymakers in developing more culturally responsive approaches to breast cancer care for Black women in the UK.</w:t>
      </w:r>
    </w:p>
    <w:p w:rsidR="00A83A4E" w:rsidP="1E99BFFD" w:rsidRDefault="00000000" w14:paraId="557084BF" w14:textId="77777777">
      <w:pPr>
        <w:pStyle w:val="Heading1"/>
        <w:spacing w:before="400" w:after="200" w:line="360" w:lineRule="auto"/>
        <w:rPr>
          <w:rFonts w:ascii="Arial" w:hAnsi="Arial" w:eastAsia="Arial" w:cs="Arial"/>
          <w:b w:val="1"/>
          <w:bCs w:val="1"/>
          <w:color w:val="auto"/>
          <w:sz w:val="22"/>
          <w:szCs w:val="22"/>
        </w:rPr>
      </w:pPr>
      <w:bookmarkStart w:name="_Toc235442316" w:id="1"/>
      <w:r w:rsidRPr="1E99BFFD" w:rsidR="00000000">
        <w:rPr>
          <w:rFonts w:ascii="Arial" w:hAnsi="Arial" w:eastAsia="Arial" w:cs="Arial"/>
          <w:b w:val="1"/>
          <w:bCs w:val="1"/>
          <w:color w:val="auto"/>
          <w:sz w:val="22"/>
          <w:szCs w:val="22"/>
        </w:rPr>
        <w:t>Background</w:t>
      </w:r>
      <w:bookmarkEnd w:id="1"/>
    </w:p>
    <w:p w:rsidRPr="006201F8" w:rsidR="006201F8" w:rsidP="1E99BFFD" w:rsidRDefault="006201F8" w14:paraId="6E9D6F54" w14:textId="483C6399">
      <w:pPr>
        <w:spacing w:line="360" w:lineRule="auto"/>
        <w:rPr>
          <w:rFonts w:ascii="Arial" w:hAnsi="Arial" w:eastAsia="Arial" w:cs="Arial"/>
          <w:color w:val="auto"/>
          <w:sz w:val="22"/>
          <w:szCs w:val="22"/>
        </w:rPr>
      </w:pPr>
      <w:r w:rsidRPr="1E99BFFD" w:rsidR="006201F8">
        <w:rPr>
          <w:rFonts w:ascii="Arial" w:hAnsi="Arial" w:eastAsia="Arial" w:cs="Arial"/>
          <w:color w:val="auto"/>
          <w:sz w:val="22"/>
          <w:szCs w:val="22"/>
        </w:rPr>
        <w:t xml:space="preserve">Breast cancer develops when abnormal cells within breast tissue grow uncontrollably, forming malignant tumours that can spread to other tissues if left untreated (NICE, 2023). Early diagnosis and prompt treatment are the strongest predictors of survival, making delays in engagement with screening or diagnostic services clinically significant rather than incidental (NICE, 2023). Access to breast cancer services is shaped by social, cultural, </w:t>
      </w:r>
      <w:r w:rsidRPr="1E99BFFD" w:rsidR="006201F8">
        <w:rPr>
          <w:rFonts w:ascii="Arial" w:hAnsi="Arial" w:eastAsia="Arial" w:cs="Arial"/>
          <w:color w:val="auto"/>
          <w:sz w:val="22"/>
          <w:szCs w:val="22"/>
        </w:rPr>
        <w:t>economic</w:t>
      </w:r>
      <w:r w:rsidRPr="1E99BFFD" w:rsidR="006201F8">
        <w:rPr>
          <w:rFonts w:ascii="Arial" w:hAnsi="Arial" w:eastAsia="Arial" w:cs="Arial"/>
          <w:color w:val="auto"/>
          <w:sz w:val="22"/>
          <w:szCs w:val="22"/>
        </w:rPr>
        <w:t xml:space="preserve"> and structural factors</w:t>
      </w:r>
      <w:r w:rsidRPr="1E99BFFD" w:rsidR="4FC74E14">
        <w:rPr>
          <w:rFonts w:ascii="Arial" w:hAnsi="Arial" w:eastAsia="Arial" w:cs="Arial"/>
          <w:color w:val="auto"/>
          <w:sz w:val="22"/>
          <w:szCs w:val="22"/>
        </w:rPr>
        <w:t xml:space="preserve">, </w:t>
      </w:r>
      <w:r w:rsidRPr="1E99BFFD" w:rsidR="006201F8">
        <w:rPr>
          <w:rFonts w:ascii="Arial" w:hAnsi="Arial" w:eastAsia="Arial" w:cs="Arial"/>
          <w:color w:val="auto"/>
          <w:sz w:val="22"/>
          <w:szCs w:val="22"/>
        </w:rPr>
        <w:t xml:space="preserve">commonly described as health inequalities: avoidable and unfair differences in health status, access to healthcare and outcomes between population groups (The King's Fund, 2023). Women from ethnic minority backgrounds consistently experience poorer breast cancer outcomes than their White British counterparts (Marcu et al., 2022), and, as this section </w:t>
      </w:r>
      <w:r w:rsidRPr="1E99BFFD" w:rsidR="006201F8">
        <w:rPr>
          <w:rFonts w:ascii="Arial" w:hAnsi="Arial" w:eastAsia="Arial" w:cs="Arial"/>
          <w:color w:val="auto"/>
          <w:sz w:val="22"/>
          <w:szCs w:val="22"/>
        </w:rPr>
        <w:t>demonstrates</w:t>
      </w:r>
      <w:r w:rsidRPr="1E99BFFD" w:rsidR="006201F8">
        <w:rPr>
          <w:rFonts w:ascii="Arial" w:hAnsi="Arial" w:eastAsia="Arial" w:cs="Arial"/>
          <w:color w:val="auto"/>
          <w:sz w:val="22"/>
          <w:szCs w:val="22"/>
        </w:rPr>
        <w:t xml:space="preserve">, this gap results from a combination of clinical, </w:t>
      </w:r>
      <w:r w:rsidRPr="1E99BFFD" w:rsidR="006201F8">
        <w:rPr>
          <w:rFonts w:ascii="Arial" w:hAnsi="Arial" w:eastAsia="Arial" w:cs="Arial"/>
          <w:color w:val="auto"/>
          <w:sz w:val="22"/>
          <w:szCs w:val="22"/>
        </w:rPr>
        <w:t>social</w:t>
      </w:r>
      <w:r w:rsidRPr="1E99BFFD" w:rsidR="006201F8">
        <w:rPr>
          <w:rFonts w:ascii="Arial" w:hAnsi="Arial" w:eastAsia="Arial" w:cs="Arial"/>
          <w:color w:val="auto"/>
          <w:sz w:val="22"/>
          <w:szCs w:val="22"/>
        </w:rPr>
        <w:t xml:space="preserve"> and healthcare-related factors rather than any single cause.</w:t>
      </w:r>
    </w:p>
    <w:p w:rsidRPr="006201F8" w:rsidR="006201F8" w:rsidP="1E99BFFD" w:rsidRDefault="006201F8" w14:paraId="28C4CF0C" w14:textId="77777777">
      <w:pPr>
        <w:spacing w:line="360" w:lineRule="auto"/>
        <w:rPr>
          <w:rFonts w:ascii="Arial" w:hAnsi="Arial" w:eastAsia="Arial" w:cs="Arial"/>
          <w:color w:val="auto"/>
          <w:sz w:val="22"/>
          <w:szCs w:val="22"/>
        </w:rPr>
      </w:pPr>
    </w:p>
    <w:p w:rsidRPr="006201F8" w:rsidR="006201F8" w:rsidP="1E99BFFD" w:rsidRDefault="006201F8" w14:paraId="2147B7A2" w14:textId="618678D8">
      <w:pPr>
        <w:pStyle w:val="Normal"/>
        <w:spacing w:line="360" w:lineRule="auto"/>
        <w:rPr>
          <w:rFonts w:ascii="Arial" w:hAnsi="Arial" w:eastAsia="Arial" w:cs="Arial"/>
          <w:color w:val="auto"/>
          <w:sz w:val="22"/>
          <w:szCs w:val="22"/>
        </w:rPr>
      </w:pPr>
      <w:r w:rsidRPr="1E99BFFD" w:rsidR="006201F8">
        <w:rPr>
          <w:rFonts w:ascii="Arial" w:hAnsi="Arial" w:eastAsia="Arial" w:cs="Arial"/>
          <w:color w:val="auto"/>
          <w:sz w:val="22"/>
          <w:szCs w:val="22"/>
        </w:rPr>
        <w:t xml:space="preserve">Within the UK, Black women </w:t>
      </w:r>
      <w:r w:rsidRPr="1E99BFFD" w:rsidR="006201F8">
        <w:rPr>
          <w:rFonts w:ascii="Arial" w:hAnsi="Arial" w:eastAsia="Arial" w:cs="Arial"/>
          <w:color w:val="auto"/>
          <w:sz w:val="22"/>
          <w:szCs w:val="22"/>
        </w:rPr>
        <w:t>comprise</w:t>
      </w:r>
      <w:r w:rsidRPr="1E99BFFD" w:rsidR="006201F8">
        <w:rPr>
          <w:rFonts w:ascii="Arial" w:hAnsi="Arial" w:eastAsia="Arial" w:cs="Arial"/>
          <w:color w:val="auto"/>
          <w:sz w:val="22"/>
          <w:szCs w:val="22"/>
        </w:rPr>
        <w:t xml:space="preserve"> a diverse population, including those of Black African and Black Caribbean heritage. Breast cancer incidence has historically been reported as lower among Black women than White women; however, Aliu, Kerrison and Marcu (2025) note that Black women are more likely to present with more advanced disease at diagnosis, which is associated with poorer prognosis. This matters because it shows that lower incidence does not equate to lower risk of poor outcomes</w:t>
      </w:r>
      <w:r w:rsidRPr="1E99BFFD" w:rsidR="7F0D9FE7">
        <w:rPr>
          <w:rFonts w:ascii="Arial" w:hAnsi="Arial" w:eastAsia="Arial" w:cs="Arial"/>
          <w:color w:val="auto"/>
          <w:sz w:val="22"/>
          <w:szCs w:val="22"/>
        </w:rPr>
        <w:t xml:space="preserve">, </w:t>
      </w:r>
      <w:r w:rsidRPr="1E99BFFD" w:rsidR="006201F8">
        <w:rPr>
          <w:rFonts w:ascii="Arial" w:hAnsi="Arial" w:eastAsia="Arial" w:cs="Arial"/>
          <w:color w:val="auto"/>
          <w:sz w:val="22"/>
          <w:szCs w:val="22"/>
        </w:rPr>
        <w:t>a purely biological reading of the statistics would obscure a disparity that only becomes visible once diagnosis, treatment and survivorship are examined</w:t>
      </w:r>
      <w:r w:rsidRPr="1E99BFFD" w:rsidR="46636B28">
        <w:rPr>
          <w:rFonts w:ascii="Arial" w:hAnsi="Arial" w:eastAsia="Arial" w:cs="Arial"/>
          <w:color w:val="auto"/>
          <w:sz w:val="22"/>
          <w:szCs w:val="22"/>
        </w:rPr>
        <w:t xml:space="preserve"> (Aliu, Kerrison and Marcu, 2025)</w:t>
      </w:r>
      <w:r w:rsidRPr="1E99BFFD" w:rsidR="006201F8">
        <w:rPr>
          <w:rFonts w:ascii="Arial" w:hAnsi="Arial" w:eastAsia="Arial" w:cs="Arial"/>
          <w:color w:val="auto"/>
          <w:sz w:val="22"/>
          <w:szCs w:val="22"/>
        </w:rPr>
        <w:t>.</w:t>
      </w:r>
    </w:p>
    <w:p w:rsidRPr="006201F8" w:rsidR="006201F8" w:rsidP="1E99BFFD" w:rsidRDefault="006201F8" w14:paraId="575C8523" w14:textId="77777777">
      <w:pPr>
        <w:spacing w:line="360" w:lineRule="auto"/>
        <w:rPr>
          <w:rFonts w:ascii="Arial" w:hAnsi="Arial" w:eastAsia="Arial" w:cs="Arial"/>
          <w:color w:val="auto"/>
          <w:sz w:val="22"/>
          <w:szCs w:val="22"/>
        </w:rPr>
      </w:pPr>
    </w:p>
    <w:p w:rsidRPr="006201F8" w:rsidR="006201F8" w:rsidP="1E99BFFD" w:rsidRDefault="006201F8" w14:paraId="136C6DE7" w14:textId="5DEFCE3B">
      <w:pPr>
        <w:spacing w:line="360" w:lineRule="auto"/>
        <w:rPr>
          <w:rFonts w:ascii="Arial" w:hAnsi="Arial" w:eastAsia="Arial" w:cs="Arial"/>
          <w:color w:val="auto"/>
          <w:sz w:val="22"/>
          <w:szCs w:val="22"/>
        </w:rPr>
      </w:pPr>
      <w:r w:rsidRPr="1E99BFFD" w:rsidR="006201F8">
        <w:rPr>
          <w:rFonts w:ascii="Arial" w:hAnsi="Arial" w:eastAsia="Arial" w:cs="Arial"/>
          <w:color w:val="auto"/>
          <w:sz w:val="22"/>
          <w:szCs w:val="22"/>
        </w:rPr>
        <w:t xml:space="preserve">These differences cannot be explained by biology alone. Increasing attention has been given to the social determinants of health, recognising that health inequalities </w:t>
      </w:r>
      <w:r w:rsidRPr="1E99BFFD" w:rsidR="006201F8">
        <w:rPr>
          <w:rFonts w:ascii="Arial" w:hAnsi="Arial" w:eastAsia="Arial" w:cs="Arial"/>
          <w:color w:val="auto"/>
          <w:sz w:val="22"/>
          <w:szCs w:val="22"/>
        </w:rPr>
        <w:t>largely result</w:t>
      </w:r>
      <w:r w:rsidRPr="1E99BFFD" w:rsidR="006201F8">
        <w:rPr>
          <w:rFonts w:ascii="Arial" w:hAnsi="Arial" w:eastAsia="Arial" w:cs="Arial"/>
          <w:color w:val="auto"/>
          <w:sz w:val="22"/>
          <w:szCs w:val="22"/>
        </w:rPr>
        <w:t xml:space="preserve"> from the unequal distribution of opportunities and resources across society (Marmot et al., 2020). Determinants such as housing, employment, </w:t>
      </w:r>
      <w:r w:rsidRPr="1E99BFFD" w:rsidR="006201F8">
        <w:rPr>
          <w:rFonts w:ascii="Arial" w:hAnsi="Arial" w:eastAsia="Arial" w:cs="Arial"/>
          <w:color w:val="auto"/>
          <w:sz w:val="22"/>
          <w:szCs w:val="22"/>
        </w:rPr>
        <w:t>income</w:t>
      </w:r>
      <w:r w:rsidRPr="1E99BFFD" w:rsidR="006201F8">
        <w:rPr>
          <w:rFonts w:ascii="Arial" w:hAnsi="Arial" w:eastAsia="Arial" w:cs="Arial"/>
          <w:color w:val="auto"/>
          <w:sz w:val="22"/>
          <w:szCs w:val="22"/>
        </w:rPr>
        <w:t xml:space="preserve"> and access to healthcare significantly influence how Black women recognise symptoms, access </w:t>
      </w:r>
      <w:r w:rsidRPr="1E99BFFD" w:rsidR="006201F8">
        <w:rPr>
          <w:rFonts w:ascii="Arial" w:hAnsi="Arial" w:eastAsia="Arial" w:cs="Arial"/>
          <w:color w:val="auto"/>
          <w:sz w:val="22"/>
          <w:szCs w:val="22"/>
        </w:rPr>
        <w:t>services</w:t>
      </w:r>
      <w:r w:rsidRPr="1E99BFFD" w:rsidR="006201F8">
        <w:rPr>
          <w:rFonts w:ascii="Arial" w:hAnsi="Arial" w:eastAsia="Arial" w:cs="Arial"/>
          <w:color w:val="auto"/>
          <w:sz w:val="22"/>
          <w:szCs w:val="22"/>
        </w:rPr>
        <w:t xml:space="preserve"> and engage with treatment. Marmot et al. (2020) argue that structural disadvantage compounds clinical risk, meaning two women with identical presentations may follow markedly different pathways to diagnosis depending on their material circumstances</w:t>
      </w:r>
      <w:r w:rsidRPr="1E99BFFD" w:rsidR="1C80C1B0">
        <w:rPr>
          <w:rFonts w:ascii="Arial" w:hAnsi="Arial" w:eastAsia="Arial" w:cs="Arial"/>
          <w:color w:val="auto"/>
          <w:sz w:val="22"/>
          <w:szCs w:val="22"/>
        </w:rPr>
        <w:t xml:space="preserve">, </w:t>
      </w:r>
      <w:r w:rsidRPr="1E99BFFD" w:rsidR="006201F8">
        <w:rPr>
          <w:rFonts w:ascii="Arial" w:hAnsi="Arial" w:eastAsia="Arial" w:cs="Arial"/>
          <w:color w:val="auto"/>
          <w:sz w:val="22"/>
          <w:szCs w:val="22"/>
        </w:rPr>
        <w:t>this is the mechanism through which social determinants produce the outcome gap described above.</w:t>
      </w:r>
    </w:p>
    <w:p w:rsidRPr="006201F8" w:rsidR="006201F8" w:rsidP="1E99BFFD" w:rsidRDefault="006201F8" w14:paraId="41C0F6C2" w14:textId="77777777">
      <w:pPr>
        <w:spacing w:line="360" w:lineRule="auto"/>
        <w:rPr>
          <w:rFonts w:ascii="Arial" w:hAnsi="Arial" w:eastAsia="Arial" w:cs="Arial"/>
          <w:color w:val="auto"/>
          <w:sz w:val="22"/>
          <w:szCs w:val="22"/>
        </w:rPr>
      </w:pPr>
    </w:p>
    <w:p w:rsidRPr="006201F8" w:rsidR="006201F8" w:rsidP="1E99BFFD" w:rsidRDefault="006201F8" w14:paraId="51166722" w14:textId="6A95A36F">
      <w:pPr>
        <w:spacing w:line="360" w:lineRule="auto"/>
      </w:pPr>
      <w:r w:rsidRPr="1E99BFFD" w:rsidR="006201F8">
        <w:rPr>
          <w:rFonts w:ascii="Arial" w:hAnsi="Arial" w:eastAsia="Arial" w:cs="Arial"/>
          <w:color w:val="auto"/>
          <w:sz w:val="22"/>
          <w:szCs w:val="22"/>
        </w:rPr>
        <w:t>The NHS has introduced initiatives aimed at improving cancer outcomes through earlier diagnosis and equitable access, including the NHS Long Term Plan's ambition that 75% of cancers be diagnosed at Stage 1 or 2 (NHS England, 2019), and routine mammography every three years for women aged 50–71 (NHS England, 2024). However, national coverage does not guarantee equitable uptake: structural initiatives of this kind can leave culturally specific barriers unaddressed, which is precisely the gap this review investigates. Aliu, Kerrison and Marcu (2025) identified several such barriers among Black African and Black Caribbean women, including limited symptom awareness, fear of diagnosis, embarrassment around examinations, cultural beliefs about illness, and practical barriers such as appointment access and competing responsibilities. This suggests that improving physical access alone is unlikely to close the inequality gap unless these cultural and structural drivers are addressed simultaneously.</w:t>
      </w:r>
    </w:p>
    <w:p w:rsidR="1E99BFFD" w:rsidP="1E99BFFD" w:rsidRDefault="1E99BFFD" w14:paraId="3612EC36" w14:textId="2B2F9A89">
      <w:pPr>
        <w:spacing w:line="360" w:lineRule="auto"/>
        <w:rPr>
          <w:rFonts w:ascii="Arial" w:hAnsi="Arial" w:eastAsia="Arial" w:cs="Arial"/>
          <w:color w:val="auto"/>
          <w:sz w:val="22"/>
          <w:szCs w:val="22"/>
        </w:rPr>
      </w:pPr>
    </w:p>
    <w:p w:rsidR="006201F8" w:rsidP="1E99BFFD" w:rsidRDefault="006201F8" w14:paraId="29ED1E0A" w14:textId="7CE14EB6">
      <w:pPr>
        <w:spacing w:line="360" w:lineRule="auto"/>
        <w:rPr>
          <w:rFonts w:ascii="Arial" w:hAnsi="Arial" w:eastAsia="Arial" w:cs="Arial"/>
          <w:color w:val="auto"/>
          <w:sz w:val="22"/>
          <w:szCs w:val="22"/>
        </w:rPr>
      </w:pPr>
      <w:r w:rsidRPr="1E99BFFD" w:rsidR="006201F8">
        <w:rPr>
          <w:rFonts w:ascii="Arial" w:hAnsi="Arial" w:eastAsia="Arial" w:cs="Arial"/>
          <w:color w:val="auto"/>
          <w:sz w:val="22"/>
          <w:szCs w:val="22"/>
        </w:rPr>
        <w:t xml:space="preserve">Barriers persist beyond screening. Marcu et al. (2022) found that trust in healthcare professionals, culturally appropriate communication and community engagement were essential for early presentation, and that public health campaigns often failed to reflect Black women's experiences and identities. </w:t>
      </w:r>
      <w:r w:rsidRPr="1E99BFFD" w:rsidR="006201F8">
        <w:rPr>
          <w:rFonts w:ascii="Arial" w:hAnsi="Arial" w:eastAsia="Arial" w:cs="Arial"/>
          <w:color w:val="auto"/>
          <w:sz w:val="22"/>
          <w:szCs w:val="22"/>
        </w:rPr>
        <w:t>Estupiñán</w:t>
      </w:r>
      <w:r w:rsidRPr="1E99BFFD" w:rsidR="006201F8">
        <w:rPr>
          <w:rFonts w:ascii="Arial" w:hAnsi="Arial" w:eastAsia="Arial" w:cs="Arial"/>
          <w:color w:val="auto"/>
          <w:sz w:val="22"/>
          <w:szCs w:val="22"/>
        </w:rPr>
        <w:t xml:space="preserve"> Fdez. de Mesa et al. (2024) similarly reported perceptions of discrimination and limited cultural understanding within healthcare settings, which discouraged some women from engaging fully with treatment; conversely, respectful, culturally competent care was associated with greater satisfaction and engagement. This suggests patient experience is not incidental to clinical outcomes but a determinant of them.</w:t>
      </w:r>
    </w:p>
    <w:p w:rsidRPr="006201F8" w:rsidR="00580DA5" w:rsidP="1E99BFFD" w:rsidRDefault="00580DA5" w14:paraId="7EC48413" w14:textId="77777777">
      <w:pPr>
        <w:spacing w:line="360" w:lineRule="auto"/>
        <w:rPr>
          <w:rFonts w:ascii="Arial" w:hAnsi="Arial" w:eastAsia="Arial" w:cs="Arial"/>
          <w:color w:val="auto"/>
          <w:sz w:val="22"/>
          <w:szCs w:val="22"/>
        </w:rPr>
      </w:pPr>
    </w:p>
    <w:p w:rsidRPr="006201F8" w:rsidR="006201F8" w:rsidP="1E99BFFD" w:rsidRDefault="006201F8" w14:paraId="2109DE9D" w14:textId="5D252C87">
      <w:pPr>
        <w:spacing w:line="360" w:lineRule="auto"/>
        <w:rPr>
          <w:rFonts w:ascii="Arial" w:hAnsi="Arial" w:eastAsia="Arial" w:cs="Arial"/>
          <w:color w:val="auto"/>
          <w:sz w:val="22"/>
          <w:szCs w:val="22"/>
        </w:rPr>
      </w:pPr>
      <w:r w:rsidRPr="1E99BFFD" w:rsidR="006201F8">
        <w:rPr>
          <w:rFonts w:ascii="Arial" w:hAnsi="Arial" w:eastAsia="Arial" w:cs="Arial"/>
          <w:color w:val="auto"/>
          <w:sz w:val="22"/>
          <w:szCs w:val="22"/>
        </w:rPr>
        <w:t xml:space="preserve">A further gap concerns representation within research itself. Ethnic minority populations have historically been underrepresented in cancer studies (Workman, </w:t>
      </w:r>
      <w:r w:rsidRPr="1E99BFFD" w:rsidR="006201F8">
        <w:rPr>
          <w:rFonts w:ascii="Arial" w:hAnsi="Arial" w:eastAsia="Arial" w:cs="Arial"/>
          <w:color w:val="auto"/>
          <w:sz w:val="22"/>
          <w:szCs w:val="22"/>
        </w:rPr>
        <w:t>Thompson</w:t>
      </w:r>
      <w:r w:rsidRPr="1E99BFFD" w:rsidR="006201F8">
        <w:rPr>
          <w:rFonts w:ascii="Arial" w:hAnsi="Arial" w:eastAsia="Arial" w:cs="Arial"/>
          <w:color w:val="auto"/>
          <w:sz w:val="22"/>
          <w:szCs w:val="22"/>
        </w:rPr>
        <w:t xml:space="preserve"> and Lau, 2023), and many studies combine Black African and Black Caribbean women into a single category, potentially masking </w:t>
      </w:r>
      <w:r w:rsidRPr="1E99BFFD" w:rsidR="006201F8">
        <w:rPr>
          <w:rFonts w:ascii="Arial" w:hAnsi="Arial" w:eastAsia="Arial" w:cs="Arial"/>
          <w:color w:val="auto"/>
          <w:sz w:val="22"/>
          <w:szCs w:val="22"/>
        </w:rPr>
        <w:t>important differences</w:t>
      </w:r>
      <w:r w:rsidRPr="1E99BFFD" w:rsidR="006201F8">
        <w:rPr>
          <w:rFonts w:ascii="Arial" w:hAnsi="Arial" w:eastAsia="Arial" w:cs="Arial"/>
          <w:color w:val="auto"/>
          <w:sz w:val="22"/>
          <w:szCs w:val="22"/>
        </w:rPr>
        <w:t xml:space="preserve"> between them. Quantitative research often </w:t>
      </w:r>
      <w:r w:rsidRPr="1E99BFFD" w:rsidR="006201F8">
        <w:rPr>
          <w:rFonts w:ascii="Arial" w:hAnsi="Arial" w:eastAsia="Arial" w:cs="Arial"/>
          <w:color w:val="auto"/>
          <w:sz w:val="22"/>
          <w:szCs w:val="22"/>
        </w:rPr>
        <w:t>identifies</w:t>
      </w:r>
      <w:r w:rsidRPr="1E99BFFD" w:rsidR="006201F8">
        <w:rPr>
          <w:rFonts w:ascii="Arial" w:hAnsi="Arial" w:eastAsia="Arial" w:cs="Arial"/>
          <w:color w:val="auto"/>
          <w:sz w:val="22"/>
          <w:szCs w:val="22"/>
        </w:rPr>
        <w:t xml:space="preserve"> statistical disparities without exploring their causes, while qualitative research offers richer insight but </w:t>
      </w:r>
      <w:r w:rsidRPr="1E99BFFD" w:rsidR="006201F8">
        <w:rPr>
          <w:rFonts w:ascii="Arial" w:hAnsi="Arial" w:eastAsia="Arial" w:cs="Arial"/>
          <w:color w:val="auto"/>
          <w:sz w:val="22"/>
          <w:szCs w:val="22"/>
        </w:rPr>
        <w:t>remains</w:t>
      </w:r>
      <w:r w:rsidRPr="1E99BFFD" w:rsidR="006201F8">
        <w:rPr>
          <w:rFonts w:ascii="Arial" w:hAnsi="Arial" w:eastAsia="Arial" w:cs="Arial"/>
          <w:color w:val="auto"/>
          <w:sz w:val="22"/>
          <w:szCs w:val="22"/>
        </w:rPr>
        <w:t xml:space="preserve"> comparatively limited in the UK context (Martin et al., 2025). The evidence base is therefore fragmented, concentrated on individual pathway stages rather than the full journey from symptom recognition to survivorship</w:t>
      </w:r>
      <w:r w:rsidRPr="1E99BFFD" w:rsidR="492CC328">
        <w:rPr>
          <w:rFonts w:ascii="Arial" w:hAnsi="Arial" w:eastAsia="Arial" w:cs="Arial"/>
          <w:color w:val="auto"/>
          <w:sz w:val="22"/>
          <w:szCs w:val="22"/>
        </w:rPr>
        <w:t xml:space="preserve">, </w:t>
      </w:r>
      <w:r w:rsidRPr="1E99BFFD" w:rsidR="006201F8">
        <w:rPr>
          <w:rFonts w:ascii="Arial" w:hAnsi="Arial" w:eastAsia="Arial" w:cs="Arial"/>
          <w:color w:val="auto"/>
          <w:sz w:val="22"/>
          <w:szCs w:val="22"/>
        </w:rPr>
        <w:t>the gap this scoping review is designed to map.</w:t>
      </w:r>
    </w:p>
    <w:p w:rsidR="00A83A4E" w:rsidP="1E99BFFD" w:rsidRDefault="00000000" w14:paraId="4FB27E8C" w14:textId="09ABDB54">
      <w:pPr>
        <w:pStyle w:val="Heading1"/>
        <w:spacing w:before="400" w:after="200" w:line="360" w:lineRule="auto"/>
        <w:rPr>
          <w:rFonts w:ascii="Arial" w:hAnsi="Arial" w:eastAsia="Arial" w:cs="Arial"/>
          <w:b w:val="1"/>
          <w:bCs w:val="1"/>
          <w:color w:val="auto"/>
          <w:sz w:val="22"/>
          <w:szCs w:val="22"/>
        </w:rPr>
      </w:pPr>
      <w:bookmarkStart w:name="_Toc235442317" w:id="2"/>
      <w:r w:rsidRPr="1E99BFFD" w:rsidR="00000000">
        <w:rPr>
          <w:rFonts w:ascii="Arial" w:hAnsi="Arial" w:eastAsia="Arial" w:cs="Arial"/>
          <w:b w:val="1"/>
          <w:bCs w:val="1"/>
          <w:color w:val="auto"/>
          <w:sz w:val="22"/>
          <w:szCs w:val="22"/>
        </w:rPr>
        <w:t>Methods</w:t>
      </w:r>
      <w:bookmarkEnd w:id="2"/>
    </w:p>
    <w:p w:rsidR="00A83A4E" w:rsidP="1E99BFFD" w:rsidRDefault="00000000" w14:paraId="0DAD8DBD" w14:textId="1BCB16E2">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This study used a scoping review to map and synthesise evidence on the experiences and barriers affecting Black women throughout the breast cancer care pathway in the United Kingdom. Scoping reviews are suited to exploring broad topics, </w:t>
      </w:r>
      <w:r w:rsidRPr="1E99BFFD" w:rsidR="00000000">
        <w:rPr>
          <w:rFonts w:ascii="Arial" w:hAnsi="Arial" w:eastAsia="Arial" w:cs="Arial"/>
          <w:color w:val="auto"/>
          <w:sz w:val="22"/>
          <w:szCs w:val="22"/>
        </w:rPr>
        <w:t>identifying</w:t>
      </w:r>
      <w:r w:rsidRPr="1E99BFFD" w:rsidR="00000000">
        <w:rPr>
          <w:rFonts w:ascii="Arial" w:hAnsi="Arial" w:eastAsia="Arial" w:cs="Arial"/>
          <w:color w:val="auto"/>
          <w:sz w:val="22"/>
          <w:szCs w:val="22"/>
        </w:rPr>
        <w:t xml:space="preserve"> key concepts, summarising existing evidence and highlighting research gaps (Arksey and O'Malley, 2005). This approach was appropriate because the literature in this area spans qualitative, quantitative and mixed-methods studies, and because the review question spans multiple stages of a care pathway</w:t>
      </w:r>
      <w:r w:rsidRPr="1E99BFFD" w:rsidR="72E0E774">
        <w:rPr>
          <w:rFonts w:ascii="Arial" w:hAnsi="Arial" w:eastAsia="Arial" w:cs="Arial"/>
          <w:color w:val="auto"/>
          <w:sz w:val="22"/>
          <w:szCs w:val="22"/>
        </w:rPr>
        <w:t xml:space="preserve">, </w:t>
      </w:r>
      <w:r w:rsidRPr="1E99BFFD" w:rsidR="00000000">
        <w:rPr>
          <w:rFonts w:ascii="Arial" w:hAnsi="Arial" w:eastAsia="Arial" w:cs="Arial"/>
          <w:color w:val="auto"/>
          <w:sz w:val="22"/>
          <w:szCs w:val="22"/>
        </w:rPr>
        <w:t>a scope too broad for a systematic review, which is designed to evaluate the effectiveness of a narrowly defined intervention rather than to map a body of diverse evidence.</w:t>
      </w:r>
    </w:p>
    <w:p w:rsidR="00A83A4E" w:rsidP="1E99BFFD" w:rsidRDefault="00000000" w14:paraId="56234D12"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The review followed the five-stage framework developed by Arksey and O'Malley (2005): identifying the research question; identifying relevant studies; selecting eligible studies; charting the data; and collating, summarising and reporting findings. This single framework was applied consistently at every stage of the review to ensure a transparent and reproducible process.</w:t>
      </w:r>
    </w:p>
    <w:p w:rsidR="00A83A4E" w:rsidP="1E99BFFD" w:rsidRDefault="00000000" w14:paraId="23509B56" w14:textId="77777777">
      <w:pPr>
        <w:pStyle w:val="Heading2"/>
        <w:spacing w:before="300" w:after="150" w:line="360" w:lineRule="auto"/>
        <w:rPr>
          <w:rFonts w:ascii="Arial" w:hAnsi="Arial" w:eastAsia="Arial" w:cs="Arial"/>
          <w:b w:val="1"/>
          <w:bCs w:val="1"/>
          <w:color w:val="auto"/>
          <w:sz w:val="22"/>
          <w:szCs w:val="22"/>
        </w:rPr>
      </w:pPr>
      <w:bookmarkStart w:name="_Toc235442318" w:id="3"/>
      <w:r w:rsidRPr="1E99BFFD" w:rsidR="00000000">
        <w:rPr>
          <w:rFonts w:ascii="Arial" w:hAnsi="Arial" w:eastAsia="Arial" w:cs="Arial"/>
          <w:b w:val="1"/>
          <w:bCs w:val="1"/>
          <w:color w:val="auto"/>
          <w:sz w:val="22"/>
          <w:szCs w:val="22"/>
        </w:rPr>
        <w:t>Research Question</w:t>
      </w:r>
      <w:bookmarkEnd w:id="3"/>
    </w:p>
    <w:p w:rsidR="00A83A4E" w:rsidP="1E99BFFD" w:rsidRDefault="00000000" w14:paraId="6663E604"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The review was guided by the research question stated in the Introduction, which focuses on healthcare experiences and inequalities across screening, diagnosis, treatment and survivorship.</w:t>
      </w:r>
    </w:p>
    <w:p w:rsidR="00A83A4E" w:rsidP="1E99BFFD" w:rsidRDefault="00000000" w14:paraId="217C1500" w14:textId="77777777">
      <w:pPr>
        <w:pStyle w:val="Heading2"/>
        <w:spacing w:before="300" w:after="150" w:line="360" w:lineRule="auto"/>
        <w:rPr>
          <w:rFonts w:ascii="Arial" w:hAnsi="Arial" w:eastAsia="Arial" w:cs="Arial"/>
          <w:b w:val="1"/>
          <w:bCs w:val="1"/>
          <w:color w:val="auto"/>
          <w:sz w:val="22"/>
          <w:szCs w:val="22"/>
        </w:rPr>
      </w:pPr>
      <w:bookmarkStart w:name="_Toc235442319" w:id="4"/>
      <w:r w:rsidRPr="1E99BFFD" w:rsidR="00000000">
        <w:rPr>
          <w:rFonts w:ascii="Arial" w:hAnsi="Arial" w:eastAsia="Arial" w:cs="Arial"/>
          <w:b w:val="1"/>
          <w:bCs w:val="1"/>
          <w:color w:val="auto"/>
          <w:sz w:val="22"/>
          <w:szCs w:val="22"/>
        </w:rPr>
        <w:t>Search Strategy</w:t>
      </w:r>
      <w:bookmarkEnd w:id="4"/>
    </w:p>
    <w:p w:rsidR="00A83A4E" w:rsidP="1E99BFFD" w:rsidRDefault="00000000" w14:paraId="303E69E8" w14:textId="2DF66116">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A comprehensive search of peer-reviewed literature was conducted using PubMed, MEDLINE, </w:t>
      </w:r>
      <w:r w:rsidRPr="1E99BFFD" w:rsidR="00000000">
        <w:rPr>
          <w:rFonts w:ascii="Arial" w:hAnsi="Arial" w:eastAsia="Arial" w:cs="Arial"/>
          <w:color w:val="auto"/>
          <w:sz w:val="22"/>
          <w:szCs w:val="22"/>
        </w:rPr>
        <w:t>Scopus</w:t>
      </w:r>
      <w:r w:rsidRPr="1E99BFFD" w:rsidR="00000000">
        <w:rPr>
          <w:rFonts w:ascii="Arial" w:hAnsi="Arial" w:eastAsia="Arial" w:cs="Arial"/>
          <w:color w:val="auto"/>
          <w:sz w:val="22"/>
          <w:szCs w:val="22"/>
        </w:rPr>
        <w:t xml:space="preserve"> and Google Scholar. The University of Wales Trinity Saint David (UWTSD) Library Discovery Search was also used; this is a discovery platform that searches across the university's subscribed databases simultaneously, rather than a </w:t>
      </w:r>
      <w:r w:rsidRPr="1E99BFFD" w:rsidR="0A06D0CE">
        <w:rPr>
          <w:rFonts w:ascii="Arial" w:hAnsi="Arial" w:eastAsia="Arial" w:cs="Arial"/>
          <w:color w:val="auto"/>
          <w:sz w:val="22"/>
          <w:szCs w:val="22"/>
        </w:rPr>
        <w:t>database, and</w:t>
      </w:r>
      <w:r w:rsidRPr="1E99BFFD" w:rsidR="00000000">
        <w:rPr>
          <w:rFonts w:ascii="Arial" w:hAnsi="Arial" w:eastAsia="Arial" w:cs="Arial"/>
          <w:color w:val="auto"/>
          <w:sz w:val="22"/>
          <w:szCs w:val="22"/>
        </w:rPr>
        <w:t xml:space="preserve"> is reported here as a search platform accordingly. Searches combined keywords using Boolean operators (AND, OR). The full list of search terms used is provided in Appendix 1, along with the database-by-database record counts.</w:t>
      </w:r>
    </w:p>
    <w:p w:rsidR="00A83A4E" w:rsidP="1E99BFFD" w:rsidRDefault="00000000" w14:paraId="6571B901" w14:textId="77777777">
      <w:pPr>
        <w:pStyle w:val="Heading2"/>
        <w:spacing w:before="300" w:after="150" w:line="360" w:lineRule="auto"/>
        <w:rPr>
          <w:rFonts w:ascii="Arial" w:hAnsi="Arial" w:eastAsia="Arial" w:cs="Arial"/>
          <w:b w:val="1"/>
          <w:bCs w:val="1"/>
          <w:color w:val="auto"/>
          <w:sz w:val="22"/>
          <w:szCs w:val="22"/>
        </w:rPr>
      </w:pPr>
      <w:bookmarkStart w:name="_Toc235442320" w:id="5"/>
      <w:r w:rsidRPr="1E99BFFD" w:rsidR="00000000">
        <w:rPr>
          <w:rFonts w:ascii="Arial" w:hAnsi="Arial" w:eastAsia="Arial" w:cs="Arial"/>
          <w:b w:val="1"/>
          <w:bCs w:val="1"/>
          <w:color w:val="auto"/>
          <w:sz w:val="22"/>
          <w:szCs w:val="22"/>
        </w:rPr>
        <w:t>Inclusion and Exclusion Criteria</w:t>
      </w:r>
      <w:bookmarkEnd w:id="5"/>
    </w:p>
    <w:p w:rsidRPr="00580DA5" w:rsidR="00580DA5" w:rsidP="1E99BFFD" w:rsidRDefault="00580DA5" w14:paraId="78BC8089" w14:textId="66EC821B">
      <w:pPr>
        <w:spacing w:line="360" w:lineRule="auto"/>
      </w:pPr>
      <w:r w:rsidRPr="1E99BFFD" w:rsidR="00580DA5">
        <w:rPr>
          <w:rFonts w:ascii="Arial" w:hAnsi="Arial" w:eastAsia="Arial" w:cs="Arial"/>
          <w:color w:val="auto"/>
          <w:sz w:val="22"/>
          <w:szCs w:val="22"/>
        </w:rPr>
        <w:t xml:space="preserve">Eligibility criteria were </w:t>
      </w:r>
      <w:r w:rsidRPr="1E99BFFD" w:rsidR="00580DA5">
        <w:rPr>
          <w:rFonts w:ascii="Arial" w:hAnsi="Arial" w:eastAsia="Arial" w:cs="Arial"/>
          <w:color w:val="auto"/>
          <w:sz w:val="22"/>
          <w:szCs w:val="22"/>
        </w:rPr>
        <w:t>established</w:t>
      </w:r>
      <w:r w:rsidRPr="1E99BFFD" w:rsidR="00580DA5">
        <w:rPr>
          <w:rFonts w:ascii="Arial" w:hAnsi="Arial" w:eastAsia="Arial" w:cs="Arial"/>
          <w:color w:val="auto"/>
          <w:sz w:val="22"/>
          <w:szCs w:val="22"/>
        </w:rPr>
        <w:t xml:space="preserve"> before the search began to ensure consistent study selection; the full criteria are presented in Appendix 2. In summary, studies were included if they were peer-reviewed journal articles published in English between 2016 and 2026, used qualitative, quantitative or mixed-methods research, and focused on Black women's experiences, </w:t>
      </w:r>
      <w:r w:rsidRPr="1E99BFFD" w:rsidR="00580DA5">
        <w:rPr>
          <w:rFonts w:ascii="Arial" w:hAnsi="Arial" w:eastAsia="Arial" w:cs="Arial"/>
          <w:color w:val="auto"/>
          <w:sz w:val="22"/>
          <w:szCs w:val="22"/>
        </w:rPr>
        <w:t>barriers</w:t>
      </w:r>
      <w:r w:rsidRPr="1E99BFFD" w:rsidR="00580DA5">
        <w:rPr>
          <w:rFonts w:ascii="Arial" w:hAnsi="Arial" w:eastAsia="Arial" w:cs="Arial"/>
          <w:color w:val="auto"/>
          <w:sz w:val="22"/>
          <w:szCs w:val="22"/>
        </w:rPr>
        <w:t xml:space="preserve"> or inequalities within the UK breast cancer care pathway. Studies were excluded if they were conference abstracts, editorials, </w:t>
      </w:r>
      <w:r w:rsidRPr="1E99BFFD" w:rsidR="00580DA5">
        <w:rPr>
          <w:rFonts w:ascii="Arial" w:hAnsi="Arial" w:eastAsia="Arial" w:cs="Arial"/>
          <w:color w:val="auto"/>
          <w:sz w:val="22"/>
          <w:szCs w:val="22"/>
        </w:rPr>
        <w:t>commentaries</w:t>
      </w:r>
      <w:r w:rsidRPr="1E99BFFD" w:rsidR="00580DA5">
        <w:rPr>
          <w:rFonts w:ascii="Arial" w:hAnsi="Arial" w:eastAsia="Arial" w:cs="Arial"/>
          <w:color w:val="auto"/>
          <w:sz w:val="22"/>
          <w:szCs w:val="22"/>
        </w:rPr>
        <w:t xml:space="preserve"> or opinion pieces; non-English or grey literature; published before 2016; or focused on other cancers or on populations without separate findings for Black women. The ten-year limit ensured the review reflected current evidence and healthcare practice.</w:t>
      </w:r>
    </w:p>
    <w:p w:rsidR="1E99BFFD" w:rsidP="1E99BFFD" w:rsidRDefault="1E99BFFD" w14:paraId="7E10BE30" w14:textId="092BF2EE">
      <w:pPr>
        <w:spacing w:line="360" w:lineRule="auto"/>
        <w:rPr>
          <w:rFonts w:ascii="Arial" w:hAnsi="Arial" w:eastAsia="Arial" w:cs="Arial"/>
          <w:color w:val="auto"/>
          <w:sz w:val="22"/>
          <w:szCs w:val="22"/>
        </w:rPr>
      </w:pPr>
    </w:p>
    <w:p w:rsidR="00580DA5" w:rsidP="1E99BFFD" w:rsidRDefault="00580DA5" w14:paraId="50A831DD" w14:textId="6EDFECE6">
      <w:pPr>
        <w:spacing w:line="360" w:lineRule="auto"/>
        <w:rPr>
          <w:rFonts w:ascii="Arial" w:hAnsi="Arial" w:eastAsia="Arial" w:cs="Arial"/>
          <w:color w:val="auto"/>
          <w:sz w:val="22"/>
          <w:szCs w:val="22"/>
        </w:rPr>
      </w:pPr>
      <w:r w:rsidRPr="1E99BFFD" w:rsidR="00580DA5">
        <w:rPr>
          <w:rFonts w:ascii="Arial" w:hAnsi="Arial" w:eastAsia="Arial" w:cs="Arial"/>
          <w:color w:val="auto"/>
          <w:sz w:val="22"/>
          <w:szCs w:val="22"/>
        </w:rPr>
        <w:t xml:space="preserve">Duplicate records were removed before titles and abstracts were screened against the eligibility criteria, and relevant studies underwent full-text review; those not examining Black women's experiences within the UK breast cancer care pathway were excluded. </w:t>
      </w:r>
    </w:p>
    <w:p w:rsidRPr="00580DA5" w:rsidR="00580DA5" w:rsidP="1E99BFFD" w:rsidRDefault="00580DA5" w14:paraId="6494C81A" w14:textId="77777777">
      <w:pPr>
        <w:spacing w:line="360" w:lineRule="auto"/>
        <w:rPr>
          <w:rFonts w:ascii="Arial" w:hAnsi="Arial" w:eastAsia="Arial" w:cs="Arial"/>
          <w:color w:val="auto"/>
          <w:sz w:val="22"/>
          <w:szCs w:val="22"/>
        </w:rPr>
      </w:pPr>
    </w:p>
    <w:p w:rsidRPr="00580DA5" w:rsidR="00580DA5" w:rsidP="1E99BFFD" w:rsidRDefault="00580DA5" w14:paraId="3622967D" w14:textId="6F625C0B">
      <w:pPr>
        <w:spacing w:line="360" w:lineRule="auto"/>
        <w:rPr>
          <w:rFonts w:ascii="Arial" w:hAnsi="Arial" w:eastAsia="Arial" w:cs="Arial"/>
          <w:color w:val="auto"/>
          <w:sz w:val="22"/>
          <w:szCs w:val="22"/>
        </w:rPr>
      </w:pPr>
      <w:r w:rsidRPr="1E99BFFD" w:rsidR="00580DA5">
        <w:rPr>
          <w:rFonts w:ascii="Arial" w:hAnsi="Arial" w:eastAsia="Arial" w:cs="Arial"/>
          <w:color w:val="auto"/>
          <w:sz w:val="22"/>
          <w:szCs w:val="22"/>
        </w:rPr>
        <w:t xml:space="preserve">Data were extracted using a standardised table (Appendix </w:t>
      </w:r>
      <w:r w:rsidRPr="1E99BFFD" w:rsidR="00580DA5">
        <w:rPr>
          <w:rFonts w:ascii="Arial" w:hAnsi="Arial" w:eastAsia="Arial" w:cs="Arial"/>
          <w:color w:val="auto"/>
          <w:sz w:val="22"/>
          <w:szCs w:val="22"/>
        </w:rPr>
        <w:t>3</w:t>
      </w:r>
      <w:r w:rsidRPr="1E99BFFD" w:rsidR="00580DA5">
        <w:rPr>
          <w:rFonts w:ascii="Arial" w:hAnsi="Arial" w:eastAsia="Arial" w:cs="Arial"/>
          <w:color w:val="auto"/>
          <w:sz w:val="22"/>
          <w:szCs w:val="22"/>
        </w:rPr>
        <w:t xml:space="preserve">), recording author(s) and year, study aim, design, participant characteristics, setting, data collection methods, key </w:t>
      </w:r>
      <w:r w:rsidRPr="1E99BFFD" w:rsidR="00580DA5">
        <w:rPr>
          <w:rFonts w:ascii="Arial" w:hAnsi="Arial" w:eastAsia="Arial" w:cs="Arial"/>
          <w:color w:val="auto"/>
          <w:sz w:val="22"/>
          <w:szCs w:val="22"/>
        </w:rPr>
        <w:t>findings</w:t>
      </w:r>
      <w:r w:rsidRPr="1E99BFFD" w:rsidR="00580DA5">
        <w:rPr>
          <w:rFonts w:ascii="Arial" w:hAnsi="Arial" w:eastAsia="Arial" w:cs="Arial"/>
          <w:color w:val="auto"/>
          <w:sz w:val="22"/>
          <w:szCs w:val="22"/>
        </w:rPr>
        <w:t xml:space="preserve"> and relevance to the review question; a summary version appears in the Results section. Findings were analysed using Aveyard's (2019) simplified thematic analysis, chosen because it synthesises evidence from different study designs into common themes without the more resource-intensive coding structures of dedicated qualitative meta-synthesis</w:t>
      </w:r>
      <w:r w:rsidRPr="1E99BFFD" w:rsidR="0E193367">
        <w:rPr>
          <w:rFonts w:ascii="Arial" w:hAnsi="Arial" w:eastAsia="Arial" w:cs="Arial"/>
          <w:color w:val="auto"/>
          <w:sz w:val="22"/>
          <w:szCs w:val="22"/>
        </w:rPr>
        <w:t xml:space="preserve">, </w:t>
      </w:r>
      <w:r w:rsidRPr="1E99BFFD" w:rsidR="00580DA5">
        <w:rPr>
          <w:rFonts w:ascii="Arial" w:hAnsi="Arial" w:eastAsia="Arial" w:cs="Arial"/>
          <w:color w:val="auto"/>
          <w:sz w:val="22"/>
          <w:szCs w:val="22"/>
        </w:rPr>
        <w:t>appropriate for this review's mixed-methods evidence base. Each study was read repeatedly, key findings were coded, and similar concepts were grouped into categories before being refined into four overarching themes, presented in the Results section.</w:t>
      </w:r>
    </w:p>
    <w:p w:rsidR="00A83A4E" w:rsidP="1E99BFFD" w:rsidRDefault="00000000" w14:paraId="231D1FCD" w14:textId="799722E5">
      <w:pPr>
        <w:pStyle w:val="Heading2"/>
        <w:spacing w:before="300" w:after="150" w:line="360" w:lineRule="auto"/>
        <w:rPr>
          <w:rFonts w:ascii="Arial" w:hAnsi="Arial" w:eastAsia="Arial" w:cs="Arial"/>
          <w:b w:val="1"/>
          <w:bCs w:val="1"/>
          <w:color w:val="auto"/>
          <w:sz w:val="22"/>
          <w:szCs w:val="22"/>
        </w:rPr>
      </w:pPr>
      <w:bookmarkStart w:name="_Toc235442321" w:id="6"/>
      <w:r w:rsidRPr="1E99BFFD" w:rsidR="00000000">
        <w:rPr>
          <w:rFonts w:ascii="Arial" w:hAnsi="Arial" w:eastAsia="Arial" w:cs="Arial"/>
          <w:b w:val="1"/>
          <w:bCs w:val="1"/>
          <w:color w:val="auto"/>
          <w:sz w:val="22"/>
          <w:szCs w:val="22"/>
        </w:rPr>
        <w:t>Ethical Considerations</w:t>
      </w:r>
      <w:bookmarkEnd w:id="6"/>
    </w:p>
    <w:p w:rsidR="00A83A4E" w:rsidP="1E99BFFD" w:rsidRDefault="00000000" w14:paraId="2F59BDA3"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As this review used only published literature, formal ethical approval was not required. The review was nonetheless conducted with transparency, accuracy and academic integrity: studies were reported objectively, referenced appropriately and screened consistently to minimise selection bias. Given the sensitivity of ethnic health inequalities as a subject, findings are presented respectfully throughout this report, with a consistent focus on structural, cultural and healthcare-related factors rather than on individual behaviour, </w:t>
      </w:r>
      <w:r w:rsidRPr="1E99BFFD" w:rsidR="00000000">
        <w:rPr>
          <w:rFonts w:ascii="Arial" w:hAnsi="Arial" w:eastAsia="Arial" w:cs="Arial"/>
          <w:color w:val="auto"/>
          <w:sz w:val="22"/>
          <w:szCs w:val="22"/>
        </w:rPr>
        <w:t>in order to</w:t>
      </w:r>
      <w:r w:rsidRPr="1E99BFFD" w:rsidR="00000000">
        <w:rPr>
          <w:rFonts w:ascii="Arial" w:hAnsi="Arial" w:eastAsia="Arial" w:cs="Arial"/>
          <w:color w:val="auto"/>
          <w:sz w:val="22"/>
          <w:szCs w:val="22"/>
        </w:rPr>
        <w:t xml:space="preserve"> avoid reinforcing deficit-based narratives about the population under study.</w:t>
      </w:r>
    </w:p>
    <w:p w:rsidR="00A83A4E" w:rsidP="1E99BFFD" w:rsidRDefault="00000000" w14:paraId="20CCD89B" w14:textId="77777777">
      <w:pPr>
        <w:pStyle w:val="Heading1"/>
        <w:spacing w:before="400" w:after="200" w:line="360" w:lineRule="auto"/>
        <w:rPr>
          <w:rFonts w:ascii="Arial" w:hAnsi="Arial" w:eastAsia="Arial" w:cs="Arial"/>
          <w:b w:val="1"/>
          <w:bCs w:val="1"/>
          <w:color w:val="auto"/>
          <w:sz w:val="22"/>
          <w:szCs w:val="22"/>
        </w:rPr>
      </w:pPr>
      <w:bookmarkStart w:name="_Toc235442322" w:id="7"/>
      <w:r w:rsidRPr="1E99BFFD" w:rsidR="00000000">
        <w:rPr>
          <w:rFonts w:ascii="Arial" w:hAnsi="Arial" w:eastAsia="Arial" w:cs="Arial"/>
          <w:b w:val="1"/>
          <w:bCs w:val="1"/>
          <w:color w:val="auto"/>
          <w:sz w:val="22"/>
          <w:szCs w:val="22"/>
        </w:rPr>
        <w:t>Results</w:t>
      </w:r>
      <w:bookmarkEnd w:id="7"/>
    </w:p>
    <w:p w:rsidRPr="004610E4" w:rsidR="004610E4" w:rsidP="1E99BFFD" w:rsidRDefault="00000000" w14:paraId="05B6C9FB" w14:textId="01B41BA5">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Eleven studies met the eligibility criteria and were included in this review. </w:t>
      </w:r>
      <w:r w:rsidRPr="1E99BFFD" w:rsidR="0034385C">
        <w:rPr>
          <w:rFonts w:ascii="Arial" w:hAnsi="Arial" w:eastAsia="Arial" w:cs="Arial"/>
          <w:color w:val="auto"/>
          <w:sz w:val="22"/>
          <w:szCs w:val="22"/>
        </w:rPr>
        <w:t xml:space="preserve">The </w:t>
      </w:r>
      <w:r w:rsidRPr="1E99BFFD" w:rsidR="004610E4">
        <w:rPr>
          <w:rFonts w:ascii="Arial" w:hAnsi="Arial" w:eastAsia="Arial" w:cs="Arial"/>
          <w:color w:val="auto"/>
          <w:sz w:val="22"/>
          <w:szCs w:val="22"/>
        </w:rPr>
        <w:t>table summarises</w:t>
      </w:r>
      <w:r w:rsidRPr="1E99BFFD" w:rsidR="00000000">
        <w:rPr>
          <w:rFonts w:ascii="Arial" w:hAnsi="Arial" w:eastAsia="Arial" w:cs="Arial"/>
          <w:color w:val="auto"/>
          <w:sz w:val="22"/>
          <w:szCs w:val="22"/>
        </w:rPr>
        <w:t xml:space="preserve"> the type of study, research method, type of analysis, sample size and main findings for each included study.</w:t>
      </w:r>
    </w:p>
    <w:tbl>
      <w:tblPr>
        <w:tblStyle w:val="TableGrid"/>
        <w:tblW w:w="0" w:type="auto"/>
        <w:tblLook w:val="04A0" w:firstRow="1" w:lastRow="0" w:firstColumn="1" w:lastColumn="0" w:noHBand="0" w:noVBand="1"/>
      </w:tblPr>
      <w:tblGrid>
        <w:gridCol w:w="1264"/>
        <w:gridCol w:w="1249"/>
        <w:gridCol w:w="1463"/>
        <w:gridCol w:w="1449"/>
        <w:gridCol w:w="1483"/>
        <w:gridCol w:w="2108"/>
      </w:tblGrid>
      <w:tr w:rsidRPr="004610E4" w:rsidR="004610E4" w:rsidTr="1E99BFFD" w14:paraId="5072B483" w14:textId="77777777">
        <w:tc>
          <w:tcPr>
            <w:tcW w:w="0" w:type="auto"/>
            <w:shd w:val="clear" w:color="auto" w:fill="153D63" w:themeFill="text2" w:themeFillTint="E6"/>
            <w:tcMar/>
            <w:hideMark/>
          </w:tcPr>
          <w:p w:rsidRPr="004610E4" w:rsidR="004610E4" w:rsidP="1E99BFFD" w:rsidRDefault="004610E4" w14:paraId="506F550F" w14:textId="77777777">
            <w:pPr>
              <w:spacing w:after="200" w:line="360" w:lineRule="auto"/>
              <w:jc w:val="both"/>
              <w:rPr>
                <w:rFonts w:ascii="Arial" w:hAnsi="Arial" w:eastAsia="Arial" w:cs="Arial"/>
                <w:b w:val="1"/>
                <w:bCs w:val="1"/>
                <w:color w:val="auto"/>
                <w:sz w:val="20"/>
                <w:szCs w:val="20"/>
              </w:rPr>
            </w:pPr>
            <w:r w:rsidRPr="1E99BFFD" w:rsidR="004610E4">
              <w:rPr>
                <w:rFonts w:ascii="Arial" w:hAnsi="Arial" w:eastAsia="Arial" w:cs="Arial"/>
                <w:b w:val="1"/>
                <w:bCs w:val="1"/>
                <w:color w:val="auto"/>
                <w:sz w:val="20"/>
                <w:szCs w:val="20"/>
              </w:rPr>
              <w:t>Authors</w:t>
            </w:r>
          </w:p>
        </w:tc>
        <w:tc>
          <w:tcPr>
            <w:tcW w:w="0" w:type="auto"/>
            <w:shd w:val="clear" w:color="auto" w:fill="153D63" w:themeFill="text2" w:themeFillTint="E6"/>
            <w:tcMar/>
            <w:hideMark/>
          </w:tcPr>
          <w:p w:rsidRPr="004610E4" w:rsidR="004610E4" w:rsidP="1E99BFFD" w:rsidRDefault="004610E4" w14:paraId="5A1F071A" w14:textId="77777777">
            <w:pPr>
              <w:spacing w:after="200" w:line="360" w:lineRule="auto"/>
              <w:jc w:val="both"/>
              <w:rPr>
                <w:rFonts w:ascii="Arial" w:hAnsi="Arial" w:eastAsia="Arial" w:cs="Arial"/>
                <w:b w:val="1"/>
                <w:bCs w:val="1"/>
                <w:color w:val="auto"/>
                <w:sz w:val="20"/>
                <w:szCs w:val="20"/>
              </w:rPr>
            </w:pPr>
            <w:r w:rsidRPr="1E99BFFD" w:rsidR="004610E4">
              <w:rPr>
                <w:rFonts w:ascii="Arial" w:hAnsi="Arial" w:eastAsia="Arial" w:cs="Arial"/>
                <w:b w:val="1"/>
                <w:bCs w:val="1"/>
                <w:color w:val="auto"/>
                <w:sz w:val="20"/>
                <w:szCs w:val="20"/>
              </w:rPr>
              <w:t>Type of Study</w:t>
            </w:r>
          </w:p>
        </w:tc>
        <w:tc>
          <w:tcPr>
            <w:tcW w:w="0" w:type="auto"/>
            <w:shd w:val="clear" w:color="auto" w:fill="153D63" w:themeFill="text2" w:themeFillTint="E6"/>
            <w:tcMar/>
            <w:hideMark/>
          </w:tcPr>
          <w:p w:rsidRPr="004610E4" w:rsidR="004610E4" w:rsidP="1E99BFFD" w:rsidRDefault="004610E4" w14:paraId="73604470" w14:textId="77777777">
            <w:pPr>
              <w:spacing w:after="200" w:line="360" w:lineRule="auto"/>
              <w:jc w:val="both"/>
              <w:rPr>
                <w:rFonts w:ascii="Arial" w:hAnsi="Arial" w:eastAsia="Arial" w:cs="Arial"/>
                <w:b w:val="1"/>
                <w:bCs w:val="1"/>
                <w:color w:val="auto"/>
                <w:sz w:val="20"/>
                <w:szCs w:val="20"/>
              </w:rPr>
            </w:pPr>
            <w:r w:rsidRPr="1E99BFFD" w:rsidR="004610E4">
              <w:rPr>
                <w:rFonts w:ascii="Arial" w:hAnsi="Arial" w:eastAsia="Arial" w:cs="Arial"/>
                <w:b w:val="1"/>
                <w:bCs w:val="1"/>
                <w:color w:val="auto"/>
                <w:sz w:val="20"/>
                <w:szCs w:val="20"/>
              </w:rPr>
              <w:t>Research Method</w:t>
            </w:r>
          </w:p>
        </w:tc>
        <w:tc>
          <w:tcPr>
            <w:tcW w:w="0" w:type="auto"/>
            <w:shd w:val="clear" w:color="auto" w:fill="153D63" w:themeFill="text2" w:themeFillTint="E6"/>
            <w:tcMar/>
            <w:hideMark/>
          </w:tcPr>
          <w:p w:rsidRPr="004610E4" w:rsidR="004610E4" w:rsidP="1E99BFFD" w:rsidRDefault="004610E4" w14:paraId="4F2E6E47" w14:textId="77777777">
            <w:pPr>
              <w:spacing w:after="200" w:line="360" w:lineRule="auto"/>
              <w:jc w:val="both"/>
              <w:rPr>
                <w:rFonts w:ascii="Arial" w:hAnsi="Arial" w:eastAsia="Arial" w:cs="Arial"/>
                <w:b w:val="1"/>
                <w:bCs w:val="1"/>
                <w:color w:val="auto"/>
                <w:sz w:val="20"/>
                <w:szCs w:val="20"/>
              </w:rPr>
            </w:pPr>
            <w:r w:rsidRPr="1E99BFFD" w:rsidR="004610E4">
              <w:rPr>
                <w:rFonts w:ascii="Arial" w:hAnsi="Arial" w:eastAsia="Arial" w:cs="Arial"/>
                <w:b w:val="1"/>
                <w:bCs w:val="1"/>
                <w:color w:val="auto"/>
                <w:sz w:val="20"/>
                <w:szCs w:val="20"/>
              </w:rPr>
              <w:t>Type of Analysis</w:t>
            </w:r>
          </w:p>
        </w:tc>
        <w:tc>
          <w:tcPr>
            <w:tcW w:w="0" w:type="auto"/>
            <w:shd w:val="clear" w:color="auto" w:fill="153D63" w:themeFill="text2" w:themeFillTint="E6"/>
            <w:tcMar/>
            <w:hideMark/>
          </w:tcPr>
          <w:p w:rsidRPr="004610E4" w:rsidR="004610E4" w:rsidP="1E99BFFD" w:rsidRDefault="004610E4" w14:paraId="434981B8" w14:textId="77777777">
            <w:pPr>
              <w:spacing w:after="200" w:line="360" w:lineRule="auto"/>
              <w:jc w:val="both"/>
              <w:rPr>
                <w:rFonts w:ascii="Arial" w:hAnsi="Arial" w:eastAsia="Arial" w:cs="Arial"/>
                <w:b w:val="1"/>
                <w:bCs w:val="1"/>
                <w:color w:val="auto"/>
                <w:sz w:val="20"/>
                <w:szCs w:val="20"/>
              </w:rPr>
            </w:pPr>
            <w:r w:rsidRPr="1E99BFFD" w:rsidR="004610E4">
              <w:rPr>
                <w:rFonts w:ascii="Arial" w:hAnsi="Arial" w:eastAsia="Arial" w:cs="Arial"/>
                <w:b w:val="1"/>
                <w:bCs w:val="1"/>
                <w:color w:val="auto"/>
                <w:sz w:val="20"/>
                <w:szCs w:val="20"/>
              </w:rPr>
              <w:t>Sample Size</w:t>
            </w:r>
          </w:p>
        </w:tc>
        <w:tc>
          <w:tcPr>
            <w:tcW w:w="0" w:type="auto"/>
            <w:shd w:val="clear" w:color="auto" w:fill="153D63" w:themeFill="text2" w:themeFillTint="E6"/>
            <w:tcMar/>
            <w:hideMark/>
          </w:tcPr>
          <w:p w:rsidRPr="004610E4" w:rsidR="004610E4" w:rsidP="1E99BFFD" w:rsidRDefault="004610E4" w14:paraId="76024735" w14:textId="77777777">
            <w:pPr>
              <w:spacing w:after="200" w:line="360" w:lineRule="auto"/>
              <w:jc w:val="both"/>
              <w:rPr>
                <w:rFonts w:ascii="Arial" w:hAnsi="Arial" w:eastAsia="Arial" w:cs="Arial"/>
                <w:b w:val="1"/>
                <w:bCs w:val="1"/>
                <w:color w:val="auto"/>
                <w:sz w:val="20"/>
                <w:szCs w:val="20"/>
              </w:rPr>
            </w:pPr>
            <w:r w:rsidRPr="1E99BFFD" w:rsidR="004610E4">
              <w:rPr>
                <w:rFonts w:ascii="Arial" w:hAnsi="Arial" w:eastAsia="Arial" w:cs="Arial"/>
                <w:b w:val="1"/>
                <w:bCs w:val="1"/>
                <w:color w:val="auto"/>
                <w:sz w:val="20"/>
                <w:szCs w:val="20"/>
              </w:rPr>
              <w:t>Main Findings</w:t>
            </w:r>
          </w:p>
        </w:tc>
      </w:tr>
      <w:tr w:rsidRPr="004610E4" w:rsidR="004610E4" w:rsidTr="1E99BFFD" w14:paraId="2B2E7E5A" w14:textId="77777777">
        <w:tc>
          <w:tcPr>
            <w:tcW w:w="0" w:type="auto"/>
            <w:tcMar/>
            <w:hideMark/>
          </w:tcPr>
          <w:p w:rsidRPr="004610E4" w:rsidR="004610E4" w:rsidP="1E99BFFD" w:rsidRDefault="004610E4" w14:paraId="5B83F3F5"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Jones et al. (2016)</w:t>
            </w:r>
          </w:p>
        </w:tc>
        <w:tc>
          <w:tcPr>
            <w:tcW w:w="0" w:type="auto"/>
            <w:tcMar/>
            <w:hideMark/>
          </w:tcPr>
          <w:p w:rsidRPr="004610E4" w:rsidR="004610E4" w:rsidP="1E99BFFD" w:rsidRDefault="004610E4" w14:paraId="7032ED32"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Primary Research</w:t>
            </w:r>
          </w:p>
        </w:tc>
        <w:tc>
          <w:tcPr>
            <w:tcW w:w="0" w:type="auto"/>
            <w:tcMar/>
            <w:hideMark/>
          </w:tcPr>
          <w:p w:rsidRPr="004610E4" w:rsidR="004610E4" w:rsidP="1E99BFFD" w:rsidRDefault="004610E4" w14:paraId="6CC28648"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Qualitative interviews</w:t>
            </w:r>
          </w:p>
        </w:tc>
        <w:tc>
          <w:tcPr>
            <w:tcW w:w="0" w:type="auto"/>
            <w:tcMar/>
            <w:hideMark/>
          </w:tcPr>
          <w:p w:rsidRPr="004610E4" w:rsidR="004610E4" w:rsidP="1E99BFFD" w:rsidRDefault="004610E4" w14:paraId="7DA66061"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Thematic analysis</w:t>
            </w:r>
          </w:p>
        </w:tc>
        <w:tc>
          <w:tcPr>
            <w:tcW w:w="0" w:type="auto"/>
            <w:tcMar/>
            <w:hideMark/>
          </w:tcPr>
          <w:p w:rsidRPr="004610E4" w:rsidR="004610E4" w:rsidP="1E99BFFD" w:rsidRDefault="004610E4" w14:paraId="72CC5C8D"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 xml:space="preserve">Black African, Black Caribbean and White British </w:t>
            </w:r>
            <w:r w:rsidRPr="1E99BFFD" w:rsidR="004610E4">
              <w:rPr>
                <w:rFonts w:ascii="Arial" w:hAnsi="Arial" w:eastAsia="Arial" w:cs="Arial"/>
                <w:color w:val="auto"/>
                <w:sz w:val="20"/>
                <w:szCs w:val="20"/>
              </w:rPr>
              <w:t>women in the UK</w:t>
            </w:r>
          </w:p>
        </w:tc>
        <w:tc>
          <w:tcPr>
            <w:tcW w:w="0" w:type="auto"/>
            <w:tcMar/>
            <w:hideMark/>
          </w:tcPr>
          <w:p w:rsidRPr="004610E4" w:rsidR="004610E4" w:rsidP="1E99BFFD" w:rsidRDefault="004610E4" w14:paraId="25077C0B"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 xml:space="preserve">Limited symptom awareness, fear of cancer, cultural beliefs and delayed help-seeking </w:t>
            </w:r>
            <w:r w:rsidRPr="1E99BFFD" w:rsidR="004610E4">
              <w:rPr>
                <w:rFonts w:ascii="Arial" w:hAnsi="Arial" w:eastAsia="Arial" w:cs="Arial"/>
                <w:color w:val="auto"/>
                <w:sz w:val="20"/>
                <w:szCs w:val="20"/>
              </w:rPr>
              <w:t>contributed to later diagnosis.</w:t>
            </w:r>
          </w:p>
        </w:tc>
      </w:tr>
      <w:tr w:rsidRPr="004610E4" w:rsidR="004610E4" w:rsidTr="1E99BFFD" w14:paraId="2F55921A" w14:textId="77777777">
        <w:tc>
          <w:tcPr>
            <w:tcW w:w="0" w:type="auto"/>
            <w:tcMar/>
            <w:hideMark/>
          </w:tcPr>
          <w:p w:rsidRPr="004610E4" w:rsidR="004610E4" w:rsidP="1E99BFFD" w:rsidRDefault="004610E4" w14:paraId="31B1F9B2"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Vrinten</w:t>
            </w:r>
            <w:r w:rsidRPr="1E99BFFD" w:rsidR="004610E4">
              <w:rPr>
                <w:rFonts w:ascii="Arial" w:hAnsi="Arial" w:eastAsia="Arial" w:cs="Arial"/>
                <w:color w:val="auto"/>
                <w:sz w:val="20"/>
                <w:szCs w:val="20"/>
              </w:rPr>
              <w:t>, Wardle and Marlow (2016)</w:t>
            </w:r>
          </w:p>
        </w:tc>
        <w:tc>
          <w:tcPr>
            <w:tcW w:w="0" w:type="auto"/>
            <w:tcMar/>
            <w:hideMark/>
          </w:tcPr>
          <w:p w:rsidRPr="004610E4" w:rsidR="004610E4" w:rsidP="1E99BFFD" w:rsidRDefault="004610E4" w14:paraId="13C4E195"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Primary Research</w:t>
            </w:r>
          </w:p>
        </w:tc>
        <w:tc>
          <w:tcPr>
            <w:tcW w:w="0" w:type="auto"/>
            <w:tcMar/>
            <w:hideMark/>
          </w:tcPr>
          <w:p w:rsidRPr="004610E4" w:rsidR="004610E4" w:rsidP="1E99BFFD" w:rsidRDefault="004610E4" w14:paraId="030EC249"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Cross-sectional survey</w:t>
            </w:r>
          </w:p>
        </w:tc>
        <w:tc>
          <w:tcPr>
            <w:tcW w:w="0" w:type="auto"/>
            <w:tcMar/>
            <w:hideMark/>
          </w:tcPr>
          <w:p w:rsidRPr="004610E4" w:rsidR="004610E4" w:rsidP="1E99BFFD" w:rsidRDefault="004610E4" w14:paraId="684023FD"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Statistical analysis</w:t>
            </w:r>
          </w:p>
        </w:tc>
        <w:tc>
          <w:tcPr>
            <w:tcW w:w="0" w:type="auto"/>
            <w:tcMar/>
            <w:hideMark/>
          </w:tcPr>
          <w:p w:rsidRPr="004610E4" w:rsidR="004610E4" w:rsidP="1E99BFFD" w:rsidRDefault="004610E4" w14:paraId="7FB186F6"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Ethnic minority women in the UK</w:t>
            </w:r>
          </w:p>
        </w:tc>
        <w:tc>
          <w:tcPr>
            <w:tcW w:w="0" w:type="auto"/>
            <w:tcMar/>
            <w:hideMark/>
          </w:tcPr>
          <w:p w:rsidRPr="004610E4" w:rsidR="004610E4" w:rsidP="1E99BFFD" w:rsidRDefault="004610E4" w14:paraId="58938B58"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Black women reported greater cancer fear and fatalistic beliefs, influencing help-seeking behaviour.</w:t>
            </w:r>
          </w:p>
        </w:tc>
      </w:tr>
      <w:tr w:rsidRPr="004610E4" w:rsidR="004610E4" w:rsidTr="1E99BFFD" w14:paraId="4584B10A" w14:textId="77777777">
        <w:tc>
          <w:tcPr>
            <w:tcW w:w="0" w:type="auto"/>
            <w:tcMar/>
            <w:hideMark/>
          </w:tcPr>
          <w:p w:rsidRPr="004610E4" w:rsidR="004610E4" w:rsidP="1E99BFFD" w:rsidRDefault="004610E4" w14:paraId="00D2AED7"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Tompkins et al. (2016)</w:t>
            </w:r>
          </w:p>
        </w:tc>
        <w:tc>
          <w:tcPr>
            <w:tcW w:w="0" w:type="auto"/>
            <w:tcMar/>
            <w:hideMark/>
          </w:tcPr>
          <w:p w:rsidRPr="004610E4" w:rsidR="004610E4" w:rsidP="1E99BFFD" w:rsidRDefault="004610E4" w14:paraId="2D8A14D8"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Primary Research</w:t>
            </w:r>
          </w:p>
        </w:tc>
        <w:tc>
          <w:tcPr>
            <w:tcW w:w="0" w:type="auto"/>
            <w:tcMar/>
            <w:hideMark/>
          </w:tcPr>
          <w:p w:rsidRPr="004610E4" w:rsidR="004610E4" w:rsidP="1E99BFFD" w:rsidRDefault="004610E4" w14:paraId="254E78CA"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Comparative qualitative study</w:t>
            </w:r>
          </w:p>
        </w:tc>
        <w:tc>
          <w:tcPr>
            <w:tcW w:w="0" w:type="auto"/>
            <w:tcMar/>
            <w:hideMark/>
          </w:tcPr>
          <w:p w:rsidRPr="004610E4" w:rsidR="004610E4" w:rsidP="1E99BFFD" w:rsidRDefault="004610E4" w14:paraId="4E7CA5F3"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Thematic analysis</w:t>
            </w:r>
          </w:p>
        </w:tc>
        <w:tc>
          <w:tcPr>
            <w:tcW w:w="0" w:type="auto"/>
            <w:tcMar/>
            <w:hideMark/>
          </w:tcPr>
          <w:p w:rsidRPr="004610E4" w:rsidR="004610E4" w:rsidP="1E99BFFD" w:rsidRDefault="004610E4" w14:paraId="1EF74531"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Women from different ethnic groups</w:t>
            </w:r>
          </w:p>
        </w:tc>
        <w:tc>
          <w:tcPr>
            <w:tcW w:w="0" w:type="auto"/>
            <w:tcMar/>
            <w:hideMark/>
          </w:tcPr>
          <w:p w:rsidRPr="004610E4" w:rsidR="004610E4" w:rsidP="1E99BFFD" w:rsidRDefault="004610E4" w14:paraId="0F2625CC"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Experiences of communication, follow-up care and support differed between ethnic groups during survivorship.</w:t>
            </w:r>
          </w:p>
        </w:tc>
      </w:tr>
      <w:tr w:rsidRPr="004610E4" w:rsidR="004610E4" w:rsidTr="1E99BFFD" w14:paraId="0EE9DF4B" w14:textId="77777777">
        <w:tc>
          <w:tcPr>
            <w:tcW w:w="0" w:type="auto"/>
            <w:tcMar/>
            <w:hideMark/>
          </w:tcPr>
          <w:p w:rsidRPr="004610E4" w:rsidR="004610E4" w:rsidP="1E99BFFD" w:rsidRDefault="004610E4" w14:paraId="0E88B3BD"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Williams et al. (2020)</w:t>
            </w:r>
          </w:p>
        </w:tc>
        <w:tc>
          <w:tcPr>
            <w:tcW w:w="0" w:type="auto"/>
            <w:tcMar/>
            <w:hideMark/>
          </w:tcPr>
          <w:p w:rsidRPr="004610E4" w:rsidR="004610E4" w:rsidP="1E99BFFD" w:rsidRDefault="004610E4" w14:paraId="2D640ABD"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Primary Research</w:t>
            </w:r>
          </w:p>
        </w:tc>
        <w:tc>
          <w:tcPr>
            <w:tcW w:w="0" w:type="auto"/>
            <w:tcMar/>
            <w:hideMark/>
          </w:tcPr>
          <w:p w:rsidRPr="004610E4" w:rsidR="004610E4" w:rsidP="1E99BFFD" w:rsidRDefault="004610E4" w14:paraId="71FCCD86"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Mixed-methods evaluation</w:t>
            </w:r>
          </w:p>
        </w:tc>
        <w:tc>
          <w:tcPr>
            <w:tcW w:w="0" w:type="auto"/>
            <w:tcMar/>
            <w:hideMark/>
          </w:tcPr>
          <w:p w:rsidRPr="004610E4" w:rsidR="004610E4" w:rsidP="1E99BFFD" w:rsidRDefault="004610E4" w14:paraId="0A6577DB"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Quantitative and thematic analysis</w:t>
            </w:r>
          </w:p>
        </w:tc>
        <w:tc>
          <w:tcPr>
            <w:tcW w:w="0" w:type="auto"/>
            <w:tcMar/>
            <w:hideMark/>
          </w:tcPr>
          <w:p w:rsidRPr="004610E4" w:rsidR="004610E4" w:rsidP="1E99BFFD" w:rsidRDefault="004610E4" w14:paraId="71B3CEDE"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Community programme participants</w:t>
            </w:r>
          </w:p>
        </w:tc>
        <w:tc>
          <w:tcPr>
            <w:tcW w:w="0" w:type="auto"/>
            <w:tcMar/>
            <w:hideMark/>
          </w:tcPr>
          <w:p w:rsidRPr="004610E4" w:rsidR="004610E4" w:rsidP="1E99BFFD" w:rsidRDefault="004610E4" w14:paraId="1A141156"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Community-based education improved awareness of breast cancer symptoms, risk factors and screening participation.</w:t>
            </w:r>
          </w:p>
        </w:tc>
      </w:tr>
      <w:tr w:rsidRPr="004610E4" w:rsidR="004610E4" w:rsidTr="1E99BFFD" w14:paraId="5F54E0F6" w14:textId="77777777">
        <w:tc>
          <w:tcPr>
            <w:tcW w:w="0" w:type="auto"/>
            <w:tcMar/>
            <w:hideMark/>
          </w:tcPr>
          <w:p w:rsidRPr="004610E4" w:rsidR="004610E4" w:rsidP="1E99BFFD" w:rsidRDefault="004610E4" w14:paraId="3D280BED"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Baird et al. (2021)</w:t>
            </w:r>
          </w:p>
        </w:tc>
        <w:tc>
          <w:tcPr>
            <w:tcW w:w="0" w:type="auto"/>
            <w:tcMar/>
            <w:hideMark/>
          </w:tcPr>
          <w:p w:rsidRPr="004610E4" w:rsidR="004610E4" w:rsidP="1E99BFFD" w:rsidRDefault="004610E4" w14:paraId="445E481B"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Systematic Review</w:t>
            </w:r>
          </w:p>
        </w:tc>
        <w:tc>
          <w:tcPr>
            <w:tcW w:w="0" w:type="auto"/>
            <w:tcMar/>
            <w:hideMark/>
          </w:tcPr>
          <w:p w:rsidRPr="004610E4" w:rsidR="004610E4" w:rsidP="1E99BFFD" w:rsidRDefault="004610E4" w14:paraId="700118CF"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Qualitative evidence synthesis</w:t>
            </w:r>
          </w:p>
        </w:tc>
        <w:tc>
          <w:tcPr>
            <w:tcW w:w="0" w:type="auto"/>
            <w:tcMar/>
            <w:hideMark/>
          </w:tcPr>
          <w:p w:rsidRPr="004610E4" w:rsidR="004610E4" w:rsidP="1E99BFFD" w:rsidRDefault="004610E4" w14:paraId="7521B7B4"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Thematic synthesis</w:t>
            </w:r>
          </w:p>
        </w:tc>
        <w:tc>
          <w:tcPr>
            <w:tcW w:w="0" w:type="auto"/>
            <w:tcMar/>
            <w:hideMark/>
          </w:tcPr>
          <w:p w:rsidRPr="004610E4" w:rsidR="004610E4" w:rsidP="1E99BFFD" w:rsidRDefault="004610E4" w14:paraId="299173FF"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Multiple qualitative studies</w:t>
            </w:r>
          </w:p>
        </w:tc>
        <w:tc>
          <w:tcPr>
            <w:tcW w:w="0" w:type="auto"/>
            <w:tcMar/>
            <w:hideMark/>
          </w:tcPr>
          <w:p w:rsidRPr="004610E4" w:rsidR="004610E4" w:rsidP="1E99BFFD" w:rsidRDefault="004610E4" w14:paraId="4C1BBE00"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Cultural beliefs, accessibility, trust and community support influenced breast screening attendance.</w:t>
            </w:r>
          </w:p>
        </w:tc>
      </w:tr>
      <w:tr w:rsidRPr="004610E4" w:rsidR="004610E4" w:rsidTr="1E99BFFD" w14:paraId="5BD60165" w14:textId="77777777">
        <w:tc>
          <w:tcPr>
            <w:tcW w:w="0" w:type="auto"/>
            <w:tcMar/>
            <w:hideMark/>
          </w:tcPr>
          <w:p w:rsidRPr="004610E4" w:rsidR="004610E4" w:rsidP="1E99BFFD" w:rsidRDefault="004610E4" w14:paraId="56472AD6"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Marcu et al. (2022)</w:t>
            </w:r>
          </w:p>
        </w:tc>
        <w:tc>
          <w:tcPr>
            <w:tcW w:w="0" w:type="auto"/>
            <w:tcMar/>
            <w:hideMark/>
          </w:tcPr>
          <w:p w:rsidRPr="004610E4" w:rsidR="004610E4" w:rsidP="1E99BFFD" w:rsidRDefault="004610E4" w14:paraId="03433C0C"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Primary Research</w:t>
            </w:r>
          </w:p>
        </w:tc>
        <w:tc>
          <w:tcPr>
            <w:tcW w:w="0" w:type="auto"/>
            <w:tcMar/>
            <w:hideMark/>
          </w:tcPr>
          <w:p w:rsidRPr="004610E4" w:rsidR="004610E4" w:rsidP="1E99BFFD" w:rsidRDefault="004610E4" w14:paraId="456345D7"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Qualitative focus groups</w:t>
            </w:r>
          </w:p>
        </w:tc>
        <w:tc>
          <w:tcPr>
            <w:tcW w:w="0" w:type="auto"/>
            <w:tcMar/>
            <w:hideMark/>
          </w:tcPr>
          <w:p w:rsidRPr="004610E4" w:rsidR="004610E4" w:rsidP="1E99BFFD" w:rsidRDefault="004610E4" w14:paraId="0C7B2CC4"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Thematic analysis</w:t>
            </w:r>
          </w:p>
        </w:tc>
        <w:tc>
          <w:tcPr>
            <w:tcW w:w="0" w:type="auto"/>
            <w:tcMar/>
            <w:hideMark/>
          </w:tcPr>
          <w:p w:rsidRPr="004610E4" w:rsidR="004610E4" w:rsidP="1E99BFFD" w:rsidRDefault="004610E4" w14:paraId="6C7115A5"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Black African and Black Caribbean women</w:t>
            </w:r>
          </w:p>
        </w:tc>
        <w:tc>
          <w:tcPr>
            <w:tcW w:w="0" w:type="auto"/>
            <w:tcMar/>
            <w:hideMark/>
          </w:tcPr>
          <w:p w:rsidRPr="004610E4" w:rsidR="004610E4" w:rsidP="1E99BFFD" w:rsidRDefault="004610E4" w14:paraId="49584EDB"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Participants highlighted the importance of culturally appropriate communication, trust and representation in awareness campaigns.</w:t>
            </w:r>
          </w:p>
        </w:tc>
      </w:tr>
      <w:tr w:rsidRPr="004610E4" w:rsidR="004610E4" w:rsidTr="1E99BFFD" w14:paraId="75ECC4C5" w14:textId="77777777">
        <w:tc>
          <w:tcPr>
            <w:tcW w:w="0" w:type="auto"/>
            <w:tcMar/>
            <w:hideMark/>
          </w:tcPr>
          <w:p w:rsidRPr="004610E4" w:rsidR="004610E4" w:rsidP="1E99BFFD" w:rsidRDefault="004610E4" w14:paraId="3C0077BA"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Workman, Thompson and Lau (2023)</w:t>
            </w:r>
          </w:p>
        </w:tc>
        <w:tc>
          <w:tcPr>
            <w:tcW w:w="0" w:type="auto"/>
            <w:tcMar/>
            <w:hideMark/>
          </w:tcPr>
          <w:p w:rsidRPr="004610E4" w:rsidR="004610E4" w:rsidP="1E99BFFD" w:rsidRDefault="004610E4" w14:paraId="78FDF3F5"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Narrative Literature Review</w:t>
            </w:r>
          </w:p>
        </w:tc>
        <w:tc>
          <w:tcPr>
            <w:tcW w:w="0" w:type="auto"/>
            <w:tcMar/>
            <w:hideMark/>
          </w:tcPr>
          <w:p w:rsidRPr="004610E4" w:rsidR="004610E4" w:rsidP="1E99BFFD" w:rsidRDefault="004610E4" w14:paraId="4184F298"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Secondary research</w:t>
            </w:r>
          </w:p>
        </w:tc>
        <w:tc>
          <w:tcPr>
            <w:tcW w:w="0" w:type="auto"/>
            <w:tcMar/>
            <w:hideMark/>
          </w:tcPr>
          <w:p w:rsidRPr="004610E4" w:rsidR="004610E4" w:rsidP="1E99BFFD" w:rsidRDefault="004610E4" w14:paraId="245B7CF9"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Narrative synthesis</w:t>
            </w:r>
          </w:p>
        </w:tc>
        <w:tc>
          <w:tcPr>
            <w:tcW w:w="0" w:type="auto"/>
            <w:tcMar/>
            <w:hideMark/>
          </w:tcPr>
          <w:p w:rsidRPr="004610E4" w:rsidR="004610E4" w:rsidP="1E99BFFD" w:rsidRDefault="004610E4" w14:paraId="64D6286F"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Published literature</w:t>
            </w:r>
          </w:p>
        </w:tc>
        <w:tc>
          <w:tcPr>
            <w:tcW w:w="0" w:type="auto"/>
            <w:tcMar/>
            <w:hideMark/>
          </w:tcPr>
          <w:p w:rsidRPr="004610E4" w:rsidR="004610E4" w:rsidP="1E99BFFD" w:rsidRDefault="004610E4" w14:paraId="06DA0B36"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Structural inequalities, under-representation and systemic bias contribute to breast cancer disparities among Black women.</w:t>
            </w:r>
          </w:p>
        </w:tc>
      </w:tr>
      <w:tr w:rsidRPr="004610E4" w:rsidR="004610E4" w:rsidTr="1E99BFFD" w14:paraId="73C776BD" w14:textId="77777777">
        <w:tc>
          <w:tcPr>
            <w:tcW w:w="0" w:type="auto"/>
            <w:tcMar/>
            <w:hideMark/>
          </w:tcPr>
          <w:p w:rsidRPr="004610E4" w:rsidR="004610E4" w:rsidP="1E99BFFD" w:rsidRDefault="004610E4" w14:paraId="1745B593"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Sajjad et al. (2024)</w:t>
            </w:r>
          </w:p>
        </w:tc>
        <w:tc>
          <w:tcPr>
            <w:tcW w:w="0" w:type="auto"/>
            <w:tcMar/>
            <w:hideMark/>
          </w:tcPr>
          <w:p w:rsidRPr="004610E4" w:rsidR="004610E4" w:rsidP="1E99BFFD" w:rsidRDefault="004610E4" w14:paraId="6853938E"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Published Protocol</w:t>
            </w:r>
          </w:p>
        </w:tc>
        <w:tc>
          <w:tcPr>
            <w:tcW w:w="0" w:type="auto"/>
            <w:tcMar/>
            <w:hideMark/>
          </w:tcPr>
          <w:p w:rsidRPr="004610E4" w:rsidR="004610E4" w:rsidP="1E99BFFD" w:rsidRDefault="004610E4" w14:paraId="69508F8A"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Qualitative evidence synthesis protocol</w:t>
            </w:r>
          </w:p>
        </w:tc>
        <w:tc>
          <w:tcPr>
            <w:tcW w:w="0" w:type="auto"/>
            <w:tcMar/>
            <w:hideMark/>
          </w:tcPr>
          <w:p w:rsidRPr="004610E4" w:rsidR="004610E4" w:rsidP="1E99BFFD" w:rsidRDefault="004610E4" w14:paraId="529FA2FC"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Planned thematic synthesis</w:t>
            </w:r>
          </w:p>
        </w:tc>
        <w:tc>
          <w:tcPr>
            <w:tcW w:w="0" w:type="auto"/>
            <w:tcMar/>
            <w:hideMark/>
          </w:tcPr>
          <w:p w:rsidRPr="004610E4" w:rsidR="004610E4" w:rsidP="1E99BFFD" w:rsidRDefault="004610E4" w14:paraId="513C6F11"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N/A</w:t>
            </w:r>
          </w:p>
        </w:tc>
        <w:tc>
          <w:tcPr>
            <w:tcW w:w="0" w:type="auto"/>
            <w:tcMar/>
            <w:hideMark/>
          </w:tcPr>
          <w:p w:rsidRPr="004610E4" w:rsidR="004610E4" w:rsidP="1E99BFFD" w:rsidRDefault="004610E4" w14:paraId="167DD0FF"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Identified the need for further evidence on barriers and enablers to early breast cancer diagnosis in ethnic minority women.</w:t>
            </w:r>
          </w:p>
        </w:tc>
      </w:tr>
      <w:tr w:rsidRPr="004610E4" w:rsidR="004610E4" w:rsidTr="1E99BFFD" w14:paraId="32210227" w14:textId="77777777">
        <w:tc>
          <w:tcPr>
            <w:tcW w:w="0" w:type="auto"/>
            <w:tcMar/>
            <w:hideMark/>
          </w:tcPr>
          <w:p w:rsidRPr="004610E4" w:rsidR="004610E4" w:rsidP="1E99BFFD" w:rsidRDefault="004610E4" w14:paraId="46232207"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Martin et al. (2025)</w:t>
            </w:r>
          </w:p>
        </w:tc>
        <w:tc>
          <w:tcPr>
            <w:tcW w:w="0" w:type="auto"/>
            <w:tcMar/>
            <w:hideMark/>
          </w:tcPr>
          <w:p w:rsidRPr="004610E4" w:rsidR="004610E4" w:rsidP="1E99BFFD" w:rsidRDefault="004610E4" w14:paraId="4CDD39A3"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Primary Research</w:t>
            </w:r>
          </w:p>
        </w:tc>
        <w:tc>
          <w:tcPr>
            <w:tcW w:w="0" w:type="auto"/>
            <w:tcMar/>
            <w:hideMark/>
          </w:tcPr>
          <w:p w:rsidRPr="004610E4" w:rsidR="004610E4" w:rsidP="1E99BFFD" w:rsidRDefault="004610E4" w14:paraId="5DF90CE9"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Qualitative interviews</w:t>
            </w:r>
          </w:p>
        </w:tc>
        <w:tc>
          <w:tcPr>
            <w:tcW w:w="0" w:type="auto"/>
            <w:tcMar/>
            <w:hideMark/>
          </w:tcPr>
          <w:p w:rsidRPr="004610E4" w:rsidR="004610E4" w:rsidP="1E99BFFD" w:rsidRDefault="004610E4" w14:paraId="367139A9"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Thematic analysis</w:t>
            </w:r>
          </w:p>
        </w:tc>
        <w:tc>
          <w:tcPr>
            <w:tcW w:w="0" w:type="auto"/>
            <w:tcMar/>
            <w:hideMark/>
          </w:tcPr>
          <w:p w:rsidRPr="004610E4" w:rsidR="004610E4" w:rsidP="1E99BFFD" w:rsidRDefault="004610E4" w14:paraId="30BDDB44"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Minority ethnic women</w:t>
            </w:r>
          </w:p>
        </w:tc>
        <w:tc>
          <w:tcPr>
            <w:tcW w:w="0" w:type="auto"/>
            <w:tcMar/>
            <w:hideMark/>
          </w:tcPr>
          <w:p w:rsidRPr="004610E4" w:rsidR="004610E4" w:rsidP="1E99BFFD" w:rsidRDefault="004610E4" w14:paraId="7E91957E"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Experiences across the care pathway were shaped by ethnicity, gender, age and wider social factors.</w:t>
            </w:r>
          </w:p>
        </w:tc>
      </w:tr>
      <w:tr w:rsidRPr="004610E4" w:rsidR="004610E4" w:rsidTr="1E99BFFD" w14:paraId="773073F6" w14:textId="77777777">
        <w:tc>
          <w:tcPr>
            <w:tcW w:w="0" w:type="auto"/>
            <w:tcMar/>
            <w:hideMark/>
          </w:tcPr>
          <w:p w:rsidRPr="004610E4" w:rsidR="004610E4" w:rsidP="1E99BFFD" w:rsidRDefault="004610E4" w14:paraId="375C63EA"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Aliu, Kerrison and Marcu (2025)</w:t>
            </w:r>
          </w:p>
        </w:tc>
        <w:tc>
          <w:tcPr>
            <w:tcW w:w="0" w:type="auto"/>
            <w:tcMar/>
            <w:hideMark/>
          </w:tcPr>
          <w:p w:rsidRPr="004610E4" w:rsidR="004610E4" w:rsidP="1E99BFFD" w:rsidRDefault="004610E4" w14:paraId="6E71E85D"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Systematic Review</w:t>
            </w:r>
          </w:p>
        </w:tc>
        <w:tc>
          <w:tcPr>
            <w:tcW w:w="0" w:type="auto"/>
            <w:tcMar/>
            <w:hideMark/>
          </w:tcPr>
          <w:p w:rsidRPr="004610E4" w:rsidR="004610E4" w:rsidP="1E99BFFD" w:rsidRDefault="004610E4" w14:paraId="22EC2841"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Secondary research</w:t>
            </w:r>
          </w:p>
        </w:tc>
        <w:tc>
          <w:tcPr>
            <w:tcW w:w="0" w:type="auto"/>
            <w:tcMar/>
            <w:hideMark/>
          </w:tcPr>
          <w:p w:rsidRPr="004610E4" w:rsidR="004610E4" w:rsidP="1E99BFFD" w:rsidRDefault="004610E4" w14:paraId="58D111D0"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Systematic review and narrative synthesis</w:t>
            </w:r>
          </w:p>
        </w:tc>
        <w:tc>
          <w:tcPr>
            <w:tcW w:w="0" w:type="auto"/>
            <w:tcMar/>
            <w:hideMark/>
          </w:tcPr>
          <w:p w:rsidRPr="004610E4" w:rsidR="004610E4" w:rsidP="1E99BFFD" w:rsidRDefault="004610E4" w14:paraId="67A54E59"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Published studies</w:t>
            </w:r>
          </w:p>
        </w:tc>
        <w:tc>
          <w:tcPr>
            <w:tcW w:w="0" w:type="auto"/>
            <w:tcMar/>
            <w:hideMark/>
          </w:tcPr>
          <w:p w:rsidRPr="004610E4" w:rsidR="004610E4" w:rsidP="1E99BFFD" w:rsidRDefault="004610E4" w14:paraId="4BBB9ADA"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Fear, cultural beliefs, low awareness, practical barriers and mistrust reduced breast screening participation among Black women.</w:t>
            </w:r>
          </w:p>
        </w:tc>
      </w:tr>
      <w:tr w:rsidRPr="004610E4" w:rsidR="004610E4" w:rsidTr="1E99BFFD" w14:paraId="4E094934" w14:textId="77777777">
        <w:tc>
          <w:tcPr>
            <w:tcW w:w="0" w:type="auto"/>
            <w:tcMar/>
            <w:hideMark/>
          </w:tcPr>
          <w:p w:rsidRPr="004610E4" w:rsidR="004610E4" w:rsidP="1E99BFFD" w:rsidRDefault="004610E4" w14:paraId="18DD8B3F"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Iyizoba-Ebozue</w:t>
            </w:r>
            <w:r w:rsidRPr="1E99BFFD" w:rsidR="004610E4">
              <w:rPr>
                <w:rFonts w:ascii="Arial" w:hAnsi="Arial" w:eastAsia="Arial" w:cs="Arial"/>
                <w:color w:val="auto"/>
                <w:sz w:val="20"/>
                <w:szCs w:val="20"/>
              </w:rPr>
              <w:t xml:space="preserve"> et al. (2026)</w:t>
            </w:r>
          </w:p>
        </w:tc>
        <w:tc>
          <w:tcPr>
            <w:tcW w:w="0" w:type="auto"/>
            <w:tcMar/>
            <w:hideMark/>
          </w:tcPr>
          <w:p w:rsidRPr="004610E4" w:rsidR="004610E4" w:rsidP="1E99BFFD" w:rsidRDefault="004610E4" w14:paraId="0633B280"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Primary Research</w:t>
            </w:r>
          </w:p>
        </w:tc>
        <w:tc>
          <w:tcPr>
            <w:tcW w:w="0" w:type="auto"/>
            <w:tcMar/>
            <w:hideMark/>
          </w:tcPr>
          <w:p w:rsidRPr="004610E4" w:rsidR="004610E4" w:rsidP="1E99BFFD" w:rsidRDefault="004610E4" w14:paraId="08539E56"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Quantitative study</w:t>
            </w:r>
          </w:p>
        </w:tc>
        <w:tc>
          <w:tcPr>
            <w:tcW w:w="0" w:type="auto"/>
            <w:tcMar/>
            <w:hideMark/>
          </w:tcPr>
          <w:p w:rsidRPr="004610E4" w:rsidR="004610E4" w:rsidP="1E99BFFD" w:rsidRDefault="004610E4" w14:paraId="0AEE07D0"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Statistical analysis</w:t>
            </w:r>
          </w:p>
        </w:tc>
        <w:tc>
          <w:tcPr>
            <w:tcW w:w="0" w:type="auto"/>
            <w:tcMar/>
            <w:hideMark/>
          </w:tcPr>
          <w:p w:rsidRPr="004610E4" w:rsidR="004610E4" w:rsidP="1E99BFFD" w:rsidRDefault="004610E4" w14:paraId="68AE5D60"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Black and other ethnic minority groups</w:t>
            </w:r>
          </w:p>
        </w:tc>
        <w:tc>
          <w:tcPr>
            <w:tcW w:w="0" w:type="auto"/>
            <w:tcMar/>
            <w:hideMark/>
          </w:tcPr>
          <w:p w:rsidRPr="004610E4" w:rsidR="004610E4" w:rsidP="1E99BFFD" w:rsidRDefault="004610E4" w14:paraId="0441092A" w14:textId="77777777">
            <w:pPr>
              <w:spacing w:after="200" w:line="360" w:lineRule="auto"/>
              <w:jc w:val="both"/>
              <w:rPr>
                <w:rFonts w:ascii="Arial" w:hAnsi="Arial" w:eastAsia="Arial" w:cs="Arial"/>
                <w:color w:val="auto"/>
                <w:sz w:val="20"/>
                <w:szCs w:val="20"/>
              </w:rPr>
            </w:pPr>
            <w:r w:rsidRPr="1E99BFFD" w:rsidR="004610E4">
              <w:rPr>
                <w:rFonts w:ascii="Arial" w:hAnsi="Arial" w:eastAsia="Arial" w:cs="Arial"/>
                <w:color w:val="auto"/>
                <w:sz w:val="20"/>
                <w:szCs w:val="20"/>
              </w:rPr>
              <w:t>Persistent inequalities in cancer screening uptake remained despite national screening programmes.</w:t>
            </w:r>
          </w:p>
        </w:tc>
      </w:tr>
    </w:tbl>
    <w:p w:rsidR="004610E4" w:rsidP="1E99BFFD" w:rsidRDefault="00000000" w14:paraId="6E58B1FA"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Following Aveyard's (2019) simplified thematic analysis, four recurring themes were identified across the included studies. </w:t>
      </w:r>
    </w:p>
    <w:p w:rsidR="00A83A4E" w:rsidP="1E99BFFD" w:rsidRDefault="00000000" w14:paraId="64144DE9" w14:textId="0D4510F6">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Theme 1 captured practical and psychological barriers preventing timely engagement with screening and diagnosis, including limited symptom awareness, fear and mistrust. Theme 2 captured how cultural beliefs and fatalism shape whether and how women interpret symptoms and seek help. Theme 3 extended the focus beyond screening to diagnosis, treatment and survivorship, showing that </w:t>
      </w:r>
      <w:r w:rsidRPr="1E99BFFD" w:rsidR="00000000">
        <w:rPr>
          <w:rFonts w:ascii="Arial" w:hAnsi="Arial" w:eastAsia="Arial" w:cs="Arial"/>
          <w:color w:val="auto"/>
          <w:sz w:val="22"/>
          <w:szCs w:val="22"/>
        </w:rPr>
        <w:t>inequalities persist once women are already within the care system. Theme 4 drew together evidence on interventions community education, culturally tailored campaigns and improved communication that were associated with improved engagement, providing an evidence base for the recommendations set out later in this report.</w:t>
      </w:r>
    </w:p>
    <w:p w:rsidR="00A83A4E" w:rsidP="1E99BFFD" w:rsidRDefault="00000000" w14:paraId="79FDDD7A" w14:textId="77777777">
      <w:pPr>
        <w:pStyle w:val="Heading1"/>
        <w:spacing w:before="400" w:after="200" w:line="360" w:lineRule="auto"/>
        <w:rPr>
          <w:rFonts w:ascii="Arial" w:hAnsi="Arial" w:eastAsia="Arial" w:cs="Arial"/>
          <w:b w:val="1"/>
          <w:bCs w:val="1"/>
          <w:color w:val="auto"/>
          <w:sz w:val="22"/>
          <w:szCs w:val="22"/>
        </w:rPr>
      </w:pPr>
      <w:bookmarkStart w:name="_Toc235442323" w:id="8"/>
      <w:r w:rsidRPr="1E99BFFD" w:rsidR="00000000">
        <w:rPr>
          <w:rFonts w:ascii="Arial" w:hAnsi="Arial" w:eastAsia="Arial" w:cs="Arial"/>
          <w:b w:val="1"/>
          <w:bCs w:val="1"/>
          <w:color w:val="auto"/>
          <w:sz w:val="22"/>
          <w:szCs w:val="22"/>
        </w:rPr>
        <w:t>Discussion</w:t>
      </w:r>
      <w:bookmarkEnd w:id="8"/>
    </w:p>
    <w:p w:rsidR="00A83A4E" w:rsidP="1E99BFFD" w:rsidRDefault="00000000" w14:paraId="1B267880" w14:textId="3573D49C">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This scoping review explored the evidence </w:t>
      </w:r>
      <w:r w:rsidRPr="1E99BFFD" w:rsidR="00000000">
        <w:rPr>
          <w:rFonts w:ascii="Arial" w:hAnsi="Arial" w:eastAsia="Arial" w:cs="Arial"/>
          <w:color w:val="auto"/>
          <w:sz w:val="22"/>
          <w:szCs w:val="22"/>
        </w:rPr>
        <w:t>regarding</w:t>
      </w:r>
      <w:r w:rsidRPr="1E99BFFD" w:rsidR="00000000">
        <w:rPr>
          <w:rFonts w:ascii="Arial" w:hAnsi="Arial" w:eastAsia="Arial" w:cs="Arial"/>
          <w:color w:val="auto"/>
          <w:sz w:val="22"/>
          <w:szCs w:val="22"/>
        </w:rPr>
        <w:t xml:space="preserve"> the experiences and barriers affecting Black women throughout the breast cancer care pathway in the United Kingdom. Four themes </w:t>
      </w:r>
      <w:r w:rsidRPr="1E99BFFD" w:rsidR="00000000">
        <w:rPr>
          <w:rFonts w:ascii="Arial" w:hAnsi="Arial" w:eastAsia="Arial" w:cs="Arial"/>
          <w:color w:val="auto"/>
          <w:sz w:val="22"/>
          <w:szCs w:val="22"/>
        </w:rPr>
        <w:t>emerged</w:t>
      </w:r>
      <w:r w:rsidRPr="1E99BFFD" w:rsidR="00000000">
        <w:rPr>
          <w:rFonts w:ascii="Arial" w:hAnsi="Arial" w:eastAsia="Arial" w:cs="Arial"/>
          <w:color w:val="auto"/>
          <w:sz w:val="22"/>
          <w:szCs w:val="22"/>
        </w:rPr>
        <w:t xml:space="preserve"> from the literature: barriers to breast cancer screening and early diagnosis; cultural beliefs, </w:t>
      </w:r>
      <w:r w:rsidRPr="1E99BFFD" w:rsidR="00000000">
        <w:rPr>
          <w:rFonts w:ascii="Arial" w:hAnsi="Arial" w:eastAsia="Arial" w:cs="Arial"/>
          <w:color w:val="auto"/>
          <w:sz w:val="22"/>
          <w:szCs w:val="22"/>
        </w:rPr>
        <w:t>knowledge</w:t>
      </w:r>
      <w:r w:rsidRPr="1E99BFFD" w:rsidR="00000000">
        <w:rPr>
          <w:rFonts w:ascii="Arial" w:hAnsi="Arial" w:eastAsia="Arial" w:cs="Arial"/>
          <w:color w:val="auto"/>
          <w:sz w:val="22"/>
          <w:szCs w:val="22"/>
        </w:rPr>
        <w:t xml:space="preserve"> and </w:t>
      </w:r>
      <w:r w:rsidRPr="1E99BFFD" w:rsidR="00000000">
        <w:rPr>
          <w:rFonts w:ascii="Arial" w:hAnsi="Arial" w:eastAsia="Arial" w:cs="Arial"/>
          <w:color w:val="auto"/>
          <w:sz w:val="22"/>
          <w:szCs w:val="22"/>
        </w:rPr>
        <w:t>perceptions</w:t>
      </w:r>
      <w:r w:rsidRPr="1E99BFFD" w:rsidR="00000000">
        <w:rPr>
          <w:rFonts w:ascii="Arial" w:hAnsi="Arial" w:eastAsia="Arial" w:cs="Arial"/>
          <w:color w:val="auto"/>
          <w:sz w:val="22"/>
          <w:szCs w:val="22"/>
        </w:rPr>
        <w:t xml:space="preserve"> of breast cancer; experiences throughout the breast cancer care pathway; and strategies for improving equity in breast cancer care. Collectively, these findings </w:t>
      </w:r>
      <w:r w:rsidRPr="1E99BFFD" w:rsidR="00000000">
        <w:rPr>
          <w:rFonts w:ascii="Arial" w:hAnsi="Arial" w:eastAsia="Arial" w:cs="Arial"/>
          <w:color w:val="auto"/>
          <w:sz w:val="22"/>
          <w:szCs w:val="22"/>
        </w:rPr>
        <w:t>demonstrate</w:t>
      </w:r>
      <w:r w:rsidRPr="1E99BFFD" w:rsidR="00000000">
        <w:rPr>
          <w:rFonts w:ascii="Arial" w:hAnsi="Arial" w:eastAsia="Arial" w:cs="Arial"/>
          <w:color w:val="auto"/>
          <w:sz w:val="22"/>
          <w:szCs w:val="22"/>
        </w:rPr>
        <w:t xml:space="preserve"> that inequalities experienced by Black women are produced by cultural, </w:t>
      </w:r>
      <w:r w:rsidRPr="1E99BFFD" w:rsidR="00000000">
        <w:rPr>
          <w:rFonts w:ascii="Arial" w:hAnsi="Arial" w:eastAsia="Arial" w:cs="Arial"/>
          <w:color w:val="auto"/>
          <w:sz w:val="22"/>
          <w:szCs w:val="22"/>
        </w:rPr>
        <w:t>structural</w:t>
      </w:r>
      <w:r w:rsidRPr="1E99BFFD" w:rsidR="00000000">
        <w:rPr>
          <w:rFonts w:ascii="Arial" w:hAnsi="Arial" w:eastAsia="Arial" w:cs="Arial"/>
          <w:color w:val="auto"/>
          <w:sz w:val="22"/>
          <w:szCs w:val="22"/>
        </w:rPr>
        <w:t xml:space="preserve"> and healthcare-related factors acting together, rather than by any one factor in isolation. Although the reviewed studies </w:t>
      </w:r>
      <w:r w:rsidRPr="1E99BFFD" w:rsidR="00000000">
        <w:rPr>
          <w:rFonts w:ascii="Arial" w:hAnsi="Arial" w:eastAsia="Arial" w:cs="Arial"/>
          <w:color w:val="auto"/>
          <w:sz w:val="22"/>
          <w:szCs w:val="22"/>
        </w:rPr>
        <w:t>generally reached</w:t>
      </w:r>
      <w:r w:rsidRPr="1E99BFFD" w:rsidR="00000000">
        <w:rPr>
          <w:rFonts w:ascii="Arial" w:hAnsi="Arial" w:eastAsia="Arial" w:cs="Arial"/>
          <w:color w:val="auto"/>
          <w:sz w:val="22"/>
          <w:szCs w:val="22"/>
        </w:rPr>
        <w:t xml:space="preserve"> similar conclusions </w:t>
      </w:r>
      <w:r w:rsidRPr="1E99BFFD" w:rsidR="00000000">
        <w:rPr>
          <w:rFonts w:ascii="Arial" w:hAnsi="Arial" w:eastAsia="Arial" w:cs="Arial"/>
          <w:color w:val="auto"/>
          <w:sz w:val="22"/>
          <w:szCs w:val="22"/>
        </w:rPr>
        <w:t>regarding</w:t>
      </w:r>
      <w:r w:rsidRPr="1E99BFFD" w:rsidR="00000000">
        <w:rPr>
          <w:rFonts w:ascii="Arial" w:hAnsi="Arial" w:eastAsia="Arial" w:cs="Arial"/>
          <w:color w:val="auto"/>
          <w:sz w:val="22"/>
          <w:szCs w:val="22"/>
        </w:rPr>
        <w:t xml:space="preserve"> the existence of health inequalities, they differed in which stage of the care pathway they examined </w:t>
      </w:r>
      <w:r w:rsidRPr="1E99BFFD" w:rsidR="00000000">
        <w:rPr>
          <w:rFonts w:ascii="Arial" w:hAnsi="Arial" w:eastAsia="Arial" w:cs="Arial"/>
          <w:color w:val="auto"/>
          <w:sz w:val="22"/>
          <w:szCs w:val="22"/>
        </w:rPr>
        <w:t>and in the methods</w:t>
      </w:r>
      <w:r w:rsidRPr="1E99BFFD" w:rsidR="00000000">
        <w:rPr>
          <w:rFonts w:ascii="Arial" w:hAnsi="Arial" w:eastAsia="Arial" w:cs="Arial"/>
          <w:color w:val="auto"/>
          <w:sz w:val="22"/>
          <w:szCs w:val="22"/>
        </w:rPr>
        <w:t xml:space="preserve"> used to investigate women's experiences</w:t>
      </w:r>
      <w:r w:rsidRPr="1E99BFFD" w:rsidR="1EA212B4">
        <w:rPr>
          <w:rFonts w:ascii="Arial" w:hAnsi="Arial" w:eastAsia="Arial" w:cs="Arial"/>
          <w:color w:val="auto"/>
          <w:sz w:val="22"/>
          <w:szCs w:val="22"/>
        </w:rPr>
        <w:t>. A</w:t>
      </w:r>
      <w:r w:rsidRPr="1E99BFFD" w:rsidR="00000000">
        <w:rPr>
          <w:rFonts w:ascii="Arial" w:hAnsi="Arial" w:eastAsia="Arial" w:cs="Arial"/>
          <w:color w:val="auto"/>
          <w:sz w:val="22"/>
          <w:szCs w:val="22"/>
        </w:rPr>
        <w:t xml:space="preserve"> distinction that matters because it shapes what each study can and cannot tell us, as the comparison below sets out.</w:t>
      </w:r>
    </w:p>
    <w:p w:rsidR="00A83A4E" w:rsidP="1E99BFFD" w:rsidRDefault="00000000" w14:paraId="2DE97E9F" w14:textId="77777777">
      <w:pPr>
        <w:pStyle w:val="Heading2"/>
        <w:spacing w:before="300" w:after="150" w:line="360" w:lineRule="auto"/>
        <w:rPr>
          <w:rFonts w:ascii="Arial" w:hAnsi="Arial" w:eastAsia="Arial" w:cs="Arial"/>
          <w:b w:val="1"/>
          <w:bCs w:val="1"/>
          <w:color w:val="auto"/>
          <w:sz w:val="22"/>
          <w:szCs w:val="22"/>
        </w:rPr>
      </w:pPr>
      <w:bookmarkStart w:name="_Toc235442324" w:id="9"/>
      <w:r w:rsidRPr="1E99BFFD" w:rsidR="00000000">
        <w:rPr>
          <w:rFonts w:ascii="Arial" w:hAnsi="Arial" w:eastAsia="Arial" w:cs="Arial"/>
          <w:b w:val="1"/>
          <w:bCs w:val="1"/>
          <w:color w:val="auto"/>
          <w:sz w:val="22"/>
          <w:szCs w:val="22"/>
        </w:rPr>
        <w:t>Comparison of Findings</w:t>
      </w:r>
      <w:bookmarkEnd w:id="9"/>
    </w:p>
    <w:p w:rsidRPr="003576A5" w:rsidR="003576A5" w:rsidP="1E99BFFD" w:rsidRDefault="003576A5" w14:paraId="56A9463A" w14:textId="1A580974">
      <w:pPr>
        <w:spacing w:line="360" w:lineRule="auto"/>
        <w:rPr>
          <w:rFonts w:ascii="Arial" w:hAnsi="Arial" w:eastAsia="Arial" w:cs="Arial"/>
          <w:color w:val="auto"/>
          <w:sz w:val="22"/>
          <w:szCs w:val="22"/>
        </w:rPr>
      </w:pPr>
      <w:r w:rsidRPr="1E99BFFD" w:rsidR="003576A5">
        <w:rPr>
          <w:rFonts w:ascii="Arial" w:hAnsi="Arial" w:eastAsia="Arial" w:cs="Arial"/>
          <w:color w:val="auto"/>
          <w:sz w:val="22"/>
          <w:szCs w:val="22"/>
        </w:rPr>
        <w:t xml:space="preserve">The strongest area of agreement across the literature concerned Theme 1, barriers to breast cancer screening and early diagnosis. Jones et al. (2016), Baird et al. (2021) and Aliu, Kerrison and Marcu (2025) consistently identified limited symptom awareness, fear of diagnosis, cultural beliefs and practical barriers as significant factors contributing to delayed </w:t>
      </w:r>
      <w:r w:rsidRPr="1E99BFFD" w:rsidR="003576A5">
        <w:rPr>
          <w:rFonts w:ascii="Arial" w:hAnsi="Arial" w:eastAsia="Arial" w:cs="Arial"/>
          <w:color w:val="auto"/>
          <w:sz w:val="22"/>
          <w:szCs w:val="22"/>
        </w:rPr>
        <w:t>presentation, and</w:t>
      </w:r>
      <w:r w:rsidRPr="1E99BFFD" w:rsidR="003576A5">
        <w:rPr>
          <w:rFonts w:ascii="Arial" w:hAnsi="Arial" w:eastAsia="Arial" w:cs="Arial"/>
          <w:color w:val="auto"/>
          <w:sz w:val="22"/>
          <w:szCs w:val="22"/>
        </w:rPr>
        <w:t xml:space="preserve"> together suggest that screening inequalities cannot be explained by personal choice alone but are shaped by wider social and healthcare influences. </w:t>
      </w:r>
      <w:r w:rsidRPr="1E99BFFD" w:rsidR="003576A5">
        <w:rPr>
          <w:rFonts w:ascii="Arial" w:hAnsi="Arial" w:eastAsia="Arial" w:cs="Arial"/>
          <w:color w:val="auto"/>
          <w:sz w:val="22"/>
          <w:szCs w:val="22"/>
        </w:rPr>
        <w:t>Iyizoba-Ebozue</w:t>
      </w:r>
      <w:r w:rsidRPr="1E99BFFD" w:rsidR="003576A5">
        <w:rPr>
          <w:rFonts w:ascii="Arial" w:hAnsi="Arial" w:eastAsia="Arial" w:cs="Arial"/>
          <w:color w:val="auto"/>
          <w:sz w:val="22"/>
          <w:szCs w:val="22"/>
        </w:rPr>
        <w:t xml:space="preserve"> et al. (2026) reinforces this by reporting persistent disparities in cancer screening among Black communities despite the availability of national screening programmes</w:t>
      </w:r>
      <w:r w:rsidRPr="1E99BFFD" w:rsidR="43B81AA3">
        <w:rPr>
          <w:rFonts w:ascii="Arial" w:hAnsi="Arial" w:eastAsia="Arial" w:cs="Arial"/>
          <w:color w:val="auto"/>
          <w:sz w:val="22"/>
          <w:szCs w:val="22"/>
        </w:rPr>
        <w:t xml:space="preserve">, </w:t>
      </w:r>
      <w:r w:rsidRPr="1E99BFFD" w:rsidR="003576A5">
        <w:rPr>
          <w:rFonts w:ascii="Arial" w:hAnsi="Arial" w:eastAsia="Arial" w:cs="Arial"/>
          <w:color w:val="auto"/>
          <w:sz w:val="22"/>
          <w:szCs w:val="22"/>
        </w:rPr>
        <w:t>evidence that access to a service and equitable uptake of that service are not the same thing, and that closing the access gap alone will not close the outcome gap.</w:t>
      </w:r>
    </w:p>
    <w:p w:rsidRPr="003576A5" w:rsidR="003576A5" w:rsidP="1E99BFFD" w:rsidRDefault="003576A5" w14:paraId="36F802F3" w14:textId="77777777">
      <w:pPr>
        <w:spacing w:line="360" w:lineRule="auto"/>
        <w:rPr>
          <w:rFonts w:ascii="Arial" w:hAnsi="Arial" w:eastAsia="Arial" w:cs="Arial"/>
          <w:color w:val="auto"/>
          <w:sz w:val="22"/>
          <w:szCs w:val="22"/>
        </w:rPr>
      </w:pPr>
    </w:p>
    <w:p w:rsidRPr="003576A5" w:rsidR="003576A5" w:rsidP="1E99BFFD" w:rsidRDefault="003576A5" w14:paraId="639602FC" w14:textId="495EE42E">
      <w:pPr>
        <w:spacing w:line="360" w:lineRule="auto"/>
        <w:rPr>
          <w:rFonts w:ascii="Arial" w:hAnsi="Arial" w:eastAsia="Arial" w:cs="Arial"/>
          <w:color w:val="auto"/>
          <w:sz w:val="22"/>
          <w:szCs w:val="22"/>
        </w:rPr>
      </w:pPr>
      <w:r w:rsidRPr="1E99BFFD" w:rsidR="003576A5">
        <w:rPr>
          <w:rFonts w:ascii="Arial" w:hAnsi="Arial" w:eastAsia="Arial" w:cs="Arial"/>
          <w:color w:val="auto"/>
          <w:sz w:val="22"/>
          <w:szCs w:val="22"/>
        </w:rPr>
        <w:t xml:space="preserve">Within this same theme, the studies differ in where they place emphasis, and this difference is informative rather than merely descriptive. Jones et al. (2016) focused primarily on individual women's recognition of symptoms and decisions to seek medical advice, treating delay as something that happens at the level of the individual encounter. Aliu, Kerrison and Marcu (2025), by contrast, adopted a broader systematic review approach spanning healthcare access, </w:t>
      </w:r>
      <w:r w:rsidRPr="1E99BFFD" w:rsidR="003576A5">
        <w:rPr>
          <w:rFonts w:ascii="Arial" w:hAnsi="Arial" w:eastAsia="Arial" w:cs="Arial"/>
          <w:color w:val="auto"/>
          <w:sz w:val="22"/>
          <w:szCs w:val="22"/>
        </w:rPr>
        <w:t>mistrust</w:t>
      </w:r>
      <w:r w:rsidRPr="1E99BFFD" w:rsidR="003576A5">
        <w:rPr>
          <w:rFonts w:ascii="Arial" w:hAnsi="Arial" w:eastAsia="Arial" w:cs="Arial"/>
          <w:color w:val="auto"/>
          <w:sz w:val="22"/>
          <w:szCs w:val="22"/>
        </w:rPr>
        <w:t xml:space="preserve"> and socioeconomic factors, </w:t>
      </w:r>
      <w:r w:rsidRPr="1E99BFFD" w:rsidR="003576A5">
        <w:rPr>
          <w:rFonts w:ascii="Arial" w:hAnsi="Arial" w:eastAsia="Arial" w:cs="Arial"/>
          <w:color w:val="auto"/>
          <w:sz w:val="22"/>
          <w:szCs w:val="22"/>
        </w:rPr>
        <w:t>locating</w:t>
      </w:r>
      <w:r w:rsidRPr="1E99BFFD" w:rsidR="003576A5">
        <w:rPr>
          <w:rFonts w:ascii="Arial" w:hAnsi="Arial" w:eastAsia="Arial" w:cs="Arial"/>
          <w:color w:val="auto"/>
          <w:sz w:val="22"/>
          <w:szCs w:val="22"/>
        </w:rPr>
        <w:t xml:space="preserve"> delay within the wider system rather than the individual. Baird et al. (2021) adds a further dimension by highlighting facilitators as well as barriers, showing that culturally tailored interventions and community engagement can improve screening participation. Read together, these three studies suggest a shift in emphasis within Theme 1</w:t>
      </w:r>
      <w:r w:rsidRPr="1E99BFFD" w:rsidR="0756FA99">
        <w:rPr>
          <w:rFonts w:ascii="Arial" w:hAnsi="Arial" w:eastAsia="Arial" w:cs="Arial"/>
          <w:color w:val="auto"/>
          <w:sz w:val="22"/>
          <w:szCs w:val="22"/>
        </w:rPr>
        <w:t xml:space="preserve">; </w:t>
      </w:r>
      <w:r w:rsidRPr="1E99BFFD" w:rsidR="003576A5">
        <w:rPr>
          <w:rFonts w:ascii="Arial" w:hAnsi="Arial" w:eastAsia="Arial" w:cs="Arial"/>
          <w:color w:val="auto"/>
          <w:sz w:val="22"/>
          <w:szCs w:val="22"/>
        </w:rPr>
        <w:t xml:space="preserve">from explaining why women delay, towards </w:t>
      </w:r>
      <w:r w:rsidRPr="1E99BFFD" w:rsidR="003576A5">
        <w:rPr>
          <w:rFonts w:ascii="Arial" w:hAnsi="Arial" w:eastAsia="Arial" w:cs="Arial"/>
          <w:color w:val="auto"/>
          <w:sz w:val="22"/>
          <w:szCs w:val="22"/>
        </w:rPr>
        <w:t>identifying</w:t>
      </w:r>
      <w:r w:rsidRPr="1E99BFFD" w:rsidR="003576A5">
        <w:rPr>
          <w:rFonts w:ascii="Arial" w:hAnsi="Arial" w:eastAsia="Arial" w:cs="Arial"/>
          <w:color w:val="auto"/>
          <w:sz w:val="22"/>
          <w:szCs w:val="22"/>
        </w:rPr>
        <w:t xml:space="preserve"> what changes that delay</w:t>
      </w:r>
      <w:r w:rsidRPr="1E99BFFD" w:rsidR="41CA82FE">
        <w:rPr>
          <w:rFonts w:ascii="Arial" w:hAnsi="Arial" w:eastAsia="Arial" w:cs="Arial"/>
          <w:color w:val="auto"/>
          <w:sz w:val="22"/>
          <w:szCs w:val="22"/>
        </w:rPr>
        <w:t xml:space="preserve">, </w:t>
      </w:r>
      <w:r w:rsidRPr="1E99BFFD" w:rsidR="003576A5">
        <w:rPr>
          <w:rFonts w:ascii="Arial" w:hAnsi="Arial" w:eastAsia="Arial" w:cs="Arial"/>
          <w:color w:val="auto"/>
          <w:sz w:val="22"/>
          <w:szCs w:val="22"/>
        </w:rPr>
        <w:t>which has direct implications for the recommendations made later in this report.</w:t>
      </w:r>
    </w:p>
    <w:p w:rsidRPr="003576A5" w:rsidR="003576A5" w:rsidP="1E99BFFD" w:rsidRDefault="003576A5" w14:paraId="0CFD6E2B" w14:textId="77777777">
      <w:pPr>
        <w:spacing w:line="360" w:lineRule="auto"/>
        <w:rPr>
          <w:rFonts w:ascii="Arial" w:hAnsi="Arial" w:eastAsia="Arial" w:cs="Arial"/>
          <w:color w:val="auto"/>
          <w:sz w:val="22"/>
          <w:szCs w:val="22"/>
        </w:rPr>
      </w:pPr>
    </w:p>
    <w:p w:rsidRPr="003576A5" w:rsidR="003576A5" w:rsidP="1E99BFFD" w:rsidRDefault="003576A5" w14:paraId="0AD58EF4" w14:textId="2399D0A4">
      <w:pPr>
        <w:spacing w:line="360" w:lineRule="auto"/>
      </w:pPr>
      <w:r w:rsidRPr="1E99BFFD" w:rsidR="003576A5">
        <w:rPr>
          <w:rFonts w:ascii="Arial" w:hAnsi="Arial" w:eastAsia="Arial" w:cs="Arial"/>
          <w:color w:val="auto"/>
          <w:sz w:val="22"/>
          <w:szCs w:val="22"/>
        </w:rPr>
        <w:t xml:space="preserve">Theme 2, cultural beliefs, knowledge and </w:t>
      </w:r>
      <w:r w:rsidRPr="1E99BFFD" w:rsidR="003576A5">
        <w:rPr>
          <w:rFonts w:ascii="Arial" w:hAnsi="Arial" w:eastAsia="Arial" w:cs="Arial"/>
          <w:color w:val="auto"/>
          <w:sz w:val="22"/>
          <w:szCs w:val="22"/>
        </w:rPr>
        <w:t>perceptions</w:t>
      </w:r>
      <w:r w:rsidRPr="1E99BFFD" w:rsidR="003576A5">
        <w:rPr>
          <w:rFonts w:ascii="Arial" w:hAnsi="Arial" w:eastAsia="Arial" w:cs="Arial"/>
          <w:color w:val="auto"/>
          <w:sz w:val="22"/>
          <w:szCs w:val="22"/>
        </w:rPr>
        <w:t xml:space="preserve"> of breast cancer, showed similarly consistent findings. </w:t>
      </w:r>
      <w:r w:rsidRPr="1E99BFFD" w:rsidR="003576A5">
        <w:rPr>
          <w:rFonts w:ascii="Arial" w:hAnsi="Arial" w:eastAsia="Arial" w:cs="Arial"/>
          <w:color w:val="auto"/>
          <w:sz w:val="22"/>
          <w:szCs w:val="22"/>
        </w:rPr>
        <w:t>Vrinten</w:t>
      </w:r>
      <w:r w:rsidRPr="1E99BFFD" w:rsidR="003576A5">
        <w:rPr>
          <w:rFonts w:ascii="Arial" w:hAnsi="Arial" w:eastAsia="Arial" w:cs="Arial"/>
          <w:color w:val="auto"/>
          <w:sz w:val="22"/>
          <w:szCs w:val="22"/>
        </w:rPr>
        <w:t xml:space="preserve">, Wardle and Marlow (2016) found that cancer fear and fatalistic beliefs were more prevalent among women from ethnic minority backgrounds, potentially discouraging early help-seeking; this supports Jones et al. (2016), who similarly reported that fear and stigma delayed presentation. However, Williams et al. (2020) offers a more encouraging counterpoint, </w:t>
      </w:r>
      <w:r w:rsidRPr="1E99BFFD" w:rsidR="003576A5">
        <w:rPr>
          <w:rFonts w:ascii="Arial" w:hAnsi="Arial" w:eastAsia="Arial" w:cs="Arial"/>
          <w:color w:val="auto"/>
          <w:sz w:val="22"/>
          <w:szCs w:val="22"/>
        </w:rPr>
        <w:t>demonstrating</w:t>
      </w:r>
      <w:r w:rsidRPr="1E99BFFD" w:rsidR="003576A5">
        <w:rPr>
          <w:rFonts w:ascii="Arial" w:hAnsi="Arial" w:eastAsia="Arial" w:cs="Arial"/>
          <w:color w:val="auto"/>
          <w:sz w:val="22"/>
          <w:szCs w:val="22"/>
        </w:rPr>
        <w:t xml:space="preserve"> that community-based education programmes improved awareness of symptoms and reduced perceived barriers to seeking help. Read alongside </w:t>
      </w:r>
      <w:r w:rsidRPr="1E99BFFD" w:rsidR="003576A5">
        <w:rPr>
          <w:rFonts w:ascii="Arial" w:hAnsi="Arial" w:eastAsia="Arial" w:cs="Arial"/>
          <w:color w:val="auto"/>
          <w:sz w:val="22"/>
          <w:szCs w:val="22"/>
        </w:rPr>
        <w:t>Vrinten</w:t>
      </w:r>
      <w:r w:rsidRPr="1E99BFFD" w:rsidR="003576A5">
        <w:rPr>
          <w:rFonts w:ascii="Arial" w:hAnsi="Arial" w:eastAsia="Arial" w:cs="Arial"/>
          <w:color w:val="auto"/>
          <w:sz w:val="22"/>
          <w:szCs w:val="22"/>
        </w:rPr>
        <w:t xml:space="preserve">, Wardle and Marlow (2016), this </w:t>
      </w:r>
      <w:r w:rsidRPr="1E99BFFD" w:rsidR="003576A5">
        <w:rPr>
          <w:rFonts w:ascii="Arial" w:hAnsi="Arial" w:eastAsia="Arial" w:cs="Arial"/>
          <w:color w:val="auto"/>
          <w:sz w:val="22"/>
          <w:szCs w:val="22"/>
        </w:rPr>
        <w:t>indicates</w:t>
      </w:r>
      <w:r w:rsidRPr="1E99BFFD" w:rsidR="003576A5">
        <w:rPr>
          <w:rFonts w:ascii="Arial" w:hAnsi="Arial" w:eastAsia="Arial" w:cs="Arial"/>
          <w:color w:val="auto"/>
          <w:sz w:val="22"/>
          <w:szCs w:val="22"/>
        </w:rPr>
        <w:t xml:space="preserve"> that cultural beliefs are not fixed traits but responses to context that can be positively shifted through culturally </w:t>
      </w:r>
      <w:r w:rsidRPr="1E99BFFD" w:rsidR="003576A5">
        <w:rPr>
          <w:rFonts w:ascii="Arial" w:hAnsi="Arial" w:eastAsia="Arial" w:cs="Arial"/>
          <w:color w:val="auto"/>
          <w:sz w:val="22"/>
          <w:szCs w:val="22"/>
        </w:rPr>
        <w:t>appropriate health</w:t>
      </w:r>
      <w:r w:rsidRPr="1E99BFFD" w:rsidR="003576A5">
        <w:rPr>
          <w:rFonts w:ascii="Arial" w:hAnsi="Arial" w:eastAsia="Arial" w:cs="Arial"/>
          <w:color w:val="auto"/>
          <w:sz w:val="22"/>
          <w:szCs w:val="22"/>
        </w:rPr>
        <w:t xml:space="preserve"> promotion — a more optimistic reading than either study offers alone. Marcu et al. (2022) supports this, finding that women responded more positively to campaigns reflecting their cultural identities, underlining the importance of representation in public health messaging.</w:t>
      </w:r>
    </w:p>
    <w:p w:rsidRPr="003576A5" w:rsidR="003576A5" w:rsidP="1E99BFFD" w:rsidRDefault="003576A5" w14:paraId="51580FA2" w14:textId="0057FFB5">
      <w:pPr>
        <w:spacing w:line="360" w:lineRule="auto"/>
        <w:rPr>
          <w:rFonts w:ascii="Arial" w:hAnsi="Arial" w:eastAsia="Arial" w:cs="Arial"/>
          <w:color w:val="auto"/>
          <w:sz w:val="22"/>
          <w:szCs w:val="22"/>
        </w:rPr>
      </w:pPr>
    </w:p>
    <w:p w:rsidRPr="003576A5" w:rsidR="003576A5" w:rsidP="1E99BFFD" w:rsidRDefault="003576A5" w14:paraId="60126D1B" w14:textId="4D6BCBA1">
      <w:pPr>
        <w:spacing w:line="360" w:lineRule="auto"/>
        <w:rPr>
          <w:rFonts w:ascii="Arial" w:hAnsi="Arial" w:eastAsia="Arial" w:cs="Arial"/>
          <w:color w:val="auto"/>
          <w:sz w:val="22"/>
          <w:szCs w:val="22"/>
        </w:rPr>
      </w:pPr>
      <w:r w:rsidRPr="1E99BFFD" w:rsidR="003576A5">
        <w:rPr>
          <w:rFonts w:ascii="Arial" w:hAnsi="Arial" w:eastAsia="Arial" w:cs="Arial"/>
          <w:color w:val="auto"/>
          <w:sz w:val="22"/>
          <w:szCs w:val="22"/>
        </w:rPr>
        <w:t xml:space="preserve">Finally, Themes 3 and 4 together reflect a shift in the more recent literature, away from screening alone and towards inequalities across the entire care pathway, including diagnosis, </w:t>
      </w:r>
      <w:r w:rsidRPr="1E99BFFD" w:rsidR="003576A5">
        <w:rPr>
          <w:rFonts w:ascii="Arial" w:hAnsi="Arial" w:eastAsia="Arial" w:cs="Arial"/>
          <w:color w:val="auto"/>
          <w:sz w:val="22"/>
          <w:szCs w:val="22"/>
        </w:rPr>
        <w:t>treatment</w:t>
      </w:r>
      <w:r w:rsidRPr="1E99BFFD" w:rsidR="003576A5">
        <w:rPr>
          <w:rFonts w:ascii="Arial" w:hAnsi="Arial" w:eastAsia="Arial" w:cs="Arial"/>
          <w:color w:val="auto"/>
          <w:sz w:val="22"/>
          <w:szCs w:val="22"/>
        </w:rPr>
        <w:t xml:space="preserve"> and survivorship. Martin et al. (2025) adopts an intersectionality perspective (Theme 3), showing that ethnicity interacts with age, gender </w:t>
      </w:r>
      <w:r w:rsidRPr="1E99BFFD" w:rsidR="003576A5">
        <w:rPr>
          <w:rFonts w:ascii="Arial" w:hAnsi="Arial" w:eastAsia="Arial" w:cs="Arial"/>
          <w:color w:val="auto"/>
          <w:sz w:val="22"/>
          <w:szCs w:val="22"/>
        </w:rPr>
        <w:t>and socioeconomic status to shape healthcare experiences; this qualifies the earlier findings on cultural beliefs and screening barriers, since it suggests those barriers are unlikely to be experienced uniformly by all Black women. Tompkins et al. (2016) and Workman, Thompson and Lau (2023) extend this picture further by highlighting ethnic differences in survivorship experience and the ongoing effects of structural inequality and under-representation in research — evidence that feeds directly into Theme 4's strategies for improving equity. Together, these studies suggest that improving outcomes requires addressing inequalities throughout the entire patient journey, not solely at the point of screening, which is the central argument this review advances.</w:t>
      </w:r>
    </w:p>
    <w:p w:rsidRPr="00580DA5" w:rsidR="00580DA5" w:rsidP="1E99BFFD" w:rsidRDefault="00000000" w14:paraId="25C23BB9" w14:textId="6E341B91">
      <w:pPr>
        <w:pStyle w:val="Heading2"/>
        <w:spacing w:before="300" w:after="150" w:line="360" w:lineRule="auto"/>
        <w:rPr>
          <w:rFonts w:ascii="Arial" w:hAnsi="Arial" w:eastAsia="Arial" w:cs="Arial"/>
          <w:b w:val="1"/>
          <w:bCs w:val="1"/>
          <w:color w:val="auto"/>
          <w:sz w:val="22"/>
          <w:szCs w:val="22"/>
        </w:rPr>
      </w:pPr>
      <w:bookmarkStart w:name="_Toc235442325" w:id="10"/>
      <w:r w:rsidRPr="1E99BFFD" w:rsidR="00000000">
        <w:rPr>
          <w:rFonts w:ascii="Arial" w:hAnsi="Arial" w:eastAsia="Arial" w:cs="Arial"/>
          <w:b w:val="1"/>
          <w:bCs w:val="1"/>
          <w:color w:val="auto"/>
          <w:sz w:val="22"/>
          <w:szCs w:val="22"/>
        </w:rPr>
        <w:t>Gaps in the Existing Literature</w:t>
      </w:r>
      <w:bookmarkEnd w:id="10"/>
    </w:p>
    <w:p w:rsidR="00580DA5" w:rsidP="1E99BFFD" w:rsidRDefault="00580DA5" w14:paraId="0B93FBBB" w14:textId="023CA156">
      <w:pPr>
        <w:pStyle w:val="Normal"/>
        <w:spacing w:line="360" w:lineRule="auto"/>
        <w:rPr>
          <w:rFonts w:ascii="Arial" w:hAnsi="Arial" w:eastAsia="Arial" w:cs="Arial"/>
          <w:sz w:val="22"/>
          <w:szCs w:val="22"/>
        </w:rPr>
      </w:pPr>
      <w:r w:rsidRPr="1E99BFFD" w:rsidR="00580DA5">
        <w:rPr>
          <w:rFonts w:ascii="Arial" w:hAnsi="Arial" w:eastAsia="Arial" w:cs="Arial"/>
          <w:sz w:val="22"/>
          <w:szCs w:val="22"/>
        </w:rPr>
        <w:t>Although the reviewed studies offer valuable insight, several gaps remain. Most research focuses on screening and early diagnosis, with far less evidence on diagnosis pathways, treatment, survivorship and long-term quality of life; consequently, less is known about how inequalities persist once women access specialist services than about how they arise beforehand.</w:t>
      </w:r>
    </w:p>
    <w:p w:rsidRPr="00580DA5" w:rsidR="00580DA5" w:rsidP="1E99BFFD" w:rsidRDefault="00580DA5" w14:paraId="04647DBB" w14:textId="77777777">
      <w:pPr>
        <w:pStyle w:val="Normal"/>
        <w:spacing w:line="360" w:lineRule="auto"/>
        <w:rPr>
          <w:rFonts w:ascii="Arial" w:hAnsi="Arial" w:eastAsia="Arial" w:cs="Arial"/>
          <w:sz w:val="22"/>
          <w:szCs w:val="22"/>
        </w:rPr>
      </w:pPr>
    </w:p>
    <w:p w:rsidRPr="00580DA5" w:rsidR="00580DA5" w:rsidP="1E99BFFD" w:rsidRDefault="00580DA5" w14:paraId="4A019519" w14:textId="3EF43C17">
      <w:pPr>
        <w:pStyle w:val="Normal"/>
        <w:spacing w:line="360" w:lineRule="auto"/>
      </w:pPr>
      <w:r w:rsidRPr="1E99BFFD" w:rsidR="00580DA5">
        <w:rPr>
          <w:rFonts w:ascii="Arial" w:hAnsi="Arial" w:eastAsia="Arial" w:cs="Arial"/>
          <w:sz w:val="22"/>
          <w:szCs w:val="22"/>
        </w:rPr>
        <w:t xml:space="preserve">Many studies also combine Black African and Black Caribbean women within broader ethnic minority groups, potentially masking </w:t>
      </w:r>
      <w:r w:rsidRPr="1E99BFFD" w:rsidR="00580DA5">
        <w:rPr>
          <w:rFonts w:ascii="Arial" w:hAnsi="Arial" w:eastAsia="Arial" w:cs="Arial"/>
          <w:sz w:val="22"/>
          <w:szCs w:val="22"/>
        </w:rPr>
        <w:t>important differences</w:t>
      </w:r>
      <w:r w:rsidRPr="1E99BFFD" w:rsidR="00580DA5">
        <w:rPr>
          <w:rFonts w:ascii="Arial" w:hAnsi="Arial" w:eastAsia="Arial" w:cs="Arial"/>
          <w:sz w:val="22"/>
          <w:szCs w:val="22"/>
        </w:rPr>
        <w:t xml:space="preserve"> between these communities. Martin et al. (2025) argues that future research should adopt an intersectionality framework exploring how ethnicity interacts with socioeconomic status, age and migration history</w:t>
      </w:r>
      <w:r w:rsidRPr="1E99BFFD" w:rsidR="0B3F8BF5">
        <w:rPr>
          <w:rFonts w:ascii="Arial" w:hAnsi="Arial" w:eastAsia="Arial" w:cs="Arial"/>
          <w:sz w:val="22"/>
          <w:szCs w:val="22"/>
        </w:rPr>
        <w:t xml:space="preserve">, </w:t>
      </w:r>
      <w:r w:rsidRPr="1E99BFFD" w:rsidR="00580DA5">
        <w:rPr>
          <w:rFonts w:ascii="Arial" w:hAnsi="Arial" w:eastAsia="Arial" w:cs="Arial"/>
          <w:sz w:val="22"/>
          <w:szCs w:val="22"/>
        </w:rPr>
        <w:t>a gap that connects to Theme 3, where studies examining the wider pathway were most likely to surface within-group differences that screening-focused studies missed.</w:t>
      </w:r>
    </w:p>
    <w:p w:rsidRPr="00580DA5" w:rsidR="00580DA5" w:rsidP="1E99BFFD" w:rsidRDefault="00580DA5" w14:paraId="3EFBAC51" w14:textId="4C108442">
      <w:pPr>
        <w:pStyle w:val="Normal"/>
        <w:spacing w:line="360" w:lineRule="auto"/>
        <w:rPr>
          <w:rFonts w:ascii="Arial" w:hAnsi="Arial" w:eastAsia="Arial" w:cs="Arial"/>
          <w:sz w:val="22"/>
          <w:szCs w:val="22"/>
        </w:rPr>
      </w:pPr>
    </w:p>
    <w:p w:rsidRPr="00580DA5" w:rsidR="00580DA5" w:rsidP="1E99BFFD" w:rsidRDefault="00580DA5" w14:paraId="26C84D93" w14:textId="0F9EDE20">
      <w:pPr>
        <w:pStyle w:val="Normal"/>
        <w:spacing w:line="360" w:lineRule="auto"/>
        <w:rPr>
          <w:rFonts w:ascii="Arial" w:hAnsi="Arial" w:eastAsia="Arial" w:cs="Arial"/>
          <w:color w:val="auto"/>
          <w:sz w:val="22"/>
          <w:szCs w:val="22"/>
        </w:rPr>
      </w:pPr>
      <w:r w:rsidRPr="1E99BFFD" w:rsidR="00580DA5">
        <w:rPr>
          <w:rFonts w:ascii="Arial" w:hAnsi="Arial" w:eastAsia="Arial" w:cs="Arial"/>
          <w:sz w:val="22"/>
          <w:szCs w:val="22"/>
        </w:rPr>
        <w:t xml:space="preserve">Methodological limitations further weaken the evidence base. Qualitative studies offer rich insight but often involve small samples limiting transferability, while quantitative studies </w:t>
      </w:r>
      <w:r w:rsidRPr="1E99BFFD" w:rsidR="00580DA5">
        <w:rPr>
          <w:rFonts w:ascii="Arial" w:hAnsi="Arial" w:eastAsia="Arial" w:cs="Arial"/>
          <w:sz w:val="22"/>
          <w:szCs w:val="22"/>
        </w:rPr>
        <w:t>identify</w:t>
      </w:r>
      <w:r w:rsidRPr="1E99BFFD" w:rsidR="00580DA5">
        <w:rPr>
          <w:rFonts w:ascii="Arial" w:hAnsi="Arial" w:eastAsia="Arial" w:cs="Arial"/>
          <w:sz w:val="22"/>
          <w:szCs w:val="22"/>
        </w:rPr>
        <w:t xml:space="preserve"> disparities without explaining their causes. Few mixed-methods or longitudinal studies follow women across the pathway, making it difficult to track how experiences change over time. The evidence is also geographically skewed towards England, and few studies evaluate interventions aimed at reducing ethnic inequalities. Addressing these combined gaps — pathway stage, within-group diversity, study </w:t>
      </w:r>
      <w:r w:rsidRPr="1E99BFFD" w:rsidR="00580DA5">
        <w:rPr>
          <w:rFonts w:ascii="Arial" w:hAnsi="Arial" w:eastAsia="Arial" w:cs="Arial"/>
          <w:sz w:val="22"/>
          <w:szCs w:val="22"/>
        </w:rPr>
        <w:t>design</w:t>
      </w:r>
      <w:r w:rsidRPr="1E99BFFD" w:rsidR="00580DA5">
        <w:rPr>
          <w:rFonts w:ascii="Arial" w:hAnsi="Arial" w:eastAsia="Arial" w:cs="Arial"/>
          <w:sz w:val="22"/>
          <w:szCs w:val="22"/>
        </w:rPr>
        <w:t xml:space="preserve"> and geography</w:t>
      </w:r>
      <w:r w:rsidRPr="1E99BFFD" w:rsidR="521B681B">
        <w:rPr>
          <w:rFonts w:ascii="Arial" w:hAnsi="Arial" w:eastAsia="Arial" w:cs="Arial"/>
          <w:sz w:val="22"/>
          <w:szCs w:val="22"/>
        </w:rPr>
        <w:t xml:space="preserve">, </w:t>
      </w:r>
      <w:r w:rsidRPr="1E99BFFD" w:rsidR="00580DA5">
        <w:rPr>
          <w:rFonts w:ascii="Arial" w:hAnsi="Arial" w:eastAsia="Arial" w:cs="Arial"/>
          <w:sz w:val="22"/>
          <w:szCs w:val="22"/>
        </w:rPr>
        <w:t>would support the design of more targeted interventions across the entire care pathway</w:t>
      </w:r>
    </w:p>
    <w:p w:rsidR="00A83A4E" w:rsidP="1E99BFFD" w:rsidRDefault="00580DA5" w14:paraId="47199960" w14:textId="5C1B7F5F">
      <w:pPr>
        <w:pStyle w:val="Heading1"/>
        <w:spacing w:before="400" w:after="200" w:line="360" w:lineRule="auto"/>
        <w:rPr>
          <w:rFonts w:ascii="Arial" w:hAnsi="Arial" w:eastAsia="Arial" w:cs="Arial"/>
          <w:b w:val="1"/>
          <w:bCs w:val="1"/>
          <w:color w:val="auto"/>
          <w:sz w:val="22"/>
          <w:szCs w:val="22"/>
        </w:rPr>
      </w:pPr>
      <w:bookmarkStart w:name="_Toc235442326" w:id="11"/>
      <w:r w:rsidRPr="1E99BFFD" w:rsidR="6A3F0636">
        <w:rPr>
          <w:rFonts w:ascii="Arial" w:hAnsi="Arial" w:eastAsia="Arial" w:cs="Arial"/>
          <w:b w:val="1"/>
          <w:bCs w:val="1"/>
          <w:color w:val="auto"/>
          <w:sz w:val="22"/>
          <w:szCs w:val="22"/>
        </w:rPr>
        <w:t>C</w:t>
      </w:r>
      <w:r w:rsidRPr="1E99BFFD" w:rsidR="00580DA5">
        <w:rPr>
          <w:rFonts w:ascii="Arial" w:hAnsi="Arial" w:eastAsia="Arial" w:cs="Arial"/>
          <w:b w:val="1"/>
          <w:bCs w:val="1"/>
          <w:color w:val="auto"/>
          <w:sz w:val="22"/>
          <w:szCs w:val="22"/>
        </w:rPr>
        <w:t>onclusion</w:t>
      </w:r>
      <w:r w:rsidRPr="1E99BFFD" w:rsidR="00580DA5">
        <w:rPr>
          <w:rFonts w:ascii="Arial" w:hAnsi="Arial" w:eastAsia="Arial" w:cs="Arial"/>
          <w:b w:val="1"/>
          <w:bCs w:val="1"/>
          <w:color w:val="auto"/>
          <w:sz w:val="22"/>
          <w:szCs w:val="22"/>
        </w:rPr>
        <w:t xml:space="preserve"> and Recommendations</w:t>
      </w:r>
      <w:bookmarkEnd w:id="11"/>
    </w:p>
    <w:p w:rsidR="00A83A4E" w:rsidP="1E99BFFD" w:rsidRDefault="00000000" w14:paraId="3C1DDBAE" w14:textId="77777777">
      <w:pPr>
        <w:pStyle w:val="Heading2"/>
        <w:spacing w:before="300" w:after="150" w:line="360" w:lineRule="auto"/>
        <w:rPr>
          <w:rFonts w:ascii="Arial" w:hAnsi="Arial" w:eastAsia="Arial" w:cs="Arial"/>
          <w:b w:val="1"/>
          <w:bCs w:val="1"/>
          <w:color w:val="auto"/>
          <w:sz w:val="22"/>
          <w:szCs w:val="22"/>
        </w:rPr>
      </w:pPr>
      <w:bookmarkStart w:name="_Toc235442327" w:id="12"/>
      <w:r w:rsidRPr="1E99BFFD" w:rsidR="00000000">
        <w:rPr>
          <w:rFonts w:ascii="Arial" w:hAnsi="Arial" w:eastAsia="Arial" w:cs="Arial"/>
          <w:b w:val="1"/>
          <w:bCs w:val="1"/>
          <w:color w:val="auto"/>
          <w:sz w:val="22"/>
          <w:szCs w:val="22"/>
        </w:rPr>
        <w:t>Conclusion</w:t>
      </w:r>
      <w:bookmarkEnd w:id="12"/>
    </w:p>
    <w:p w:rsidR="00A83A4E" w:rsidP="1E99BFFD" w:rsidRDefault="00000000" w14:paraId="608179F3"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This scoping review explored the evidence relating to the experiences and barriers affecting Black women throughout the breast cancer care pathway in the United Kingdom. Four key themes were identified: barriers to breast cancer screening and early diagnosis; cultural beliefs and perceptions of breast cancer; experiences throughout the breast cancer care pathway; and strategies to improve equity in breast cancer care. The findings indicate that Black women continue to experience inequalities influenced by cultural beliefs, limited awareness, fear of diagnosis and wider structural barriers within healthcare services. Although national screening programmes have improved access to breast cancer services, disparities in healthcare experiences and outcomes remain evident, and — as this review has shown — these disparities extend well beyond the point of screening into diagnosis, treatment and survivorship.</w:t>
      </w:r>
    </w:p>
    <w:p w:rsidR="00A83A4E" w:rsidP="1E99BFFD" w:rsidRDefault="00000000" w14:paraId="62305404"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The review also identified important gaps within the existing literature. Much of the current evidence focuses on screening and early diagnosis, with less attention given to treatment, survivorship and long-term support, and many studies combine Black African and Black Caribbean women into broader ethnic categories, limiting understanding of the diverse experiences within these communities. Overall, the review highlights the need for more culturally responsive approaches to breast cancer </w:t>
      </w:r>
      <w:r w:rsidRPr="1E99BFFD" w:rsidR="00000000">
        <w:rPr>
          <w:rFonts w:ascii="Arial" w:hAnsi="Arial" w:eastAsia="Arial" w:cs="Arial"/>
          <w:color w:val="auto"/>
          <w:sz w:val="22"/>
          <w:szCs w:val="22"/>
        </w:rPr>
        <w:t>care and continued efforts to reduce ethnic health inequalities across the entire pathway, not solely at the point of screening.</w:t>
      </w:r>
    </w:p>
    <w:p w:rsidR="00A83A4E" w:rsidP="1E99BFFD" w:rsidRDefault="00000000" w14:paraId="7313F724" w14:textId="77777777">
      <w:pPr>
        <w:pStyle w:val="Heading2"/>
        <w:spacing w:before="300" w:after="150" w:line="360" w:lineRule="auto"/>
        <w:rPr>
          <w:rFonts w:ascii="Arial" w:hAnsi="Arial" w:eastAsia="Arial" w:cs="Arial"/>
          <w:b w:val="1"/>
          <w:bCs w:val="1"/>
          <w:color w:val="auto"/>
          <w:sz w:val="22"/>
          <w:szCs w:val="22"/>
        </w:rPr>
      </w:pPr>
      <w:bookmarkStart w:name="_Toc235442328" w:id="13"/>
      <w:r w:rsidRPr="1E99BFFD" w:rsidR="00000000">
        <w:rPr>
          <w:rFonts w:ascii="Arial" w:hAnsi="Arial" w:eastAsia="Arial" w:cs="Arial"/>
          <w:b w:val="1"/>
          <w:bCs w:val="1"/>
          <w:color w:val="auto"/>
          <w:sz w:val="22"/>
          <w:szCs w:val="22"/>
        </w:rPr>
        <w:t>Recommendations</w:t>
      </w:r>
      <w:bookmarkEnd w:id="13"/>
    </w:p>
    <w:p w:rsidR="00A83A4E" w:rsidP="1E99BFFD" w:rsidRDefault="00000000" w14:paraId="5FFD0A2D"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Based on the findings of this review, the following recommendations are proposed:</w:t>
      </w:r>
    </w:p>
    <w:p w:rsidR="00A83A4E" w:rsidP="1E99BFFD" w:rsidRDefault="00000000" w14:paraId="097C41FC" w14:textId="77777777">
      <w:pPr>
        <w:spacing w:after="100" w:line="360" w:lineRule="auto"/>
        <w:rPr>
          <w:rFonts w:ascii="Arial" w:hAnsi="Arial" w:eastAsia="Arial" w:cs="Arial"/>
          <w:color w:val="auto"/>
          <w:sz w:val="22"/>
          <w:szCs w:val="22"/>
        </w:rPr>
      </w:pPr>
      <w:r w:rsidRPr="1E99BFFD" w:rsidR="00000000">
        <w:rPr>
          <w:rFonts w:ascii="Arial" w:hAnsi="Arial" w:eastAsia="Arial" w:cs="Arial"/>
          <w:color w:val="auto"/>
          <w:sz w:val="22"/>
          <w:szCs w:val="22"/>
        </w:rPr>
        <w:t>Healthcare providers should continue to develop culturally appropriate breast cancer awareness initiatives and strengthen partnerships with Black communities to improve trust and engagement with screening and treatment services.</w:t>
      </w:r>
    </w:p>
    <w:p w:rsidR="00A83A4E" w:rsidP="1E99BFFD" w:rsidRDefault="00000000" w14:paraId="7EFC07A8" w14:textId="77777777">
      <w:pPr>
        <w:spacing w:after="100" w:line="360" w:lineRule="auto"/>
        <w:rPr>
          <w:rFonts w:ascii="Arial" w:hAnsi="Arial" w:eastAsia="Arial" w:cs="Arial"/>
          <w:color w:val="auto"/>
          <w:sz w:val="22"/>
          <w:szCs w:val="22"/>
        </w:rPr>
      </w:pPr>
      <w:r w:rsidRPr="1E99BFFD" w:rsidR="00000000">
        <w:rPr>
          <w:rFonts w:ascii="Arial" w:hAnsi="Arial" w:eastAsia="Arial" w:cs="Arial"/>
          <w:color w:val="auto"/>
          <w:sz w:val="22"/>
          <w:szCs w:val="22"/>
        </w:rPr>
        <w:t>Cultural competence training for healthcare professionals should be expanded to enhance communication and patient experience throughout the breast cancer care pathway, not only at the point of diagnosis.</w:t>
      </w:r>
    </w:p>
    <w:p w:rsidR="00A83A4E" w:rsidP="1E99BFFD" w:rsidRDefault="00000000" w14:paraId="25BEB131" w14:textId="77777777">
      <w:pPr>
        <w:spacing w:after="100" w:line="360" w:lineRule="auto"/>
        <w:rPr>
          <w:rFonts w:ascii="Arial" w:hAnsi="Arial" w:eastAsia="Arial" w:cs="Arial"/>
          <w:color w:val="auto"/>
          <w:sz w:val="22"/>
          <w:szCs w:val="22"/>
        </w:rPr>
      </w:pPr>
      <w:r w:rsidRPr="1E99BFFD" w:rsidR="00000000">
        <w:rPr>
          <w:rFonts w:ascii="Arial" w:hAnsi="Arial" w:eastAsia="Arial" w:cs="Arial"/>
          <w:color w:val="auto"/>
          <w:sz w:val="22"/>
          <w:szCs w:val="22"/>
        </w:rPr>
        <w:t xml:space="preserve">Future research should examine experiences across the entire breast cancer care pathway rather than focusing primarily on </w:t>
      </w:r>
      <w:r w:rsidRPr="1E99BFFD" w:rsidR="00000000">
        <w:rPr>
          <w:rFonts w:ascii="Arial" w:hAnsi="Arial" w:eastAsia="Arial" w:cs="Arial"/>
          <w:color w:val="auto"/>
          <w:sz w:val="22"/>
          <w:szCs w:val="22"/>
        </w:rPr>
        <w:t>screening, and</w:t>
      </w:r>
      <w:r w:rsidRPr="1E99BFFD" w:rsidR="00000000">
        <w:rPr>
          <w:rFonts w:ascii="Arial" w:hAnsi="Arial" w:eastAsia="Arial" w:cs="Arial"/>
          <w:color w:val="auto"/>
          <w:sz w:val="22"/>
          <w:szCs w:val="22"/>
        </w:rPr>
        <w:t xml:space="preserve"> should report findings separately for Black African and Black Caribbean women rather than combining them into a single category.</w:t>
      </w:r>
    </w:p>
    <w:p w:rsidR="00A83A4E" w:rsidP="1E99BFFD" w:rsidRDefault="00000000" w14:paraId="1FA073B4" w14:textId="77777777">
      <w:pPr>
        <w:spacing w:after="100" w:line="360" w:lineRule="auto"/>
        <w:rPr>
          <w:rFonts w:ascii="Arial" w:hAnsi="Arial" w:eastAsia="Arial" w:cs="Arial"/>
          <w:color w:val="auto"/>
          <w:sz w:val="22"/>
          <w:szCs w:val="22"/>
        </w:rPr>
      </w:pPr>
      <w:r w:rsidRPr="1E99BFFD" w:rsidR="00000000">
        <w:rPr>
          <w:rFonts w:ascii="Arial" w:hAnsi="Arial" w:eastAsia="Arial" w:cs="Arial"/>
          <w:color w:val="auto"/>
          <w:sz w:val="22"/>
          <w:szCs w:val="22"/>
        </w:rPr>
        <w:t>Larger, longitudinal and mixed-methods studies are needed to evaluate the effectiveness of culturally tailored interventions over time, and to build the evidence base needed to support more equitable breast cancer services in the United Kingdom.</w:t>
      </w:r>
    </w:p>
    <w:p w:rsidR="00A83A4E" w:rsidP="1E99BFFD" w:rsidRDefault="00000000" w14:paraId="69837E21" w14:textId="77777777">
      <w:pPr>
        <w:pStyle w:val="Heading1"/>
        <w:spacing w:before="400" w:after="200" w:line="360" w:lineRule="auto"/>
        <w:rPr>
          <w:rFonts w:ascii="Arial" w:hAnsi="Arial" w:eastAsia="Arial" w:cs="Arial"/>
          <w:b w:val="1"/>
          <w:bCs w:val="1"/>
          <w:color w:val="auto"/>
          <w:sz w:val="22"/>
          <w:szCs w:val="22"/>
        </w:rPr>
      </w:pPr>
      <w:bookmarkStart w:name="_Toc235442329" w:id="14"/>
      <w:r w:rsidRPr="1E99BFFD" w:rsidR="00000000">
        <w:rPr>
          <w:rFonts w:ascii="Arial" w:hAnsi="Arial" w:eastAsia="Arial" w:cs="Arial"/>
          <w:b w:val="1"/>
          <w:bCs w:val="1"/>
          <w:color w:val="auto"/>
          <w:sz w:val="22"/>
          <w:szCs w:val="22"/>
        </w:rPr>
        <w:t>References</w:t>
      </w:r>
      <w:bookmarkEnd w:id="14"/>
    </w:p>
    <w:p w:rsidR="00A83A4E" w:rsidP="1E99BFFD" w:rsidRDefault="00000000" w14:paraId="748AAB9A"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Aliu, A.E., Kerrison, R.S. and Marcu, A. (2025) 'A systematic review of barriers to breast cancer screening, and of interventions designed to increase participation, among women of Black African and Black Caribbean descent in the UK', Psycho-Oncology, 34(2), p. e70093.</w:t>
      </w:r>
    </w:p>
    <w:p w:rsidR="00A83A4E" w:rsidP="1E99BFFD" w:rsidRDefault="00000000" w14:paraId="06E61734"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Arksey, H. and O'Malley, L. (2005) 'Scoping studies: Towards a methodological framework', International Journal of Social Research Methodology, 8(1), pp. 19–32.</w:t>
      </w:r>
    </w:p>
    <w:p w:rsidR="00A83A4E" w:rsidP="1E99BFFD" w:rsidRDefault="00000000" w14:paraId="4414DADD"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Aveyard, H. (2019) Doing a Literature Review in Health and Social Care: A Practical Guide. 4th </w:t>
      </w:r>
      <w:r w:rsidRPr="1E99BFFD" w:rsidR="00000000">
        <w:rPr>
          <w:rFonts w:ascii="Arial" w:hAnsi="Arial" w:eastAsia="Arial" w:cs="Arial"/>
          <w:color w:val="auto"/>
          <w:sz w:val="22"/>
          <w:szCs w:val="22"/>
        </w:rPr>
        <w:t>edn</w:t>
      </w:r>
      <w:r w:rsidRPr="1E99BFFD" w:rsidR="00000000">
        <w:rPr>
          <w:rFonts w:ascii="Arial" w:hAnsi="Arial" w:eastAsia="Arial" w:cs="Arial"/>
          <w:color w:val="auto"/>
          <w:sz w:val="22"/>
          <w:szCs w:val="22"/>
        </w:rPr>
        <w:t>. Maidenhead: Open University Press.</w:t>
      </w:r>
    </w:p>
    <w:p w:rsidR="00A83A4E" w:rsidP="1E99BFFD" w:rsidRDefault="00000000" w14:paraId="6F1D3A3B"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Baird, J., </w:t>
      </w:r>
      <w:r w:rsidRPr="1E99BFFD" w:rsidR="00000000">
        <w:rPr>
          <w:rFonts w:ascii="Arial" w:hAnsi="Arial" w:eastAsia="Arial" w:cs="Arial"/>
          <w:color w:val="auto"/>
          <w:sz w:val="22"/>
          <w:szCs w:val="22"/>
        </w:rPr>
        <w:t>Yogeswaran</w:t>
      </w:r>
      <w:r w:rsidRPr="1E99BFFD" w:rsidR="00000000">
        <w:rPr>
          <w:rFonts w:ascii="Arial" w:hAnsi="Arial" w:eastAsia="Arial" w:cs="Arial"/>
          <w:color w:val="auto"/>
          <w:sz w:val="22"/>
          <w:szCs w:val="22"/>
        </w:rPr>
        <w:t>, G., Oni, G. and Wilson, E.E. (2021) 'What can be done to encourage women from Black, Asian and minority ethnic backgrounds to attend breast screening? A qualitative synthesis of barriers and facilitators', Public Health, 190, pp. 152–159.</w:t>
      </w:r>
    </w:p>
    <w:p w:rsidR="00A83A4E" w:rsidP="1E99BFFD" w:rsidRDefault="00000000" w14:paraId="4F4FE37E"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Cancer Research UK (2024) Breast cancer statistics. Available at: https://www.cancerresearchuk.org/health-professional/cancer-statistics/statistics-by-cancer-type/breast-cancer (Accessed: 9 July 2026).</w:t>
      </w:r>
    </w:p>
    <w:p w:rsidR="00A83A4E" w:rsidP="1E99BFFD" w:rsidRDefault="00000000" w14:paraId="46D72E91"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Estupiñán</w:t>
      </w:r>
      <w:r w:rsidRPr="1E99BFFD" w:rsidR="00000000">
        <w:rPr>
          <w:rFonts w:ascii="Arial" w:hAnsi="Arial" w:eastAsia="Arial" w:cs="Arial"/>
          <w:color w:val="auto"/>
          <w:sz w:val="22"/>
          <w:szCs w:val="22"/>
        </w:rPr>
        <w:t xml:space="preserve"> Fdez. de Mesa, M., Marcu, A., Ream, E. and Whitaker, K.L. (2024) 'Using the Candidacy Framework to understand individual, interpersonal, and system level factors driving inequities in women with breast cancer: a cross-sectional study', BJC Reports.</w:t>
      </w:r>
    </w:p>
    <w:p w:rsidR="00A83A4E" w:rsidP="1E99BFFD" w:rsidRDefault="00000000" w14:paraId="482249B1"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Iyizoba-Ebozue</w:t>
      </w:r>
      <w:r w:rsidRPr="1E99BFFD" w:rsidR="00000000">
        <w:rPr>
          <w:rFonts w:ascii="Arial" w:hAnsi="Arial" w:eastAsia="Arial" w:cs="Arial"/>
          <w:color w:val="auto"/>
          <w:sz w:val="22"/>
          <w:szCs w:val="22"/>
        </w:rPr>
        <w:t xml:space="preserve">, Z., Njoku, K., </w:t>
      </w:r>
      <w:r w:rsidRPr="1E99BFFD" w:rsidR="00000000">
        <w:rPr>
          <w:rFonts w:ascii="Arial" w:hAnsi="Arial" w:eastAsia="Arial" w:cs="Arial"/>
          <w:color w:val="auto"/>
          <w:sz w:val="22"/>
          <w:szCs w:val="22"/>
        </w:rPr>
        <w:t>Fatimilehin</w:t>
      </w:r>
      <w:r w:rsidRPr="1E99BFFD" w:rsidR="00000000">
        <w:rPr>
          <w:rFonts w:ascii="Arial" w:hAnsi="Arial" w:eastAsia="Arial" w:cs="Arial"/>
          <w:color w:val="auto"/>
          <w:sz w:val="22"/>
          <w:szCs w:val="22"/>
        </w:rPr>
        <w:t xml:space="preserve">, A., </w:t>
      </w:r>
      <w:r w:rsidRPr="1E99BFFD" w:rsidR="00000000">
        <w:rPr>
          <w:rFonts w:ascii="Arial" w:hAnsi="Arial" w:eastAsia="Arial" w:cs="Arial"/>
          <w:color w:val="auto"/>
          <w:sz w:val="22"/>
          <w:szCs w:val="22"/>
        </w:rPr>
        <w:t>Mbanu</w:t>
      </w:r>
      <w:r w:rsidRPr="1E99BFFD" w:rsidR="00000000">
        <w:rPr>
          <w:rFonts w:ascii="Arial" w:hAnsi="Arial" w:eastAsia="Arial" w:cs="Arial"/>
          <w:color w:val="auto"/>
          <w:sz w:val="22"/>
          <w:szCs w:val="22"/>
        </w:rPr>
        <w:t>, P. and Adeleke, S. (2026) 'Disparity in cancer screening among Black and other ethnic minority groups in the UK', Clinical Oncology, 50.</w:t>
      </w:r>
    </w:p>
    <w:p w:rsidR="00A83A4E" w:rsidP="1E99BFFD" w:rsidRDefault="00000000" w14:paraId="6671DD0C"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Jones, C.E., Maben, J., Lucas, G., Davies, E.A., Jack, R.H. and Ream, E. (2016) 'Barriers to early diagnosis of symptomatic breast cancer: A qualitative study of Black African, Black Caribbean and White British women living in the UK', BMJ Open, 5(3), e006944.</w:t>
      </w:r>
    </w:p>
    <w:p w:rsidR="00A83A4E" w:rsidP="1E99BFFD" w:rsidRDefault="00000000" w14:paraId="3939F5B8"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Marcu, A., Marke, L., Armes, J., Whitaker, K.L. and Ream, E. (2022) 'Adapting a breast cancer early presentation intervention for Black women: A focus group study with women of Black African and Black Caribbean descent in the United Kingdom', European Journal of Cancer Care, 31(6), p. e13652.</w:t>
      </w:r>
    </w:p>
    <w:p w:rsidR="00A83A4E" w:rsidP="1E99BFFD" w:rsidRDefault="00000000" w14:paraId="7F945DF2"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Marmot, M., Allen, J., Boyce, T., Goldblatt, P. and Morrison, J. (2020) Health Equity in England: The Marmot Review 10 Years On. London: Institute of Health Equity.</w:t>
      </w:r>
    </w:p>
    <w:p w:rsidR="00A83A4E" w:rsidP="1E99BFFD" w:rsidRDefault="00000000" w14:paraId="79E4FF67"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Martin, K.J., </w:t>
      </w:r>
      <w:r w:rsidRPr="1E99BFFD" w:rsidR="00000000">
        <w:rPr>
          <w:rFonts w:ascii="Arial" w:hAnsi="Arial" w:eastAsia="Arial" w:cs="Arial"/>
          <w:color w:val="auto"/>
          <w:sz w:val="22"/>
          <w:szCs w:val="22"/>
        </w:rPr>
        <w:t>Estupiñán</w:t>
      </w:r>
      <w:r w:rsidRPr="1E99BFFD" w:rsidR="00000000">
        <w:rPr>
          <w:rFonts w:ascii="Arial" w:hAnsi="Arial" w:eastAsia="Arial" w:cs="Arial"/>
          <w:color w:val="auto"/>
          <w:sz w:val="22"/>
          <w:szCs w:val="22"/>
        </w:rPr>
        <w:t xml:space="preserve"> Fdez. de Mesa, M., Ferguson, M., Green, S., Marcu, A., Ream, E. and Whitaker, K.L. (2025) 'Applying the intersectionality lens to understand minority ethnic women's experiences of the breast cancer care pathway in England: A qualitative interview study', Psycho-Oncology, 34(2), p. e70092.</w:t>
      </w:r>
    </w:p>
    <w:p w:rsidR="00A83A4E" w:rsidP="1E99BFFD" w:rsidRDefault="00000000" w14:paraId="6127013C"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National Institute for Health and Care Excellence (NICE) (2023) Early and locally advanced breast cancer: Diagnosis and management (NG101). London: NICE.</w:t>
      </w:r>
    </w:p>
    <w:p w:rsidR="00A83A4E" w:rsidP="1E99BFFD" w:rsidRDefault="00000000" w14:paraId="30674D83"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NHS England (2019) The NHS Long Term Plan. London: NHS England.</w:t>
      </w:r>
    </w:p>
    <w:p w:rsidR="00A83A4E" w:rsidP="1E99BFFD" w:rsidRDefault="00000000" w14:paraId="061577F4"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NHS England (2024) NHS Breast Screening Programme. Available at: https://www.nhs.uk/conditions/breast-screening-mammogram/ (Accessed: 9 July 2026).</w:t>
      </w:r>
    </w:p>
    <w:p w:rsidR="00A83A4E" w:rsidP="1E99BFFD" w:rsidRDefault="00000000" w14:paraId="00A78B8F"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Sajjad, P., Shepperd, S., Dawson, S., Dhaliwal, B., Roberts, N. and </w:t>
      </w:r>
      <w:r w:rsidRPr="1E99BFFD" w:rsidR="00000000">
        <w:rPr>
          <w:rFonts w:ascii="Arial" w:hAnsi="Arial" w:eastAsia="Arial" w:cs="Arial"/>
          <w:color w:val="auto"/>
          <w:sz w:val="22"/>
          <w:szCs w:val="22"/>
        </w:rPr>
        <w:t>Gathani</w:t>
      </w:r>
      <w:r w:rsidRPr="1E99BFFD" w:rsidR="00000000">
        <w:rPr>
          <w:rFonts w:ascii="Arial" w:hAnsi="Arial" w:eastAsia="Arial" w:cs="Arial"/>
          <w:color w:val="auto"/>
          <w:sz w:val="22"/>
          <w:szCs w:val="22"/>
        </w:rPr>
        <w:t>, T. (2024) 'Barriers to and enablers of the early diagnosis of breast cancer among women from ethnic backgrounds in the UK: Protocol for a qualitative evidence synthesis', BMJ Open, 14(11), e092480.</w:t>
      </w:r>
    </w:p>
    <w:p w:rsidR="00A83A4E" w:rsidP="1E99BFFD" w:rsidRDefault="00000000" w14:paraId="36A19E1A"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The King's Fund (2023) What are health inequalities? Available at: https://www.kingsfund.org.uk/insight-and-analysis/long-reads/what-are-health-inequalities (Accessed: 9 July 2026).</w:t>
      </w:r>
    </w:p>
    <w:p w:rsidR="00A83A4E" w:rsidP="1E99BFFD" w:rsidRDefault="00000000" w14:paraId="713B2B47"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Tompkins, C., Scanlon, K., Scott, E., Ream, E., Harding, S. and Armes, J. (2016) 'Survivorship care and support following treatment for breast cancer: A multi-ethnic comparative qualitative study of women's experiences', BMC Health Services Research, 16(1), p. 401.</w:t>
      </w:r>
    </w:p>
    <w:p w:rsidR="00A83A4E" w:rsidP="1E99BFFD" w:rsidRDefault="00000000" w14:paraId="05F83450"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Vrinten</w:t>
      </w:r>
      <w:r w:rsidRPr="1E99BFFD" w:rsidR="00000000">
        <w:rPr>
          <w:rFonts w:ascii="Arial" w:hAnsi="Arial" w:eastAsia="Arial" w:cs="Arial"/>
          <w:color w:val="auto"/>
          <w:sz w:val="22"/>
          <w:szCs w:val="22"/>
        </w:rPr>
        <w:t>, C., Wardle, J. and Marlow, L.A.V. (2016) 'Cancer fear and fatalism among ethnic minority women in the United Kingdom', British Journal of Cancer, 114(5), pp. 597–604.</w:t>
      </w:r>
    </w:p>
    <w:p w:rsidR="00A83A4E" w:rsidP="1E99BFFD" w:rsidRDefault="00000000" w14:paraId="1DFB9BBC"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 xml:space="preserve">Williams, G., Mueller, J., </w:t>
      </w:r>
      <w:r w:rsidRPr="1E99BFFD" w:rsidR="00000000">
        <w:rPr>
          <w:rFonts w:ascii="Arial" w:hAnsi="Arial" w:eastAsia="Arial" w:cs="Arial"/>
          <w:color w:val="auto"/>
          <w:sz w:val="22"/>
          <w:szCs w:val="22"/>
        </w:rPr>
        <w:t>Mbeledogu</w:t>
      </w:r>
      <w:r w:rsidRPr="1E99BFFD" w:rsidR="00000000">
        <w:rPr>
          <w:rFonts w:ascii="Arial" w:hAnsi="Arial" w:eastAsia="Arial" w:cs="Arial"/>
          <w:color w:val="auto"/>
          <w:sz w:val="22"/>
          <w:szCs w:val="22"/>
        </w:rPr>
        <w:t xml:space="preserve">, C., Spencer, A., Parry-Harries, E., Harrison, A., Clough, G., Greenhalgh, C. and Verma, A. (2020) 'The impact of a volunteer-led community cancer awareness programme on knowledge of cancer risk factors and symptoms, screening, and barriers to seeking help', Patient Education and </w:t>
      </w:r>
      <w:r w:rsidRPr="1E99BFFD" w:rsidR="00000000">
        <w:rPr>
          <w:rFonts w:ascii="Arial" w:hAnsi="Arial" w:eastAsia="Arial" w:cs="Arial"/>
          <w:color w:val="auto"/>
          <w:sz w:val="22"/>
          <w:szCs w:val="22"/>
        </w:rPr>
        <w:t>Counseling</w:t>
      </w:r>
      <w:r w:rsidRPr="1E99BFFD" w:rsidR="00000000">
        <w:rPr>
          <w:rFonts w:ascii="Arial" w:hAnsi="Arial" w:eastAsia="Arial" w:cs="Arial"/>
          <w:color w:val="auto"/>
          <w:sz w:val="22"/>
          <w:szCs w:val="22"/>
        </w:rPr>
        <w:t>, 103(3), pp. 563–570.</w:t>
      </w:r>
    </w:p>
    <w:p w:rsidR="00A83A4E" w:rsidP="1E99BFFD" w:rsidRDefault="00000000" w14:paraId="58923763"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Workman, S.C., Thompson, M.C. and Lau, L. (2023) 'Decolonising medical knowledge: The case of breast cancer and ethnicity in the UK', Journal of Cancer Policy, 36, p. 100365.</w:t>
      </w:r>
    </w:p>
    <w:p w:rsidR="00A83A4E" w:rsidP="1E99BFFD" w:rsidRDefault="00000000" w14:paraId="7C63C4BA" w14:textId="77777777">
      <w:pPr>
        <w:pStyle w:val="Heading1"/>
        <w:spacing w:before="400" w:after="200" w:line="360" w:lineRule="auto"/>
        <w:rPr>
          <w:rFonts w:ascii="Arial" w:hAnsi="Arial" w:eastAsia="Arial" w:cs="Arial"/>
          <w:b w:val="1"/>
          <w:bCs w:val="1"/>
          <w:color w:val="auto"/>
          <w:sz w:val="22"/>
          <w:szCs w:val="22"/>
        </w:rPr>
      </w:pPr>
      <w:bookmarkStart w:name="_Toc235442330" w:id="15"/>
      <w:r w:rsidRPr="1E99BFFD" w:rsidR="00000000">
        <w:rPr>
          <w:rFonts w:ascii="Arial" w:hAnsi="Arial" w:eastAsia="Arial" w:cs="Arial"/>
          <w:b w:val="1"/>
          <w:bCs w:val="1"/>
          <w:color w:val="auto"/>
          <w:sz w:val="22"/>
          <w:szCs w:val="22"/>
        </w:rPr>
        <w:t>Appendices</w:t>
      </w:r>
      <w:bookmarkEnd w:id="15"/>
    </w:p>
    <w:p w:rsidR="00A83A4E" w:rsidP="1E99BFFD" w:rsidRDefault="00000000" w14:paraId="1A7F05C3" w14:textId="77777777">
      <w:pPr>
        <w:pStyle w:val="Heading2"/>
        <w:spacing w:before="300" w:after="150" w:line="360" w:lineRule="auto"/>
        <w:rPr>
          <w:rFonts w:ascii="Arial" w:hAnsi="Arial" w:eastAsia="Arial" w:cs="Arial"/>
          <w:b w:val="1"/>
          <w:bCs w:val="1"/>
          <w:color w:val="auto"/>
          <w:sz w:val="22"/>
          <w:szCs w:val="22"/>
        </w:rPr>
      </w:pPr>
      <w:bookmarkStart w:name="_Toc235442331" w:id="16"/>
      <w:r w:rsidRPr="1E99BFFD" w:rsidR="00000000">
        <w:rPr>
          <w:rFonts w:ascii="Arial" w:hAnsi="Arial" w:eastAsia="Arial" w:cs="Arial"/>
          <w:b w:val="1"/>
          <w:bCs w:val="1"/>
          <w:color w:val="auto"/>
          <w:sz w:val="22"/>
          <w:szCs w:val="22"/>
        </w:rPr>
        <w:t>Appendix 1: Full Search Strategy</w:t>
      </w:r>
      <w:bookmarkEnd w:id="16"/>
    </w:p>
    <w:p w:rsidR="00A83A4E" w:rsidP="1E99BFFD" w:rsidRDefault="00000000" w14:paraId="160CDCCA"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Databases and platforms searched: PubMed; MEDLINE; Scopus; Google Scholar; University of Wales Trinity Saint David (UWTSD) Library Discovery Search (a discovery platform searching multiple subscribed databases, not a database in its own right).</w:t>
      </w:r>
    </w:p>
    <w:p w:rsidR="00A83A4E" w:rsidP="1E99BFFD" w:rsidRDefault="00000000" w14:paraId="067EE7C9" w14:textId="77777777">
      <w:pPr>
        <w:spacing w:after="200" w:line="360" w:lineRule="auto"/>
        <w:jc w:val="both"/>
        <w:rPr>
          <w:rFonts w:ascii="Arial" w:hAnsi="Arial" w:eastAsia="Arial" w:cs="Arial"/>
          <w:color w:val="auto"/>
          <w:sz w:val="22"/>
          <w:szCs w:val="22"/>
        </w:rPr>
      </w:pPr>
      <w:r w:rsidRPr="1E99BFFD" w:rsidR="00000000">
        <w:rPr>
          <w:rFonts w:ascii="Arial" w:hAnsi="Arial" w:eastAsia="Arial" w:cs="Arial"/>
          <w:color w:val="auto"/>
          <w:sz w:val="22"/>
          <w:szCs w:val="22"/>
        </w:rPr>
        <w:t>Search terms, combined using Boolean operators (AND, OR):</w:t>
      </w:r>
    </w:p>
    <w:tbl>
      <w:tblPr>
        <w:tblW w:w="93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2500"/>
        <w:gridCol w:w="6850"/>
      </w:tblGrid>
      <w:tr w:rsidR="00A83A4E" w:rsidTr="1E99BFFD" w14:paraId="0B67CBCF" w14:textId="77777777">
        <w:tblPrEx>
          <w:tblCellMar>
            <w:top w:w="0" w:type="dxa"/>
            <w:bottom w:w="0" w:type="dxa"/>
          </w:tblCellMar>
        </w:tblPrEx>
        <w:tc>
          <w:tcPr>
            <w:tcW w:w="2500" w:type="dxa"/>
            <w:shd w:val="clear" w:color="auto" w:fill="1F3864"/>
            <w:tcMar>
              <w:top w:w="100" w:type="dxa"/>
              <w:left w:w="100" w:type="dxa"/>
              <w:bottom w:w="100" w:type="dxa"/>
              <w:right w:w="100" w:type="dxa"/>
            </w:tcMar>
          </w:tcPr>
          <w:p w:rsidR="00A83A4E" w:rsidP="1E99BFFD" w:rsidRDefault="00000000" w14:paraId="4D8EB88D" w14:textId="77777777">
            <w:pPr>
              <w:spacing w:line="360" w:lineRule="auto"/>
              <w:rPr>
                <w:rFonts w:ascii="Arial" w:hAnsi="Arial" w:eastAsia="Arial" w:cs="Arial"/>
                <w:b w:val="1"/>
                <w:bCs w:val="1"/>
                <w:color w:val="auto"/>
                <w:sz w:val="20"/>
                <w:szCs w:val="20"/>
              </w:rPr>
            </w:pPr>
            <w:r w:rsidRPr="1E99BFFD" w:rsidR="00000000">
              <w:rPr>
                <w:rFonts w:ascii="Arial" w:hAnsi="Arial" w:eastAsia="Arial" w:cs="Arial"/>
                <w:b w:val="1"/>
                <w:bCs w:val="1"/>
                <w:color w:val="auto"/>
                <w:sz w:val="20"/>
                <w:szCs w:val="20"/>
              </w:rPr>
              <w:t>Concept group</w:t>
            </w:r>
          </w:p>
        </w:tc>
        <w:tc>
          <w:tcPr>
            <w:tcW w:w="6850" w:type="dxa"/>
            <w:shd w:val="clear" w:color="auto" w:fill="1F3864"/>
            <w:tcMar>
              <w:top w:w="100" w:type="dxa"/>
              <w:left w:w="100" w:type="dxa"/>
              <w:bottom w:w="100" w:type="dxa"/>
              <w:right w:w="100" w:type="dxa"/>
            </w:tcMar>
          </w:tcPr>
          <w:p w:rsidR="00A83A4E" w:rsidP="1E99BFFD" w:rsidRDefault="00000000" w14:paraId="774ACB57" w14:textId="77777777">
            <w:pPr>
              <w:spacing w:line="360" w:lineRule="auto"/>
              <w:rPr>
                <w:rFonts w:ascii="Arial" w:hAnsi="Arial" w:eastAsia="Arial" w:cs="Arial"/>
                <w:b w:val="1"/>
                <w:bCs w:val="1"/>
                <w:color w:val="auto"/>
                <w:sz w:val="20"/>
                <w:szCs w:val="20"/>
              </w:rPr>
            </w:pPr>
            <w:r w:rsidRPr="1E99BFFD" w:rsidR="00000000">
              <w:rPr>
                <w:rFonts w:ascii="Arial" w:hAnsi="Arial" w:eastAsia="Arial" w:cs="Arial"/>
                <w:b w:val="1"/>
                <w:bCs w:val="1"/>
                <w:color w:val="auto"/>
                <w:sz w:val="20"/>
                <w:szCs w:val="20"/>
              </w:rPr>
              <w:t>Search terms</w:t>
            </w:r>
          </w:p>
        </w:tc>
      </w:tr>
      <w:tr w:rsidR="00A83A4E" w:rsidTr="1E99BFFD" w14:paraId="4CE5D1A5" w14:textId="77777777">
        <w:tblPrEx>
          <w:tblCellMar>
            <w:top w:w="0" w:type="dxa"/>
            <w:bottom w:w="0" w:type="dxa"/>
          </w:tblCellMar>
        </w:tblPrEx>
        <w:tc>
          <w:tcPr>
            <w:tcW w:w="2500" w:type="dxa"/>
            <w:tcMar>
              <w:top w:w="100" w:type="dxa"/>
              <w:left w:w="100" w:type="dxa"/>
              <w:bottom w:w="100" w:type="dxa"/>
              <w:right w:w="100" w:type="dxa"/>
            </w:tcMar>
          </w:tcPr>
          <w:p w:rsidR="00A83A4E" w:rsidP="1E99BFFD" w:rsidRDefault="00000000" w14:paraId="280279C6"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Population</w:t>
            </w:r>
          </w:p>
        </w:tc>
        <w:tc>
          <w:tcPr>
            <w:tcW w:w="6850" w:type="dxa"/>
            <w:tcMar>
              <w:top w:w="100" w:type="dxa"/>
              <w:left w:w="100" w:type="dxa"/>
              <w:bottom w:w="100" w:type="dxa"/>
              <w:right w:w="100" w:type="dxa"/>
            </w:tcMar>
          </w:tcPr>
          <w:p w:rsidR="00A83A4E" w:rsidP="1E99BFFD" w:rsidRDefault="00000000" w14:paraId="020675E7"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Black women; Black African women; Black Caribbean women; ethnic minority women</w:t>
            </w:r>
          </w:p>
        </w:tc>
      </w:tr>
      <w:tr w:rsidR="00A83A4E" w:rsidTr="1E99BFFD" w14:paraId="6ABF95D7" w14:textId="77777777">
        <w:tblPrEx>
          <w:tblCellMar>
            <w:top w:w="0" w:type="dxa"/>
            <w:bottom w:w="0" w:type="dxa"/>
          </w:tblCellMar>
        </w:tblPrEx>
        <w:tc>
          <w:tcPr>
            <w:tcW w:w="2500" w:type="dxa"/>
            <w:tcMar>
              <w:top w:w="100" w:type="dxa"/>
              <w:left w:w="100" w:type="dxa"/>
              <w:bottom w:w="100" w:type="dxa"/>
              <w:right w:w="100" w:type="dxa"/>
            </w:tcMar>
          </w:tcPr>
          <w:p w:rsidR="00A83A4E" w:rsidP="1E99BFFD" w:rsidRDefault="00000000" w14:paraId="27A87FA9"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Condition</w:t>
            </w:r>
          </w:p>
        </w:tc>
        <w:tc>
          <w:tcPr>
            <w:tcW w:w="6850" w:type="dxa"/>
            <w:tcMar>
              <w:top w:w="100" w:type="dxa"/>
              <w:left w:w="100" w:type="dxa"/>
              <w:bottom w:w="100" w:type="dxa"/>
              <w:right w:w="100" w:type="dxa"/>
            </w:tcMar>
          </w:tcPr>
          <w:p w:rsidR="00A83A4E" w:rsidP="1E99BFFD" w:rsidRDefault="00000000" w14:paraId="06364346"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Breast cancer; breast neoplasms</w:t>
            </w:r>
          </w:p>
        </w:tc>
      </w:tr>
      <w:tr w:rsidR="00A83A4E" w:rsidTr="1E99BFFD" w14:paraId="57C268D8" w14:textId="77777777">
        <w:tblPrEx>
          <w:tblCellMar>
            <w:top w:w="0" w:type="dxa"/>
            <w:bottom w:w="0" w:type="dxa"/>
          </w:tblCellMar>
        </w:tblPrEx>
        <w:tc>
          <w:tcPr>
            <w:tcW w:w="2500" w:type="dxa"/>
            <w:tcMar>
              <w:top w:w="100" w:type="dxa"/>
              <w:left w:w="100" w:type="dxa"/>
              <w:bottom w:w="100" w:type="dxa"/>
              <w:right w:w="100" w:type="dxa"/>
            </w:tcMar>
          </w:tcPr>
          <w:p w:rsidR="00A83A4E" w:rsidP="1E99BFFD" w:rsidRDefault="00000000" w14:paraId="52E448E6"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Setting</w:t>
            </w:r>
          </w:p>
        </w:tc>
        <w:tc>
          <w:tcPr>
            <w:tcW w:w="6850" w:type="dxa"/>
            <w:tcMar>
              <w:top w:w="100" w:type="dxa"/>
              <w:left w:w="100" w:type="dxa"/>
              <w:bottom w:w="100" w:type="dxa"/>
              <w:right w:w="100" w:type="dxa"/>
            </w:tcMar>
          </w:tcPr>
          <w:p w:rsidR="00A83A4E" w:rsidP="1E99BFFD" w:rsidRDefault="00000000" w14:paraId="1ACD79B2"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United Kingdom</w:t>
            </w:r>
          </w:p>
        </w:tc>
      </w:tr>
      <w:tr w:rsidR="00A83A4E" w:rsidTr="1E99BFFD" w14:paraId="1F8F6AA2" w14:textId="77777777">
        <w:tblPrEx>
          <w:tblCellMar>
            <w:top w:w="0" w:type="dxa"/>
            <w:bottom w:w="0" w:type="dxa"/>
          </w:tblCellMar>
        </w:tblPrEx>
        <w:tc>
          <w:tcPr>
            <w:tcW w:w="2500" w:type="dxa"/>
            <w:tcMar>
              <w:top w:w="100" w:type="dxa"/>
              <w:left w:w="100" w:type="dxa"/>
              <w:bottom w:w="100" w:type="dxa"/>
              <w:right w:w="100" w:type="dxa"/>
            </w:tcMar>
          </w:tcPr>
          <w:p w:rsidR="00A83A4E" w:rsidP="1E99BFFD" w:rsidRDefault="00000000" w14:paraId="583D15BC"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Concept</w:t>
            </w:r>
          </w:p>
        </w:tc>
        <w:tc>
          <w:tcPr>
            <w:tcW w:w="6850" w:type="dxa"/>
            <w:tcMar>
              <w:top w:w="100" w:type="dxa"/>
              <w:left w:w="100" w:type="dxa"/>
              <w:bottom w:w="100" w:type="dxa"/>
              <w:right w:w="100" w:type="dxa"/>
            </w:tcMar>
          </w:tcPr>
          <w:p w:rsidR="00A83A4E" w:rsidP="1E99BFFD" w:rsidRDefault="00000000" w14:paraId="3A77C362"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Healthcare experiences; barriers; health inequalities; breast cancer screening; breast cancer treatment</w:t>
            </w:r>
          </w:p>
        </w:tc>
      </w:tr>
    </w:tbl>
    <w:p w:rsidR="00A83A4E" w:rsidP="1E99BFFD" w:rsidRDefault="00000000" w14:paraId="3651F3BA" w14:textId="77777777">
      <w:pPr>
        <w:pStyle w:val="Heading2"/>
        <w:spacing w:before="300" w:after="150" w:line="360" w:lineRule="auto"/>
        <w:rPr>
          <w:rFonts w:ascii="Arial" w:hAnsi="Arial" w:eastAsia="Arial" w:cs="Arial"/>
          <w:b w:val="1"/>
          <w:bCs w:val="1"/>
          <w:color w:val="auto"/>
          <w:sz w:val="22"/>
          <w:szCs w:val="22"/>
        </w:rPr>
      </w:pPr>
      <w:bookmarkStart w:name="_Toc235442332" w:id="17"/>
      <w:r w:rsidRPr="1E99BFFD" w:rsidR="00000000">
        <w:rPr>
          <w:rFonts w:ascii="Arial" w:hAnsi="Arial" w:eastAsia="Arial" w:cs="Arial"/>
          <w:b w:val="1"/>
          <w:bCs w:val="1"/>
          <w:color w:val="auto"/>
          <w:sz w:val="22"/>
          <w:szCs w:val="22"/>
        </w:rPr>
        <w:t>Appendix 2: Full Inclusion and Exclusion Criteria</w:t>
      </w:r>
      <w:bookmarkEnd w:id="17"/>
    </w:p>
    <w:tbl>
      <w:tblPr>
        <w:tblW w:w="93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4675"/>
        <w:gridCol w:w="4675"/>
      </w:tblGrid>
      <w:tr w:rsidR="00A83A4E" w:rsidTr="1E99BFFD" w14:paraId="140CC4E6" w14:textId="77777777">
        <w:tblPrEx>
          <w:tblCellMar>
            <w:top w:w="0" w:type="dxa"/>
            <w:bottom w:w="0" w:type="dxa"/>
          </w:tblCellMar>
        </w:tblPrEx>
        <w:tc>
          <w:tcPr>
            <w:tcW w:w="4675" w:type="dxa"/>
            <w:shd w:val="clear" w:color="auto" w:fill="1F3864"/>
            <w:tcMar>
              <w:top w:w="100" w:type="dxa"/>
              <w:left w:w="100" w:type="dxa"/>
              <w:bottom w:w="100" w:type="dxa"/>
              <w:right w:w="100" w:type="dxa"/>
            </w:tcMar>
          </w:tcPr>
          <w:p w:rsidR="00A83A4E" w:rsidP="1E99BFFD" w:rsidRDefault="00000000" w14:paraId="01000163" w14:textId="77777777">
            <w:pPr>
              <w:spacing w:line="360" w:lineRule="auto"/>
              <w:rPr>
                <w:rFonts w:ascii="Arial" w:hAnsi="Arial" w:eastAsia="Arial" w:cs="Arial"/>
                <w:b w:val="1"/>
                <w:bCs w:val="1"/>
                <w:color w:val="auto"/>
                <w:sz w:val="20"/>
                <w:szCs w:val="20"/>
              </w:rPr>
            </w:pPr>
            <w:r w:rsidRPr="1E99BFFD" w:rsidR="00000000">
              <w:rPr>
                <w:rFonts w:ascii="Arial" w:hAnsi="Arial" w:eastAsia="Arial" w:cs="Arial"/>
                <w:b w:val="1"/>
                <w:bCs w:val="1"/>
                <w:color w:val="auto"/>
                <w:sz w:val="20"/>
                <w:szCs w:val="20"/>
              </w:rPr>
              <w:t>Inclusion Criteria</w:t>
            </w:r>
          </w:p>
        </w:tc>
        <w:tc>
          <w:tcPr>
            <w:tcW w:w="4675" w:type="dxa"/>
            <w:shd w:val="clear" w:color="auto" w:fill="1F3864"/>
            <w:tcMar>
              <w:top w:w="100" w:type="dxa"/>
              <w:left w:w="100" w:type="dxa"/>
              <w:bottom w:w="100" w:type="dxa"/>
              <w:right w:w="100" w:type="dxa"/>
            </w:tcMar>
          </w:tcPr>
          <w:p w:rsidR="00A83A4E" w:rsidP="1E99BFFD" w:rsidRDefault="00000000" w14:paraId="7841EC22" w14:textId="77777777">
            <w:pPr>
              <w:spacing w:line="360" w:lineRule="auto"/>
              <w:rPr>
                <w:rFonts w:ascii="Arial" w:hAnsi="Arial" w:eastAsia="Arial" w:cs="Arial"/>
                <w:b w:val="1"/>
                <w:bCs w:val="1"/>
                <w:color w:val="auto"/>
                <w:sz w:val="20"/>
                <w:szCs w:val="20"/>
              </w:rPr>
            </w:pPr>
            <w:r w:rsidRPr="1E99BFFD" w:rsidR="00000000">
              <w:rPr>
                <w:rFonts w:ascii="Arial" w:hAnsi="Arial" w:eastAsia="Arial" w:cs="Arial"/>
                <w:b w:val="1"/>
                <w:bCs w:val="1"/>
                <w:color w:val="auto"/>
                <w:sz w:val="20"/>
                <w:szCs w:val="20"/>
              </w:rPr>
              <w:t>Exclusion Criteria</w:t>
            </w:r>
          </w:p>
        </w:tc>
      </w:tr>
      <w:tr w:rsidR="00A83A4E" w:rsidTr="1E99BFFD" w14:paraId="3E948B28" w14:textId="77777777">
        <w:tblPrEx>
          <w:tblCellMar>
            <w:top w:w="0" w:type="dxa"/>
            <w:bottom w:w="0" w:type="dxa"/>
          </w:tblCellMar>
        </w:tblPrEx>
        <w:tc>
          <w:tcPr>
            <w:tcW w:w="4675" w:type="dxa"/>
            <w:tcMar>
              <w:top w:w="100" w:type="dxa"/>
              <w:left w:w="100" w:type="dxa"/>
              <w:bottom w:w="100" w:type="dxa"/>
              <w:right w:w="100" w:type="dxa"/>
            </w:tcMar>
          </w:tcPr>
          <w:p w:rsidR="00A83A4E" w:rsidP="1E99BFFD" w:rsidRDefault="00000000" w14:paraId="48EA63D3"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Peer-reviewed journal articles</w:t>
            </w:r>
          </w:p>
        </w:tc>
        <w:tc>
          <w:tcPr>
            <w:tcW w:w="4675" w:type="dxa"/>
            <w:tcMar>
              <w:top w:w="100" w:type="dxa"/>
              <w:left w:w="100" w:type="dxa"/>
              <w:bottom w:w="100" w:type="dxa"/>
              <w:right w:w="100" w:type="dxa"/>
            </w:tcMar>
          </w:tcPr>
          <w:p w:rsidR="00A83A4E" w:rsidP="1E99BFFD" w:rsidRDefault="00000000" w14:paraId="63047F4D"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Conference abstracts, editorials, commentaries and opinion articles</w:t>
            </w:r>
          </w:p>
        </w:tc>
      </w:tr>
      <w:tr w:rsidR="00A83A4E" w:rsidTr="1E99BFFD" w14:paraId="3520896D" w14:textId="77777777">
        <w:tblPrEx>
          <w:tblCellMar>
            <w:top w:w="0" w:type="dxa"/>
            <w:bottom w:w="0" w:type="dxa"/>
          </w:tblCellMar>
        </w:tblPrEx>
        <w:tc>
          <w:tcPr>
            <w:tcW w:w="4675" w:type="dxa"/>
            <w:tcMar>
              <w:top w:w="100" w:type="dxa"/>
              <w:left w:w="100" w:type="dxa"/>
              <w:bottom w:w="100" w:type="dxa"/>
              <w:right w:w="100" w:type="dxa"/>
            </w:tcMar>
          </w:tcPr>
          <w:p w:rsidR="00A83A4E" w:rsidP="1E99BFFD" w:rsidRDefault="00000000" w14:paraId="63AB63BB"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Published in English</w:t>
            </w:r>
          </w:p>
        </w:tc>
        <w:tc>
          <w:tcPr>
            <w:tcW w:w="4675" w:type="dxa"/>
            <w:tcMar>
              <w:top w:w="100" w:type="dxa"/>
              <w:left w:w="100" w:type="dxa"/>
              <w:bottom w:w="100" w:type="dxa"/>
              <w:right w:w="100" w:type="dxa"/>
            </w:tcMar>
          </w:tcPr>
          <w:p w:rsidR="00A83A4E" w:rsidP="1E99BFFD" w:rsidRDefault="00000000" w14:paraId="411DF3D8"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Non-English publications</w:t>
            </w:r>
          </w:p>
        </w:tc>
      </w:tr>
      <w:tr w:rsidR="00A83A4E" w:rsidTr="1E99BFFD" w14:paraId="22A0BB85" w14:textId="77777777">
        <w:tblPrEx>
          <w:tblCellMar>
            <w:top w:w="0" w:type="dxa"/>
            <w:bottom w:w="0" w:type="dxa"/>
          </w:tblCellMar>
        </w:tblPrEx>
        <w:tc>
          <w:tcPr>
            <w:tcW w:w="4675" w:type="dxa"/>
            <w:tcMar>
              <w:top w:w="100" w:type="dxa"/>
              <w:left w:w="100" w:type="dxa"/>
              <w:bottom w:w="100" w:type="dxa"/>
              <w:right w:w="100" w:type="dxa"/>
            </w:tcMar>
          </w:tcPr>
          <w:p w:rsidR="00A83A4E" w:rsidP="1E99BFFD" w:rsidRDefault="00000000" w14:paraId="3C44D9EA"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Published between 2016 and 2026</w:t>
            </w:r>
          </w:p>
        </w:tc>
        <w:tc>
          <w:tcPr>
            <w:tcW w:w="4675" w:type="dxa"/>
            <w:tcMar>
              <w:top w:w="100" w:type="dxa"/>
              <w:left w:w="100" w:type="dxa"/>
              <w:bottom w:w="100" w:type="dxa"/>
              <w:right w:w="100" w:type="dxa"/>
            </w:tcMar>
          </w:tcPr>
          <w:p w:rsidR="00A83A4E" w:rsidP="1E99BFFD" w:rsidRDefault="00000000" w14:paraId="3868AC24"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Studies published before 2016</w:t>
            </w:r>
          </w:p>
        </w:tc>
      </w:tr>
      <w:tr w:rsidR="00A83A4E" w:rsidTr="1E99BFFD" w14:paraId="436BFBD0" w14:textId="77777777">
        <w:tblPrEx>
          <w:tblCellMar>
            <w:top w:w="0" w:type="dxa"/>
            <w:bottom w:w="0" w:type="dxa"/>
          </w:tblCellMar>
        </w:tblPrEx>
        <w:tc>
          <w:tcPr>
            <w:tcW w:w="4675" w:type="dxa"/>
            <w:tcMar>
              <w:top w:w="100" w:type="dxa"/>
              <w:left w:w="100" w:type="dxa"/>
              <w:bottom w:w="100" w:type="dxa"/>
              <w:right w:w="100" w:type="dxa"/>
            </w:tcMar>
          </w:tcPr>
          <w:p w:rsidR="00A83A4E" w:rsidP="1E99BFFD" w:rsidRDefault="00000000" w14:paraId="0B469A03"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Qualitative, quantitative or mixed-methods research</w:t>
            </w:r>
          </w:p>
        </w:tc>
        <w:tc>
          <w:tcPr>
            <w:tcW w:w="4675" w:type="dxa"/>
            <w:tcMar>
              <w:top w:w="100" w:type="dxa"/>
              <w:left w:w="100" w:type="dxa"/>
              <w:bottom w:w="100" w:type="dxa"/>
              <w:right w:w="100" w:type="dxa"/>
            </w:tcMar>
          </w:tcPr>
          <w:p w:rsidR="00A83A4E" w:rsidP="1E99BFFD" w:rsidRDefault="00000000" w14:paraId="2E8F1D83"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Grey literature and unpublished studies</w:t>
            </w:r>
          </w:p>
        </w:tc>
      </w:tr>
      <w:tr w:rsidR="00A83A4E" w:rsidTr="1E99BFFD" w14:paraId="5E213A6E" w14:textId="77777777">
        <w:tblPrEx>
          <w:tblCellMar>
            <w:top w:w="0" w:type="dxa"/>
            <w:bottom w:w="0" w:type="dxa"/>
          </w:tblCellMar>
        </w:tblPrEx>
        <w:tc>
          <w:tcPr>
            <w:tcW w:w="4675" w:type="dxa"/>
            <w:tcMar>
              <w:top w:w="100" w:type="dxa"/>
              <w:left w:w="100" w:type="dxa"/>
              <w:bottom w:w="100" w:type="dxa"/>
              <w:right w:w="100" w:type="dxa"/>
            </w:tcMar>
          </w:tcPr>
          <w:p w:rsidR="00A83A4E" w:rsidP="1E99BFFD" w:rsidRDefault="00000000" w14:paraId="20A83082"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Studies focusing on Black women within the UK breast cancer care pathway</w:t>
            </w:r>
          </w:p>
        </w:tc>
        <w:tc>
          <w:tcPr>
            <w:tcW w:w="4675" w:type="dxa"/>
            <w:tcMar>
              <w:top w:w="100" w:type="dxa"/>
              <w:left w:w="100" w:type="dxa"/>
              <w:bottom w:w="100" w:type="dxa"/>
              <w:right w:w="100" w:type="dxa"/>
            </w:tcMar>
          </w:tcPr>
          <w:p w:rsidR="00A83A4E" w:rsidP="1E99BFFD" w:rsidRDefault="00000000" w14:paraId="6F59ABD0"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Studies focusing on other cancers, or on populations without separate findings for Black women</w:t>
            </w:r>
          </w:p>
        </w:tc>
      </w:tr>
      <w:tr w:rsidR="00A83A4E" w:rsidTr="1E99BFFD" w14:paraId="1E12EF1E" w14:textId="77777777">
        <w:tblPrEx>
          <w:tblCellMar>
            <w:top w:w="0" w:type="dxa"/>
            <w:bottom w:w="0" w:type="dxa"/>
          </w:tblCellMar>
        </w:tblPrEx>
        <w:tc>
          <w:tcPr>
            <w:tcW w:w="4675" w:type="dxa"/>
            <w:tcMar>
              <w:top w:w="100" w:type="dxa"/>
              <w:left w:w="100" w:type="dxa"/>
              <w:bottom w:w="100" w:type="dxa"/>
              <w:right w:w="100" w:type="dxa"/>
            </w:tcMar>
          </w:tcPr>
          <w:p w:rsidR="00A83A4E" w:rsidP="1E99BFFD" w:rsidRDefault="00000000" w14:paraId="3BCB6F25"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Studies exploring experiences, barriers or inequalities relating to breast cancer care</w:t>
            </w:r>
          </w:p>
        </w:tc>
        <w:tc>
          <w:tcPr>
            <w:tcW w:w="4675" w:type="dxa"/>
            <w:tcMar>
              <w:top w:w="100" w:type="dxa"/>
              <w:left w:w="100" w:type="dxa"/>
              <w:bottom w:w="100" w:type="dxa"/>
              <w:right w:w="100" w:type="dxa"/>
            </w:tcMar>
          </w:tcPr>
          <w:p w:rsidR="00A83A4E" w:rsidP="1E99BFFD" w:rsidRDefault="00000000" w14:paraId="0673A879" w14:textId="77777777">
            <w:pPr>
              <w:spacing w:line="360" w:lineRule="auto"/>
              <w:rPr>
                <w:rFonts w:ascii="Arial" w:hAnsi="Arial" w:eastAsia="Arial" w:cs="Arial"/>
                <w:color w:val="auto"/>
                <w:sz w:val="20"/>
                <w:szCs w:val="20"/>
              </w:rPr>
            </w:pPr>
            <w:r w:rsidRPr="1E99BFFD" w:rsidR="00000000">
              <w:rPr>
                <w:rFonts w:ascii="Arial" w:hAnsi="Arial" w:eastAsia="Arial" w:cs="Arial"/>
                <w:color w:val="auto"/>
                <w:sz w:val="20"/>
                <w:szCs w:val="20"/>
              </w:rPr>
              <w:t>Studies unrelated to breast cancer care or healthcare experiences</w:t>
            </w:r>
          </w:p>
        </w:tc>
      </w:tr>
    </w:tbl>
    <w:p w:rsidR="00A83A4E" w:rsidP="1E99BFFD" w:rsidRDefault="00000000" w14:paraId="119F0EAD" w14:textId="286C9A3A">
      <w:pPr>
        <w:pStyle w:val="Heading2"/>
        <w:spacing w:before="300" w:after="150" w:line="360" w:lineRule="auto"/>
        <w:rPr>
          <w:rFonts w:ascii="Arial" w:hAnsi="Arial" w:eastAsia="Arial" w:cs="Arial"/>
          <w:b w:val="1"/>
          <w:bCs w:val="1"/>
          <w:color w:val="auto"/>
          <w:sz w:val="22"/>
          <w:szCs w:val="22"/>
        </w:rPr>
      </w:pPr>
      <w:bookmarkStart w:name="_Toc235442333" w:id="18"/>
      <w:r w:rsidRPr="1E99BFFD" w:rsidR="00000000">
        <w:rPr>
          <w:rFonts w:ascii="Arial" w:hAnsi="Arial" w:eastAsia="Arial" w:cs="Arial"/>
          <w:b w:val="1"/>
          <w:bCs w:val="1"/>
          <w:color w:val="auto"/>
          <w:sz w:val="22"/>
          <w:szCs w:val="22"/>
        </w:rPr>
        <w:t xml:space="preserve">Appendix </w:t>
      </w:r>
      <w:r w:rsidRPr="1E99BFFD" w:rsidR="004610E4">
        <w:rPr>
          <w:rFonts w:ascii="Arial" w:hAnsi="Arial" w:eastAsia="Arial" w:cs="Arial"/>
          <w:b w:val="1"/>
          <w:bCs w:val="1"/>
          <w:color w:val="auto"/>
          <w:sz w:val="22"/>
          <w:szCs w:val="22"/>
        </w:rPr>
        <w:t>3</w:t>
      </w:r>
      <w:r w:rsidRPr="1E99BFFD" w:rsidR="00000000">
        <w:rPr>
          <w:rFonts w:ascii="Arial" w:hAnsi="Arial" w:eastAsia="Arial" w:cs="Arial"/>
          <w:b w:val="1"/>
          <w:bCs w:val="1"/>
          <w:color w:val="auto"/>
          <w:sz w:val="22"/>
          <w:szCs w:val="22"/>
        </w:rPr>
        <w:t>: Data Extraction Table</w:t>
      </w:r>
      <w:r w:rsidRPr="1E99BFFD" w:rsidR="003576A5">
        <w:rPr>
          <w:rFonts w:ascii="Arial" w:hAnsi="Arial" w:eastAsia="Arial" w:cs="Arial"/>
          <w:b w:val="1"/>
          <w:bCs w:val="1"/>
          <w:color w:val="auto"/>
          <w:sz w:val="22"/>
          <w:szCs w:val="22"/>
        </w:rPr>
        <w:t xml:space="preserve"> </w:t>
      </w:r>
      <w:bookmarkEnd w:id="18"/>
    </w:p>
    <w:tbl>
      <w:tblPr>
        <w:tblStyle w:val="PlainTable1"/>
        <w:tblW w:w="0" w:type="auto"/>
        <w:tblLook w:val="04A0" w:firstRow="1" w:lastRow="0" w:firstColumn="1" w:lastColumn="0" w:noHBand="0" w:noVBand="1"/>
      </w:tblPr>
      <w:tblGrid>
        <w:gridCol w:w="1274"/>
        <w:gridCol w:w="772"/>
        <w:gridCol w:w="899"/>
        <w:gridCol w:w="1677"/>
        <w:gridCol w:w="903"/>
        <w:gridCol w:w="1202"/>
        <w:gridCol w:w="1056"/>
        <w:gridCol w:w="1233"/>
      </w:tblGrid>
      <w:tr w:rsidRPr="003576A5" w:rsidR="003576A5" w:rsidTr="1E99BFFD" w14:paraId="10E05A05"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3576A5" w:rsidR="003576A5" w:rsidP="1E99BFFD" w:rsidRDefault="003576A5" w14:paraId="5BECA445" w14:textId="77777777">
            <w:pPr>
              <w:spacing w:after="200" w:line="360" w:lineRule="auto"/>
              <w:jc w:val="both"/>
              <w:rPr>
                <w:rFonts w:ascii="Arial" w:hAnsi="Arial" w:eastAsia="Arial" w:cs="Arial"/>
                <w:color w:val="auto"/>
                <w:sz w:val="20"/>
                <w:szCs w:val="20"/>
              </w:rPr>
            </w:pPr>
            <w:r w:rsidRPr="1E99BFFD" w:rsidR="003576A5">
              <w:rPr>
                <w:rFonts w:ascii="Arial" w:hAnsi="Arial" w:eastAsia="Arial" w:cs="Arial"/>
                <w:color w:val="auto"/>
                <w:sz w:val="20"/>
                <w:szCs w:val="20"/>
              </w:rPr>
              <w:t>Author(s) &amp; Year</w:t>
            </w:r>
          </w:p>
        </w:tc>
        <w:tc>
          <w:tcPr>
            <w:cnfStyle w:val="000000000000" w:firstRow="0" w:lastRow="0" w:firstColumn="0" w:lastColumn="0" w:oddVBand="0" w:evenVBand="0" w:oddHBand="0" w:evenHBand="0" w:firstRowFirstColumn="0" w:firstRowLastColumn="0" w:lastRowFirstColumn="0" w:lastRowLastColumn="0"/>
            <w:tcW w:w="504" w:type="dxa"/>
            <w:tcMar/>
            <w:hideMark/>
          </w:tcPr>
          <w:p w:rsidRPr="003576A5" w:rsidR="003576A5" w:rsidP="1E99BFFD" w:rsidRDefault="003576A5" w14:paraId="2066BF5D" w14:textId="77777777">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r w:rsidRPr="1E99BFFD" w:rsidR="003576A5">
              <w:rPr>
                <w:rFonts w:ascii="Arial" w:hAnsi="Arial" w:eastAsia="Arial" w:cs="Arial"/>
                <w:color w:val="auto"/>
                <w:sz w:val="20"/>
                <w:szCs w:val="20"/>
              </w:rPr>
              <w:t>Study Aim</w:t>
            </w:r>
          </w:p>
        </w:tc>
        <w:tc>
          <w:tcPr>
            <w:cnfStyle w:val="000000000000" w:firstRow="0" w:lastRow="0" w:firstColumn="0" w:lastColumn="0" w:oddVBand="0" w:evenVBand="0" w:oddHBand="0" w:evenHBand="0" w:firstRowFirstColumn="0" w:firstRowLastColumn="0" w:lastRowFirstColumn="0" w:lastRowLastColumn="0"/>
            <w:tcW w:w="899" w:type="dxa"/>
            <w:tcMar/>
            <w:hideMark/>
          </w:tcPr>
          <w:p w:rsidRPr="003576A5" w:rsidR="003576A5" w:rsidP="1E99BFFD" w:rsidRDefault="003576A5" w14:paraId="20C81387" w14:textId="77777777">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r w:rsidRPr="1E99BFFD" w:rsidR="003576A5">
              <w:rPr>
                <w:rFonts w:ascii="Arial" w:hAnsi="Arial" w:eastAsia="Arial" w:cs="Arial"/>
                <w:color w:val="auto"/>
                <w:sz w:val="20"/>
                <w:szCs w:val="20"/>
              </w:rPr>
              <w:t>Study Design</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36A1D31F" w14:textId="77777777">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r w:rsidRPr="1E99BFFD" w:rsidR="003576A5">
              <w:rPr>
                <w:rFonts w:ascii="Arial" w:hAnsi="Arial" w:eastAsia="Arial" w:cs="Arial"/>
                <w:color w:val="auto"/>
                <w:sz w:val="20"/>
                <w:szCs w:val="20"/>
              </w:rPr>
              <w:t>Participant Characteristics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792D2520" w14:textId="77777777">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r w:rsidRPr="1E99BFFD" w:rsidR="003576A5">
              <w:rPr>
                <w:rFonts w:ascii="Arial" w:hAnsi="Arial" w:eastAsia="Arial" w:cs="Arial"/>
                <w:color w:val="auto"/>
                <w:sz w:val="20"/>
                <w:szCs w:val="20"/>
              </w:rPr>
              <w:t>Study Setting</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53F626CC" w14:textId="77777777">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r w:rsidRPr="1E99BFFD" w:rsidR="003576A5">
              <w:rPr>
                <w:rFonts w:ascii="Arial" w:hAnsi="Arial" w:eastAsia="Arial" w:cs="Arial"/>
                <w:color w:val="auto"/>
                <w:sz w:val="20"/>
                <w:szCs w:val="20"/>
              </w:rPr>
              <w:t>Data Collection Methods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253B48C9" w14:textId="77777777">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r w:rsidRPr="1E99BFFD" w:rsidR="003576A5">
              <w:rPr>
                <w:rFonts w:ascii="Arial" w:hAnsi="Arial" w:eastAsia="Arial" w:cs="Arial"/>
                <w:color w:val="auto"/>
                <w:sz w:val="20"/>
                <w:szCs w:val="20"/>
              </w:rPr>
              <w:t>Key Findings</w:t>
            </w: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6E641757" w14:textId="77777777">
            <w:pPr>
              <w:spacing w:after="20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r w:rsidRPr="1E99BFFD" w:rsidR="003576A5">
              <w:rPr>
                <w:rFonts w:ascii="Arial" w:hAnsi="Arial" w:eastAsia="Arial" w:cs="Arial"/>
                <w:color w:val="auto"/>
                <w:sz w:val="20"/>
                <w:szCs w:val="20"/>
              </w:rPr>
              <w:t>Relevance to Review Question</w:t>
            </w:r>
          </w:p>
        </w:tc>
      </w:tr>
      <w:tr w:rsidRPr="003576A5" w:rsidR="003576A5" w:rsidTr="1E99BFFD" w14:paraId="63D559B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3576A5" w:rsidR="003576A5" w:rsidP="1E99BFFD" w:rsidRDefault="003576A5" w14:paraId="09EA3D93" w14:textId="77777777">
            <w:pPr>
              <w:spacing w:after="200" w:line="360" w:lineRule="auto"/>
              <w:jc w:val="both"/>
              <w:rPr>
                <w:rFonts w:ascii="Arial" w:hAnsi="Arial" w:eastAsia="Arial" w:cs="Arial"/>
                <w:color w:val="auto"/>
                <w:sz w:val="20"/>
                <w:szCs w:val="20"/>
              </w:rPr>
            </w:pPr>
            <w:r w:rsidRPr="1E99BFFD" w:rsidR="003576A5">
              <w:rPr>
                <w:rFonts w:ascii="Arial" w:hAnsi="Arial" w:eastAsia="Arial" w:cs="Arial"/>
                <w:color w:val="auto"/>
                <w:sz w:val="20"/>
                <w:szCs w:val="20"/>
              </w:rPr>
              <w:t>Jones et al. (2016)</w:t>
            </w:r>
          </w:p>
        </w:tc>
        <w:tc>
          <w:tcPr>
            <w:cnfStyle w:val="000000000000" w:firstRow="0" w:lastRow="0" w:firstColumn="0" w:lastColumn="0" w:oddVBand="0" w:evenVBand="0" w:oddHBand="0" w:evenHBand="0" w:firstRowFirstColumn="0" w:firstRowLastColumn="0" w:lastRowFirstColumn="0" w:lastRowLastColumn="0"/>
            <w:tcW w:w="504" w:type="dxa"/>
            <w:tcMar/>
            <w:hideMark/>
          </w:tcPr>
          <w:p w:rsidRPr="003576A5" w:rsidR="003576A5" w:rsidP="1E99BFFD" w:rsidRDefault="003576A5" w14:paraId="7A48D603"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899" w:type="dxa"/>
            <w:tcMar/>
            <w:hideMark/>
          </w:tcPr>
          <w:p w:rsidRPr="003576A5" w:rsidR="003576A5" w:rsidP="1E99BFFD" w:rsidRDefault="003576A5" w14:paraId="57473856"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62490FD6"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27F1615B"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7230A703"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4F841ED1"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1A9F142A"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r>
      <w:tr w:rsidRPr="003576A5" w:rsidR="003576A5" w:rsidTr="1E99BFFD" w14:paraId="5489C06C"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3576A5" w:rsidR="003576A5" w:rsidP="1E99BFFD" w:rsidRDefault="003576A5" w14:paraId="0AE07045" w14:textId="77777777">
            <w:pPr>
              <w:spacing w:after="200" w:line="360" w:lineRule="auto"/>
              <w:jc w:val="both"/>
              <w:rPr>
                <w:rFonts w:ascii="Arial" w:hAnsi="Arial" w:eastAsia="Arial" w:cs="Arial"/>
                <w:color w:val="auto"/>
                <w:sz w:val="20"/>
                <w:szCs w:val="20"/>
              </w:rPr>
            </w:pPr>
            <w:r w:rsidRPr="1E99BFFD" w:rsidR="003576A5">
              <w:rPr>
                <w:rFonts w:ascii="Arial" w:hAnsi="Arial" w:eastAsia="Arial" w:cs="Arial"/>
                <w:color w:val="auto"/>
                <w:sz w:val="20"/>
                <w:szCs w:val="20"/>
              </w:rPr>
              <w:t>Vrinten</w:t>
            </w:r>
            <w:r w:rsidRPr="1E99BFFD" w:rsidR="003576A5">
              <w:rPr>
                <w:rFonts w:ascii="Arial" w:hAnsi="Arial" w:eastAsia="Arial" w:cs="Arial"/>
                <w:color w:val="auto"/>
                <w:sz w:val="20"/>
                <w:szCs w:val="20"/>
              </w:rPr>
              <w:t>, Wardle and Marlow (2016)</w:t>
            </w:r>
          </w:p>
        </w:tc>
        <w:tc>
          <w:tcPr>
            <w:cnfStyle w:val="000000000000" w:firstRow="0" w:lastRow="0" w:firstColumn="0" w:lastColumn="0" w:oddVBand="0" w:evenVBand="0" w:oddHBand="0" w:evenHBand="0" w:firstRowFirstColumn="0" w:firstRowLastColumn="0" w:lastRowFirstColumn="0" w:lastRowLastColumn="0"/>
            <w:tcW w:w="504" w:type="dxa"/>
            <w:tcMar/>
            <w:hideMark/>
          </w:tcPr>
          <w:p w:rsidRPr="003576A5" w:rsidR="003576A5" w:rsidP="1E99BFFD" w:rsidRDefault="003576A5" w14:paraId="5F3FBAEA"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899" w:type="dxa"/>
            <w:tcMar/>
            <w:hideMark/>
          </w:tcPr>
          <w:p w:rsidRPr="003576A5" w:rsidR="003576A5" w:rsidP="1E99BFFD" w:rsidRDefault="003576A5" w14:paraId="2AF29786"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37ABB477"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51370954"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476DBC06"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57D30A38"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563BF097"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r>
      <w:tr w:rsidRPr="003576A5" w:rsidR="003576A5" w:rsidTr="1E99BFFD" w14:paraId="3D1A695A"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3576A5" w:rsidR="003576A5" w:rsidP="1E99BFFD" w:rsidRDefault="003576A5" w14:paraId="43A7DAD5" w14:textId="77777777">
            <w:pPr>
              <w:spacing w:after="200" w:line="360" w:lineRule="auto"/>
              <w:jc w:val="both"/>
              <w:rPr>
                <w:rFonts w:ascii="Arial" w:hAnsi="Arial" w:eastAsia="Arial" w:cs="Arial"/>
                <w:color w:val="auto"/>
                <w:sz w:val="20"/>
                <w:szCs w:val="20"/>
              </w:rPr>
            </w:pPr>
            <w:r w:rsidRPr="1E99BFFD" w:rsidR="003576A5">
              <w:rPr>
                <w:rFonts w:ascii="Arial" w:hAnsi="Arial" w:eastAsia="Arial" w:cs="Arial"/>
                <w:color w:val="auto"/>
                <w:sz w:val="20"/>
                <w:szCs w:val="20"/>
              </w:rPr>
              <w:t>Tompkins et al. (2016)</w:t>
            </w:r>
          </w:p>
        </w:tc>
        <w:tc>
          <w:tcPr>
            <w:cnfStyle w:val="000000000000" w:firstRow="0" w:lastRow="0" w:firstColumn="0" w:lastColumn="0" w:oddVBand="0" w:evenVBand="0" w:oddHBand="0" w:evenHBand="0" w:firstRowFirstColumn="0" w:firstRowLastColumn="0" w:lastRowFirstColumn="0" w:lastRowLastColumn="0"/>
            <w:tcW w:w="504" w:type="dxa"/>
            <w:tcMar/>
            <w:hideMark/>
          </w:tcPr>
          <w:p w:rsidRPr="003576A5" w:rsidR="003576A5" w:rsidP="1E99BFFD" w:rsidRDefault="003576A5" w14:paraId="1982F0ED"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899" w:type="dxa"/>
            <w:tcMar/>
            <w:hideMark/>
          </w:tcPr>
          <w:p w:rsidRPr="003576A5" w:rsidR="003576A5" w:rsidP="1E99BFFD" w:rsidRDefault="003576A5" w14:paraId="4F617BE1"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69DA4106"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74FD7EA9"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3BF1006C"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27A9FFC9"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3FC67F9C"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r>
      <w:tr w:rsidRPr="003576A5" w:rsidR="003576A5" w:rsidTr="1E99BFFD" w14:paraId="1F12B880"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3576A5" w:rsidR="003576A5" w:rsidP="1E99BFFD" w:rsidRDefault="003576A5" w14:paraId="394867D4" w14:textId="77777777">
            <w:pPr>
              <w:spacing w:after="200" w:line="360" w:lineRule="auto"/>
              <w:jc w:val="both"/>
              <w:rPr>
                <w:rFonts w:ascii="Arial" w:hAnsi="Arial" w:eastAsia="Arial" w:cs="Arial"/>
                <w:color w:val="auto"/>
                <w:sz w:val="20"/>
                <w:szCs w:val="20"/>
              </w:rPr>
            </w:pPr>
            <w:r w:rsidRPr="1E99BFFD" w:rsidR="003576A5">
              <w:rPr>
                <w:rFonts w:ascii="Arial" w:hAnsi="Arial" w:eastAsia="Arial" w:cs="Arial"/>
                <w:color w:val="auto"/>
                <w:sz w:val="20"/>
                <w:szCs w:val="20"/>
              </w:rPr>
              <w:t>Williams et al. (2020)</w:t>
            </w:r>
          </w:p>
        </w:tc>
        <w:tc>
          <w:tcPr>
            <w:cnfStyle w:val="000000000000" w:firstRow="0" w:lastRow="0" w:firstColumn="0" w:lastColumn="0" w:oddVBand="0" w:evenVBand="0" w:oddHBand="0" w:evenHBand="0" w:firstRowFirstColumn="0" w:firstRowLastColumn="0" w:lastRowFirstColumn="0" w:lastRowLastColumn="0"/>
            <w:tcW w:w="504" w:type="dxa"/>
            <w:tcMar/>
            <w:hideMark/>
          </w:tcPr>
          <w:p w:rsidRPr="003576A5" w:rsidR="003576A5" w:rsidP="1E99BFFD" w:rsidRDefault="003576A5" w14:paraId="29C40A75"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899" w:type="dxa"/>
            <w:tcMar/>
            <w:hideMark/>
          </w:tcPr>
          <w:p w:rsidRPr="003576A5" w:rsidR="003576A5" w:rsidP="1E99BFFD" w:rsidRDefault="003576A5" w14:paraId="60D1E732"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6F9F47F2"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4C980680"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7F3E3270"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10220001"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0366F006"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r>
      <w:tr w:rsidRPr="003576A5" w:rsidR="003576A5" w:rsidTr="1E99BFFD" w14:paraId="3EA0B9D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3576A5" w:rsidR="003576A5" w:rsidP="1E99BFFD" w:rsidRDefault="003576A5" w14:paraId="2C3CC152" w14:textId="77777777">
            <w:pPr>
              <w:spacing w:after="200" w:line="360" w:lineRule="auto"/>
              <w:jc w:val="both"/>
              <w:rPr>
                <w:rFonts w:ascii="Arial" w:hAnsi="Arial" w:eastAsia="Arial" w:cs="Arial"/>
                <w:color w:val="auto"/>
                <w:sz w:val="20"/>
                <w:szCs w:val="20"/>
              </w:rPr>
            </w:pPr>
            <w:r w:rsidRPr="1E99BFFD" w:rsidR="003576A5">
              <w:rPr>
                <w:rFonts w:ascii="Arial" w:hAnsi="Arial" w:eastAsia="Arial" w:cs="Arial"/>
                <w:color w:val="auto"/>
                <w:sz w:val="20"/>
                <w:szCs w:val="20"/>
              </w:rPr>
              <w:t>Baird et al. (2021)</w:t>
            </w:r>
          </w:p>
        </w:tc>
        <w:tc>
          <w:tcPr>
            <w:cnfStyle w:val="000000000000" w:firstRow="0" w:lastRow="0" w:firstColumn="0" w:lastColumn="0" w:oddVBand="0" w:evenVBand="0" w:oddHBand="0" w:evenHBand="0" w:firstRowFirstColumn="0" w:firstRowLastColumn="0" w:lastRowFirstColumn="0" w:lastRowLastColumn="0"/>
            <w:tcW w:w="504" w:type="dxa"/>
            <w:tcMar/>
            <w:hideMark/>
          </w:tcPr>
          <w:p w:rsidRPr="003576A5" w:rsidR="003576A5" w:rsidP="1E99BFFD" w:rsidRDefault="003576A5" w14:paraId="31D130D2"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899" w:type="dxa"/>
            <w:tcMar/>
            <w:hideMark/>
          </w:tcPr>
          <w:p w:rsidRPr="003576A5" w:rsidR="003576A5" w:rsidP="1E99BFFD" w:rsidRDefault="003576A5" w14:paraId="414AAD73"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68ECE15A"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628E2BF6"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03395649"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49AFE0CC"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7B4FC760"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r>
      <w:tr w:rsidRPr="003576A5" w:rsidR="003576A5" w:rsidTr="1E99BFFD" w14:paraId="25979B15"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3576A5" w:rsidR="003576A5" w:rsidP="1E99BFFD" w:rsidRDefault="003576A5" w14:paraId="370652A2" w14:textId="77777777">
            <w:pPr>
              <w:spacing w:after="200" w:line="360" w:lineRule="auto"/>
              <w:jc w:val="both"/>
              <w:rPr>
                <w:rFonts w:ascii="Arial" w:hAnsi="Arial" w:eastAsia="Arial" w:cs="Arial"/>
                <w:color w:val="auto"/>
                <w:sz w:val="20"/>
                <w:szCs w:val="20"/>
              </w:rPr>
            </w:pPr>
            <w:r w:rsidRPr="1E99BFFD" w:rsidR="003576A5">
              <w:rPr>
                <w:rFonts w:ascii="Arial" w:hAnsi="Arial" w:eastAsia="Arial" w:cs="Arial"/>
                <w:color w:val="auto"/>
                <w:sz w:val="20"/>
                <w:szCs w:val="20"/>
              </w:rPr>
              <w:t>Marcu et al. (2022)</w:t>
            </w:r>
          </w:p>
        </w:tc>
        <w:tc>
          <w:tcPr>
            <w:cnfStyle w:val="000000000000" w:firstRow="0" w:lastRow="0" w:firstColumn="0" w:lastColumn="0" w:oddVBand="0" w:evenVBand="0" w:oddHBand="0" w:evenHBand="0" w:firstRowFirstColumn="0" w:firstRowLastColumn="0" w:lastRowFirstColumn="0" w:lastRowLastColumn="0"/>
            <w:tcW w:w="504" w:type="dxa"/>
            <w:tcMar/>
            <w:hideMark/>
          </w:tcPr>
          <w:p w:rsidRPr="003576A5" w:rsidR="003576A5" w:rsidP="1E99BFFD" w:rsidRDefault="003576A5" w14:paraId="089CEF6A"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899" w:type="dxa"/>
            <w:tcMar/>
            <w:hideMark/>
          </w:tcPr>
          <w:p w:rsidRPr="003576A5" w:rsidR="003576A5" w:rsidP="1E99BFFD" w:rsidRDefault="003576A5" w14:paraId="079971D4"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24B08DF6"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2442D5D5"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33122073"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5973ADF9"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45E60D43"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r>
      <w:tr w:rsidRPr="003576A5" w:rsidR="003576A5" w:rsidTr="1E99BFFD" w14:paraId="03E906E7"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3576A5" w:rsidR="003576A5" w:rsidP="1E99BFFD" w:rsidRDefault="003576A5" w14:paraId="44254301" w14:textId="77777777">
            <w:pPr>
              <w:spacing w:after="200" w:line="360" w:lineRule="auto"/>
              <w:jc w:val="both"/>
              <w:rPr>
                <w:rFonts w:ascii="Arial" w:hAnsi="Arial" w:eastAsia="Arial" w:cs="Arial"/>
                <w:color w:val="auto"/>
                <w:sz w:val="20"/>
                <w:szCs w:val="20"/>
              </w:rPr>
            </w:pPr>
            <w:r w:rsidRPr="1E99BFFD" w:rsidR="003576A5">
              <w:rPr>
                <w:rFonts w:ascii="Arial" w:hAnsi="Arial" w:eastAsia="Arial" w:cs="Arial"/>
                <w:color w:val="auto"/>
                <w:sz w:val="20"/>
                <w:szCs w:val="20"/>
              </w:rPr>
              <w:t>Workman, Thompson and Lau (2023)</w:t>
            </w:r>
          </w:p>
        </w:tc>
        <w:tc>
          <w:tcPr>
            <w:cnfStyle w:val="000000000000" w:firstRow="0" w:lastRow="0" w:firstColumn="0" w:lastColumn="0" w:oddVBand="0" w:evenVBand="0" w:oddHBand="0" w:evenHBand="0" w:firstRowFirstColumn="0" w:firstRowLastColumn="0" w:lastRowFirstColumn="0" w:lastRowLastColumn="0"/>
            <w:tcW w:w="504" w:type="dxa"/>
            <w:tcMar/>
            <w:hideMark/>
          </w:tcPr>
          <w:p w:rsidRPr="003576A5" w:rsidR="003576A5" w:rsidP="1E99BFFD" w:rsidRDefault="003576A5" w14:paraId="6488570D"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899" w:type="dxa"/>
            <w:tcMar/>
            <w:hideMark/>
          </w:tcPr>
          <w:p w:rsidRPr="003576A5" w:rsidR="003576A5" w:rsidP="1E99BFFD" w:rsidRDefault="003576A5" w14:paraId="5D8077D2"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248194EC"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1A3AEF36"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61F7BD69"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782A5A54"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0BD84C05"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r>
      <w:tr w:rsidRPr="003576A5" w:rsidR="003576A5" w:rsidTr="1E99BFFD" w14:paraId="1B4EDF0E"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3576A5" w:rsidR="003576A5" w:rsidP="1E99BFFD" w:rsidRDefault="003576A5" w14:paraId="1DBA9068" w14:textId="77777777">
            <w:pPr>
              <w:spacing w:after="200" w:line="360" w:lineRule="auto"/>
              <w:jc w:val="both"/>
              <w:rPr>
                <w:rFonts w:ascii="Arial" w:hAnsi="Arial" w:eastAsia="Arial" w:cs="Arial"/>
                <w:color w:val="auto"/>
                <w:sz w:val="20"/>
                <w:szCs w:val="20"/>
              </w:rPr>
            </w:pPr>
            <w:r w:rsidRPr="1E99BFFD" w:rsidR="003576A5">
              <w:rPr>
                <w:rFonts w:ascii="Arial" w:hAnsi="Arial" w:eastAsia="Arial" w:cs="Arial"/>
                <w:color w:val="auto"/>
                <w:sz w:val="20"/>
                <w:szCs w:val="20"/>
              </w:rPr>
              <w:t>Sajjad et al. (2024)</w:t>
            </w:r>
          </w:p>
        </w:tc>
        <w:tc>
          <w:tcPr>
            <w:cnfStyle w:val="000000000000" w:firstRow="0" w:lastRow="0" w:firstColumn="0" w:lastColumn="0" w:oddVBand="0" w:evenVBand="0" w:oddHBand="0" w:evenHBand="0" w:firstRowFirstColumn="0" w:firstRowLastColumn="0" w:lastRowFirstColumn="0" w:lastRowLastColumn="0"/>
            <w:tcW w:w="504" w:type="dxa"/>
            <w:tcMar/>
            <w:hideMark/>
          </w:tcPr>
          <w:p w:rsidRPr="003576A5" w:rsidR="003576A5" w:rsidP="1E99BFFD" w:rsidRDefault="003576A5" w14:paraId="19429A02"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899" w:type="dxa"/>
            <w:tcMar/>
            <w:hideMark/>
          </w:tcPr>
          <w:p w:rsidRPr="003576A5" w:rsidR="003576A5" w:rsidP="1E99BFFD" w:rsidRDefault="003576A5" w14:paraId="2B1B095B"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4742BE9A"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6696EBEA"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46E56545"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696AEC2B"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45F3213C"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r>
      <w:tr w:rsidRPr="003576A5" w:rsidR="003576A5" w:rsidTr="1E99BFFD" w14:paraId="3275F65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3576A5" w:rsidR="003576A5" w:rsidP="1E99BFFD" w:rsidRDefault="003576A5" w14:paraId="3BCFD0E9" w14:textId="77777777">
            <w:pPr>
              <w:spacing w:after="200" w:line="360" w:lineRule="auto"/>
              <w:jc w:val="both"/>
              <w:rPr>
                <w:rFonts w:ascii="Arial" w:hAnsi="Arial" w:eastAsia="Arial" w:cs="Arial"/>
                <w:color w:val="auto"/>
                <w:sz w:val="20"/>
                <w:szCs w:val="20"/>
              </w:rPr>
            </w:pPr>
            <w:r w:rsidRPr="1E99BFFD" w:rsidR="003576A5">
              <w:rPr>
                <w:rFonts w:ascii="Arial" w:hAnsi="Arial" w:eastAsia="Arial" w:cs="Arial"/>
                <w:color w:val="auto"/>
                <w:sz w:val="20"/>
                <w:szCs w:val="20"/>
              </w:rPr>
              <w:t>Martin et al. (2025)</w:t>
            </w:r>
          </w:p>
        </w:tc>
        <w:tc>
          <w:tcPr>
            <w:cnfStyle w:val="000000000000" w:firstRow="0" w:lastRow="0" w:firstColumn="0" w:lastColumn="0" w:oddVBand="0" w:evenVBand="0" w:oddHBand="0" w:evenHBand="0" w:firstRowFirstColumn="0" w:firstRowLastColumn="0" w:lastRowFirstColumn="0" w:lastRowLastColumn="0"/>
            <w:tcW w:w="504" w:type="dxa"/>
            <w:tcMar/>
            <w:hideMark/>
          </w:tcPr>
          <w:p w:rsidRPr="003576A5" w:rsidR="003576A5" w:rsidP="1E99BFFD" w:rsidRDefault="003576A5" w14:paraId="2E8E56A8"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899" w:type="dxa"/>
            <w:tcMar/>
            <w:hideMark/>
          </w:tcPr>
          <w:p w:rsidRPr="003576A5" w:rsidR="003576A5" w:rsidP="1E99BFFD" w:rsidRDefault="003576A5" w14:paraId="259F46F8"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6A726D0F"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42CED7E7"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143D91A3"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1908D017"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0223CCD7"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r>
      <w:tr w:rsidRPr="003576A5" w:rsidR="003576A5" w:rsidTr="1E99BFFD" w14:paraId="58E3AAC9" w14:textId="77777777">
        <w:tc>
          <w:tcPr>
            <w:cnfStyle w:val="001000000000" w:firstRow="0" w:lastRow="0" w:firstColumn="1" w:lastColumn="0" w:oddVBand="0" w:evenVBand="0" w:oddHBand="0" w:evenHBand="0" w:firstRowFirstColumn="0" w:firstRowLastColumn="0" w:lastRowFirstColumn="0" w:lastRowLastColumn="0"/>
            <w:tcW w:w="0" w:type="auto"/>
            <w:tcMar/>
            <w:hideMark/>
          </w:tcPr>
          <w:p w:rsidRPr="003576A5" w:rsidR="003576A5" w:rsidP="1E99BFFD" w:rsidRDefault="003576A5" w14:paraId="72788E8C" w14:textId="77777777">
            <w:pPr>
              <w:spacing w:after="200" w:line="360" w:lineRule="auto"/>
              <w:jc w:val="both"/>
              <w:rPr>
                <w:rFonts w:ascii="Arial" w:hAnsi="Arial" w:eastAsia="Arial" w:cs="Arial"/>
                <w:color w:val="auto"/>
                <w:sz w:val="20"/>
                <w:szCs w:val="20"/>
              </w:rPr>
            </w:pPr>
            <w:r w:rsidRPr="1E99BFFD" w:rsidR="003576A5">
              <w:rPr>
                <w:rFonts w:ascii="Arial" w:hAnsi="Arial" w:eastAsia="Arial" w:cs="Arial"/>
                <w:color w:val="auto"/>
                <w:sz w:val="20"/>
                <w:szCs w:val="20"/>
              </w:rPr>
              <w:t>Aliu, Kerrison and Marcu (2025)</w:t>
            </w:r>
          </w:p>
        </w:tc>
        <w:tc>
          <w:tcPr>
            <w:cnfStyle w:val="000000000000" w:firstRow="0" w:lastRow="0" w:firstColumn="0" w:lastColumn="0" w:oddVBand="0" w:evenVBand="0" w:oddHBand="0" w:evenHBand="0" w:firstRowFirstColumn="0" w:firstRowLastColumn="0" w:lastRowFirstColumn="0" w:lastRowLastColumn="0"/>
            <w:tcW w:w="504" w:type="dxa"/>
            <w:tcMar/>
            <w:hideMark/>
          </w:tcPr>
          <w:p w:rsidRPr="003576A5" w:rsidR="003576A5" w:rsidP="1E99BFFD" w:rsidRDefault="003576A5" w14:paraId="16017604"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899" w:type="dxa"/>
            <w:tcMar/>
            <w:hideMark/>
          </w:tcPr>
          <w:p w:rsidRPr="003576A5" w:rsidR="003576A5" w:rsidP="1E99BFFD" w:rsidRDefault="003576A5" w14:paraId="51193352"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4ED2AFA6"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03A94B80"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10C218F6"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01445656"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35B0C0DD" w14:textId="77777777">
            <w:pPr>
              <w:spacing w:after="20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eastAsia="Arial" w:cs="Arial"/>
                <w:color w:val="auto"/>
                <w:sz w:val="20"/>
                <w:szCs w:val="20"/>
              </w:rPr>
            </w:pPr>
          </w:p>
        </w:tc>
      </w:tr>
      <w:tr w:rsidRPr="003576A5" w:rsidR="003576A5" w:rsidTr="1E99BFFD" w14:paraId="0CB366E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Mar/>
            <w:hideMark/>
          </w:tcPr>
          <w:p w:rsidRPr="003576A5" w:rsidR="003576A5" w:rsidP="1E99BFFD" w:rsidRDefault="003576A5" w14:paraId="311BD7C8" w14:textId="77777777">
            <w:pPr>
              <w:spacing w:after="200" w:line="360" w:lineRule="auto"/>
              <w:jc w:val="both"/>
              <w:rPr>
                <w:rFonts w:ascii="Arial" w:hAnsi="Arial" w:eastAsia="Arial" w:cs="Arial"/>
                <w:color w:val="auto"/>
                <w:sz w:val="20"/>
                <w:szCs w:val="20"/>
              </w:rPr>
            </w:pPr>
            <w:r w:rsidRPr="1E99BFFD" w:rsidR="003576A5">
              <w:rPr>
                <w:rFonts w:ascii="Arial" w:hAnsi="Arial" w:eastAsia="Arial" w:cs="Arial"/>
                <w:color w:val="auto"/>
                <w:sz w:val="20"/>
                <w:szCs w:val="20"/>
              </w:rPr>
              <w:t>Iyizoba-Ebozue</w:t>
            </w:r>
            <w:r w:rsidRPr="1E99BFFD" w:rsidR="003576A5">
              <w:rPr>
                <w:rFonts w:ascii="Arial" w:hAnsi="Arial" w:eastAsia="Arial" w:cs="Arial"/>
                <w:color w:val="auto"/>
                <w:sz w:val="20"/>
                <w:szCs w:val="20"/>
              </w:rPr>
              <w:t xml:space="preserve"> et al. (2026)</w:t>
            </w:r>
          </w:p>
        </w:tc>
        <w:tc>
          <w:tcPr>
            <w:cnfStyle w:val="000000000000" w:firstRow="0" w:lastRow="0" w:firstColumn="0" w:lastColumn="0" w:oddVBand="0" w:evenVBand="0" w:oddHBand="0" w:evenHBand="0" w:firstRowFirstColumn="0" w:firstRowLastColumn="0" w:lastRowFirstColumn="0" w:lastRowLastColumn="0"/>
            <w:tcW w:w="504" w:type="dxa"/>
            <w:tcMar/>
            <w:hideMark/>
          </w:tcPr>
          <w:p w:rsidRPr="003576A5" w:rsidR="003576A5" w:rsidP="1E99BFFD" w:rsidRDefault="003576A5" w14:paraId="1431E9AD"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899" w:type="dxa"/>
            <w:tcMar/>
            <w:hideMark/>
          </w:tcPr>
          <w:p w:rsidRPr="003576A5" w:rsidR="003576A5" w:rsidP="1E99BFFD" w:rsidRDefault="003576A5" w14:paraId="59DE5967"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4218B02A"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482B1CBD"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38FA6490"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78F0C359"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c>
          <w:tcPr>
            <w:cnfStyle w:val="000000000000" w:firstRow="0" w:lastRow="0" w:firstColumn="0" w:lastColumn="0" w:oddVBand="0" w:evenVBand="0" w:oddHBand="0" w:evenHBand="0" w:firstRowFirstColumn="0" w:firstRowLastColumn="0" w:lastRowFirstColumn="0" w:lastRowLastColumn="0"/>
            <w:tcW w:w="0" w:type="auto"/>
            <w:tcMar/>
            <w:hideMark/>
          </w:tcPr>
          <w:p w:rsidRPr="003576A5" w:rsidR="003576A5" w:rsidP="1E99BFFD" w:rsidRDefault="003576A5" w14:paraId="478321C5" w14:textId="77777777">
            <w:pPr>
              <w:spacing w:after="20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eastAsia="Arial" w:cs="Arial"/>
                <w:color w:val="auto"/>
                <w:sz w:val="20"/>
                <w:szCs w:val="20"/>
              </w:rPr>
            </w:pPr>
          </w:p>
        </w:tc>
      </w:tr>
    </w:tbl>
    <w:p w:rsidR="00A83A4E" w:rsidRDefault="00A83A4E" w14:paraId="1E02ABE9" w14:textId="1E045C26">
      <w:pPr>
        <w:spacing w:after="200" w:line="276" w:lineRule="auto"/>
        <w:jc w:val="both"/>
      </w:pPr>
    </w:p>
    <w:sectPr w:rsidR="00A83A4E">
      <w:pgSz w:w="11906" w:h="16838" w:orient="portrait"/>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D3EF1"/>
    <w:multiLevelType w:val="hybridMultilevel"/>
    <w:tmpl w:val="EEDC052A"/>
    <w:lvl w:ilvl="0" w:tplc="7A766B88">
      <w:start w:val="1"/>
      <w:numFmt w:val="bullet"/>
      <w:lvlText w:val="•"/>
      <w:lvlJc w:val="left"/>
      <w:pPr>
        <w:ind w:left="720" w:hanging="360"/>
      </w:pPr>
    </w:lvl>
    <w:lvl w:ilvl="1" w:tplc="E1A280A2">
      <w:numFmt w:val="decimal"/>
      <w:lvlText w:val=""/>
      <w:lvlJc w:val="left"/>
    </w:lvl>
    <w:lvl w:ilvl="2" w:tplc="4D82E1AA">
      <w:numFmt w:val="decimal"/>
      <w:lvlText w:val=""/>
      <w:lvlJc w:val="left"/>
    </w:lvl>
    <w:lvl w:ilvl="3" w:tplc="C3901948">
      <w:numFmt w:val="decimal"/>
      <w:lvlText w:val=""/>
      <w:lvlJc w:val="left"/>
    </w:lvl>
    <w:lvl w:ilvl="4" w:tplc="6764C914">
      <w:numFmt w:val="decimal"/>
      <w:lvlText w:val=""/>
      <w:lvlJc w:val="left"/>
    </w:lvl>
    <w:lvl w:ilvl="5" w:tplc="B66CDE56">
      <w:numFmt w:val="decimal"/>
      <w:lvlText w:val=""/>
      <w:lvlJc w:val="left"/>
    </w:lvl>
    <w:lvl w:ilvl="6" w:tplc="3AF07426">
      <w:numFmt w:val="decimal"/>
      <w:lvlText w:val=""/>
      <w:lvlJc w:val="left"/>
    </w:lvl>
    <w:lvl w:ilvl="7" w:tplc="5CAC9F2E">
      <w:numFmt w:val="decimal"/>
      <w:lvlText w:val=""/>
      <w:lvlJc w:val="left"/>
    </w:lvl>
    <w:lvl w:ilvl="8" w:tplc="1138106A">
      <w:numFmt w:val="decimal"/>
      <w:lvlText w:val=""/>
      <w:lvlJc w:val="left"/>
    </w:lvl>
  </w:abstractNum>
  <w:abstractNum w:abstractNumId="1" w15:restartNumberingAfterBreak="0">
    <w:nsid w:val="1A3B0979"/>
    <w:multiLevelType w:val="hybridMultilevel"/>
    <w:tmpl w:val="2EB8BF74"/>
    <w:lvl w:ilvl="0" w:tplc="36780840">
      <w:start w:val="1"/>
      <w:numFmt w:val="bullet"/>
      <w:lvlText w:val="●"/>
      <w:lvlJc w:val="left"/>
      <w:pPr>
        <w:ind w:left="720" w:hanging="360"/>
      </w:pPr>
    </w:lvl>
    <w:lvl w:ilvl="1" w:tplc="C450DDC6">
      <w:start w:val="1"/>
      <w:numFmt w:val="bullet"/>
      <w:lvlText w:val="○"/>
      <w:lvlJc w:val="left"/>
      <w:pPr>
        <w:ind w:left="1440" w:hanging="360"/>
      </w:pPr>
    </w:lvl>
    <w:lvl w:ilvl="2" w:tplc="7AB4E21E">
      <w:start w:val="1"/>
      <w:numFmt w:val="bullet"/>
      <w:lvlText w:val="■"/>
      <w:lvlJc w:val="left"/>
      <w:pPr>
        <w:ind w:left="2160" w:hanging="360"/>
      </w:pPr>
    </w:lvl>
    <w:lvl w:ilvl="3" w:tplc="5E08F198">
      <w:start w:val="1"/>
      <w:numFmt w:val="bullet"/>
      <w:lvlText w:val="●"/>
      <w:lvlJc w:val="left"/>
      <w:pPr>
        <w:ind w:left="2880" w:hanging="360"/>
      </w:pPr>
    </w:lvl>
    <w:lvl w:ilvl="4" w:tplc="FD44AB42">
      <w:start w:val="1"/>
      <w:numFmt w:val="bullet"/>
      <w:lvlText w:val="○"/>
      <w:lvlJc w:val="left"/>
      <w:pPr>
        <w:ind w:left="3600" w:hanging="360"/>
      </w:pPr>
    </w:lvl>
    <w:lvl w:ilvl="5" w:tplc="8E62D738">
      <w:start w:val="1"/>
      <w:numFmt w:val="bullet"/>
      <w:lvlText w:val="■"/>
      <w:lvlJc w:val="left"/>
      <w:pPr>
        <w:ind w:left="4320" w:hanging="360"/>
      </w:pPr>
    </w:lvl>
    <w:lvl w:ilvl="6" w:tplc="FB58237A">
      <w:start w:val="1"/>
      <w:numFmt w:val="bullet"/>
      <w:lvlText w:val="●"/>
      <w:lvlJc w:val="left"/>
      <w:pPr>
        <w:ind w:left="5040" w:hanging="360"/>
      </w:pPr>
    </w:lvl>
    <w:lvl w:ilvl="7" w:tplc="43323A1C">
      <w:start w:val="1"/>
      <w:numFmt w:val="bullet"/>
      <w:lvlText w:val="●"/>
      <w:lvlJc w:val="left"/>
      <w:pPr>
        <w:ind w:left="5760" w:hanging="360"/>
      </w:pPr>
    </w:lvl>
    <w:lvl w:ilvl="8" w:tplc="BDBA03E8">
      <w:start w:val="1"/>
      <w:numFmt w:val="bullet"/>
      <w:lvlText w:val="●"/>
      <w:lvlJc w:val="left"/>
      <w:pPr>
        <w:ind w:left="6480" w:hanging="360"/>
      </w:pPr>
    </w:lvl>
  </w:abstractNum>
  <w:num w:numId="1" w16cid:durableId="1384208154">
    <w:abstractNumId w:val="1"/>
    <w:lvlOverride w:ilvl="0">
      <w:startOverride w:val="1"/>
    </w:lvlOverride>
  </w:num>
  <w:num w:numId="2" w16cid:durableId="1780681271">
    <w:abstractNumId w:val="0"/>
    <w:lvlOverride w:ilvl="0">
      <w:startOverride w:val="1"/>
    </w:lvlOverride>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displayBackgroundShape/>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3A4E"/>
    <w:rsid w:val="00000000"/>
    <w:rsid w:val="0008259D"/>
    <w:rsid w:val="0034385C"/>
    <w:rsid w:val="003576A5"/>
    <w:rsid w:val="004610E4"/>
    <w:rsid w:val="00580DA5"/>
    <w:rsid w:val="006201F8"/>
    <w:rsid w:val="00A57808"/>
    <w:rsid w:val="00A83A4E"/>
    <w:rsid w:val="013B0EF4"/>
    <w:rsid w:val="05325CEC"/>
    <w:rsid w:val="0756FA99"/>
    <w:rsid w:val="075836DA"/>
    <w:rsid w:val="0A06D0CE"/>
    <w:rsid w:val="0B3F8BF5"/>
    <w:rsid w:val="0B5EEE88"/>
    <w:rsid w:val="0D26C0EB"/>
    <w:rsid w:val="0E193367"/>
    <w:rsid w:val="1423D84A"/>
    <w:rsid w:val="16A4BA67"/>
    <w:rsid w:val="1B3CACD2"/>
    <w:rsid w:val="1C80C1B0"/>
    <w:rsid w:val="1E99BFFD"/>
    <w:rsid w:val="1EA212B4"/>
    <w:rsid w:val="2262F18B"/>
    <w:rsid w:val="24E75504"/>
    <w:rsid w:val="26CFBDE6"/>
    <w:rsid w:val="27847041"/>
    <w:rsid w:val="279B6DD9"/>
    <w:rsid w:val="28672D3A"/>
    <w:rsid w:val="2EDD1928"/>
    <w:rsid w:val="41CA82FE"/>
    <w:rsid w:val="42826EF2"/>
    <w:rsid w:val="43B81AA3"/>
    <w:rsid w:val="46636B28"/>
    <w:rsid w:val="492CC328"/>
    <w:rsid w:val="4C4DB849"/>
    <w:rsid w:val="4D98D600"/>
    <w:rsid w:val="4FC74E14"/>
    <w:rsid w:val="521B681B"/>
    <w:rsid w:val="56A0C2C7"/>
    <w:rsid w:val="58B6DDF3"/>
    <w:rsid w:val="6A3F0636"/>
    <w:rsid w:val="6F002F7B"/>
    <w:rsid w:val="72E0E774"/>
    <w:rsid w:val="77CA3112"/>
    <w:rsid w:val="7F0D9F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19D2B"/>
  <w15:docId w15:val="{F9605FCF-0EF7-49EB-9D4F-42D5891049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styleId="EndnoteTextChar" w:customStyle="1">
    <w:name w:val="Endnote Text Char"/>
    <w:link w:val="EndnoteText"/>
    <w:uiPriority w:val="99"/>
    <w:semiHidden/>
    <w:unhideWhenUsed/>
    <w:rPr>
      <w:sz w:val="20"/>
      <w:szCs w:val="20"/>
    </w:rPr>
  </w:style>
  <w:style w:type="table" w:styleId="TableGrid">
    <w:name w:val="Table Grid"/>
    <w:basedOn w:val="TableNormal"/>
    <w:uiPriority w:val="39"/>
    <w:rsid w:val="004610E4"/>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4610E4"/>
    <w:pPr>
      <w:keepNext/>
      <w:keepLines/>
      <w:spacing w:before="240" w:line="259" w:lineRule="auto"/>
      <w:outlineLvl w:val="9"/>
    </w:pPr>
    <w:rPr>
      <w:rFonts w:asciiTheme="majorHAnsi" w:hAnsiTheme="majorHAnsi" w:eastAsiaTheme="majorEastAsia" w:cstheme="majorBidi"/>
      <w:color w:val="0F4761" w:themeColor="accent1" w:themeShade="BF"/>
      <w:lang w:val="en-US" w:eastAsia="en-US"/>
    </w:rPr>
  </w:style>
  <w:style w:type="paragraph" w:styleId="TOC1">
    <w:name w:val="toc 1"/>
    <w:basedOn w:val="Normal"/>
    <w:next w:val="Normal"/>
    <w:autoRedefine/>
    <w:uiPriority w:val="39"/>
    <w:unhideWhenUsed/>
    <w:rsid w:val="004610E4"/>
    <w:pPr>
      <w:spacing w:after="100"/>
    </w:pPr>
  </w:style>
  <w:style w:type="paragraph" w:styleId="TOC2">
    <w:name w:val="toc 2"/>
    <w:basedOn w:val="Normal"/>
    <w:next w:val="Normal"/>
    <w:autoRedefine/>
    <w:uiPriority w:val="39"/>
    <w:unhideWhenUsed/>
    <w:rsid w:val="004610E4"/>
    <w:pPr>
      <w:spacing w:after="100"/>
      <w:ind w:left="200"/>
    </w:pPr>
  </w:style>
  <w:style w:type="table" w:styleId="TableGridLight">
    <w:name w:val="Grid Table Light"/>
    <w:basedOn w:val="TableNormal"/>
    <w:uiPriority w:val="40"/>
    <w:rsid w:val="003576A5"/>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PlainTable1">
    <w:name w:val="Plain Table 1"/>
    <w:basedOn w:val="TableNormal"/>
    <w:uiPriority w:val="41"/>
    <w:rsid w:val="003576A5"/>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joan</dc:creator>
  <lastModifiedBy>Joan Miller (2406689)</lastModifiedBy>
  <revision>3</revision>
  <dcterms:created xsi:type="dcterms:W3CDTF">2026-07-20T11:18:00.0000000Z</dcterms:created>
  <dcterms:modified xsi:type="dcterms:W3CDTF">2026-07-20T11:37:53.6229119Z</dcterms:modified>
</coreProperties>
</file>