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194324" w14:textId="687C719D" w:rsidR="001D7B12" w:rsidRDefault="001D7B12" w:rsidP="005D1E37">
      <w:pPr>
        <w:spacing w:line="360" w:lineRule="auto"/>
        <w:rPr>
          <w:rFonts w:ascii="Arial" w:hAnsi="Arial" w:cs="Arial"/>
          <w:b/>
          <w:bCs/>
        </w:rPr>
      </w:pPr>
      <w:r w:rsidRPr="00074402">
        <w:rPr>
          <w:rFonts w:ascii="Arial" w:hAnsi="Arial" w:cs="Arial"/>
          <w:noProof/>
          <w:szCs w:val="24"/>
        </w:rPr>
        <w:drawing>
          <wp:anchor distT="0" distB="0" distL="114300" distR="114300" simplePos="0" relativeHeight="251659264" behindDoc="0" locked="0" layoutInCell="1" allowOverlap="1" wp14:anchorId="41E89748" wp14:editId="6E775F85">
            <wp:simplePos x="0" y="0"/>
            <wp:positionH relativeFrom="column">
              <wp:posOffset>-419100</wp:posOffset>
            </wp:positionH>
            <wp:positionV relativeFrom="paragraph">
              <wp:posOffset>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04D116B" w14:textId="1ECE3964" w:rsidR="001D7B12" w:rsidRDefault="001D7B12" w:rsidP="005D1E37">
      <w:pPr>
        <w:spacing w:line="360" w:lineRule="auto"/>
        <w:rPr>
          <w:rFonts w:ascii="Arial" w:hAnsi="Arial" w:cs="Arial"/>
          <w:b/>
          <w:bCs/>
        </w:rPr>
      </w:pPr>
    </w:p>
    <w:p w14:paraId="7FA7F5D5" w14:textId="10179888" w:rsidR="00982EBF" w:rsidRPr="005D1E37" w:rsidRDefault="00982EBF" w:rsidP="005D1E37">
      <w:pPr>
        <w:spacing w:line="360" w:lineRule="auto"/>
        <w:rPr>
          <w:rFonts w:ascii="Arial" w:hAnsi="Arial" w:cs="Arial"/>
          <w:b/>
          <w:bCs/>
        </w:rPr>
      </w:pPr>
    </w:p>
    <w:p w14:paraId="3E1B7EBD" w14:textId="4A7C3393" w:rsidR="00982EBF" w:rsidRPr="005D1E37" w:rsidRDefault="00982EBF" w:rsidP="005D1E37">
      <w:pPr>
        <w:spacing w:line="360" w:lineRule="auto"/>
        <w:rPr>
          <w:rFonts w:ascii="Arial" w:hAnsi="Arial" w:cs="Arial"/>
        </w:rPr>
      </w:pPr>
      <w:r w:rsidRPr="005D1E37">
        <w:rPr>
          <w:rFonts w:ascii="Arial" w:hAnsi="Arial" w:cs="Arial"/>
          <w:b/>
          <w:bCs/>
        </w:rPr>
        <w:t>Student Name:</w:t>
      </w:r>
      <w:r w:rsidRPr="005D1E37">
        <w:rPr>
          <w:rFonts w:ascii="Arial" w:hAnsi="Arial" w:cs="Arial"/>
        </w:rPr>
        <w:t xml:space="preserve"> </w:t>
      </w:r>
      <w:r w:rsidR="005D1E37" w:rsidRPr="005D1E37">
        <w:rPr>
          <w:rFonts w:ascii="Arial" w:hAnsi="Arial" w:cs="Arial"/>
        </w:rPr>
        <w:t>Atinicia Pereira da Costa</w:t>
      </w:r>
    </w:p>
    <w:p w14:paraId="2519A29E" w14:textId="6CD0E358" w:rsidR="00982EBF" w:rsidRPr="005D1E37" w:rsidRDefault="00982EBF" w:rsidP="005D1E37">
      <w:pPr>
        <w:spacing w:line="360" w:lineRule="auto"/>
        <w:rPr>
          <w:rFonts w:ascii="Arial" w:hAnsi="Arial" w:cs="Arial"/>
        </w:rPr>
      </w:pPr>
      <w:r w:rsidRPr="005D1E37">
        <w:rPr>
          <w:rFonts w:ascii="Arial" w:hAnsi="Arial" w:cs="Arial"/>
          <w:b/>
          <w:bCs/>
        </w:rPr>
        <w:t>Student Number:</w:t>
      </w:r>
      <w:r w:rsidR="005D1E37">
        <w:rPr>
          <w:rFonts w:ascii="Arial" w:hAnsi="Arial" w:cs="Arial"/>
        </w:rPr>
        <w:t xml:space="preserve"> 2514003</w:t>
      </w:r>
    </w:p>
    <w:p w14:paraId="4B0BC1C7" w14:textId="48FD66C1" w:rsidR="00982EBF" w:rsidRPr="005D1E37" w:rsidRDefault="00982EBF" w:rsidP="005D1E37">
      <w:pPr>
        <w:spacing w:line="360" w:lineRule="auto"/>
        <w:rPr>
          <w:rFonts w:ascii="Arial" w:hAnsi="Arial" w:cs="Arial"/>
          <w:b/>
          <w:bCs/>
        </w:rPr>
      </w:pPr>
      <w:r w:rsidRPr="005D1E37">
        <w:rPr>
          <w:rFonts w:ascii="Arial" w:hAnsi="Arial" w:cs="Arial"/>
          <w:b/>
          <w:bCs/>
        </w:rPr>
        <w:t>Module Code and Title:</w:t>
      </w:r>
      <w:r w:rsidR="005D1E37">
        <w:rPr>
          <w:rFonts w:ascii="Arial" w:hAnsi="Arial" w:cs="Arial"/>
          <w:b/>
          <w:bCs/>
        </w:rPr>
        <w:t xml:space="preserve"> </w:t>
      </w:r>
      <w:r w:rsidR="005D1E37" w:rsidRPr="005D1E37">
        <w:rPr>
          <w:rFonts w:ascii="Arial" w:hAnsi="Arial" w:cs="Arial"/>
          <w:b/>
          <w:bCs/>
        </w:rPr>
        <w:t>Psychology in Health and Social Care</w:t>
      </w:r>
      <w:r w:rsidR="005D1E37">
        <w:rPr>
          <w:rFonts w:ascii="Arial" w:hAnsi="Arial" w:cs="Arial"/>
          <w:b/>
          <w:bCs/>
        </w:rPr>
        <w:t xml:space="preserve"> </w:t>
      </w:r>
      <w:r w:rsidR="005D1E37">
        <w:rPr>
          <w:rFonts w:ascii="Arial" w:hAnsi="Arial" w:cs="Arial"/>
        </w:rPr>
        <w:t xml:space="preserve">- </w:t>
      </w:r>
      <w:hyperlink r:id="rId9" w:tooltip="Psychology in Health and Social Care (LCHS4010_LON)" w:history="1">
        <w:r w:rsidR="005D1E37" w:rsidRPr="005D1E37">
          <w:rPr>
            <w:rStyle w:val="Hyperlink"/>
            <w:rFonts w:ascii="Arial" w:hAnsi="Arial" w:cs="Arial"/>
            <w:color w:val="auto"/>
          </w:rPr>
          <w:t>LCHS4010_LON</w:t>
        </w:r>
      </w:hyperlink>
    </w:p>
    <w:p w14:paraId="67B8102F" w14:textId="4291F5D1" w:rsidR="00982EBF" w:rsidRPr="005D1E37" w:rsidRDefault="00982EBF" w:rsidP="005D1E37">
      <w:pPr>
        <w:spacing w:line="360" w:lineRule="auto"/>
        <w:rPr>
          <w:rFonts w:ascii="Arial" w:hAnsi="Arial" w:cs="Arial"/>
        </w:rPr>
      </w:pPr>
      <w:r w:rsidRPr="005D1E37">
        <w:rPr>
          <w:rFonts w:ascii="Arial" w:hAnsi="Arial" w:cs="Arial"/>
        </w:rPr>
        <w:t xml:space="preserve"> </w:t>
      </w:r>
      <w:r w:rsidRPr="005D1E37">
        <w:rPr>
          <w:rFonts w:ascii="Arial" w:hAnsi="Arial" w:cs="Arial"/>
          <w:b/>
          <w:bCs/>
        </w:rPr>
        <w:t>Lecturer’s Name:</w:t>
      </w:r>
      <w:r w:rsidR="005D1E37">
        <w:rPr>
          <w:rFonts w:ascii="Arial" w:hAnsi="Arial" w:cs="Arial"/>
        </w:rPr>
        <w:t xml:space="preserve"> </w:t>
      </w:r>
      <w:r w:rsidR="005D1E37" w:rsidRPr="005D1E37">
        <w:rPr>
          <w:rFonts w:ascii="Arial" w:hAnsi="Arial" w:cs="Arial"/>
        </w:rPr>
        <w:t xml:space="preserve">Christiana </w:t>
      </w:r>
      <w:proofErr w:type="spellStart"/>
      <w:r w:rsidR="005D1E37" w:rsidRPr="005D1E37">
        <w:rPr>
          <w:rFonts w:ascii="Arial" w:hAnsi="Arial" w:cs="Arial"/>
        </w:rPr>
        <w:t>Melam</w:t>
      </w:r>
      <w:proofErr w:type="spellEnd"/>
      <w:r w:rsidR="005D1E37">
        <w:rPr>
          <w:rFonts w:ascii="Arial" w:hAnsi="Arial" w:cs="Arial"/>
        </w:rPr>
        <w:t xml:space="preserve"> </w:t>
      </w:r>
    </w:p>
    <w:p w14:paraId="6F0DBE0C" w14:textId="2180CB4B" w:rsidR="00642D78" w:rsidRDefault="00982EBF" w:rsidP="005D1E37">
      <w:pPr>
        <w:spacing w:line="360" w:lineRule="auto"/>
        <w:rPr>
          <w:rFonts w:ascii="Arial" w:hAnsi="Arial" w:cs="Arial"/>
        </w:rPr>
      </w:pPr>
      <w:r w:rsidRPr="005D1E37">
        <w:rPr>
          <w:rFonts w:ascii="Arial" w:hAnsi="Arial" w:cs="Arial"/>
          <w:b/>
          <w:bCs/>
        </w:rPr>
        <w:t>Assignment Title:</w:t>
      </w:r>
      <w:r w:rsidRPr="005D1E37">
        <w:rPr>
          <w:rFonts w:ascii="Arial" w:hAnsi="Arial" w:cs="Arial"/>
        </w:rPr>
        <w:t xml:space="preserve"> The Impact of Social Media on Adolescent Mental Health Through Lifespan Development Theories </w:t>
      </w:r>
    </w:p>
    <w:p w14:paraId="5A5673EB" w14:textId="77777777" w:rsidR="00E03415" w:rsidRPr="005D1E37" w:rsidRDefault="00E03415" w:rsidP="005D1E37">
      <w:pPr>
        <w:spacing w:line="360" w:lineRule="auto"/>
        <w:rPr>
          <w:rFonts w:ascii="Arial" w:hAnsi="Arial" w:cs="Arial"/>
        </w:rPr>
      </w:pPr>
    </w:p>
    <w:p w14:paraId="27450236" w14:textId="77777777" w:rsidR="00982EBF" w:rsidRPr="005D1E37" w:rsidRDefault="00982EBF" w:rsidP="005D1E37">
      <w:pPr>
        <w:spacing w:line="360" w:lineRule="auto"/>
        <w:rPr>
          <w:rFonts w:ascii="Arial" w:hAnsi="Arial" w:cs="Arial"/>
        </w:rPr>
      </w:pPr>
      <w:r w:rsidRPr="005D1E37">
        <w:rPr>
          <w:rFonts w:ascii="Arial" w:hAnsi="Arial" w:cs="Arial"/>
          <w:b/>
          <w:bCs/>
        </w:rPr>
        <w:t>Introduction</w:t>
      </w:r>
    </w:p>
    <w:p w14:paraId="03E03D79" w14:textId="10CFBABA" w:rsidR="00E03415" w:rsidRPr="00E03415" w:rsidRDefault="00E03415" w:rsidP="00E03415">
      <w:pPr>
        <w:spacing w:line="360" w:lineRule="auto"/>
        <w:rPr>
          <w:rFonts w:ascii="Arial" w:hAnsi="Arial" w:cs="Arial"/>
        </w:rPr>
      </w:pPr>
      <w:r w:rsidRPr="00E03415">
        <w:rPr>
          <w:rFonts w:ascii="Arial" w:hAnsi="Arial" w:cs="Arial"/>
        </w:rPr>
        <w:t xml:space="preserve">Adolescence </w:t>
      </w:r>
      <w:r w:rsidR="00DD6140">
        <w:rPr>
          <w:rFonts w:ascii="Arial" w:hAnsi="Arial" w:cs="Arial"/>
        </w:rPr>
        <w:t>is a</w:t>
      </w:r>
      <w:r w:rsidRPr="00E03415">
        <w:rPr>
          <w:rFonts w:ascii="Arial" w:hAnsi="Arial" w:cs="Arial"/>
        </w:rPr>
        <w:t xml:space="preserve"> critical stage of human development characterised by rapid biological, cognitive, emotional, and social changes. During this period, young people develop a stronger sense of identity, increase their independence, and establish more complex relationships with peers and wider society. At the same time, social media has become an integral part of adolescents' daily lives, influencing how they communicate, build relationships, express themselves, and access information. Although social media offers opportunities for social connection, learning, and self-expression, growing evidence suggests that excessive or negative online experiences may have significant implications for adolescent mental health.</w:t>
      </w:r>
    </w:p>
    <w:p w14:paraId="4CA2F5BE" w14:textId="77777777" w:rsidR="00E03415" w:rsidRPr="00E03415" w:rsidRDefault="00E03415" w:rsidP="00E03415">
      <w:pPr>
        <w:spacing w:line="360" w:lineRule="auto"/>
        <w:rPr>
          <w:rFonts w:ascii="Arial" w:hAnsi="Arial" w:cs="Arial"/>
        </w:rPr>
      </w:pPr>
      <w:r w:rsidRPr="00E03415">
        <w:rPr>
          <w:rFonts w:ascii="Arial" w:hAnsi="Arial" w:cs="Arial"/>
        </w:rPr>
        <w:t>Research has identified associations between frequent social media use and increased levels of anxiety, depression, low self-esteem, sleep disturbances, and reduced psychological wellbeing among adolescents (Fassi et al., 2024). Furthermore, Orben et al. (2024) argue that adolescence is a particularly sensitive developmental period, during which social media may intensify existing emotional and psychological vulnerabilities due to the heightened importance of peer approval, identity formation, and social comparison.</w:t>
      </w:r>
    </w:p>
    <w:p w14:paraId="417E0AF8" w14:textId="1AA50C6E" w:rsidR="001D7B12" w:rsidRPr="005D1E37" w:rsidRDefault="00E03415" w:rsidP="005D1E37">
      <w:pPr>
        <w:spacing w:line="360" w:lineRule="auto"/>
        <w:rPr>
          <w:rFonts w:ascii="Arial" w:hAnsi="Arial" w:cs="Arial"/>
        </w:rPr>
      </w:pPr>
      <w:r w:rsidRPr="00E03415">
        <w:rPr>
          <w:rFonts w:ascii="Arial" w:hAnsi="Arial" w:cs="Arial"/>
        </w:rPr>
        <w:t xml:space="preserve">Understanding the relationship between social media and adolescent mental health requires consideration of developmental and psychological theories. This essay draws upon Erikson's theory of psychosocial development and Bowlby's attachment theory to examine how identity formation, emotional regulation, and early attachment experiences influence adolescents' responses to social media. By applying these theoretical perspectives, the </w:t>
      </w:r>
      <w:r w:rsidRPr="00E03415">
        <w:rPr>
          <w:rFonts w:ascii="Arial" w:hAnsi="Arial" w:cs="Arial"/>
        </w:rPr>
        <w:lastRenderedPageBreak/>
        <w:t>essay critically explores the potential impact of social media on adolescent mental health and considers how this knowledge can inform effective health and social care practice.</w:t>
      </w:r>
    </w:p>
    <w:p w14:paraId="518D6BAB" w14:textId="263C832A" w:rsidR="00982EBF" w:rsidRPr="005D1E37" w:rsidRDefault="00C1503F" w:rsidP="005D1E37">
      <w:pPr>
        <w:spacing w:line="360" w:lineRule="auto"/>
        <w:rPr>
          <w:rFonts w:ascii="Arial" w:hAnsi="Arial" w:cs="Arial"/>
        </w:rPr>
      </w:pPr>
      <w:r>
        <w:rPr>
          <w:rFonts w:ascii="Arial" w:hAnsi="Arial" w:cs="Arial"/>
          <w:b/>
          <w:bCs/>
        </w:rPr>
        <w:t>Psychological Theories and Adolescent Development</w:t>
      </w:r>
    </w:p>
    <w:p w14:paraId="61802D66" w14:textId="04927B3E" w:rsidR="00577F8A" w:rsidRDefault="00982EBF" w:rsidP="005D1E37">
      <w:pPr>
        <w:spacing w:line="360" w:lineRule="auto"/>
        <w:rPr>
          <w:rFonts w:ascii="Arial" w:hAnsi="Arial" w:cs="Arial"/>
        </w:rPr>
      </w:pPr>
      <w:r w:rsidRPr="005D1E37">
        <w:rPr>
          <w:rFonts w:ascii="Arial" w:hAnsi="Arial" w:cs="Arial"/>
        </w:rPr>
        <w:t>Social media use has been linked to several mental health concerns in adolescence, including anxiety, depression, loneliness, and low self-esteem. A systematic review by Fassi et al. (2024) found consistent associations between high social media use and internalising symptoms, although the strength of these associations varied across studies. Orben et al. (2024) emphasise that social media does not affect all adolescents equally; instead, its impact depends on individual vulnerabilities, developmental timing, and social environments. For example, adolescents who experience social exclusion offline may seek validation online, increasing their exposure to harmful content or negative interactions. Longitudinal evidence also suggests that frequent social media use can predict poorer mental health outcomes over time, particularly for adolescents who engage in passive browsing or experience cyberbullying (Cabeza Martinez et al., 2026). These findings highlight the need to understand the developmental processes that shape how adolescents interpret and respond to online experiences.</w:t>
      </w:r>
    </w:p>
    <w:p w14:paraId="35DD72B1" w14:textId="68CB4A6D" w:rsidR="00577F8A" w:rsidRPr="00577F8A" w:rsidRDefault="00577F8A" w:rsidP="00E03415">
      <w:pPr>
        <w:spacing w:line="360" w:lineRule="auto"/>
        <w:rPr>
          <w:rFonts w:ascii="Arial" w:hAnsi="Arial" w:cs="Arial"/>
          <w:b/>
          <w:bCs/>
        </w:rPr>
      </w:pPr>
      <w:r w:rsidRPr="00577F8A">
        <w:rPr>
          <w:rFonts w:ascii="Arial" w:hAnsi="Arial" w:cs="Arial"/>
          <w:b/>
          <w:bCs/>
        </w:rPr>
        <w:t>Erikson’s Psychosocial Theory</w:t>
      </w:r>
    </w:p>
    <w:p w14:paraId="6F598F9C" w14:textId="28913F6A" w:rsidR="00C1503F" w:rsidRPr="005D1E37" w:rsidRDefault="00C1503F" w:rsidP="005D1E37">
      <w:pPr>
        <w:spacing w:line="360" w:lineRule="auto"/>
        <w:rPr>
          <w:rFonts w:ascii="Arial" w:hAnsi="Arial" w:cs="Arial"/>
        </w:rPr>
      </w:pPr>
      <w:r w:rsidRPr="00C1503F">
        <w:rPr>
          <w:rFonts w:ascii="Arial" w:hAnsi="Arial" w:cs="Arial"/>
        </w:rPr>
        <w:t>Erikson's psychosocial theory provides a valuable framework for understanding why adolescents are particularly vulnerable to the influence of social media. During the stage of identity versus role confusion, young people actively seek social acceptance and validation. Social media platforms intensify this developmental task by exposing adolescents to constant peer comparison, idealised images, and instant feedback through likes and comments. Consequently, adolescents may become increasingly dependent on online approval, potentially contributing to anxiety, low self-esteem, and depressive symptoms (Erikson, 1968; Orben et al., 2024). However, a limitation of Erikson's theory is that it was developed long before the emergence of digital technology and therefore does not fully explain the complexities of online identity formation. Nevertheless, its emphasis on identity development remains highly relevant when examining adolescent behaviour in contemporary digital environments.</w:t>
      </w:r>
    </w:p>
    <w:p w14:paraId="3B360E74" w14:textId="77777777" w:rsidR="00982EBF" w:rsidRPr="005D1E37" w:rsidRDefault="00982EBF" w:rsidP="005D1E37">
      <w:pPr>
        <w:spacing w:line="360" w:lineRule="auto"/>
        <w:rPr>
          <w:rFonts w:ascii="Arial" w:hAnsi="Arial" w:cs="Arial"/>
        </w:rPr>
      </w:pPr>
      <w:r w:rsidRPr="005D1E37">
        <w:rPr>
          <w:rFonts w:ascii="Arial" w:hAnsi="Arial" w:cs="Arial"/>
        </w:rPr>
        <w:t xml:space="preserve">Erikson also emphasises the importance of social relationships in shaping identity development. Social media expands adolescents’ social worlds but also exposes them to cyberbullying, peer rejection, and unrealistic social norms. These experiences can disrupt the formation of a positive identity, particularly for adolescents who already struggle with self-concept. In health and social care practice, Erikson’s theory can be applied by supporting adolescents in developing offline identity resources, such as hobbies, peer groups, and </w:t>
      </w:r>
      <w:r w:rsidRPr="005D1E37">
        <w:rPr>
          <w:rFonts w:ascii="Arial" w:hAnsi="Arial" w:cs="Arial"/>
        </w:rPr>
        <w:lastRenderedPageBreak/>
        <w:t>supportive relationships. Practitioners can also help adolescents critically reflect on their social media use, encouraging them to recognise the artificial nature of online content and develop healthier digital habits.</w:t>
      </w:r>
    </w:p>
    <w:p w14:paraId="23D53CB4" w14:textId="07690849" w:rsidR="00982EBF" w:rsidRPr="005D1E37" w:rsidRDefault="00982EBF" w:rsidP="005D1E37">
      <w:pPr>
        <w:spacing w:line="360" w:lineRule="auto"/>
        <w:rPr>
          <w:rFonts w:ascii="Arial" w:hAnsi="Arial" w:cs="Arial"/>
        </w:rPr>
      </w:pPr>
      <w:r w:rsidRPr="005D1E37">
        <w:rPr>
          <w:rFonts w:ascii="Arial" w:hAnsi="Arial" w:cs="Arial"/>
        </w:rPr>
        <w:t>Bowlby’s attachment theory offers another lens through which to understand adolescent social media behaviour. Bowlby argued that early attachment experiences shape internal working models that influence how individuals relate to others throughout life. Adolescents with secure attachments typically develop strong emotional regulation skills and positive e</w:t>
      </w:r>
      <w:r w:rsidR="001D7B12">
        <w:rPr>
          <w:rFonts w:ascii="Arial" w:hAnsi="Arial" w:cs="Arial"/>
        </w:rPr>
        <w:t>xpectations</w:t>
      </w:r>
      <w:r w:rsidRPr="005D1E37">
        <w:rPr>
          <w:rFonts w:ascii="Arial" w:hAnsi="Arial" w:cs="Arial"/>
        </w:rPr>
        <w:t xml:space="preserve"> of relationships. They may use social media in balanced ways, engaging in supportive interactions that enhance wellbeing. In contrast, adolescents with insecure attachments—whether anxious, avoidant, or disorganised—may be more vulnerable to negative online experiences. For example, anxiously attached adolescents may seek excessive reassurance online, becoming distressed when responses are delayed or absent. Avoidantly attached adolescents may use social media to maintain emotional distance while still observing peers, potentially reinforcing feelings of isolation.</w:t>
      </w:r>
    </w:p>
    <w:p w14:paraId="46868095" w14:textId="77777777" w:rsidR="00982EBF" w:rsidRPr="005D1E37" w:rsidRDefault="00982EBF" w:rsidP="005D1E37">
      <w:pPr>
        <w:spacing w:line="360" w:lineRule="auto"/>
        <w:rPr>
          <w:rFonts w:ascii="Arial" w:hAnsi="Arial" w:cs="Arial"/>
        </w:rPr>
      </w:pPr>
      <w:r w:rsidRPr="005D1E37">
        <w:rPr>
          <w:rFonts w:ascii="Arial" w:hAnsi="Arial" w:cs="Arial"/>
        </w:rPr>
        <w:t>Research supports the idea that adolescents with pre-existing vulnerabilities are more likely to experience negative mental health outcomes from social media use. Orben et al. (2024) note that social media can amplify existing emotional difficulties, particularly for young people who struggle with interpersonal relationships or emotional regulation. Similarly, longitudinal evidence suggests that adolescents who experience offline relational difficulties may be more susceptible to cyberbullying and online conflict, which can exacerbate symptoms of depression and anxiety (Cabeza Martinez et al., 2026). Bowlby’s theory helps explain why these adolescents may interpret online interactions more negatively or rely on social media in maladaptive ways. In health and social care practice, understanding attachment patterns can guide interventions that focus on strengthening emotional regulation, building secure relationships, and reducing reliance on online validation.</w:t>
      </w:r>
    </w:p>
    <w:p w14:paraId="30FFC100" w14:textId="77777777" w:rsidR="00982EBF" w:rsidRPr="005D1E37" w:rsidRDefault="00982EBF" w:rsidP="005D1E37">
      <w:pPr>
        <w:spacing w:line="360" w:lineRule="auto"/>
        <w:rPr>
          <w:rFonts w:ascii="Arial" w:hAnsi="Arial" w:cs="Arial"/>
        </w:rPr>
      </w:pPr>
      <w:r w:rsidRPr="005D1E37">
        <w:rPr>
          <w:rFonts w:ascii="Arial" w:hAnsi="Arial" w:cs="Arial"/>
        </w:rPr>
        <w:t xml:space="preserve">Biological and social determinants also shape adolescent responses to social media. Adolescence is marked by heightened neural sensitivity to social feedback, driven by changes in the limbic system and prefrontal cortex. Orben et al. (2024) highlight that these biological changes make adolescents more reactive to social rewards and social threats, increasing the emotional impact of online interactions. This heightened sensitivity can intensify the effects of cyberbullying, exclusion, or negative comparison. Social determinants, such as peer norms, family dynamics, and socioeconomic status, further influence how adolescents engage with social media. For example, adolescents from disadvantaged backgrounds may rely more heavily on social media for social connection, increasing their exposure to harmful content. Health and social care practitioners must </w:t>
      </w:r>
      <w:r w:rsidRPr="005D1E37">
        <w:rPr>
          <w:rFonts w:ascii="Arial" w:hAnsi="Arial" w:cs="Arial"/>
        </w:rPr>
        <w:lastRenderedPageBreak/>
        <w:t>consider these intersecting determinants when assessing adolescent mental health and designing interventions.</w:t>
      </w:r>
    </w:p>
    <w:p w14:paraId="5E9BF3EA" w14:textId="77777777" w:rsidR="00982EBF" w:rsidRDefault="00982EBF" w:rsidP="005D1E37">
      <w:pPr>
        <w:spacing w:line="360" w:lineRule="auto"/>
        <w:rPr>
          <w:rFonts w:ascii="Arial" w:hAnsi="Arial" w:cs="Arial"/>
        </w:rPr>
      </w:pPr>
      <w:r w:rsidRPr="005D1E37">
        <w:rPr>
          <w:rFonts w:ascii="Arial" w:hAnsi="Arial" w:cs="Arial"/>
        </w:rPr>
        <w:t>Integrating Erikson’s and Bowlby’s theories provides a comprehensive understanding of how social media affects adolescent mental health. Erikson’s theory highlights the role of identity development and social comparison, while Bowlby’s theory emphasises the influence of attachment patterns and emotional regulation. Together, these theories explain why some adolescents are more vulnerable to negative online experiences and how developmental processes shape their responses. For example, an adolescent with insecure attachment and unresolved identity confusion may be particularly susceptible to cyberbullying, interpreting negative comments as confirmation of their fears about themselves and others. In contrast, an adolescent with secure attachment and a strong sense of identity may be better equipped to navigate online challenges without experiencing significant distress.</w:t>
      </w:r>
    </w:p>
    <w:p w14:paraId="603DE156" w14:textId="673080D3" w:rsidR="00577F8A" w:rsidRPr="005D1E37" w:rsidRDefault="00577F8A" w:rsidP="005D1E37">
      <w:pPr>
        <w:spacing w:line="360" w:lineRule="auto"/>
        <w:rPr>
          <w:rFonts w:ascii="Arial" w:hAnsi="Arial" w:cs="Arial"/>
        </w:rPr>
      </w:pPr>
      <w:r w:rsidRPr="00577F8A">
        <w:rPr>
          <w:rFonts w:ascii="Arial" w:hAnsi="Arial" w:cs="Arial"/>
        </w:rPr>
        <w:t>These theories demonstrate that adolescence is a critical period where social environments, including digital platforms, can significantly influence emotional and psychological development.</w:t>
      </w:r>
    </w:p>
    <w:p w14:paraId="1FE94CD3" w14:textId="77777777" w:rsidR="00982EBF" w:rsidRPr="005D1E37" w:rsidRDefault="00982EBF" w:rsidP="005D1E37">
      <w:pPr>
        <w:spacing w:line="360" w:lineRule="auto"/>
        <w:rPr>
          <w:rFonts w:ascii="Arial" w:hAnsi="Arial" w:cs="Arial"/>
        </w:rPr>
      </w:pPr>
      <w:r w:rsidRPr="005D1E37">
        <w:rPr>
          <w:rFonts w:ascii="Arial" w:hAnsi="Arial" w:cs="Arial"/>
          <w:b/>
          <w:bCs/>
        </w:rPr>
        <w:t>Conclusion</w:t>
      </w:r>
    </w:p>
    <w:p w14:paraId="5434F4F2" w14:textId="77777777" w:rsidR="00982EBF" w:rsidRDefault="00982EBF" w:rsidP="005D1E37">
      <w:pPr>
        <w:spacing w:line="360" w:lineRule="auto"/>
        <w:rPr>
          <w:rFonts w:ascii="Arial" w:hAnsi="Arial" w:cs="Arial"/>
        </w:rPr>
      </w:pPr>
      <w:r w:rsidRPr="005D1E37">
        <w:rPr>
          <w:rFonts w:ascii="Arial" w:hAnsi="Arial" w:cs="Arial"/>
        </w:rPr>
        <w:t>In conclusion, social media can significantly impact adolescent mental health, contributing to anxiety, depression, and identity-related difficulties. Research consistently shows associations between social media use and internalising symptoms, although the strength of these associations varies depending on individual vulnerabilities and social contexts. Erikson’s psychosocial theory explains how social media can disrupt identity development through social comparison and peer evaluation, while Bowlby’s attachment theory highlights how early relational experiences shape adolescents’ emotional responses to online interactions. Together, these theories provide valuable insights for health and social care practitioners, who can use them to identify vulnerable adolescents, support healthy identity development, and strengthen emotional regulation. By applying lifespan development theories, practitioners can better understand the complex relationship between social media and adolescent mental health and develop interventions that promote resilience in an increasingly digital world.</w:t>
      </w:r>
    </w:p>
    <w:p w14:paraId="5BF9D2EA" w14:textId="77777777" w:rsidR="00642D78" w:rsidRDefault="00642D78" w:rsidP="005D1E37">
      <w:pPr>
        <w:spacing w:line="360" w:lineRule="auto"/>
        <w:rPr>
          <w:rFonts w:ascii="Arial" w:hAnsi="Arial" w:cs="Arial"/>
        </w:rPr>
      </w:pPr>
    </w:p>
    <w:p w14:paraId="6F2AA75C" w14:textId="77777777" w:rsidR="00642D78" w:rsidRDefault="00642D78" w:rsidP="005D1E37">
      <w:pPr>
        <w:spacing w:line="360" w:lineRule="auto"/>
        <w:rPr>
          <w:rFonts w:ascii="Arial" w:hAnsi="Arial" w:cs="Arial"/>
        </w:rPr>
      </w:pPr>
    </w:p>
    <w:p w14:paraId="4D0229EC" w14:textId="77777777" w:rsidR="00642D78" w:rsidRDefault="00642D78" w:rsidP="005D1E37">
      <w:pPr>
        <w:spacing w:line="360" w:lineRule="auto"/>
        <w:rPr>
          <w:rFonts w:ascii="Arial" w:hAnsi="Arial" w:cs="Arial"/>
        </w:rPr>
      </w:pPr>
    </w:p>
    <w:p w14:paraId="4B1855F1" w14:textId="77777777" w:rsidR="00642D78" w:rsidRDefault="00642D78" w:rsidP="005D1E37">
      <w:pPr>
        <w:spacing w:line="360" w:lineRule="auto"/>
        <w:rPr>
          <w:rFonts w:ascii="Arial" w:hAnsi="Arial" w:cs="Arial"/>
        </w:rPr>
      </w:pPr>
    </w:p>
    <w:p w14:paraId="1AD54A33" w14:textId="77777777" w:rsidR="00642D78" w:rsidRPr="005D1E37" w:rsidRDefault="00642D78" w:rsidP="005D1E37">
      <w:pPr>
        <w:spacing w:line="360" w:lineRule="auto"/>
        <w:rPr>
          <w:rFonts w:ascii="Arial" w:hAnsi="Arial" w:cs="Arial"/>
        </w:rPr>
      </w:pPr>
    </w:p>
    <w:p w14:paraId="0507C1AC" w14:textId="5BDC2396" w:rsidR="00642D78" w:rsidRPr="00982EBF" w:rsidRDefault="00982EBF" w:rsidP="00982EBF">
      <w:pPr>
        <w:rPr>
          <w:b/>
          <w:bCs/>
        </w:rPr>
      </w:pPr>
      <w:r w:rsidRPr="00982EBF">
        <w:rPr>
          <w:b/>
          <w:bCs/>
        </w:rPr>
        <w:t xml:space="preserve">References </w:t>
      </w:r>
    </w:p>
    <w:p w14:paraId="09D885D7" w14:textId="77777777" w:rsidR="00982EBF" w:rsidRPr="00982EBF" w:rsidRDefault="00982EBF" w:rsidP="00982EBF">
      <w:r w:rsidRPr="00982EBF">
        <w:t xml:space="preserve">Cabeza Martinez, B., Cortesi, A. and Vlachos, S. (2026) </w:t>
      </w:r>
      <w:r w:rsidRPr="00982EBF">
        <w:rPr>
          <w:i/>
          <w:iCs/>
        </w:rPr>
        <w:t>Social media use and youth mental health and well-being: a systematic review of longitudinal and experimental evidence</w:t>
      </w:r>
      <w:r w:rsidRPr="00982EBF">
        <w:t>. Joint Research Centre.</w:t>
      </w:r>
    </w:p>
    <w:p w14:paraId="52932CB2" w14:textId="77777777" w:rsidR="00982EBF" w:rsidRPr="00982EBF" w:rsidRDefault="00982EBF" w:rsidP="00982EBF">
      <w:r w:rsidRPr="00982EBF">
        <w:t xml:space="preserve">Fassi, L., Thomas, K. et al. (2024) </w:t>
      </w:r>
      <w:r w:rsidRPr="00982EBF">
        <w:rPr>
          <w:i/>
          <w:iCs/>
        </w:rPr>
        <w:t>Social Media Use and Internalizing Symptoms in Clinical and Community Adolescent Samples: A Systematic Review and Meta</w:t>
      </w:r>
      <w:r w:rsidRPr="00982EBF">
        <w:rPr>
          <w:i/>
          <w:iCs/>
        </w:rPr>
        <w:noBreakHyphen/>
        <w:t>Analysis</w:t>
      </w:r>
      <w:r w:rsidRPr="00982EBF">
        <w:t xml:space="preserve">. JAMA </w:t>
      </w:r>
      <w:proofErr w:type="spellStart"/>
      <w:r w:rsidRPr="00982EBF">
        <w:t>Pediatrics</w:t>
      </w:r>
      <w:proofErr w:type="spellEnd"/>
      <w:r w:rsidRPr="00982EBF">
        <w:t>.</w:t>
      </w:r>
    </w:p>
    <w:p w14:paraId="73268D37" w14:textId="77777777" w:rsidR="00982EBF" w:rsidRPr="00982EBF" w:rsidRDefault="00982EBF" w:rsidP="00982EBF">
      <w:r w:rsidRPr="00982EBF">
        <w:t>Orben, A., Meier, A., Dalgleish, T. and Blakemore, S</w:t>
      </w:r>
      <w:r w:rsidRPr="00982EBF">
        <w:noBreakHyphen/>
        <w:t xml:space="preserve">J. (2024) </w:t>
      </w:r>
      <w:r w:rsidRPr="00982EBF">
        <w:rPr>
          <w:i/>
          <w:iCs/>
        </w:rPr>
        <w:t>Mechanisms linking social media use to adolescent mental health vulnerability</w:t>
      </w:r>
      <w:r w:rsidRPr="00982EBF">
        <w:t>. Nature Reviews Psychology.</w:t>
      </w:r>
    </w:p>
    <w:p w14:paraId="29046E0B" w14:textId="77777777" w:rsidR="00982EBF" w:rsidRPr="00982EBF" w:rsidRDefault="00982EBF" w:rsidP="00982EBF">
      <w:r w:rsidRPr="00982EBF">
        <w:t xml:space="preserve">Vijayakumar, N., Dashti, S.G. et al. (2024) </w:t>
      </w:r>
      <w:r w:rsidRPr="00982EBF">
        <w:rPr>
          <w:i/>
          <w:iCs/>
        </w:rPr>
        <w:t>The Effects of Social Media on Adolescent Mental Health: Findings From a Population</w:t>
      </w:r>
      <w:r w:rsidRPr="00982EBF">
        <w:rPr>
          <w:i/>
          <w:iCs/>
        </w:rPr>
        <w:noBreakHyphen/>
        <w:t>Based Cohort Study in Australia</w:t>
      </w:r>
      <w:r w:rsidRPr="00982EBF">
        <w:t>. Medical Journal of Australia.</w:t>
      </w:r>
    </w:p>
    <w:p w14:paraId="0DC416BD" w14:textId="77777777" w:rsidR="0025598C" w:rsidRDefault="0025598C"/>
    <w:sectPr w:rsidR="0025598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2EFD2" w14:textId="77777777" w:rsidR="00967C2C" w:rsidRDefault="00967C2C" w:rsidP="00982EBF">
      <w:pPr>
        <w:spacing w:after="0" w:line="240" w:lineRule="auto"/>
      </w:pPr>
      <w:r>
        <w:separator/>
      </w:r>
    </w:p>
  </w:endnote>
  <w:endnote w:type="continuationSeparator" w:id="0">
    <w:p w14:paraId="4105083F" w14:textId="77777777" w:rsidR="00967C2C" w:rsidRDefault="00967C2C" w:rsidP="00982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8949869"/>
      <w:docPartObj>
        <w:docPartGallery w:val="Page Numbers (Bottom of Page)"/>
        <w:docPartUnique/>
      </w:docPartObj>
    </w:sdtPr>
    <w:sdtContent>
      <w:p w14:paraId="2CECF82B" w14:textId="0F6697AC" w:rsidR="00982EBF" w:rsidRDefault="00982EBF">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66640EE7" w14:textId="77777777" w:rsidR="00982EBF" w:rsidRDefault="00982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09351" w14:textId="77777777" w:rsidR="00967C2C" w:rsidRDefault="00967C2C" w:rsidP="00982EBF">
      <w:pPr>
        <w:spacing w:after="0" w:line="240" w:lineRule="auto"/>
      </w:pPr>
      <w:r>
        <w:separator/>
      </w:r>
    </w:p>
  </w:footnote>
  <w:footnote w:type="continuationSeparator" w:id="0">
    <w:p w14:paraId="5BD499D9" w14:textId="77777777" w:rsidR="00967C2C" w:rsidRDefault="00967C2C" w:rsidP="00982E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A812A6"/>
    <w:multiLevelType w:val="multilevel"/>
    <w:tmpl w:val="2A38F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1631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EBF"/>
    <w:rsid w:val="000113C4"/>
    <w:rsid w:val="00195FC9"/>
    <w:rsid w:val="001D7B12"/>
    <w:rsid w:val="001E34A0"/>
    <w:rsid w:val="0025598C"/>
    <w:rsid w:val="002A2EB1"/>
    <w:rsid w:val="003A1060"/>
    <w:rsid w:val="00577F8A"/>
    <w:rsid w:val="005A251A"/>
    <w:rsid w:val="005D1E37"/>
    <w:rsid w:val="005D7E5F"/>
    <w:rsid w:val="00642D78"/>
    <w:rsid w:val="00681BC8"/>
    <w:rsid w:val="008F49F1"/>
    <w:rsid w:val="009363FE"/>
    <w:rsid w:val="00966C33"/>
    <w:rsid w:val="00967C2C"/>
    <w:rsid w:val="00982EBF"/>
    <w:rsid w:val="00AF63B6"/>
    <w:rsid w:val="00C1503F"/>
    <w:rsid w:val="00C77B57"/>
    <w:rsid w:val="00D16853"/>
    <w:rsid w:val="00D468FA"/>
    <w:rsid w:val="00D96D18"/>
    <w:rsid w:val="00DA3044"/>
    <w:rsid w:val="00DC56D9"/>
    <w:rsid w:val="00DD6140"/>
    <w:rsid w:val="00DE5090"/>
    <w:rsid w:val="00E03415"/>
    <w:rsid w:val="00E41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F02FA5"/>
  <w15:chartTrackingRefBased/>
  <w15:docId w15:val="{C5F1C7DC-441F-40E0-889E-BD9955556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2E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2E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2E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2E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2E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2E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2E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2E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2E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E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2E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2E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2E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2E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2E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2E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2E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2EBF"/>
    <w:rPr>
      <w:rFonts w:eastAsiaTheme="majorEastAsia" w:cstheme="majorBidi"/>
      <w:color w:val="272727" w:themeColor="text1" w:themeTint="D8"/>
    </w:rPr>
  </w:style>
  <w:style w:type="paragraph" w:styleId="Title">
    <w:name w:val="Title"/>
    <w:basedOn w:val="Normal"/>
    <w:next w:val="Normal"/>
    <w:link w:val="TitleChar"/>
    <w:uiPriority w:val="10"/>
    <w:qFormat/>
    <w:rsid w:val="00982E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2E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2E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2E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2EBF"/>
    <w:pPr>
      <w:spacing w:before="160"/>
      <w:jc w:val="center"/>
    </w:pPr>
    <w:rPr>
      <w:i/>
      <w:iCs/>
      <w:color w:val="404040" w:themeColor="text1" w:themeTint="BF"/>
    </w:rPr>
  </w:style>
  <w:style w:type="character" w:customStyle="1" w:styleId="QuoteChar">
    <w:name w:val="Quote Char"/>
    <w:basedOn w:val="DefaultParagraphFont"/>
    <w:link w:val="Quote"/>
    <w:uiPriority w:val="29"/>
    <w:rsid w:val="00982EBF"/>
    <w:rPr>
      <w:i/>
      <w:iCs/>
      <w:color w:val="404040" w:themeColor="text1" w:themeTint="BF"/>
    </w:rPr>
  </w:style>
  <w:style w:type="paragraph" w:styleId="ListParagraph">
    <w:name w:val="List Paragraph"/>
    <w:basedOn w:val="Normal"/>
    <w:uiPriority w:val="34"/>
    <w:qFormat/>
    <w:rsid w:val="00982EBF"/>
    <w:pPr>
      <w:ind w:left="720"/>
      <w:contextualSpacing/>
    </w:pPr>
  </w:style>
  <w:style w:type="character" w:styleId="IntenseEmphasis">
    <w:name w:val="Intense Emphasis"/>
    <w:basedOn w:val="DefaultParagraphFont"/>
    <w:uiPriority w:val="21"/>
    <w:qFormat/>
    <w:rsid w:val="00982EBF"/>
    <w:rPr>
      <w:i/>
      <w:iCs/>
      <w:color w:val="0F4761" w:themeColor="accent1" w:themeShade="BF"/>
    </w:rPr>
  </w:style>
  <w:style w:type="paragraph" w:styleId="IntenseQuote">
    <w:name w:val="Intense Quote"/>
    <w:basedOn w:val="Normal"/>
    <w:next w:val="Normal"/>
    <w:link w:val="IntenseQuoteChar"/>
    <w:uiPriority w:val="30"/>
    <w:qFormat/>
    <w:rsid w:val="00982E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2EBF"/>
    <w:rPr>
      <w:i/>
      <w:iCs/>
      <w:color w:val="0F4761" w:themeColor="accent1" w:themeShade="BF"/>
    </w:rPr>
  </w:style>
  <w:style w:type="character" w:styleId="IntenseReference">
    <w:name w:val="Intense Reference"/>
    <w:basedOn w:val="DefaultParagraphFont"/>
    <w:uiPriority w:val="32"/>
    <w:qFormat/>
    <w:rsid w:val="00982EBF"/>
    <w:rPr>
      <w:b/>
      <w:bCs/>
      <w:smallCaps/>
      <w:color w:val="0F4761" w:themeColor="accent1" w:themeShade="BF"/>
      <w:spacing w:val="5"/>
    </w:rPr>
  </w:style>
  <w:style w:type="paragraph" w:styleId="Header">
    <w:name w:val="header"/>
    <w:basedOn w:val="Normal"/>
    <w:link w:val="HeaderChar"/>
    <w:uiPriority w:val="99"/>
    <w:unhideWhenUsed/>
    <w:rsid w:val="00982E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EBF"/>
  </w:style>
  <w:style w:type="paragraph" w:styleId="Footer">
    <w:name w:val="footer"/>
    <w:basedOn w:val="Normal"/>
    <w:link w:val="FooterChar"/>
    <w:uiPriority w:val="99"/>
    <w:unhideWhenUsed/>
    <w:rsid w:val="00982E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EBF"/>
  </w:style>
  <w:style w:type="character" w:styleId="Hyperlink">
    <w:name w:val="Hyperlink"/>
    <w:basedOn w:val="DefaultParagraphFont"/>
    <w:uiPriority w:val="99"/>
    <w:unhideWhenUsed/>
    <w:rsid w:val="005D1E37"/>
    <w:rPr>
      <w:color w:val="467886" w:themeColor="hyperlink"/>
      <w:u w:val="single"/>
    </w:rPr>
  </w:style>
  <w:style w:type="character" w:styleId="UnresolvedMention">
    <w:name w:val="Unresolved Mention"/>
    <w:basedOn w:val="DefaultParagraphFont"/>
    <w:uiPriority w:val="99"/>
    <w:semiHidden/>
    <w:unhideWhenUsed/>
    <w:rsid w:val="005D1E37"/>
    <w:rPr>
      <w:color w:val="605E5C"/>
      <w:shd w:val="clear" w:color="auto" w:fill="E1DFDD"/>
    </w:rPr>
  </w:style>
  <w:style w:type="paragraph" w:styleId="NormalWeb">
    <w:name w:val="Normal (Web)"/>
    <w:basedOn w:val="Normal"/>
    <w:uiPriority w:val="99"/>
    <w:semiHidden/>
    <w:unhideWhenUsed/>
    <w:rsid w:val="005D1E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moodle.uwtsd.ac.uk/course/view.php?id=118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5</Pages>
  <Words>1645</Words>
  <Characters>9377</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Atinicia Pereira Da Costa (2514003)</dc:creator>
  <cp:keywords/>
  <dc:description/>
  <cp:lastModifiedBy>Atinicia Pereira Da Costa (2514003)</cp:lastModifiedBy>
  <cp:revision>4</cp:revision>
  <dcterms:created xsi:type="dcterms:W3CDTF">2026-07-20T21:35:00Z</dcterms:created>
  <dcterms:modified xsi:type="dcterms:W3CDTF">2026-08-18T09:58:00Z</dcterms:modified>
</cp:coreProperties>
</file>