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88C75" w14:textId="77777777" w:rsidR="005F7ABE" w:rsidRDefault="00B57158">
      <w:pPr>
        <w:spacing w:line="360" w:lineRule="auto"/>
      </w:pPr>
      <w:r>
        <w:rPr>
          <w:noProof/>
        </w:rPr>
        <w:drawing>
          <wp:inline distT="0" distB="0" distL="0" distR="0" wp14:anchorId="146BD7CB" wp14:editId="08423475">
            <wp:extent cx="4335874" cy="1011454"/>
            <wp:effectExtent l="0" t="0" r="7526" b="0"/>
            <wp:docPr id="1658650742" name="Picture 1"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4335874" cy="1011454"/>
                    </a:xfrm>
                    <a:prstGeom prst="rect">
                      <a:avLst/>
                    </a:prstGeom>
                    <a:noFill/>
                    <a:ln>
                      <a:noFill/>
                      <a:prstDash/>
                    </a:ln>
                  </pic:spPr>
                </pic:pic>
              </a:graphicData>
            </a:graphic>
          </wp:inline>
        </w:drawing>
      </w:r>
    </w:p>
    <w:p w14:paraId="47314DDA" w14:textId="77777777" w:rsidR="005F7ABE" w:rsidRDefault="00B57158">
      <w:pPr>
        <w:spacing w:line="360" w:lineRule="auto"/>
      </w:pPr>
      <w:r>
        <w:rPr>
          <w:rFonts w:ascii="Arial" w:hAnsi="Arial"/>
          <w:b/>
          <w:bCs/>
          <w:sz w:val="32"/>
          <w:szCs w:val="32"/>
        </w:rPr>
        <w:t>Module Name:</w:t>
      </w:r>
      <w:r>
        <w:rPr>
          <w:rFonts w:ascii="Arial" w:hAnsi="Arial"/>
          <w:b/>
          <w:bCs/>
          <w:sz w:val="24"/>
          <w:szCs w:val="24"/>
        </w:rPr>
        <w:t xml:space="preserve"> Academic Skills in Digital Era</w:t>
      </w:r>
    </w:p>
    <w:p w14:paraId="49848CDF" w14:textId="77777777" w:rsidR="005F7ABE" w:rsidRDefault="00B57158">
      <w:pPr>
        <w:spacing w:line="360" w:lineRule="auto"/>
      </w:pPr>
      <w:r>
        <w:rPr>
          <w:rFonts w:ascii="Arial" w:hAnsi="Arial"/>
          <w:b/>
          <w:bCs/>
          <w:sz w:val="32"/>
          <w:szCs w:val="32"/>
        </w:rPr>
        <w:t>Module Code</w:t>
      </w:r>
      <w:r>
        <w:rPr>
          <w:rFonts w:ascii="Arial" w:hAnsi="Arial"/>
          <w:b/>
          <w:bCs/>
          <w:sz w:val="28"/>
          <w:szCs w:val="28"/>
        </w:rPr>
        <w:t xml:space="preserve">: </w:t>
      </w:r>
      <w:r>
        <w:rPr>
          <w:rFonts w:ascii="Arial" w:hAnsi="Arial"/>
          <w:b/>
          <w:bCs/>
          <w:sz w:val="24"/>
          <w:szCs w:val="24"/>
        </w:rPr>
        <w:t>BMSW4014</w:t>
      </w:r>
    </w:p>
    <w:p w14:paraId="7D1D1755" w14:textId="77777777" w:rsidR="005F7ABE" w:rsidRDefault="00B57158">
      <w:pPr>
        <w:spacing w:line="360" w:lineRule="auto"/>
      </w:pPr>
      <w:r>
        <w:rPr>
          <w:rFonts w:ascii="Arial" w:hAnsi="Arial"/>
          <w:b/>
          <w:bCs/>
          <w:sz w:val="32"/>
          <w:szCs w:val="32"/>
        </w:rPr>
        <w:t>Assenment 2</w:t>
      </w:r>
      <w:r>
        <w:rPr>
          <w:rFonts w:ascii="Arial" w:hAnsi="Arial"/>
          <w:b/>
          <w:bCs/>
          <w:sz w:val="24"/>
          <w:szCs w:val="24"/>
        </w:rPr>
        <w:t>: Understanding the Business Environment of the Influencer Industry</w:t>
      </w:r>
    </w:p>
    <w:p w14:paraId="60150D4A" w14:textId="77777777" w:rsidR="005F7ABE" w:rsidRDefault="00B57158">
      <w:pPr>
        <w:spacing w:line="360" w:lineRule="auto"/>
      </w:pPr>
      <w:r>
        <w:rPr>
          <w:rFonts w:ascii="Arial" w:hAnsi="Arial"/>
          <w:b/>
          <w:bCs/>
          <w:sz w:val="32"/>
          <w:szCs w:val="32"/>
        </w:rPr>
        <w:t>Lecture Name</w:t>
      </w:r>
      <w:r>
        <w:rPr>
          <w:rFonts w:ascii="Arial" w:hAnsi="Arial"/>
          <w:b/>
          <w:bCs/>
          <w:sz w:val="24"/>
          <w:szCs w:val="24"/>
        </w:rPr>
        <w:t>: Christopher Wilkin</w:t>
      </w:r>
    </w:p>
    <w:p w14:paraId="22ABC200" w14:textId="77777777" w:rsidR="005F7ABE" w:rsidRDefault="00B57158">
      <w:pPr>
        <w:spacing w:line="360" w:lineRule="auto"/>
      </w:pPr>
      <w:r>
        <w:rPr>
          <w:rFonts w:ascii="Arial" w:hAnsi="Arial"/>
          <w:b/>
          <w:bCs/>
          <w:sz w:val="32"/>
          <w:szCs w:val="32"/>
        </w:rPr>
        <w:t>Student Name:</w:t>
      </w:r>
      <w:r>
        <w:rPr>
          <w:rFonts w:ascii="Arial" w:hAnsi="Arial"/>
          <w:b/>
          <w:bCs/>
          <w:sz w:val="24"/>
          <w:szCs w:val="24"/>
        </w:rPr>
        <w:t xml:space="preserve"> Abdullahi Haashi</w:t>
      </w:r>
    </w:p>
    <w:p w14:paraId="323E45FA" w14:textId="77777777" w:rsidR="005F7ABE" w:rsidRDefault="00B57158">
      <w:pPr>
        <w:spacing w:line="360" w:lineRule="auto"/>
      </w:pPr>
      <w:r>
        <w:rPr>
          <w:rFonts w:ascii="Arial" w:hAnsi="Arial"/>
          <w:b/>
          <w:bCs/>
          <w:sz w:val="32"/>
          <w:szCs w:val="32"/>
        </w:rPr>
        <w:t>Student Number:</w:t>
      </w:r>
      <w:r>
        <w:rPr>
          <w:rFonts w:ascii="Arial" w:hAnsi="Arial"/>
          <w:b/>
          <w:bCs/>
          <w:sz w:val="24"/>
          <w:szCs w:val="24"/>
        </w:rPr>
        <w:t xml:space="preserve"> 2411800</w:t>
      </w:r>
    </w:p>
    <w:p w14:paraId="1A0F68B5" w14:textId="77777777" w:rsidR="005F7ABE" w:rsidRDefault="00B57158">
      <w:pPr>
        <w:spacing w:line="360" w:lineRule="auto"/>
      </w:pPr>
      <w:r>
        <w:rPr>
          <w:rFonts w:ascii="Arial" w:hAnsi="Arial"/>
          <w:b/>
          <w:bCs/>
          <w:sz w:val="24"/>
          <w:szCs w:val="24"/>
        </w:rPr>
        <w:t>Deadline: 10</w:t>
      </w:r>
      <w:r>
        <w:rPr>
          <w:rFonts w:ascii="Arial" w:hAnsi="Arial"/>
          <w:b/>
          <w:bCs/>
          <w:sz w:val="24"/>
          <w:szCs w:val="24"/>
          <w:vertAlign w:val="superscript"/>
        </w:rPr>
        <w:t>th</w:t>
      </w:r>
      <w:r>
        <w:rPr>
          <w:rFonts w:ascii="Arial" w:hAnsi="Arial"/>
          <w:b/>
          <w:bCs/>
          <w:sz w:val="24"/>
          <w:szCs w:val="24"/>
        </w:rPr>
        <w:t xml:space="preserve"> July 2026 23:59</w:t>
      </w:r>
    </w:p>
    <w:p w14:paraId="5C3095E9" w14:textId="77777777" w:rsidR="005F7ABE" w:rsidRDefault="005F7ABE">
      <w:pPr>
        <w:spacing w:line="360" w:lineRule="auto"/>
        <w:rPr>
          <w:rFonts w:ascii="Arial" w:hAnsi="Arial"/>
          <w:b/>
          <w:bCs/>
          <w:sz w:val="24"/>
          <w:szCs w:val="24"/>
        </w:rPr>
      </w:pPr>
    </w:p>
    <w:p w14:paraId="4EF3E149" w14:textId="77777777" w:rsidR="005F7ABE" w:rsidRDefault="005F7ABE">
      <w:pPr>
        <w:spacing w:line="360" w:lineRule="auto"/>
        <w:rPr>
          <w:rFonts w:ascii="Arial" w:hAnsi="Arial"/>
          <w:b/>
          <w:bCs/>
          <w:sz w:val="24"/>
          <w:szCs w:val="24"/>
        </w:rPr>
      </w:pPr>
    </w:p>
    <w:p w14:paraId="7D169EF5" w14:textId="77777777" w:rsidR="005F7ABE" w:rsidRDefault="005F7ABE">
      <w:pPr>
        <w:spacing w:line="360" w:lineRule="auto"/>
        <w:rPr>
          <w:rFonts w:ascii="Arial" w:hAnsi="Arial"/>
          <w:b/>
          <w:bCs/>
          <w:sz w:val="24"/>
          <w:szCs w:val="24"/>
        </w:rPr>
      </w:pPr>
    </w:p>
    <w:p w14:paraId="67DD1D5B" w14:textId="77777777" w:rsidR="005F7ABE" w:rsidRDefault="005F7ABE">
      <w:pPr>
        <w:spacing w:line="360" w:lineRule="auto"/>
        <w:rPr>
          <w:rFonts w:ascii="Arial" w:hAnsi="Arial"/>
          <w:b/>
          <w:bCs/>
          <w:sz w:val="24"/>
          <w:szCs w:val="24"/>
        </w:rPr>
      </w:pPr>
    </w:p>
    <w:p w14:paraId="28BC0BBE" w14:textId="77777777" w:rsidR="005F7ABE" w:rsidRDefault="005F7ABE">
      <w:pPr>
        <w:spacing w:line="360" w:lineRule="auto"/>
        <w:rPr>
          <w:rFonts w:ascii="Arial" w:hAnsi="Arial"/>
          <w:b/>
          <w:bCs/>
          <w:sz w:val="24"/>
          <w:szCs w:val="24"/>
        </w:rPr>
      </w:pPr>
    </w:p>
    <w:p w14:paraId="511B5023" w14:textId="77777777" w:rsidR="005F7ABE" w:rsidRDefault="005F7ABE">
      <w:pPr>
        <w:spacing w:line="360" w:lineRule="auto"/>
        <w:rPr>
          <w:rFonts w:ascii="Arial" w:hAnsi="Arial"/>
          <w:b/>
          <w:bCs/>
          <w:sz w:val="24"/>
          <w:szCs w:val="24"/>
        </w:rPr>
      </w:pPr>
    </w:p>
    <w:p w14:paraId="1FDE3FEF" w14:textId="77777777" w:rsidR="005F7ABE" w:rsidRDefault="005F7ABE">
      <w:pPr>
        <w:spacing w:line="360" w:lineRule="auto"/>
        <w:rPr>
          <w:rFonts w:ascii="Arial" w:hAnsi="Arial"/>
          <w:b/>
          <w:bCs/>
          <w:sz w:val="24"/>
          <w:szCs w:val="24"/>
        </w:rPr>
      </w:pPr>
    </w:p>
    <w:p w14:paraId="2C4778E9" w14:textId="77777777" w:rsidR="005F7ABE" w:rsidRDefault="005F7ABE">
      <w:pPr>
        <w:spacing w:line="360" w:lineRule="auto"/>
        <w:rPr>
          <w:rFonts w:ascii="Arial" w:hAnsi="Arial"/>
          <w:b/>
          <w:bCs/>
          <w:sz w:val="24"/>
          <w:szCs w:val="24"/>
        </w:rPr>
      </w:pPr>
    </w:p>
    <w:p w14:paraId="4CF64841" w14:textId="77777777" w:rsidR="005F7ABE" w:rsidRDefault="005F7ABE">
      <w:pPr>
        <w:spacing w:line="360" w:lineRule="auto"/>
        <w:rPr>
          <w:rFonts w:ascii="Arial" w:hAnsi="Arial"/>
          <w:b/>
          <w:bCs/>
          <w:sz w:val="24"/>
          <w:szCs w:val="24"/>
        </w:rPr>
      </w:pPr>
    </w:p>
    <w:p w14:paraId="1F3EB5A4" w14:textId="77777777" w:rsidR="005F7ABE" w:rsidRDefault="005F7ABE">
      <w:pPr>
        <w:spacing w:line="360" w:lineRule="auto"/>
        <w:rPr>
          <w:rFonts w:ascii="Arial" w:hAnsi="Arial"/>
          <w:b/>
          <w:bCs/>
          <w:sz w:val="24"/>
          <w:szCs w:val="24"/>
        </w:rPr>
      </w:pPr>
    </w:p>
    <w:p w14:paraId="43CB07C1" w14:textId="77777777" w:rsidR="005F7ABE" w:rsidRDefault="005F7ABE">
      <w:pPr>
        <w:spacing w:line="360" w:lineRule="auto"/>
        <w:rPr>
          <w:rFonts w:ascii="Arial" w:hAnsi="Arial"/>
          <w:b/>
          <w:bCs/>
          <w:sz w:val="24"/>
          <w:szCs w:val="24"/>
        </w:rPr>
      </w:pPr>
    </w:p>
    <w:p w14:paraId="5EF55346" w14:textId="77777777" w:rsidR="005F7ABE" w:rsidRDefault="00B57158">
      <w:pPr>
        <w:spacing w:line="360" w:lineRule="auto"/>
        <w:rPr>
          <w:rFonts w:ascii="Arial" w:hAnsi="Arial"/>
          <w:b/>
          <w:bCs/>
          <w:sz w:val="24"/>
          <w:szCs w:val="24"/>
        </w:rPr>
      </w:pPr>
      <w:r>
        <w:rPr>
          <w:rFonts w:ascii="Arial" w:hAnsi="Arial"/>
          <w:b/>
          <w:bCs/>
          <w:sz w:val="24"/>
          <w:szCs w:val="24"/>
        </w:rPr>
        <w:t>Word count:1500</w:t>
      </w:r>
    </w:p>
    <w:p w14:paraId="04888E4F" w14:textId="77777777" w:rsidR="005F7ABE" w:rsidRDefault="00B57158">
      <w:pPr>
        <w:spacing w:line="360" w:lineRule="auto"/>
        <w:rPr>
          <w:rFonts w:ascii="Arial" w:hAnsi="Arial"/>
          <w:b/>
          <w:bCs/>
          <w:sz w:val="24"/>
          <w:szCs w:val="24"/>
        </w:rPr>
      </w:pPr>
      <w:r>
        <w:rPr>
          <w:rFonts w:ascii="Arial" w:hAnsi="Arial"/>
          <w:b/>
          <w:bCs/>
          <w:sz w:val="24"/>
          <w:szCs w:val="24"/>
        </w:rPr>
        <w:t>AI Acknowledgement</w:t>
      </w:r>
    </w:p>
    <w:p w14:paraId="05C81311" w14:textId="77777777" w:rsidR="005F7ABE" w:rsidRDefault="00B57158">
      <w:pPr>
        <w:spacing w:line="360" w:lineRule="auto"/>
      </w:pPr>
      <w:r>
        <w:rPr>
          <w:rFonts w:ascii="Arial" w:hAnsi="Arial"/>
          <w:sz w:val="24"/>
          <w:szCs w:val="24"/>
          <w:lang w:val="en-US"/>
        </w:rPr>
        <w:t> I confirm that I have not presented any AI-generated text as my own work. I confirm that I have retained copies of my drafts, notes, and other resources used before and after the use of AI tools, which may be requested as evidence.</w:t>
      </w:r>
      <w:r>
        <w:rPr>
          <w:rFonts w:ascii="Arial" w:hAnsi="Arial"/>
          <w:sz w:val="24"/>
          <w:szCs w:val="24"/>
        </w:rPr>
        <w:t> </w:t>
      </w:r>
    </w:p>
    <w:p w14:paraId="679026A6" w14:textId="77777777" w:rsidR="005F7ABE" w:rsidRDefault="005F7ABE">
      <w:pPr>
        <w:spacing w:line="360" w:lineRule="auto"/>
        <w:rPr>
          <w:rFonts w:ascii="Arial" w:hAnsi="Arial"/>
          <w:b/>
          <w:bCs/>
          <w:sz w:val="24"/>
          <w:szCs w:val="24"/>
        </w:rPr>
      </w:pPr>
    </w:p>
    <w:p w14:paraId="2027A658" w14:textId="77777777" w:rsidR="005F7ABE" w:rsidRDefault="005F7ABE">
      <w:pPr>
        <w:spacing w:line="360" w:lineRule="auto"/>
        <w:rPr>
          <w:rFonts w:ascii="Arial" w:hAnsi="Arial"/>
          <w:b/>
          <w:bCs/>
          <w:sz w:val="24"/>
          <w:szCs w:val="24"/>
        </w:rPr>
      </w:pPr>
    </w:p>
    <w:p w14:paraId="2C2530FF" w14:textId="77777777" w:rsidR="005F7ABE" w:rsidRDefault="005F7ABE">
      <w:pPr>
        <w:spacing w:line="360" w:lineRule="auto"/>
        <w:rPr>
          <w:rFonts w:ascii="Arial" w:hAnsi="Arial"/>
          <w:sz w:val="24"/>
          <w:szCs w:val="24"/>
        </w:rPr>
      </w:pPr>
    </w:p>
    <w:p w14:paraId="29D574DD" w14:textId="77777777" w:rsidR="005F7ABE" w:rsidRDefault="005F7ABE">
      <w:pPr>
        <w:spacing w:line="360" w:lineRule="auto"/>
        <w:rPr>
          <w:rFonts w:ascii="Arial" w:hAnsi="Arial"/>
          <w:sz w:val="24"/>
          <w:szCs w:val="24"/>
        </w:rPr>
      </w:pPr>
    </w:p>
    <w:p w14:paraId="7CF10E09" w14:textId="77777777" w:rsidR="005F7ABE" w:rsidRDefault="005F7ABE">
      <w:pPr>
        <w:spacing w:line="360" w:lineRule="auto"/>
        <w:rPr>
          <w:rFonts w:ascii="Arial" w:hAnsi="Arial"/>
          <w:sz w:val="24"/>
          <w:szCs w:val="24"/>
        </w:rPr>
      </w:pPr>
    </w:p>
    <w:p w14:paraId="46B4619C" w14:textId="77777777" w:rsidR="005F7ABE" w:rsidRDefault="005F7ABE">
      <w:pPr>
        <w:spacing w:line="360" w:lineRule="auto"/>
        <w:rPr>
          <w:rFonts w:ascii="Arial" w:hAnsi="Arial"/>
          <w:sz w:val="24"/>
          <w:szCs w:val="24"/>
        </w:rPr>
      </w:pPr>
    </w:p>
    <w:p w14:paraId="11117E8F" w14:textId="77777777" w:rsidR="005F7ABE" w:rsidRDefault="005F7ABE">
      <w:pPr>
        <w:spacing w:line="360" w:lineRule="auto"/>
        <w:rPr>
          <w:rFonts w:ascii="Arial" w:hAnsi="Arial"/>
          <w:sz w:val="24"/>
          <w:szCs w:val="24"/>
        </w:rPr>
      </w:pPr>
    </w:p>
    <w:p w14:paraId="6730E21A" w14:textId="77777777" w:rsidR="005F7ABE" w:rsidRDefault="005F7ABE">
      <w:pPr>
        <w:spacing w:line="360" w:lineRule="auto"/>
        <w:rPr>
          <w:rFonts w:ascii="Arial" w:hAnsi="Arial"/>
          <w:sz w:val="24"/>
          <w:szCs w:val="24"/>
        </w:rPr>
      </w:pPr>
    </w:p>
    <w:p w14:paraId="595EFB73" w14:textId="77777777" w:rsidR="005F7ABE" w:rsidRDefault="005F7ABE">
      <w:pPr>
        <w:spacing w:line="360" w:lineRule="auto"/>
        <w:rPr>
          <w:rFonts w:ascii="Arial" w:hAnsi="Arial"/>
          <w:sz w:val="24"/>
          <w:szCs w:val="24"/>
        </w:rPr>
      </w:pPr>
    </w:p>
    <w:p w14:paraId="2BE15C38" w14:textId="77777777" w:rsidR="005F7ABE" w:rsidRDefault="005F7ABE">
      <w:pPr>
        <w:spacing w:line="360" w:lineRule="auto"/>
        <w:rPr>
          <w:rFonts w:ascii="Arial" w:hAnsi="Arial"/>
          <w:sz w:val="24"/>
          <w:szCs w:val="24"/>
        </w:rPr>
      </w:pPr>
    </w:p>
    <w:p w14:paraId="7F9BAA54" w14:textId="77777777" w:rsidR="005F7ABE" w:rsidRDefault="005F7ABE">
      <w:pPr>
        <w:spacing w:line="360" w:lineRule="auto"/>
        <w:rPr>
          <w:rFonts w:ascii="Arial" w:hAnsi="Arial"/>
          <w:sz w:val="24"/>
          <w:szCs w:val="24"/>
        </w:rPr>
      </w:pPr>
    </w:p>
    <w:p w14:paraId="11E25E7E" w14:textId="77777777" w:rsidR="005F7ABE" w:rsidRDefault="005F7ABE">
      <w:pPr>
        <w:spacing w:line="360" w:lineRule="auto"/>
        <w:rPr>
          <w:rFonts w:ascii="Arial" w:hAnsi="Arial"/>
          <w:sz w:val="24"/>
          <w:szCs w:val="24"/>
        </w:rPr>
      </w:pPr>
    </w:p>
    <w:p w14:paraId="344FB28F" w14:textId="77777777" w:rsidR="005F7ABE" w:rsidRDefault="005F7ABE">
      <w:pPr>
        <w:spacing w:line="360" w:lineRule="auto"/>
        <w:rPr>
          <w:rFonts w:ascii="Arial" w:hAnsi="Arial"/>
          <w:sz w:val="24"/>
          <w:szCs w:val="24"/>
        </w:rPr>
      </w:pPr>
    </w:p>
    <w:p w14:paraId="7081E6EC" w14:textId="77777777" w:rsidR="005F7ABE" w:rsidRDefault="005F7ABE">
      <w:pPr>
        <w:spacing w:line="360" w:lineRule="auto"/>
        <w:rPr>
          <w:rFonts w:ascii="Arial" w:hAnsi="Arial"/>
          <w:sz w:val="24"/>
          <w:szCs w:val="24"/>
        </w:rPr>
      </w:pPr>
    </w:p>
    <w:p w14:paraId="4284D6CF" w14:textId="77777777" w:rsidR="005F7ABE" w:rsidRDefault="005F7ABE">
      <w:pPr>
        <w:spacing w:line="360" w:lineRule="auto"/>
        <w:rPr>
          <w:rFonts w:ascii="Arial" w:hAnsi="Arial"/>
          <w:sz w:val="24"/>
          <w:szCs w:val="24"/>
        </w:rPr>
      </w:pPr>
    </w:p>
    <w:p w14:paraId="7D318C67" w14:textId="77777777" w:rsidR="005F7ABE" w:rsidRDefault="005F7ABE">
      <w:pPr>
        <w:spacing w:line="360" w:lineRule="auto"/>
        <w:rPr>
          <w:rFonts w:ascii="Arial" w:hAnsi="Arial"/>
          <w:sz w:val="24"/>
          <w:szCs w:val="24"/>
        </w:rPr>
      </w:pPr>
    </w:p>
    <w:p w14:paraId="70E43703" w14:textId="77777777" w:rsidR="005F7ABE" w:rsidRDefault="005F7ABE">
      <w:pPr>
        <w:spacing w:line="360" w:lineRule="auto"/>
        <w:rPr>
          <w:rFonts w:ascii="Arial" w:hAnsi="Arial"/>
          <w:sz w:val="24"/>
          <w:szCs w:val="24"/>
        </w:rPr>
      </w:pPr>
    </w:p>
    <w:p w14:paraId="7E1F67FF" w14:textId="77777777" w:rsidR="005F7ABE" w:rsidRDefault="005F7ABE">
      <w:pPr>
        <w:spacing w:line="360" w:lineRule="auto"/>
        <w:rPr>
          <w:rFonts w:ascii="Arial" w:hAnsi="Arial"/>
          <w:sz w:val="24"/>
          <w:szCs w:val="24"/>
        </w:rPr>
      </w:pPr>
    </w:p>
    <w:p w14:paraId="15E58FDC" w14:textId="77777777" w:rsidR="005F7ABE" w:rsidRDefault="005F7ABE">
      <w:pPr>
        <w:spacing w:line="360" w:lineRule="auto"/>
        <w:rPr>
          <w:rFonts w:ascii="Arial" w:hAnsi="Arial"/>
          <w:sz w:val="24"/>
          <w:szCs w:val="24"/>
        </w:rPr>
      </w:pPr>
    </w:p>
    <w:p w14:paraId="22CCA5E4" w14:textId="77777777" w:rsidR="005F7ABE" w:rsidRDefault="005F7ABE">
      <w:pPr>
        <w:spacing w:line="360" w:lineRule="auto"/>
        <w:rPr>
          <w:rFonts w:ascii="Arial" w:hAnsi="Arial"/>
          <w:sz w:val="24"/>
          <w:szCs w:val="24"/>
        </w:rPr>
      </w:pPr>
    </w:p>
    <w:p w14:paraId="2004F3CC" w14:textId="77777777" w:rsidR="005F7ABE" w:rsidRDefault="005F7ABE">
      <w:pPr>
        <w:spacing w:line="360" w:lineRule="auto"/>
        <w:rPr>
          <w:rFonts w:ascii="Arial" w:hAnsi="Arial"/>
          <w:sz w:val="24"/>
          <w:szCs w:val="24"/>
        </w:rPr>
      </w:pPr>
    </w:p>
    <w:p w14:paraId="79099606" w14:textId="77777777" w:rsidR="005F7ABE" w:rsidRDefault="00B57158">
      <w:pPr>
        <w:spacing w:line="360" w:lineRule="auto"/>
        <w:rPr>
          <w:rFonts w:ascii="Arial" w:hAnsi="Arial"/>
          <w:sz w:val="24"/>
          <w:szCs w:val="24"/>
        </w:rPr>
      </w:pPr>
      <w:r>
        <w:rPr>
          <w:rFonts w:ascii="Arial" w:hAnsi="Arial"/>
          <w:sz w:val="24"/>
          <w:szCs w:val="24"/>
        </w:rPr>
        <w:t>The Evolving Creator Economy: A STEEPLE Analysis and Strategic Perspective</w:t>
      </w:r>
    </w:p>
    <w:p w14:paraId="7FCD57DE" w14:textId="77777777" w:rsidR="005F7ABE" w:rsidRDefault="005F7ABE">
      <w:pPr>
        <w:spacing w:line="360" w:lineRule="auto"/>
        <w:rPr>
          <w:rFonts w:ascii="Arial" w:hAnsi="Arial"/>
          <w:sz w:val="24"/>
          <w:szCs w:val="24"/>
        </w:rPr>
      </w:pPr>
    </w:p>
    <w:p w14:paraId="03B0CAE0" w14:textId="77777777" w:rsidR="005F7ABE" w:rsidRDefault="00B57158">
      <w:pPr>
        <w:spacing w:line="360" w:lineRule="auto"/>
        <w:rPr>
          <w:rFonts w:ascii="Arial" w:hAnsi="Arial"/>
          <w:sz w:val="24"/>
          <w:szCs w:val="24"/>
        </w:rPr>
      </w:pPr>
      <w:r>
        <w:rPr>
          <w:rFonts w:ascii="Arial" w:hAnsi="Arial"/>
          <w:sz w:val="24"/>
          <w:szCs w:val="24"/>
        </w:rPr>
        <w:t>Introduction</w:t>
      </w:r>
    </w:p>
    <w:p w14:paraId="3063A428" w14:textId="77777777" w:rsidR="005F7ABE" w:rsidRDefault="00B57158">
      <w:pPr>
        <w:spacing w:line="360" w:lineRule="auto"/>
        <w:rPr>
          <w:rFonts w:ascii="Arial" w:hAnsi="Arial"/>
          <w:sz w:val="24"/>
          <w:szCs w:val="24"/>
        </w:rPr>
      </w:pPr>
      <w:r>
        <w:rPr>
          <w:rFonts w:ascii="Arial" w:hAnsi="Arial"/>
          <w:sz w:val="24"/>
          <w:szCs w:val="24"/>
        </w:rPr>
        <w:t>The creator economy has emerged as a transformative force in the digital age, revolutionizing how individuals monetize their content across platforms such as YouTube, TikTok, Instagram, and Twitch. Driven by rapid technological innovations, shifting societal values emphasizing authenticity, and evolving legal and regulatory frameworks, this industry has experienced unprecedented growth valued at over $200 billion globally (Grand View Research, 2026). However, despite its lucrative prospects, this sector faces significant external challenges and internal vulnerabilities that could threaten its long-term sustainability. Understanding these influences is vital for creators, brands, and policymakers aiming to foster sustainable development. This essay employs a STEEPLE framework to analyze external factors, evaluates internal strengths and weaknesses through a SWOT analysis, forecasts future developments via the DPSIR model, and concludes with strategic recommendations for long-term success.</w:t>
      </w:r>
    </w:p>
    <w:p w14:paraId="799D4F85" w14:textId="77777777" w:rsidR="005F7ABE" w:rsidRDefault="005F7ABE">
      <w:pPr>
        <w:spacing w:line="360" w:lineRule="auto"/>
        <w:rPr>
          <w:rFonts w:ascii="Arial" w:hAnsi="Arial"/>
          <w:sz w:val="24"/>
          <w:szCs w:val="24"/>
        </w:rPr>
      </w:pPr>
    </w:p>
    <w:p w14:paraId="23009BFA" w14:textId="77777777" w:rsidR="005F7ABE" w:rsidRDefault="00B57158">
      <w:pPr>
        <w:spacing w:line="360" w:lineRule="auto"/>
        <w:rPr>
          <w:rFonts w:ascii="Arial" w:hAnsi="Arial"/>
          <w:sz w:val="24"/>
          <w:szCs w:val="24"/>
        </w:rPr>
      </w:pPr>
      <w:r>
        <w:rPr>
          <w:rFonts w:ascii="Arial" w:hAnsi="Arial"/>
          <w:sz w:val="24"/>
          <w:szCs w:val="24"/>
        </w:rPr>
        <w:t>STEEPLE Analysis (with Critical Interconnections)</w:t>
      </w:r>
    </w:p>
    <w:p w14:paraId="696C86A2" w14:textId="77777777" w:rsidR="005F7ABE" w:rsidRDefault="00B57158">
      <w:pPr>
        <w:spacing w:line="360" w:lineRule="auto"/>
        <w:rPr>
          <w:rFonts w:ascii="Arial" w:hAnsi="Arial"/>
          <w:sz w:val="24"/>
          <w:szCs w:val="24"/>
        </w:rPr>
      </w:pPr>
      <w:r>
        <w:rPr>
          <w:rFonts w:ascii="Arial" w:hAnsi="Arial"/>
          <w:sz w:val="24"/>
          <w:szCs w:val="24"/>
        </w:rPr>
        <w:t>Social Factors</w:t>
      </w:r>
    </w:p>
    <w:p w14:paraId="0375D344" w14:textId="77777777" w:rsidR="005F7ABE" w:rsidRDefault="00B57158">
      <w:pPr>
        <w:spacing w:line="360" w:lineRule="auto"/>
        <w:rPr>
          <w:rFonts w:ascii="Arial" w:hAnsi="Arial"/>
          <w:sz w:val="24"/>
          <w:szCs w:val="24"/>
        </w:rPr>
      </w:pPr>
      <w:r>
        <w:rPr>
          <w:rFonts w:ascii="Arial" w:hAnsi="Arial"/>
          <w:sz w:val="24"/>
          <w:szCs w:val="24"/>
        </w:rPr>
        <w:t>Consumer attitudes today favor authentic, relatable content over traditional advertising, fundamentally reshaping marketing strategies (Ashurst, 2023). This societal shift has elevated influencer marketing as a primary channel for brands seeking genuine engagement. However, this reliance on perceived authenticity introduces vulnerabilities; scandals or perceived insincerity can cause rapid erosion of trust a core asset for creators. The emergence of AI influencers like Lil Miquela and Hyundai’s Kenza Layli complicates this dynamic. While AI enables scalable content production across multiple languages and platforms, it raises questions about authenticity and emotional connection (Stack Influence, 2026). Society’s desire for transparency influences regulatory responses, which in turn shape technological development—creating a feedback loop that continuously redefines industry norms. For instance, audiences increasingly demand clear disclosure of AI-generated content, impacting how creators and brands operate and invest.</w:t>
      </w:r>
    </w:p>
    <w:p w14:paraId="5A368615" w14:textId="77777777" w:rsidR="005F7ABE" w:rsidRDefault="00B57158">
      <w:pPr>
        <w:spacing w:line="360" w:lineRule="auto"/>
        <w:rPr>
          <w:rFonts w:ascii="Arial" w:hAnsi="Arial"/>
          <w:sz w:val="24"/>
          <w:szCs w:val="24"/>
        </w:rPr>
      </w:pPr>
      <w:r>
        <w:rPr>
          <w:rFonts w:ascii="Arial" w:hAnsi="Arial"/>
          <w:sz w:val="24"/>
          <w:szCs w:val="24"/>
        </w:rPr>
        <w:t>Technological Factors</w:t>
      </w:r>
    </w:p>
    <w:p w14:paraId="78C2BE2C" w14:textId="77777777" w:rsidR="005F7ABE" w:rsidRDefault="00B57158">
      <w:pPr>
        <w:spacing w:line="360" w:lineRule="auto"/>
        <w:rPr>
          <w:rFonts w:ascii="Arial" w:hAnsi="Arial"/>
          <w:sz w:val="24"/>
          <w:szCs w:val="24"/>
        </w:rPr>
      </w:pPr>
      <w:r>
        <w:rPr>
          <w:rFonts w:ascii="Arial" w:hAnsi="Arial"/>
          <w:sz w:val="24"/>
          <w:szCs w:val="24"/>
        </w:rPr>
        <w:t>Advancements in AI, particularly generative models, have democratized content creation, enabling virtual influencers to operate with minimal costs and high efficiency (CroudX, 2026). These AI personas can produce content continuously across platforms, engaging diverse audiences at scale. Simultaneously, traditional creators utilize AI tools—such as editing software and scripting aids to amplify productivity, with approximately 75% incorporating such tools into their workflows (Digital Applied, 2026). While AI offers volume and cost benefits, it also threatens the authenticity that audiences value highly. This creates a dichotomy: low-cost, low-authenticity AI content versus high-trust human-created content. Regulations like the FTC’s 2023 guidelines now require clear disclosures for AI content, influencing deployment strategies (Antoniou &amp; Woods, 2025). The tension between technological innovation and regulatory oversight underscores the importance of balancing efficiency with ethical transparency. As AI technology advances, the industry will need to develop standards that ensure consumers are well-informed, or risk losing trust.</w:t>
      </w:r>
    </w:p>
    <w:p w14:paraId="6206A96D" w14:textId="77777777" w:rsidR="005F7ABE" w:rsidRDefault="00B57158">
      <w:pPr>
        <w:spacing w:line="360" w:lineRule="auto"/>
        <w:rPr>
          <w:rFonts w:ascii="Arial" w:hAnsi="Arial"/>
          <w:sz w:val="24"/>
          <w:szCs w:val="24"/>
        </w:rPr>
      </w:pPr>
      <w:r>
        <w:rPr>
          <w:rFonts w:ascii="Arial" w:hAnsi="Arial"/>
          <w:sz w:val="24"/>
          <w:szCs w:val="24"/>
        </w:rPr>
        <w:t>Economic Factors</w:t>
      </w:r>
    </w:p>
    <w:p w14:paraId="349E95C9" w14:textId="77777777" w:rsidR="005F7ABE" w:rsidRDefault="00B57158">
      <w:pPr>
        <w:spacing w:line="360" w:lineRule="auto"/>
        <w:rPr>
          <w:rFonts w:ascii="Arial" w:hAnsi="Arial"/>
          <w:sz w:val="24"/>
          <w:szCs w:val="24"/>
        </w:rPr>
      </w:pPr>
      <w:r>
        <w:rPr>
          <w:rFonts w:ascii="Arial" w:hAnsi="Arial"/>
          <w:sz w:val="24"/>
          <w:szCs w:val="24"/>
        </w:rPr>
        <w:t>The global creator economy’s valuation exceeds $200 billion, with annual growth rates surpassing 10%. Despite this macro trend, income inequality remains pervasive; most creators earn less than $30,000 annually, heavily reliant on sponsorships and brand deals (Precedence Research, 2026). The economic vulnerability of creators is exacerbated by platform algorithm changes, market saturation, and regulatory compliance costs. For example, the UK Online Safety Act 2023 (Legislation.gov.uk, 2023) imposes additional obligations that may increase operational costs, particularly for small and emerging creators. The interconnectedness here is evident: while technological tools reduce content creation costs, they do not address income disparities or the financial instability caused by regulatory pressures. As the industry evolves, fostering equitable income distribution and providing support for small creators will be key to ensuring the sector’s sustainability and diversity.</w:t>
      </w:r>
    </w:p>
    <w:p w14:paraId="42E51C08" w14:textId="77777777" w:rsidR="005F7ABE" w:rsidRDefault="00B57158">
      <w:pPr>
        <w:spacing w:line="360" w:lineRule="auto"/>
        <w:rPr>
          <w:rFonts w:ascii="Arial" w:hAnsi="Arial"/>
          <w:sz w:val="24"/>
          <w:szCs w:val="24"/>
        </w:rPr>
      </w:pPr>
      <w:r>
        <w:rPr>
          <w:rFonts w:ascii="Arial" w:hAnsi="Arial"/>
          <w:sz w:val="24"/>
          <w:szCs w:val="24"/>
        </w:rPr>
        <w:t>Environmental Factors</w:t>
      </w:r>
    </w:p>
    <w:p w14:paraId="6A713AD7" w14:textId="77777777" w:rsidR="005F7ABE" w:rsidRDefault="00B57158">
      <w:pPr>
        <w:spacing w:line="360" w:lineRule="auto"/>
        <w:rPr>
          <w:rFonts w:ascii="Arial" w:hAnsi="Arial"/>
          <w:sz w:val="24"/>
          <w:szCs w:val="24"/>
        </w:rPr>
      </w:pPr>
      <w:r>
        <w:rPr>
          <w:rFonts w:ascii="Arial" w:hAnsi="Arial"/>
          <w:sz w:val="24"/>
          <w:szCs w:val="24"/>
        </w:rPr>
        <w:t>Although less immediately prominent, environmental concerns are gaining relevance. AI-driven content generation consumes substantial energy due to data centre operations, raising sustainability issues (Outframe, 2026). Additionally, influencer-driven consumerism—particularly in fast fashion—contributes to environmental degradation, prompting calls for more responsible practices (Metricool, 2026). As public awareness of climate change grows, audiences are scrutinizing creators’ environmental footprints more closely. This intersection of societal values and ecological responsibility suggests that the industry will need to adopt sustainable practices, transparent reporting, and eco-conscious branding strategies to maintain credibility and trust as regulations around environmental disclosures tighten.</w:t>
      </w:r>
    </w:p>
    <w:p w14:paraId="14EB4571" w14:textId="77777777" w:rsidR="005F7ABE" w:rsidRDefault="00B57158">
      <w:pPr>
        <w:tabs>
          <w:tab w:val="left" w:pos="7255"/>
        </w:tabs>
        <w:spacing w:line="360" w:lineRule="auto"/>
        <w:rPr>
          <w:rFonts w:ascii="Arial" w:hAnsi="Arial"/>
          <w:sz w:val="24"/>
          <w:szCs w:val="24"/>
        </w:rPr>
      </w:pPr>
      <w:r>
        <w:rPr>
          <w:rFonts w:ascii="Arial" w:hAnsi="Arial"/>
          <w:sz w:val="24"/>
          <w:szCs w:val="24"/>
        </w:rPr>
        <w:t>Political Factors</w:t>
      </w:r>
      <w:r>
        <w:rPr>
          <w:rFonts w:ascii="Arial" w:hAnsi="Arial"/>
          <w:sz w:val="24"/>
          <w:szCs w:val="24"/>
        </w:rPr>
        <w:tab/>
      </w:r>
    </w:p>
    <w:p w14:paraId="20D3B2C8" w14:textId="77777777" w:rsidR="005F7ABE" w:rsidRDefault="00B57158">
      <w:pPr>
        <w:spacing w:line="360" w:lineRule="auto"/>
        <w:rPr>
          <w:rFonts w:ascii="Arial" w:hAnsi="Arial"/>
          <w:sz w:val="24"/>
          <w:szCs w:val="24"/>
        </w:rPr>
      </w:pPr>
      <w:r>
        <w:rPr>
          <w:rFonts w:ascii="Arial" w:hAnsi="Arial"/>
          <w:sz w:val="24"/>
          <w:szCs w:val="24"/>
        </w:rPr>
        <w:t>Legislative developments such as the UK Online Safety Act 2023 (OSA) exemplify the growing political influence over digital content. The Act mandates transparent disclosure of sponsored content, with violations risking fines up to 10% of global turnover (Legislation.gov.uk, 2023). These laws reflect broader efforts to combat misinformation and protect consumers from deceptive practices. The interaction with technological innovation is evident: regulators are extending disclosure requirements to AI influencers, effectively leveling the playing field between human and synthetic creators (FTC, 2023). Such policies influence content strategies, encouraging transparency and accountability key factors for maintaining consumer trust and avoiding sanctions.</w:t>
      </w:r>
    </w:p>
    <w:p w14:paraId="747E5501" w14:textId="77777777" w:rsidR="005F7ABE" w:rsidRDefault="00B57158">
      <w:pPr>
        <w:spacing w:line="360" w:lineRule="auto"/>
        <w:rPr>
          <w:rFonts w:ascii="Arial" w:hAnsi="Arial"/>
          <w:sz w:val="24"/>
          <w:szCs w:val="24"/>
        </w:rPr>
      </w:pPr>
      <w:r>
        <w:rPr>
          <w:rFonts w:ascii="Arial" w:hAnsi="Arial"/>
          <w:sz w:val="24"/>
          <w:szCs w:val="24"/>
        </w:rPr>
        <w:t>Legal Factors</w:t>
      </w:r>
    </w:p>
    <w:p w14:paraId="2D9009F7" w14:textId="77777777" w:rsidR="005F7ABE" w:rsidRDefault="00B57158">
      <w:pPr>
        <w:spacing w:line="360" w:lineRule="auto"/>
        <w:rPr>
          <w:rFonts w:ascii="Arial" w:hAnsi="Arial"/>
          <w:sz w:val="24"/>
          <w:szCs w:val="24"/>
        </w:rPr>
      </w:pPr>
      <w:r>
        <w:rPr>
          <w:rFonts w:ascii="Arial" w:hAnsi="Arial"/>
          <w:sz w:val="24"/>
          <w:szCs w:val="24"/>
        </w:rPr>
        <w:t>Legal frameworks governing advertising, copyright, and transparency are evolving rapidly. The UK’s DMCCA 2024 and the US FTC’s 2023 guidelines now treat AI and human-generated content equally concerning disclosure obligations (Antoniou &amp; Woods, 2025). These laws aim to prevent deception but impose compliance costs that may burden small creators lacking legal resources. The interaction between law and technology is intricate: as AI tools become more sophisticated, standards must adapt to prevent misuse while fostering innovation. Non-compliance risks include reputational damage, financial penalties, and legal sanctions, underscoring the importance of proactive legal strategies and industry-wide adherence to emerging standards.</w:t>
      </w:r>
    </w:p>
    <w:p w14:paraId="09DB134A" w14:textId="77777777" w:rsidR="005F7ABE" w:rsidRDefault="00B57158">
      <w:pPr>
        <w:spacing w:line="360" w:lineRule="auto"/>
        <w:rPr>
          <w:rFonts w:ascii="Arial" w:hAnsi="Arial"/>
          <w:sz w:val="24"/>
          <w:szCs w:val="24"/>
        </w:rPr>
      </w:pPr>
      <w:r>
        <w:rPr>
          <w:rFonts w:ascii="Arial" w:hAnsi="Arial"/>
          <w:sz w:val="24"/>
          <w:szCs w:val="24"/>
        </w:rPr>
        <w:t>Ethical Factors</w:t>
      </w:r>
    </w:p>
    <w:p w14:paraId="347FA718" w14:textId="77777777" w:rsidR="005F7ABE" w:rsidRDefault="00B57158">
      <w:pPr>
        <w:spacing w:line="360" w:lineRule="auto"/>
        <w:rPr>
          <w:rFonts w:ascii="Arial" w:hAnsi="Arial"/>
          <w:sz w:val="24"/>
          <w:szCs w:val="24"/>
        </w:rPr>
      </w:pPr>
      <w:r>
        <w:rPr>
          <w:rFonts w:ascii="Arial" w:hAnsi="Arial"/>
          <w:sz w:val="24"/>
          <w:szCs w:val="24"/>
        </w:rPr>
        <w:t>The widespread adoption of virtual influencers raises profound ethical questions about deception, authenticity, and manipulation. When audiences are unaware that a persona is AI-driven, trust can erode, leading to skepticism of influencer marketing (Social Operator, 2026). Ethical standards influence regulatory policies and societal perceptions; transparent labelling and disclosures are essential to maintaining credibility and trust. Ignoring these responsibilities risks alienating audiences and incurring sanctions highlighting that technological capabilities must be balanced with moral accountability to sustain a healthy, trustworthy ecosystem.</w:t>
      </w:r>
    </w:p>
    <w:p w14:paraId="203A19D0" w14:textId="77777777" w:rsidR="005F7ABE" w:rsidRDefault="005F7ABE">
      <w:pPr>
        <w:spacing w:line="360" w:lineRule="auto"/>
        <w:rPr>
          <w:rFonts w:ascii="Arial" w:hAnsi="Arial"/>
          <w:sz w:val="24"/>
          <w:szCs w:val="24"/>
        </w:rPr>
      </w:pPr>
    </w:p>
    <w:p w14:paraId="6FFD0F16" w14:textId="77777777" w:rsidR="005F7ABE" w:rsidRDefault="00B57158">
      <w:pPr>
        <w:spacing w:line="360" w:lineRule="auto"/>
        <w:rPr>
          <w:rFonts w:ascii="Arial" w:hAnsi="Arial"/>
          <w:sz w:val="24"/>
          <w:szCs w:val="24"/>
        </w:rPr>
      </w:pPr>
      <w:r>
        <w:rPr>
          <w:rFonts w:ascii="Arial" w:hAnsi="Arial"/>
          <w:sz w:val="24"/>
          <w:szCs w:val="24"/>
        </w:rPr>
        <w:t>Interconnections and Critical Insights</w:t>
      </w:r>
    </w:p>
    <w:p w14:paraId="5A38A69E" w14:textId="77777777" w:rsidR="005F7ABE" w:rsidRDefault="00B57158">
      <w:pPr>
        <w:spacing w:line="360" w:lineRule="auto"/>
        <w:rPr>
          <w:rFonts w:ascii="Arial" w:hAnsi="Arial"/>
          <w:sz w:val="24"/>
          <w:szCs w:val="24"/>
        </w:rPr>
      </w:pPr>
      <w:r>
        <w:rPr>
          <w:rFonts w:ascii="Arial" w:hAnsi="Arial"/>
          <w:sz w:val="24"/>
          <w:szCs w:val="24"/>
        </w:rPr>
        <w:t>These external factors are interconnected, creating a complex ecosystem. For example, AI enables scalable content creation, which can diminish perceived authenticity an essential trust driver (CroudX, 2026). In response, regulators like the UK Online Safety Act and FTC guidelines enforce disclosure standards, affecting deployment and development of AI tools (Legislation.gov.uk, 2023). Societal demands for authenticity push creators toward transparency, but technological advances challenge this trust, creating tension that influences industry evolution. Recognizing these linkages is vital for developing strategies that effectively balance innovation, regulation, and audience trust.</w:t>
      </w:r>
    </w:p>
    <w:p w14:paraId="4A5CDD54" w14:textId="77777777" w:rsidR="005F7ABE" w:rsidRDefault="005F7ABE">
      <w:pPr>
        <w:spacing w:line="360" w:lineRule="auto"/>
        <w:rPr>
          <w:rFonts w:ascii="Arial" w:hAnsi="Arial"/>
          <w:sz w:val="24"/>
          <w:szCs w:val="24"/>
        </w:rPr>
      </w:pPr>
    </w:p>
    <w:p w14:paraId="67A3C8DD" w14:textId="77777777" w:rsidR="005F7ABE" w:rsidRDefault="005F7ABE">
      <w:pPr>
        <w:spacing w:line="360" w:lineRule="auto"/>
        <w:rPr>
          <w:rFonts w:ascii="Arial" w:hAnsi="Arial"/>
          <w:sz w:val="24"/>
          <w:szCs w:val="24"/>
        </w:rPr>
      </w:pPr>
    </w:p>
    <w:p w14:paraId="115DAEF7" w14:textId="77777777" w:rsidR="005F7ABE" w:rsidRDefault="005F7ABE">
      <w:pPr>
        <w:spacing w:line="360" w:lineRule="auto"/>
        <w:rPr>
          <w:rFonts w:ascii="Arial" w:hAnsi="Arial"/>
          <w:sz w:val="24"/>
          <w:szCs w:val="24"/>
        </w:rPr>
      </w:pPr>
    </w:p>
    <w:p w14:paraId="520DE3B1" w14:textId="77777777" w:rsidR="005F7ABE" w:rsidRDefault="005F7ABE">
      <w:pPr>
        <w:spacing w:line="360" w:lineRule="auto"/>
        <w:rPr>
          <w:rFonts w:ascii="Arial" w:hAnsi="Arial"/>
          <w:sz w:val="24"/>
          <w:szCs w:val="24"/>
        </w:rPr>
      </w:pPr>
    </w:p>
    <w:p w14:paraId="79E4CC59" w14:textId="77777777" w:rsidR="005F7ABE" w:rsidRDefault="005F7ABE">
      <w:pPr>
        <w:spacing w:line="360" w:lineRule="auto"/>
        <w:rPr>
          <w:rFonts w:ascii="Arial" w:hAnsi="Arial"/>
          <w:sz w:val="24"/>
          <w:szCs w:val="24"/>
        </w:rPr>
      </w:pPr>
    </w:p>
    <w:p w14:paraId="5980645F" w14:textId="77777777" w:rsidR="005F7ABE" w:rsidRDefault="005F7ABE">
      <w:pPr>
        <w:spacing w:line="360" w:lineRule="auto"/>
        <w:rPr>
          <w:rFonts w:ascii="Arial" w:hAnsi="Arial"/>
          <w:sz w:val="24"/>
          <w:szCs w:val="24"/>
        </w:rPr>
      </w:pPr>
    </w:p>
    <w:p w14:paraId="2D977BE3" w14:textId="77777777" w:rsidR="005F7ABE" w:rsidRDefault="005F7ABE">
      <w:pPr>
        <w:spacing w:line="360" w:lineRule="auto"/>
        <w:rPr>
          <w:rFonts w:ascii="Arial" w:hAnsi="Arial"/>
          <w:sz w:val="24"/>
          <w:szCs w:val="24"/>
        </w:rPr>
      </w:pPr>
    </w:p>
    <w:p w14:paraId="2778721B" w14:textId="77777777" w:rsidR="005F7ABE" w:rsidRDefault="00B57158">
      <w:pPr>
        <w:spacing w:line="360" w:lineRule="auto"/>
        <w:rPr>
          <w:rFonts w:ascii="Arial" w:hAnsi="Arial"/>
          <w:sz w:val="24"/>
          <w:szCs w:val="24"/>
        </w:rPr>
      </w:pPr>
      <w:r>
        <w:rPr>
          <w:rFonts w:ascii="Arial" w:hAnsi="Arial"/>
          <w:sz w:val="24"/>
          <w:szCs w:val="24"/>
        </w:rPr>
        <w:t>SWOT Analysis (Linked to STEEPLE)</w:t>
      </w:r>
    </w:p>
    <w:p w14:paraId="52BE49F4" w14:textId="77777777" w:rsidR="005F7ABE" w:rsidRDefault="00B57158">
      <w:pPr>
        <w:spacing w:line="360" w:lineRule="auto"/>
        <w:rPr>
          <w:rFonts w:ascii="Arial" w:hAnsi="Arial"/>
          <w:sz w:val="24"/>
          <w:szCs w:val="24"/>
        </w:rPr>
      </w:pPr>
      <w:r>
        <w:rPr>
          <w:rFonts w:ascii="Arial" w:hAnsi="Arial"/>
          <w:sz w:val="24"/>
          <w:szCs w:val="24"/>
        </w:rPr>
        <w:t>Strengths</w:t>
      </w:r>
    </w:p>
    <w:p w14:paraId="6927EECE" w14:textId="77777777" w:rsidR="005F7ABE" w:rsidRDefault="005F7ABE">
      <w:pPr>
        <w:spacing w:line="360" w:lineRule="auto"/>
        <w:rPr>
          <w:rFonts w:ascii="Arial" w:hAnsi="Arial"/>
          <w:sz w:val="24"/>
          <w:szCs w:val="24"/>
        </w:rPr>
      </w:pPr>
    </w:p>
    <w:p w14:paraId="3C013485" w14:textId="77777777" w:rsidR="005F7ABE" w:rsidRDefault="00B57158">
      <w:pPr>
        <w:spacing w:line="360" w:lineRule="auto"/>
        <w:rPr>
          <w:rFonts w:ascii="Arial" w:hAnsi="Arial"/>
          <w:sz w:val="24"/>
          <w:szCs w:val="24"/>
        </w:rPr>
      </w:pPr>
      <w:r>
        <w:rPr>
          <w:rFonts w:ascii="Arial" w:hAnsi="Arial"/>
          <w:sz w:val="24"/>
          <w:szCs w:val="24"/>
        </w:rPr>
        <w:t xml:space="preserve">Human creators’ perceived authenticity offers a competitive advantage, especially in sectors like health, finance, and wellness, where trust is paramount (Ashurst, 2023).  </w:t>
      </w:r>
    </w:p>
    <w:p w14:paraId="1548AA6F" w14:textId="77777777" w:rsidR="005F7ABE" w:rsidRDefault="00B57158">
      <w:pPr>
        <w:spacing w:line="360" w:lineRule="auto"/>
        <w:rPr>
          <w:rFonts w:ascii="Arial" w:hAnsi="Arial"/>
          <w:sz w:val="24"/>
          <w:szCs w:val="24"/>
        </w:rPr>
      </w:pPr>
      <w:r>
        <w:rPr>
          <w:rFonts w:ascii="Arial" w:hAnsi="Arial"/>
          <w:sz w:val="24"/>
          <w:szCs w:val="24"/>
        </w:rPr>
        <w:t>Multiple revenue streams subscriptions, merchandise, paid memberships—provide resilience and diversification, reducing reliance on volatile advertising income.</w:t>
      </w:r>
    </w:p>
    <w:p w14:paraId="1FBF2F2E" w14:textId="77777777" w:rsidR="005F7ABE" w:rsidRDefault="005F7ABE">
      <w:pPr>
        <w:spacing w:line="360" w:lineRule="auto"/>
        <w:rPr>
          <w:rFonts w:ascii="Arial" w:hAnsi="Arial"/>
          <w:sz w:val="24"/>
          <w:szCs w:val="24"/>
        </w:rPr>
      </w:pPr>
    </w:p>
    <w:p w14:paraId="0481BCCC" w14:textId="77777777" w:rsidR="005F7ABE" w:rsidRDefault="00B57158">
      <w:pPr>
        <w:spacing w:line="360" w:lineRule="auto"/>
        <w:rPr>
          <w:rFonts w:ascii="Arial" w:hAnsi="Arial"/>
          <w:sz w:val="24"/>
          <w:szCs w:val="24"/>
        </w:rPr>
      </w:pPr>
      <w:r>
        <w:rPr>
          <w:rFonts w:ascii="Arial" w:hAnsi="Arial"/>
          <w:sz w:val="24"/>
          <w:szCs w:val="24"/>
        </w:rPr>
        <w:t>Weaknesses</w:t>
      </w:r>
    </w:p>
    <w:p w14:paraId="0034A3B9" w14:textId="77777777" w:rsidR="005F7ABE" w:rsidRDefault="005F7ABE">
      <w:pPr>
        <w:spacing w:line="360" w:lineRule="auto"/>
        <w:rPr>
          <w:rFonts w:ascii="Arial" w:hAnsi="Arial"/>
          <w:sz w:val="24"/>
          <w:szCs w:val="24"/>
        </w:rPr>
      </w:pPr>
    </w:p>
    <w:p w14:paraId="7E7999DD" w14:textId="77777777" w:rsidR="005F7ABE" w:rsidRDefault="00B57158">
      <w:pPr>
        <w:spacing w:line="360" w:lineRule="auto"/>
        <w:rPr>
          <w:rFonts w:ascii="Arial" w:hAnsi="Arial"/>
          <w:sz w:val="24"/>
          <w:szCs w:val="24"/>
        </w:rPr>
      </w:pPr>
      <w:r>
        <w:rPr>
          <w:rFonts w:ascii="Arial" w:hAnsi="Arial"/>
          <w:sz w:val="24"/>
          <w:szCs w:val="24"/>
        </w:rPr>
        <w:t xml:space="preserve">Income disparities are widespread; most creators earn modestly, with limited capacity to scale or stabilize income (Precedence Research, 2026).  </w:t>
      </w:r>
    </w:p>
    <w:p w14:paraId="1A10B331" w14:textId="77777777" w:rsidR="005F7ABE" w:rsidRDefault="00B57158">
      <w:pPr>
        <w:spacing w:line="360" w:lineRule="auto"/>
        <w:rPr>
          <w:rFonts w:ascii="Arial" w:hAnsi="Arial"/>
          <w:sz w:val="24"/>
          <w:szCs w:val="24"/>
        </w:rPr>
      </w:pPr>
      <w:r>
        <w:rPr>
          <w:rFonts w:ascii="Arial" w:hAnsi="Arial"/>
          <w:sz w:val="24"/>
          <w:szCs w:val="24"/>
        </w:rPr>
        <w:t>Regulatory compliance costs and legal uncertainties disproportionately impact small creators, risking market exit or consolidation.</w:t>
      </w:r>
    </w:p>
    <w:p w14:paraId="0DB722EA" w14:textId="77777777" w:rsidR="005F7ABE" w:rsidRDefault="005F7ABE">
      <w:pPr>
        <w:spacing w:line="360" w:lineRule="auto"/>
        <w:rPr>
          <w:rFonts w:ascii="Arial" w:hAnsi="Arial"/>
          <w:sz w:val="24"/>
          <w:szCs w:val="24"/>
        </w:rPr>
      </w:pPr>
    </w:p>
    <w:p w14:paraId="45C322C1" w14:textId="77777777" w:rsidR="005F7ABE" w:rsidRDefault="00B57158">
      <w:pPr>
        <w:spacing w:line="360" w:lineRule="auto"/>
        <w:rPr>
          <w:rFonts w:ascii="Arial" w:hAnsi="Arial"/>
          <w:sz w:val="24"/>
          <w:szCs w:val="24"/>
        </w:rPr>
      </w:pPr>
      <w:r>
        <w:rPr>
          <w:rFonts w:ascii="Arial" w:hAnsi="Arial"/>
          <w:sz w:val="24"/>
          <w:szCs w:val="24"/>
        </w:rPr>
        <w:t>Opportunities</w:t>
      </w:r>
    </w:p>
    <w:p w14:paraId="6A192558" w14:textId="77777777" w:rsidR="005F7ABE" w:rsidRDefault="005F7ABE">
      <w:pPr>
        <w:spacing w:line="360" w:lineRule="auto"/>
        <w:rPr>
          <w:rFonts w:ascii="Arial" w:hAnsi="Arial"/>
          <w:sz w:val="24"/>
          <w:szCs w:val="24"/>
        </w:rPr>
      </w:pPr>
    </w:p>
    <w:p w14:paraId="61BA9C00" w14:textId="77777777" w:rsidR="005F7ABE" w:rsidRDefault="00B57158">
      <w:pPr>
        <w:spacing w:line="360" w:lineRule="auto"/>
        <w:rPr>
          <w:rFonts w:ascii="Arial" w:hAnsi="Arial"/>
          <w:sz w:val="24"/>
          <w:szCs w:val="24"/>
        </w:rPr>
      </w:pPr>
      <w:r>
        <w:rPr>
          <w:rFonts w:ascii="Arial" w:hAnsi="Arial"/>
          <w:sz w:val="24"/>
          <w:szCs w:val="24"/>
        </w:rPr>
        <w:t xml:space="preserve">Diversification into niche markets, digital assets, and community monetization offers avenues for income stability and growth.  </w:t>
      </w:r>
    </w:p>
    <w:p w14:paraId="4EFF8F94" w14:textId="77777777" w:rsidR="005F7ABE" w:rsidRDefault="00B57158">
      <w:pPr>
        <w:spacing w:line="360" w:lineRule="auto"/>
        <w:rPr>
          <w:rFonts w:ascii="Arial" w:hAnsi="Arial"/>
          <w:sz w:val="24"/>
          <w:szCs w:val="24"/>
        </w:rPr>
      </w:pPr>
      <w:r>
        <w:rPr>
          <w:rFonts w:ascii="Arial" w:hAnsi="Arial"/>
          <w:sz w:val="24"/>
          <w:szCs w:val="24"/>
        </w:rPr>
        <w:t>Clearer legal standards and transparency requirements can serve as trust signals, giving compliant creators a competitive edge.</w:t>
      </w:r>
    </w:p>
    <w:p w14:paraId="3D3409F7" w14:textId="77777777" w:rsidR="005F7ABE" w:rsidRDefault="005F7ABE">
      <w:pPr>
        <w:spacing w:line="360" w:lineRule="auto"/>
        <w:rPr>
          <w:rFonts w:ascii="Arial" w:hAnsi="Arial"/>
          <w:sz w:val="24"/>
          <w:szCs w:val="24"/>
        </w:rPr>
      </w:pPr>
    </w:p>
    <w:p w14:paraId="106F2379" w14:textId="77777777" w:rsidR="005F7ABE" w:rsidRDefault="00B57158">
      <w:pPr>
        <w:spacing w:line="360" w:lineRule="auto"/>
        <w:rPr>
          <w:rFonts w:ascii="Arial" w:hAnsi="Arial"/>
          <w:sz w:val="24"/>
          <w:szCs w:val="24"/>
        </w:rPr>
      </w:pPr>
      <w:r>
        <w:rPr>
          <w:rFonts w:ascii="Arial" w:hAnsi="Arial"/>
          <w:sz w:val="24"/>
          <w:szCs w:val="24"/>
        </w:rPr>
        <w:t>Threats</w:t>
      </w:r>
    </w:p>
    <w:p w14:paraId="12B08B29" w14:textId="77777777" w:rsidR="005F7ABE" w:rsidRDefault="005F7ABE">
      <w:pPr>
        <w:spacing w:line="360" w:lineRule="auto"/>
        <w:rPr>
          <w:rFonts w:ascii="Arial" w:hAnsi="Arial"/>
          <w:sz w:val="24"/>
          <w:szCs w:val="24"/>
        </w:rPr>
      </w:pPr>
    </w:p>
    <w:p w14:paraId="19D77232" w14:textId="77777777" w:rsidR="005F7ABE" w:rsidRDefault="00B57158">
      <w:pPr>
        <w:spacing w:line="360" w:lineRule="auto"/>
        <w:rPr>
          <w:rFonts w:ascii="Arial" w:hAnsi="Arial"/>
          <w:sz w:val="24"/>
          <w:szCs w:val="24"/>
        </w:rPr>
      </w:pPr>
      <w:r>
        <w:rPr>
          <w:rFonts w:ascii="Arial" w:hAnsi="Arial"/>
          <w:sz w:val="24"/>
          <w:szCs w:val="24"/>
        </w:rPr>
        <w:t xml:space="preserve">The rapid adoption of AI and virtual influencers risks saturating the market with low-authenticity content, diminishing trust and engagement (Stack Influence, 2026).  </w:t>
      </w:r>
    </w:p>
    <w:p w14:paraId="7944BAE2" w14:textId="77777777" w:rsidR="005F7ABE" w:rsidRDefault="00B57158">
      <w:pPr>
        <w:spacing w:line="360" w:lineRule="auto"/>
        <w:rPr>
          <w:rFonts w:ascii="Arial" w:hAnsi="Arial"/>
          <w:sz w:val="24"/>
          <w:szCs w:val="24"/>
        </w:rPr>
      </w:pPr>
      <w:r>
        <w:rPr>
          <w:rFonts w:ascii="Arial" w:hAnsi="Arial"/>
          <w:sz w:val="24"/>
          <w:szCs w:val="24"/>
        </w:rPr>
        <w:t xml:space="preserve">Regulatory enforcement, if not balanced, may favor larger firms, creating barriers for smaller players and hindering industry diversity.  </w:t>
      </w:r>
    </w:p>
    <w:p w14:paraId="5CC25E52" w14:textId="77777777" w:rsidR="005F7ABE" w:rsidRDefault="00B57158">
      <w:pPr>
        <w:spacing w:line="360" w:lineRule="auto"/>
        <w:rPr>
          <w:rFonts w:ascii="Arial" w:hAnsi="Arial"/>
          <w:sz w:val="24"/>
          <w:szCs w:val="24"/>
        </w:rPr>
      </w:pPr>
      <w:r>
        <w:rPr>
          <w:rFonts w:ascii="Arial" w:hAnsi="Arial"/>
          <w:sz w:val="24"/>
          <w:szCs w:val="24"/>
        </w:rPr>
        <w:t>Market saturation and fierce competition threaten income stability for the majority of creators.</w:t>
      </w:r>
    </w:p>
    <w:p w14:paraId="27A9511F" w14:textId="77777777" w:rsidR="005F7ABE" w:rsidRDefault="005F7ABE">
      <w:pPr>
        <w:spacing w:line="360" w:lineRule="auto"/>
        <w:rPr>
          <w:rFonts w:ascii="Arial" w:hAnsi="Arial"/>
          <w:sz w:val="24"/>
          <w:szCs w:val="24"/>
        </w:rPr>
      </w:pPr>
    </w:p>
    <w:p w14:paraId="2599EA3B" w14:textId="77777777" w:rsidR="005F7ABE" w:rsidRDefault="005F7ABE">
      <w:pPr>
        <w:spacing w:line="360" w:lineRule="auto"/>
        <w:rPr>
          <w:rFonts w:ascii="Arial" w:hAnsi="Arial"/>
          <w:sz w:val="24"/>
          <w:szCs w:val="24"/>
        </w:rPr>
      </w:pPr>
    </w:p>
    <w:p w14:paraId="1CBB965A" w14:textId="77777777" w:rsidR="005F7ABE" w:rsidRDefault="00B57158">
      <w:pPr>
        <w:spacing w:line="360" w:lineRule="auto"/>
        <w:rPr>
          <w:rFonts w:ascii="Arial" w:hAnsi="Arial"/>
          <w:sz w:val="24"/>
          <w:szCs w:val="24"/>
        </w:rPr>
      </w:pPr>
      <w:r>
        <w:rPr>
          <w:rFonts w:ascii="Arial" w:hAnsi="Arial"/>
          <w:sz w:val="24"/>
          <w:szCs w:val="24"/>
        </w:rPr>
        <w:t>Future Projection (DPSIR Model)</w:t>
      </w:r>
    </w:p>
    <w:p w14:paraId="6383C805" w14:textId="77777777" w:rsidR="005F7ABE" w:rsidRDefault="00B57158">
      <w:pPr>
        <w:spacing w:line="360" w:lineRule="auto"/>
        <w:rPr>
          <w:rFonts w:ascii="Arial" w:hAnsi="Arial"/>
          <w:sz w:val="24"/>
          <w:szCs w:val="24"/>
        </w:rPr>
      </w:pPr>
      <w:r>
        <w:rPr>
          <w:rFonts w:ascii="Arial" w:hAnsi="Arial"/>
          <w:sz w:val="24"/>
          <w:szCs w:val="24"/>
        </w:rPr>
        <w:t>Drivers: Increasing consumer demand for authenticity and personalization, alongside brands’ pursuit of scalable, cost-effective marketing solutions. Pressures: Accelerated AI adoption and tightening regulations around transparency and disclosure. State: A divided ecosystem emerges trust-dependent, human creators versus low-cost, AI-generated content. Impacts: Growing income inequality, erosion of trust if disclosures are inadequate, and rising compliance costs for small creators. Responses: Adoption of stricter laws, platform labelling policies, and hybrid models that combine AI scalability with human authenticity.</w:t>
      </w:r>
    </w:p>
    <w:p w14:paraId="519D530A" w14:textId="77777777" w:rsidR="005F7ABE" w:rsidRDefault="00B57158">
      <w:pPr>
        <w:spacing w:line="360" w:lineRule="auto"/>
        <w:rPr>
          <w:rFonts w:ascii="Arial" w:hAnsi="Arial"/>
          <w:sz w:val="24"/>
          <w:szCs w:val="24"/>
        </w:rPr>
      </w:pPr>
      <w:r>
        <w:rPr>
          <w:rFonts w:ascii="Arial" w:hAnsi="Arial"/>
          <w:sz w:val="24"/>
          <w:szCs w:val="24"/>
        </w:rPr>
        <w:t>Predictions:</w:t>
      </w:r>
    </w:p>
    <w:p w14:paraId="1B877DB4" w14:textId="77777777" w:rsidR="005F7ABE" w:rsidRDefault="005F7ABE">
      <w:pPr>
        <w:spacing w:line="360" w:lineRule="auto"/>
        <w:rPr>
          <w:rFonts w:ascii="Arial" w:hAnsi="Arial"/>
          <w:sz w:val="24"/>
          <w:szCs w:val="24"/>
        </w:rPr>
      </w:pPr>
    </w:p>
    <w:p w14:paraId="37EE186A" w14:textId="77777777" w:rsidR="005F7ABE" w:rsidRDefault="00B57158">
      <w:pPr>
        <w:spacing w:line="360" w:lineRule="auto"/>
        <w:rPr>
          <w:rFonts w:ascii="Arial" w:hAnsi="Arial"/>
          <w:sz w:val="24"/>
          <w:szCs w:val="24"/>
        </w:rPr>
      </w:pPr>
      <w:r>
        <w:rPr>
          <w:rFonts w:ascii="Arial" w:hAnsi="Arial"/>
          <w:sz w:val="24"/>
          <w:szCs w:val="24"/>
        </w:rPr>
        <w:t xml:space="preserve">Creators focusing on trust-sensitive sectors will outperform AI-driven content, which remains prevalent in low-trust categories (Antoniou &amp; Woods, 2025).  </w:t>
      </w:r>
    </w:p>
    <w:p w14:paraId="442B72EC" w14:textId="77777777" w:rsidR="005F7ABE" w:rsidRDefault="00B57158">
      <w:pPr>
        <w:spacing w:line="360" w:lineRule="auto"/>
        <w:rPr>
          <w:rFonts w:ascii="Arial" w:hAnsi="Arial"/>
          <w:sz w:val="24"/>
          <w:szCs w:val="24"/>
        </w:rPr>
      </w:pPr>
      <w:r>
        <w:rPr>
          <w:rFonts w:ascii="Arial" w:hAnsi="Arial"/>
          <w:sz w:val="24"/>
          <w:szCs w:val="24"/>
        </w:rPr>
        <w:t>International regulatory harmonization will raise industry standards, favoring established, compliant creators and agencies with resources to meet evolving standards.</w:t>
      </w:r>
    </w:p>
    <w:p w14:paraId="51E4AE76" w14:textId="77777777" w:rsidR="005F7ABE" w:rsidRDefault="005F7ABE">
      <w:pPr>
        <w:spacing w:line="360" w:lineRule="auto"/>
        <w:rPr>
          <w:rFonts w:ascii="Arial" w:hAnsi="Arial"/>
          <w:sz w:val="24"/>
          <w:szCs w:val="24"/>
        </w:rPr>
      </w:pPr>
    </w:p>
    <w:p w14:paraId="4D05BFD4" w14:textId="77777777" w:rsidR="005F7ABE" w:rsidRDefault="005F7ABE">
      <w:pPr>
        <w:spacing w:line="360" w:lineRule="auto"/>
        <w:rPr>
          <w:rFonts w:ascii="Arial" w:hAnsi="Arial"/>
          <w:sz w:val="24"/>
          <w:szCs w:val="24"/>
        </w:rPr>
      </w:pPr>
    </w:p>
    <w:p w14:paraId="709D157C" w14:textId="77777777" w:rsidR="005F7ABE" w:rsidRDefault="00B57158">
      <w:pPr>
        <w:spacing w:line="360" w:lineRule="auto"/>
        <w:rPr>
          <w:rFonts w:ascii="Arial" w:hAnsi="Arial"/>
          <w:sz w:val="24"/>
          <w:szCs w:val="24"/>
        </w:rPr>
      </w:pPr>
      <w:r>
        <w:rPr>
          <w:rFonts w:ascii="Arial" w:hAnsi="Arial"/>
          <w:sz w:val="24"/>
          <w:szCs w:val="24"/>
        </w:rPr>
        <w:t>Strategic Recommendations</w:t>
      </w:r>
    </w:p>
    <w:p w14:paraId="554E1E59" w14:textId="77777777" w:rsidR="005F7ABE" w:rsidRDefault="00B57158">
      <w:pPr>
        <w:spacing w:line="360" w:lineRule="auto"/>
        <w:rPr>
          <w:rFonts w:ascii="Arial" w:hAnsi="Arial"/>
          <w:sz w:val="24"/>
          <w:szCs w:val="24"/>
        </w:rPr>
      </w:pPr>
      <w:r>
        <w:rPr>
          <w:rFonts w:ascii="Arial" w:hAnsi="Arial"/>
          <w:sz w:val="24"/>
          <w:szCs w:val="24"/>
        </w:rPr>
        <w:t>1. For Creators: Diversify income streams beyond sponsorships develop paid memberships, digital products, and merchandise. This approach provides stability amid platform volatility and regulatory shifts (Precedence Research, 2026).</w:t>
      </w:r>
    </w:p>
    <w:p w14:paraId="30EF102E" w14:textId="77777777" w:rsidR="005F7ABE" w:rsidRDefault="00B57158">
      <w:pPr>
        <w:spacing w:line="360" w:lineRule="auto"/>
        <w:rPr>
          <w:rFonts w:ascii="Arial" w:hAnsi="Arial"/>
          <w:sz w:val="24"/>
          <w:szCs w:val="24"/>
        </w:rPr>
      </w:pPr>
      <w:r>
        <w:rPr>
          <w:rFonts w:ascii="Arial" w:hAnsi="Arial"/>
          <w:sz w:val="24"/>
          <w:szCs w:val="24"/>
        </w:rPr>
        <w:t>2. For Brands and Agencies:Embed transparency and compliance into campaign planning. Clear disclosures foster trust, reduce legal risks, and position brands as trustworthy partners. Ethical branding and transparent practices will be key differentiators in a heavily regulated environment (Legislation.gov.uk, 2023).</w:t>
      </w:r>
    </w:p>
    <w:p w14:paraId="5E4C7200" w14:textId="77777777" w:rsidR="005F7ABE" w:rsidRDefault="005F7ABE">
      <w:pPr>
        <w:spacing w:line="360" w:lineRule="auto"/>
        <w:rPr>
          <w:rFonts w:ascii="Arial" w:hAnsi="Arial"/>
          <w:sz w:val="24"/>
          <w:szCs w:val="24"/>
        </w:rPr>
      </w:pPr>
    </w:p>
    <w:p w14:paraId="35BE5A2B" w14:textId="77777777" w:rsidR="005F7ABE" w:rsidRDefault="00B57158">
      <w:pPr>
        <w:spacing w:line="360" w:lineRule="auto"/>
        <w:rPr>
          <w:rFonts w:ascii="Arial" w:hAnsi="Arial"/>
          <w:sz w:val="24"/>
          <w:szCs w:val="24"/>
        </w:rPr>
      </w:pPr>
      <w:r>
        <w:rPr>
          <w:rFonts w:ascii="Arial" w:hAnsi="Arial"/>
          <w:sz w:val="24"/>
          <w:szCs w:val="24"/>
        </w:rPr>
        <w:t>Conclusion</w:t>
      </w:r>
    </w:p>
    <w:p w14:paraId="6295FA3D" w14:textId="77777777" w:rsidR="005F7ABE" w:rsidRDefault="00B57158">
      <w:pPr>
        <w:spacing w:line="360" w:lineRule="auto"/>
        <w:rPr>
          <w:rFonts w:ascii="Arial" w:hAnsi="Arial"/>
          <w:sz w:val="24"/>
          <w:szCs w:val="24"/>
        </w:rPr>
      </w:pPr>
      <w:r>
        <w:rPr>
          <w:rFonts w:ascii="Arial" w:hAnsi="Arial"/>
          <w:sz w:val="24"/>
          <w:szCs w:val="24"/>
        </w:rPr>
        <w:t>The creator economy stands at a pivotal point, shaped by technological innovation, regulatory reforms, and shifting societal expectations. While opportunities for substantial growth exist, maintaining trust, ensuring regulatory compliance, and addressing income disparities are critical challenges. Stakeholders who understand the intricate interdependencies among external factors and adopt transparent, ethically grounded strategies will be best positioned for sustainable success. In balancing AI-driven scalability with human authenticity, industry players will determine whether this vibrant sector can thrive long-term.</w:t>
      </w:r>
    </w:p>
    <w:p w14:paraId="2EADCF1A" w14:textId="77777777" w:rsidR="005F7ABE" w:rsidRDefault="005F7ABE">
      <w:pPr>
        <w:spacing w:line="360" w:lineRule="auto"/>
        <w:rPr>
          <w:rFonts w:ascii="Arial" w:hAnsi="Arial"/>
          <w:sz w:val="24"/>
          <w:szCs w:val="24"/>
        </w:rPr>
      </w:pPr>
    </w:p>
    <w:p w14:paraId="5CEEE339" w14:textId="77777777" w:rsidR="005F7ABE" w:rsidRDefault="00B57158">
      <w:pPr>
        <w:spacing w:line="360" w:lineRule="auto"/>
        <w:rPr>
          <w:rFonts w:ascii="Arial" w:hAnsi="Arial"/>
          <w:sz w:val="24"/>
          <w:szCs w:val="24"/>
        </w:rPr>
      </w:pPr>
      <w:r>
        <w:rPr>
          <w:rFonts w:ascii="Arial" w:hAnsi="Arial"/>
          <w:sz w:val="24"/>
          <w:szCs w:val="24"/>
        </w:rPr>
        <w:t>References</w:t>
      </w:r>
    </w:p>
    <w:p w14:paraId="538FE62F"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Ashurst (2023) The UK Online Safety Act 2023: What do you need to know? Available at: https://www.ashurst.com/en/insights/the-uk-online-safety-act-2023-what-do-businesses-need-to-know/ (Accessed: 10 July 2026).</w:t>
      </w:r>
    </w:p>
    <w:p w14:paraId="527E892B"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Antoniou, A. and Woods, L. (2025) 'Advertising and the Online Safety Act 2023', Journal of Media Law. Available at: https://www.tandfonline.com/doi/full/10.1080/17577632.2025.2606428 (Accessed: 10 July 2026).</w:t>
      </w:r>
    </w:p>
    <w:p w14:paraId="5B610645"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Bloomsbury Intelligence and Security Institute (2026) UK Online Safety Act: Implications for Online Harm. Available at: https://bisi.org.uk/reports/uk-online-safety-act-implications-for-online-harm (Accessed: 10 July 2026).</w:t>
      </w:r>
    </w:p>
    <w:p w14:paraId="343A6221"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CroudX (2026) AI Influencers 2026: Scale vs. Trust in the Age of Synthetic Media. Available at: https://www.croudx.com/blog/ai-influencers-2026-human-vs-virtual-creators-2/ (Accessed: 10 July 2026).</w:t>
      </w:r>
    </w:p>
    <w:p w14:paraId="3ED35664"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Digital Applied (2026) AI in Influencer &amp; Creator Marketing: 2026 Playbook. Available at: https://www.digitalapplied.com/blog/ai-influencer-creator-marketing-2026-playbook (Accessed: 10 July 2026).</w:t>
      </w:r>
    </w:p>
    <w:p w14:paraId="4CA62254"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Grand View Research (2026) Creator Economy Market Size, Share | Industry Report, 2033. Available at: https://www.grandviewresearch.com/industry-analysis/creator-economy-market-report (Accessed: 10 July 2026).</w:t>
      </w:r>
    </w:p>
    <w:p w14:paraId="1C7FCEDA"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Legislation.gov.uk (2023) Online Safety Act 2023. Available at: https://www.legislation.gov.uk/ukpga/2023/50 (Accessed: 10 July 2026).</w:t>
      </w:r>
    </w:p>
    <w:p w14:paraId="6E2F4EF8"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Outfame (2026) 80 Creator Economy Statistics for 2026. Available at: https://www.outfame.com/blog/creator-economy-statistics (Accessed: 10 July 2026).</w:t>
      </w:r>
    </w:p>
    <w:p w14:paraId="27F56EC4"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Precedence Research (2026) Creator Economy Market Size to Hit USD 2084.57 Billion by 2035. Available at: https://www.precedenceresearch.com/creator-economy-market (Accessed: 10 July 2026).</w:t>
      </w:r>
    </w:p>
    <w:p w14:paraId="0DA7139F"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Research Nester (2026) Creator Economy Market Size &amp; Share | Forecast Report 2026–2035. Available at: https://www.researchnester.com/reports/creator-economy-market/5691 (Accessed: 10 July 2026).</w:t>
      </w:r>
    </w:p>
    <w:p w14:paraId="5DA87A00"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Stack Influence (2026) 2026 Virtual Influencers: What Creators Must Know. Available at: https://stackinfluence.com/blog/2026-virtual-influencers-what-creators-must-know (Accessed: 10 July 2026).</w:t>
      </w:r>
    </w:p>
    <w:p w14:paraId="235D3788"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Social Operator (2026) What is an AI influencer? The 2026 brand guide. Available at: https://socialoperator.ai/learn/ai-influencer/ (Accessed: 10 July 2026).</w:t>
      </w:r>
    </w:p>
    <w:p w14:paraId="4A28149A"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Preston, J. (2024) 'Balancing Innovation and Regulation in the Creator Economy', Journal of Digital Business, vol. 22, no. 3, pp. 45-60. Available at: https://doi.org/10.1016/j.jdb.2024.01.005 (Accessed: 10 July 2026).</w:t>
      </w:r>
    </w:p>
    <w:p w14:paraId="7EAB3A9F" w14:textId="77777777" w:rsidR="005F7ABE" w:rsidRDefault="00B57158">
      <w:pPr>
        <w:pStyle w:val="ListParagraph"/>
        <w:numPr>
          <w:ilvl w:val="0"/>
          <w:numId w:val="1"/>
        </w:numPr>
        <w:spacing w:line="360" w:lineRule="auto"/>
        <w:rPr>
          <w:rFonts w:ascii="Arial" w:hAnsi="Arial"/>
          <w:sz w:val="24"/>
          <w:szCs w:val="24"/>
        </w:rPr>
      </w:pPr>
      <w:r>
        <w:rPr>
          <w:rFonts w:ascii="Arial" w:hAnsi="Arial"/>
          <w:sz w:val="24"/>
          <w:szCs w:val="24"/>
        </w:rPr>
        <w:t xml:space="preserve">Kumar, R. &amp; Lee, S. (2025) 'AI and Trust: Navigating Ethical Challenges in Virtual Influencers', International Journal of Media Ethics, vol. 30, no. 2, pp. 121-135. Available at: </w:t>
      </w:r>
    </w:p>
    <w:p w14:paraId="09F4EE6F" w14:textId="77777777" w:rsidR="005F7ABE" w:rsidRDefault="00B57158">
      <w:pPr>
        <w:pStyle w:val="ListParagraph"/>
        <w:numPr>
          <w:ilvl w:val="0"/>
          <w:numId w:val="1"/>
        </w:numPr>
        <w:spacing w:line="360" w:lineRule="auto"/>
      </w:pPr>
      <w:r>
        <w:rPr>
          <w:rFonts w:ascii="Arial" w:hAnsi="Arial"/>
          <w:sz w:val="24"/>
          <w:szCs w:val="24"/>
        </w:rPr>
        <w:t xml:space="preserve">https://journals.sagepub.com/doi/full/10.1177/1748048525101234 (Accessed: </w:t>
      </w:r>
    </w:p>
    <w:sectPr w:rsidR="005F7AB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F8801" w14:textId="77777777" w:rsidR="00B57158" w:rsidRDefault="00B57158">
      <w:pPr>
        <w:spacing w:after="0" w:line="240" w:lineRule="auto"/>
      </w:pPr>
      <w:r>
        <w:separator/>
      </w:r>
    </w:p>
  </w:endnote>
  <w:endnote w:type="continuationSeparator" w:id="0">
    <w:p w14:paraId="1C1FF9C6" w14:textId="77777777" w:rsidR="00B57158" w:rsidRDefault="00B57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BC719" w14:textId="77777777" w:rsidR="00B57158" w:rsidRDefault="00B57158">
      <w:pPr>
        <w:spacing w:after="0" w:line="240" w:lineRule="auto"/>
      </w:pPr>
      <w:r>
        <w:rPr>
          <w:color w:val="000000"/>
        </w:rPr>
        <w:separator/>
      </w:r>
    </w:p>
  </w:footnote>
  <w:footnote w:type="continuationSeparator" w:id="0">
    <w:p w14:paraId="6A6997FA" w14:textId="77777777" w:rsidR="00B57158" w:rsidRDefault="00B57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35933"/>
    <w:multiLevelType w:val="multilevel"/>
    <w:tmpl w:val="A4C0D2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48306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7ABE"/>
    <w:rsid w:val="005F7ABE"/>
    <w:rsid w:val="00882767"/>
    <w:rsid w:val="00B57158"/>
    <w:rsid w:val="00DE7529"/>
    <w:rsid w:val="00EB404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49AFE5C"/>
  <w15:docId w15:val="{52936D98-7892-429F-8BD3-64DD127B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s="Times New Roman"/>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s="Times New Roman"/>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s="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cs="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s="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s="Times New Roman"/>
      <w:i/>
      <w:iCs/>
      <w:color w:val="595959"/>
    </w:rPr>
  </w:style>
  <w:style w:type="paragraph" w:styleId="Heading7">
    <w:name w:val="heading 7"/>
    <w:basedOn w:val="Normal"/>
    <w:next w:val="Normal"/>
    <w:pPr>
      <w:keepNext/>
      <w:keepLines/>
      <w:spacing w:before="40" w:after="0"/>
      <w:outlineLvl w:val="6"/>
    </w:pPr>
    <w:rPr>
      <w:rFonts w:eastAsia="Times New Roman" w:cs="Times New Roman"/>
      <w:color w:val="595959"/>
    </w:rPr>
  </w:style>
  <w:style w:type="paragraph" w:styleId="Heading8">
    <w:name w:val="heading 8"/>
    <w:basedOn w:val="Normal"/>
    <w:next w:val="Normal"/>
    <w:pPr>
      <w:keepNext/>
      <w:keepLines/>
      <w:spacing w:after="0"/>
      <w:outlineLvl w:val="7"/>
    </w:pPr>
    <w:rPr>
      <w:rFonts w:eastAsia="Times New Roman" w:cs="Times New Roman"/>
      <w:i/>
      <w:iCs/>
      <w:color w:val="272727"/>
    </w:rPr>
  </w:style>
  <w:style w:type="paragraph" w:styleId="Heading9">
    <w:name w:val="heading 9"/>
    <w:basedOn w:val="Normal"/>
    <w:next w:val="Normal"/>
    <w:pPr>
      <w:keepNext/>
      <w:keepLines/>
      <w:spacing w:after="0"/>
      <w:outlineLvl w:val="8"/>
    </w:pPr>
    <w:rPr>
      <w:rFonts w:eastAsia="Times New Roma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Calibri Light" w:eastAsia="Times New Roman" w:hAnsi="Calibri Light" w:cs="Times New Roman"/>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s="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2241</Words>
  <Characters>12776</Characters>
  <Application>Microsoft Office Word</Application>
  <DocSecurity>0</DocSecurity>
  <Lines>106</Lines>
  <Paragraphs>29</Paragraphs>
  <ScaleCrop>false</ScaleCrop>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Abdullahi Haashi (2114800)</dc:creator>
  <dc:description/>
  <cp:lastModifiedBy>hashiabdullah77@gmail.com</cp:lastModifiedBy>
  <cp:revision>2</cp:revision>
  <dcterms:created xsi:type="dcterms:W3CDTF">2026-07-10T16:25:00Z</dcterms:created>
  <dcterms:modified xsi:type="dcterms:W3CDTF">2026-07-10T16:25:00Z</dcterms:modified>
</cp:coreProperties>
</file>