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0883CE" w14:textId="77777777" w:rsidR="00806256" w:rsidRDefault="00806256" w:rsidP="00806256">
      <w:pPr>
        <w:pStyle w:val="TOCHeading"/>
        <w:rPr>
          <w:rFonts w:eastAsiaTheme="minorHAnsi"/>
        </w:rPr>
      </w:pPr>
    </w:p>
    <w:p w14:paraId="0EB52126" w14:textId="77777777" w:rsidR="00806256" w:rsidRDefault="00806256" w:rsidP="00806256">
      <w:pPr>
        <w:pStyle w:val="TOCHeading"/>
        <w:rPr>
          <w:rFonts w:eastAsiaTheme="minorHAnsi"/>
        </w:rPr>
      </w:pPr>
    </w:p>
    <w:p w14:paraId="55C561D4" w14:textId="77777777" w:rsidR="00806256" w:rsidRDefault="00806256" w:rsidP="00806256">
      <w:pPr>
        <w:pStyle w:val="TOCHeading"/>
        <w:rPr>
          <w:rFonts w:eastAsiaTheme="minorHAnsi"/>
        </w:rPr>
      </w:pPr>
    </w:p>
    <w:p w14:paraId="1046F69B" w14:textId="77777777" w:rsidR="00806256" w:rsidRDefault="00806256" w:rsidP="00806256">
      <w:pPr>
        <w:pStyle w:val="TOCHeading"/>
        <w:rPr>
          <w:rFonts w:eastAsiaTheme="minorHAnsi"/>
        </w:rPr>
      </w:pPr>
    </w:p>
    <w:p w14:paraId="3C0E6809" w14:textId="77777777" w:rsidR="005B4CB4" w:rsidRDefault="00806256" w:rsidP="005B4CB4">
      <w:pPr>
        <w:pStyle w:val="TOCHeading"/>
        <w:jc w:val="center"/>
        <w:rPr>
          <w:rFonts w:eastAsiaTheme="minorHAnsi"/>
        </w:rPr>
      </w:pPr>
      <w:r>
        <w:rPr>
          <w:rFonts w:eastAsiaTheme="minorHAnsi"/>
        </w:rPr>
        <w:t>Management Accounting</w:t>
      </w:r>
      <w:r w:rsidR="005B4CB4">
        <w:rPr>
          <w:rFonts w:eastAsiaTheme="minorHAnsi"/>
        </w:rPr>
        <w:t xml:space="preserve">         </w:t>
      </w:r>
    </w:p>
    <w:p w14:paraId="2A9B236B" w14:textId="2B37DD53" w:rsidR="005B4CB4" w:rsidRDefault="005B4CB4" w:rsidP="005B4CB4">
      <w:pPr>
        <w:pStyle w:val="TOCHeading"/>
        <w:jc w:val="center"/>
        <w:rPr>
          <w:rFonts w:eastAsiaTheme="minorHAnsi"/>
        </w:rPr>
      </w:pPr>
      <w:r>
        <w:rPr>
          <w:rFonts w:eastAsiaTheme="minorHAnsi"/>
        </w:rPr>
        <w:t>Mirela L Andrei 1914800</w:t>
      </w:r>
    </w:p>
    <w:p w14:paraId="1932922B" w14:textId="7A8B927B" w:rsidR="005B4CB4" w:rsidRPr="005B4CB4" w:rsidRDefault="005B4CB4" w:rsidP="005B4CB4">
      <w:pPr>
        <w:rPr>
          <w:b/>
          <w:bCs/>
          <w:sz w:val="24"/>
          <w:szCs w:val="24"/>
          <w:lang w:val="en-GB"/>
        </w:rPr>
      </w:pPr>
      <w:r w:rsidRPr="005B4CB4">
        <w:rPr>
          <w:b/>
          <w:bCs/>
          <w:sz w:val="24"/>
          <w:szCs w:val="24"/>
          <w:lang w:val="en-GB"/>
        </w:rPr>
        <w:t xml:space="preserve">                                                            Lecture: Widin B. Sha’ven</w:t>
      </w:r>
    </w:p>
    <w:p w14:paraId="78DFA059" w14:textId="3D8AE1CD" w:rsidR="00806256" w:rsidRDefault="00806256" w:rsidP="00806256">
      <w:pPr>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br w:type="page"/>
      </w:r>
    </w:p>
    <w:sdt>
      <w:sdtPr>
        <w:rPr>
          <w:rFonts w:asciiTheme="minorHAnsi" w:eastAsiaTheme="minorHAnsi" w:hAnsiTheme="minorHAnsi" w:cstheme="minorBidi"/>
          <w:b w:val="0"/>
          <w:color w:val="auto"/>
          <w:sz w:val="22"/>
          <w:szCs w:val="22"/>
          <w:lang w:val="en-US"/>
        </w:rPr>
        <w:id w:val="234741988"/>
        <w:docPartObj>
          <w:docPartGallery w:val="Table of Contents"/>
          <w:docPartUnique/>
        </w:docPartObj>
      </w:sdtPr>
      <w:sdtEndPr/>
      <w:sdtContent>
        <w:p w14:paraId="361767C6" w14:textId="77777777" w:rsidR="00806256" w:rsidRDefault="00806256" w:rsidP="00806256">
          <w:pPr>
            <w:pStyle w:val="TOCHeading"/>
            <w:jc w:val="center"/>
          </w:pPr>
          <w:r>
            <w:rPr>
              <w:rFonts w:eastAsiaTheme="minorHAnsi"/>
            </w:rPr>
            <w:t xml:space="preserve">Table of </w:t>
          </w:r>
          <w:r>
            <w:t>Contents</w:t>
          </w:r>
        </w:p>
        <w:p w14:paraId="3AF4F112" w14:textId="77777777" w:rsidR="00806256" w:rsidRDefault="00806256" w:rsidP="00806256">
          <w:pPr>
            <w:pStyle w:val="TOC1"/>
            <w:tabs>
              <w:tab w:val="right" w:leader="dot" w:pos="9350"/>
            </w:tabs>
            <w:rPr>
              <w:rFonts w:ascii="Times New Roman" w:eastAsiaTheme="minorEastAsia" w:hAnsi="Times New Roman" w:cs="Times New Roman"/>
              <w:noProof/>
              <w:sz w:val="24"/>
              <w:szCs w:val="24"/>
            </w:rPr>
          </w:pPr>
          <w:r>
            <w:rPr>
              <w:rFonts w:ascii="Times New Roman" w:hAnsi="Times New Roman" w:cs="Times New Roman"/>
              <w:color w:val="000000" w:themeColor="text1"/>
              <w:sz w:val="24"/>
              <w:szCs w:val="24"/>
              <w:lang w:val="en-GB"/>
            </w:rPr>
            <w:fldChar w:fldCharType="begin"/>
          </w:r>
          <w:r>
            <w:rPr>
              <w:rFonts w:ascii="Times New Roman" w:hAnsi="Times New Roman" w:cs="Times New Roman"/>
              <w:color w:val="000000" w:themeColor="text1"/>
              <w:sz w:val="24"/>
              <w:szCs w:val="24"/>
              <w:lang w:val="en-GB"/>
            </w:rPr>
            <w:instrText xml:space="preserve"> TOC \o "1-3" \h \z \u </w:instrText>
          </w:r>
          <w:r>
            <w:rPr>
              <w:rFonts w:ascii="Times New Roman" w:hAnsi="Times New Roman" w:cs="Times New Roman"/>
              <w:color w:val="000000" w:themeColor="text1"/>
              <w:sz w:val="24"/>
              <w:szCs w:val="24"/>
              <w:lang w:val="en-GB"/>
            </w:rPr>
            <w:fldChar w:fldCharType="separate"/>
          </w:r>
          <w:hyperlink r:id="rId4" w:anchor="_Toc71415213" w:history="1">
            <w:r>
              <w:rPr>
                <w:rStyle w:val="Hyperlink"/>
                <w:noProof/>
              </w:rPr>
              <w:t>Part A - Control Chart and Report</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_Toc71415213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61D106B8" w14:textId="77777777" w:rsidR="00806256" w:rsidRDefault="005B4CB4" w:rsidP="00806256">
          <w:pPr>
            <w:pStyle w:val="TOC2"/>
            <w:tabs>
              <w:tab w:val="right" w:leader="dot" w:pos="9350"/>
            </w:tabs>
            <w:rPr>
              <w:rFonts w:ascii="Times New Roman" w:hAnsi="Times New Roman" w:cs="Times New Roman"/>
              <w:noProof/>
              <w:sz w:val="24"/>
              <w:szCs w:val="24"/>
            </w:rPr>
          </w:pPr>
          <w:hyperlink r:id="rId5" w:anchor="_Toc71415214" w:history="1">
            <w:r w:rsidR="00806256">
              <w:rPr>
                <w:rStyle w:val="Hyperlink"/>
                <w:noProof/>
              </w:rPr>
              <w:t>Task (i): Monthly Control Report</w:t>
            </w:r>
            <w:r w:rsidR="00806256">
              <w:rPr>
                <w:rStyle w:val="Hyperlink"/>
                <w:noProof/>
                <w:webHidden/>
                <w:color w:val="auto"/>
              </w:rPr>
              <w:tab/>
            </w:r>
            <w:r w:rsidR="00806256">
              <w:rPr>
                <w:rStyle w:val="Hyperlink"/>
                <w:noProof/>
                <w:webHidden/>
                <w:color w:val="auto"/>
              </w:rPr>
              <w:fldChar w:fldCharType="begin"/>
            </w:r>
            <w:r w:rsidR="00806256">
              <w:rPr>
                <w:rStyle w:val="Hyperlink"/>
                <w:noProof/>
                <w:webHidden/>
                <w:color w:val="auto"/>
              </w:rPr>
              <w:instrText xml:space="preserve"> PAGEREF _Toc71415214 \h </w:instrText>
            </w:r>
            <w:r w:rsidR="00806256">
              <w:rPr>
                <w:rStyle w:val="Hyperlink"/>
                <w:noProof/>
                <w:webHidden/>
                <w:color w:val="auto"/>
              </w:rPr>
            </w:r>
            <w:r w:rsidR="00806256">
              <w:rPr>
                <w:rStyle w:val="Hyperlink"/>
                <w:noProof/>
                <w:webHidden/>
                <w:color w:val="auto"/>
              </w:rPr>
              <w:fldChar w:fldCharType="separate"/>
            </w:r>
            <w:r w:rsidR="00806256">
              <w:rPr>
                <w:rStyle w:val="Hyperlink"/>
                <w:noProof/>
                <w:webHidden/>
                <w:color w:val="auto"/>
              </w:rPr>
              <w:t>3</w:t>
            </w:r>
            <w:r w:rsidR="00806256">
              <w:rPr>
                <w:rStyle w:val="Hyperlink"/>
                <w:noProof/>
                <w:webHidden/>
                <w:color w:val="auto"/>
              </w:rPr>
              <w:fldChar w:fldCharType="end"/>
            </w:r>
          </w:hyperlink>
        </w:p>
        <w:p w14:paraId="2AFBB01D" w14:textId="77777777" w:rsidR="00806256" w:rsidRDefault="005B4CB4" w:rsidP="00806256">
          <w:pPr>
            <w:pStyle w:val="TOC2"/>
            <w:tabs>
              <w:tab w:val="right" w:leader="dot" w:pos="9350"/>
            </w:tabs>
            <w:rPr>
              <w:rFonts w:ascii="Times New Roman" w:hAnsi="Times New Roman" w:cs="Times New Roman"/>
              <w:noProof/>
              <w:sz w:val="24"/>
              <w:szCs w:val="24"/>
            </w:rPr>
          </w:pPr>
          <w:hyperlink r:id="rId6" w:anchor="_Toc71415215" w:history="1">
            <w:r w:rsidR="00806256">
              <w:rPr>
                <w:rStyle w:val="Hyperlink"/>
                <w:rFonts w:eastAsia="Times New Roman"/>
                <w:noProof/>
              </w:rPr>
              <w:t>Task (ii): Report on the Amana’s Performance</w:t>
            </w:r>
            <w:r w:rsidR="00806256">
              <w:rPr>
                <w:rStyle w:val="Hyperlink"/>
                <w:noProof/>
                <w:webHidden/>
                <w:color w:val="auto"/>
              </w:rPr>
              <w:tab/>
            </w:r>
            <w:r w:rsidR="00806256">
              <w:rPr>
                <w:rStyle w:val="Hyperlink"/>
                <w:noProof/>
                <w:webHidden/>
                <w:color w:val="auto"/>
              </w:rPr>
              <w:fldChar w:fldCharType="begin"/>
            </w:r>
            <w:r w:rsidR="00806256">
              <w:rPr>
                <w:rStyle w:val="Hyperlink"/>
                <w:noProof/>
                <w:webHidden/>
                <w:color w:val="auto"/>
              </w:rPr>
              <w:instrText xml:space="preserve"> PAGEREF _Toc71415215 \h </w:instrText>
            </w:r>
            <w:r w:rsidR="00806256">
              <w:rPr>
                <w:rStyle w:val="Hyperlink"/>
                <w:noProof/>
                <w:webHidden/>
                <w:color w:val="auto"/>
              </w:rPr>
            </w:r>
            <w:r w:rsidR="00806256">
              <w:rPr>
                <w:rStyle w:val="Hyperlink"/>
                <w:noProof/>
                <w:webHidden/>
                <w:color w:val="auto"/>
              </w:rPr>
              <w:fldChar w:fldCharType="separate"/>
            </w:r>
            <w:r w:rsidR="00806256">
              <w:rPr>
                <w:rStyle w:val="Hyperlink"/>
                <w:noProof/>
                <w:webHidden/>
                <w:color w:val="auto"/>
              </w:rPr>
              <w:t>5</w:t>
            </w:r>
            <w:r w:rsidR="00806256">
              <w:rPr>
                <w:rStyle w:val="Hyperlink"/>
                <w:noProof/>
                <w:webHidden/>
                <w:color w:val="auto"/>
              </w:rPr>
              <w:fldChar w:fldCharType="end"/>
            </w:r>
          </w:hyperlink>
        </w:p>
        <w:p w14:paraId="14A01843" w14:textId="77777777" w:rsidR="00806256" w:rsidRDefault="005B4CB4" w:rsidP="00806256">
          <w:pPr>
            <w:pStyle w:val="TOC2"/>
            <w:tabs>
              <w:tab w:val="right" w:leader="dot" w:pos="9350"/>
            </w:tabs>
            <w:rPr>
              <w:rFonts w:ascii="Times New Roman" w:hAnsi="Times New Roman" w:cs="Times New Roman"/>
              <w:noProof/>
              <w:sz w:val="24"/>
              <w:szCs w:val="24"/>
            </w:rPr>
          </w:pPr>
          <w:hyperlink r:id="rId7" w:anchor="_Toc71415216" w:history="1">
            <w:r w:rsidR="00806256">
              <w:rPr>
                <w:rStyle w:val="Hyperlink"/>
                <w:rFonts w:eastAsia="Times New Roman"/>
                <w:noProof/>
              </w:rPr>
              <w:t>Task (iii) Recommendations to Amana’s CEO on areas of improvement</w:t>
            </w:r>
            <w:r w:rsidR="00806256">
              <w:rPr>
                <w:rStyle w:val="Hyperlink"/>
                <w:noProof/>
                <w:webHidden/>
                <w:color w:val="auto"/>
              </w:rPr>
              <w:tab/>
            </w:r>
            <w:r w:rsidR="00806256">
              <w:rPr>
                <w:rStyle w:val="Hyperlink"/>
                <w:noProof/>
                <w:webHidden/>
                <w:color w:val="auto"/>
              </w:rPr>
              <w:fldChar w:fldCharType="begin"/>
            </w:r>
            <w:r w:rsidR="00806256">
              <w:rPr>
                <w:rStyle w:val="Hyperlink"/>
                <w:noProof/>
                <w:webHidden/>
                <w:color w:val="auto"/>
              </w:rPr>
              <w:instrText xml:space="preserve"> PAGEREF _Toc71415216 \h </w:instrText>
            </w:r>
            <w:r w:rsidR="00806256">
              <w:rPr>
                <w:rStyle w:val="Hyperlink"/>
                <w:noProof/>
                <w:webHidden/>
                <w:color w:val="auto"/>
              </w:rPr>
            </w:r>
            <w:r w:rsidR="00806256">
              <w:rPr>
                <w:rStyle w:val="Hyperlink"/>
                <w:noProof/>
                <w:webHidden/>
                <w:color w:val="auto"/>
              </w:rPr>
              <w:fldChar w:fldCharType="separate"/>
            </w:r>
            <w:r w:rsidR="00806256">
              <w:rPr>
                <w:rStyle w:val="Hyperlink"/>
                <w:noProof/>
                <w:webHidden/>
                <w:color w:val="auto"/>
              </w:rPr>
              <w:t>7</w:t>
            </w:r>
            <w:r w:rsidR="00806256">
              <w:rPr>
                <w:rStyle w:val="Hyperlink"/>
                <w:noProof/>
                <w:webHidden/>
                <w:color w:val="auto"/>
              </w:rPr>
              <w:fldChar w:fldCharType="end"/>
            </w:r>
          </w:hyperlink>
        </w:p>
        <w:p w14:paraId="5CCF8001" w14:textId="77777777" w:rsidR="00806256" w:rsidRDefault="005B4CB4" w:rsidP="00806256">
          <w:pPr>
            <w:pStyle w:val="TOC1"/>
            <w:tabs>
              <w:tab w:val="right" w:leader="dot" w:pos="9350"/>
            </w:tabs>
            <w:rPr>
              <w:rFonts w:ascii="Times New Roman" w:eastAsiaTheme="minorEastAsia" w:hAnsi="Times New Roman" w:cs="Times New Roman"/>
              <w:noProof/>
              <w:sz w:val="24"/>
              <w:szCs w:val="24"/>
            </w:rPr>
          </w:pPr>
          <w:hyperlink r:id="rId8" w:anchor="_Toc71415217" w:history="1">
            <w:r w:rsidR="00806256">
              <w:rPr>
                <w:rStyle w:val="Hyperlink"/>
                <w:noProof/>
              </w:rPr>
              <w:t>Part B – Analysis for Decision Making</w:t>
            </w:r>
            <w:r w:rsidR="00806256">
              <w:rPr>
                <w:rStyle w:val="Hyperlink"/>
                <w:noProof/>
                <w:webHidden/>
                <w:color w:val="auto"/>
              </w:rPr>
              <w:tab/>
            </w:r>
            <w:r w:rsidR="00806256">
              <w:rPr>
                <w:rStyle w:val="Hyperlink"/>
                <w:noProof/>
                <w:webHidden/>
                <w:color w:val="auto"/>
              </w:rPr>
              <w:fldChar w:fldCharType="begin"/>
            </w:r>
            <w:r w:rsidR="00806256">
              <w:rPr>
                <w:rStyle w:val="Hyperlink"/>
                <w:noProof/>
                <w:webHidden/>
                <w:color w:val="auto"/>
              </w:rPr>
              <w:instrText xml:space="preserve"> PAGEREF _Toc71415217 \h </w:instrText>
            </w:r>
            <w:r w:rsidR="00806256">
              <w:rPr>
                <w:rStyle w:val="Hyperlink"/>
                <w:noProof/>
                <w:webHidden/>
                <w:color w:val="auto"/>
              </w:rPr>
            </w:r>
            <w:r w:rsidR="00806256">
              <w:rPr>
                <w:rStyle w:val="Hyperlink"/>
                <w:noProof/>
                <w:webHidden/>
                <w:color w:val="auto"/>
              </w:rPr>
              <w:fldChar w:fldCharType="separate"/>
            </w:r>
            <w:r w:rsidR="00806256">
              <w:rPr>
                <w:rStyle w:val="Hyperlink"/>
                <w:noProof/>
                <w:webHidden/>
                <w:color w:val="auto"/>
              </w:rPr>
              <w:t>8</w:t>
            </w:r>
            <w:r w:rsidR="00806256">
              <w:rPr>
                <w:rStyle w:val="Hyperlink"/>
                <w:noProof/>
                <w:webHidden/>
                <w:color w:val="auto"/>
              </w:rPr>
              <w:fldChar w:fldCharType="end"/>
            </w:r>
          </w:hyperlink>
        </w:p>
        <w:p w14:paraId="1F6E9303" w14:textId="77777777" w:rsidR="00806256" w:rsidRDefault="005B4CB4" w:rsidP="00806256">
          <w:pPr>
            <w:pStyle w:val="TOC1"/>
            <w:tabs>
              <w:tab w:val="right" w:leader="dot" w:pos="9350"/>
            </w:tabs>
            <w:rPr>
              <w:rFonts w:ascii="Times New Roman" w:eastAsiaTheme="minorEastAsia" w:hAnsi="Times New Roman" w:cs="Times New Roman"/>
              <w:noProof/>
              <w:sz w:val="24"/>
              <w:szCs w:val="24"/>
            </w:rPr>
          </w:pPr>
          <w:hyperlink r:id="rId9" w:anchor="_Toc71415218" w:history="1">
            <w:r w:rsidR="00806256">
              <w:rPr>
                <w:rStyle w:val="Hyperlink"/>
                <w:rFonts w:eastAsia="Times New Roman"/>
                <w:noProof/>
              </w:rPr>
              <w:t>References</w:t>
            </w:r>
            <w:r w:rsidR="00806256">
              <w:rPr>
                <w:rStyle w:val="Hyperlink"/>
                <w:noProof/>
                <w:webHidden/>
                <w:color w:val="auto"/>
              </w:rPr>
              <w:tab/>
            </w:r>
            <w:r w:rsidR="00806256">
              <w:rPr>
                <w:rStyle w:val="Hyperlink"/>
                <w:noProof/>
                <w:webHidden/>
                <w:color w:val="auto"/>
              </w:rPr>
              <w:fldChar w:fldCharType="begin"/>
            </w:r>
            <w:r w:rsidR="00806256">
              <w:rPr>
                <w:rStyle w:val="Hyperlink"/>
                <w:noProof/>
                <w:webHidden/>
                <w:color w:val="auto"/>
              </w:rPr>
              <w:instrText xml:space="preserve"> PAGEREF _Toc71415218 \h </w:instrText>
            </w:r>
            <w:r w:rsidR="00806256">
              <w:rPr>
                <w:rStyle w:val="Hyperlink"/>
                <w:noProof/>
                <w:webHidden/>
                <w:color w:val="auto"/>
              </w:rPr>
            </w:r>
            <w:r w:rsidR="00806256">
              <w:rPr>
                <w:rStyle w:val="Hyperlink"/>
                <w:noProof/>
                <w:webHidden/>
                <w:color w:val="auto"/>
              </w:rPr>
              <w:fldChar w:fldCharType="separate"/>
            </w:r>
            <w:r w:rsidR="00806256">
              <w:rPr>
                <w:rStyle w:val="Hyperlink"/>
                <w:noProof/>
                <w:webHidden/>
                <w:color w:val="auto"/>
              </w:rPr>
              <w:t>11</w:t>
            </w:r>
            <w:r w:rsidR="00806256">
              <w:rPr>
                <w:rStyle w:val="Hyperlink"/>
                <w:noProof/>
                <w:webHidden/>
                <w:color w:val="auto"/>
              </w:rPr>
              <w:fldChar w:fldCharType="end"/>
            </w:r>
          </w:hyperlink>
        </w:p>
        <w:p w14:paraId="700A9C19" w14:textId="77777777" w:rsidR="00806256" w:rsidRDefault="00806256" w:rsidP="00806256">
          <w:pPr>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b/>
              <w:bCs/>
              <w:noProof/>
              <w:color w:val="000000" w:themeColor="text1"/>
              <w:sz w:val="24"/>
              <w:szCs w:val="24"/>
              <w:lang w:val="en-GB"/>
            </w:rPr>
            <w:fldChar w:fldCharType="end"/>
          </w:r>
        </w:p>
      </w:sdtContent>
    </w:sdt>
    <w:p w14:paraId="62136C42" w14:textId="77777777" w:rsidR="00806256" w:rsidRDefault="00806256" w:rsidP="00806256">
      <w:pPr>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br w:type="page"/>
      </w:r>
    </w:p>
    <w:p w14:paraId="1E2CFF83" w14:textId="77777777" w:rsidR="00806256" w:rsidRDefault="00806256" w:rsidP="00806256">
      <w:pPr>
        <w:pStyle w:val="Heading1"/>
      </w:pPr>
      <w:bookmarkStart w:id="0" w:name="_Toc71415213"/>
      <w:r>
        <w:lastRenderedPageBreak/>
        <w:t>Part A - Control Chart and Report</w:t>
      </w:r>
      <w:bookmarkEnd w:id="0"/>
    </w:p>
    <w:p w14:paraId="3F530EC5" w14:textId="77777777" w:rsidR="00806256" w:rsidRDefault="00806256" w:rsidP="00806256">
      <w:pPr>
        <w:pStyle w:val="Heading2"/>
      </w:pPr>
      <w:bookmarkStart w:id="1" w:name="_Toc71415214"/>
      <w:r>
        <w:t>Task (i): Monthly Control Report</w:t>
      </w:r>
      <w:bookmarkEnd w:id="1"/>
    </w:p>
    <w:tbl>
      <w:tblPr>
        <w:tblW w:w="9840" w:type="dxa"/>
        <w:tblLook w:val="04A0" w:firstRow="1" w:lastRow="0" w:firstColumn="1" w:lastColumn="0" w:noHBand="0" w:noVBand="1"/>
      </w:tblPr>
      <w:tblGrid>
        <w:gridCol w:w="1443"/>
        <w:gridCol w:w="1116"/>
        <w:gridCol w:w="1296"/>
        <w:gridCol w:w="1296"/>
        <w:gridCol w:w="1296"/>
        <w:gridCol w:w="1497"/>
        <w:gridCol w:w="1536"/>
        <w:gridCol w:w="1083"/>
      </w:tblGrid>
      <w:tr w:rsidR="00806256" w14:paraId="3E243418" w14:textId="77777777" w:rsidTr="00806256">
        <w:trPr>
          <w:trHeight w:val="300"/>
        </w:trPr>
        <w:tc>
          <w:tcPr>
            <w:tcW w:w="9840" w:type="dxa"/>
            <w:gridSpan w:val="8"/>
            <w:tcBorders>
              <w:top w:val="single" w:sz="4" w:space="0" w:color="auto"/>
              <w:left w:val="single" w:sz="4" w:space="0" w:color="auto"/>
              <w:bottom w:val="single" w:sz="4" w:space="0" w:color="auto"/>
              <w:right w:val="single" w:sz="4" w:space="0" w:color="auto"/>
            </w:tcBorders>
            <w:vAlign w:val="bottom"/>
            <w:hideMark/>
          </w:tcPr>
          <w:p w14:paraId="706A6EA9"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control report</w:t>
            </w:r>
          </w:p>
        </w:tc>
      </w:tr>
      <w:tr w:rsidR="00806256" w14:paraId="4B71DFF1" w14:textId="77777777" w:rsidTr="00806256">
        <w:trPr>
          <w:trHeight w:val="900"/>
        </w:trPr>
        <w:tc>
          <w:tcPr>
            <w:tcW w:w="1200" w:type="dxa"/>
            <w:tcBorders>
              <w:top w:val="nil"/>
              <w:left w:val="single" w:sz="4" w:space="0" w:color="auto"/>
              <w:bottom w:val="single" w:sz="4" w:space="0" w:color="auto"/>
              <w:right w:val="single" w:sz="4" w:space="0" w:color="auto"/>
            </w:tcBorders>
            <w:vAlign w:val="bottom"/>
            <w:hideMark/>
          </w:tcPr>
          <w:p w14:paraId="0DEF4960"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w:t>
            </w:r>
          </w:p>
        </w:tc>
        <w:tc>
          <w:tcPr>
            <w:tcW w:w="1196" w:type="dxa"/>
            <w:tcBorders>
              <w:top w:val="nil"/>
              <w:left w:val="nil"/>
              <w:bottom w:val="single" w:sz="4" w:space="0" w:color="auto"/>
              <w:right w:val="single" w:sz="4" w:space="0" w:color="auto"/>
            </w:tcBorders>
            <w:vAlign w:val="bottom"/>
            <w:hideMark/>
          </w:tcPr>
          <w:p w14:paraId="2FDE9462"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Original Budget</w:t>
            </w:r>
          </w:p>
        </w:tc>
        <w:tc>
          <w:tcPr>
            <w:tcW w:w="1197" w:type="dxa"/>
            <w:tcBorders>
              <w:top w:val="nil"/>
              <w:left w:val="nil"/>
              <w:bottom w:val="single" w:sz="4" w:space="0" w:color="auto"/>
              <w:right w:val="single" w:sz="4" w:space="0" w:color="auto"/>
            </w:tcBorders>
            <w:vAlign w:val="bottom"/>
            <w:hideMark/>
          </w:tcPr>
          <w:p w14:paraId="08EF4966"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Original Total Budget</w:t>
            </w:r>
          </w:p>
        </w:tc>
        <w:tc>
          <w:tcPr>
            <w:tcW w:w="1197" w:type="dxa"/>
            <w:tcBorders>
              <w:top w:val="nil"/>
              <w:left w:val="nil"/>
              <w:bottom w:val="single" w:sz="4" w:space="0" w:color="auto"/>
              <w:right w:val="single" w:sz="4" w:space="0" w:color="auto"/>
            </w:tcBorders>
            <w:vAlign w:val="bottom"/>
            <w:hideMark/>
          </w:tcPr>
          <w:p w14:paraId="5EDF80B4"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Actual Budget</w:t>
            </w:r>
          </w:p>
        </w:tc>
        <w:tc>
          <w:tcPr>
            <w:tcW w:w="1197" w:type="dxa"/>
            <w:tcBorders>
              <w:top w:val="nil"/>
              <w:left w:val="nil"/>
              <w:bottom w:val="single" w:sz="4" w:space="0" w:color="auto"/>
              <w:right w:val="single" w:sz="4" w:space="0" w:color="auto"/>
            </w:tcBorders>
            <w:vAlign w:val="bottom"/>
            <w:hideMark/>
          </w:tcPr>
          <w:p w14:paraId="3F597180"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Flexible Budget</w:t>
            </w:r>
          </w:p>
        </w:tc>
        <w:tc>
          <w:tcPr>
            <w:tcW w:w="1497" w:type="dxa"/>
            <w:tcBorders>
              <w:top w:val="nil"/>
              <w:left w:val="nil"/>
              <w:bottom w:val="single" w:sz="4" w:space="0" w:color="auto"/>
              <w:right w:val="single" w:sz="4" w:space="0" w:color="auto"/>
            </w:tcBorders>
            <w:noWrap/>
            <w:vAlign w:val="bottom"/>
            <w:hideMark/>
          </w:tcPr>
          <w:p w14:paraId="65641BDB"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Variance</w:t>
            </w:r>
          </w:p>
        </w:tc>
        <w:tc>
          <w:tcPr>
            <w:tcW w:w="1398" w:type="dxa"/>
            <w:tcBorders>
              <w:top w:val="nil"/>
              <w:left w:val="nil"/>
              <w:bottom w:val="single" w:sz="4" w:space="0" w:color="auto"/>
              <w:right w:val="single" w:sz="4" w:space="0" w:color="auto"/>
            </w:tcBorders>
            <w:vAlign w:val="bottom"/>
            <w:hideMark/>
          </w:tcPr>
          <w:p w14:paraId="4C8D9107"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Favourable/ Unfavourable</w:t>
            </w:r>
          </w:p>
        </w:tc>
        <w:tc>
          <w:tcPr>
            <w:tcW w:w="958" w:type="dxa"/>
            <w:tcBorders>
              <w:top w:val="nil"/>
              <w:left w:val="nil"/>
              <w:bottom w:val="single" w:sz="4" w:space="0" w:color="auto"/>
              <w:right w:val="single" w:sz="4" w:space="0" w:color="auto"/>
            </w:tcBorders>
            <w:vAlign w:val="bottom"/>
            <w:hideMark/>
          </w:tcPr>
          <w:p w14:paraId="6E0185AB"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Variance</w:t>
            </w:r>
          </w:p>
        </w:tc>
      </w:tr>
      <w:tr w:rsidR="00806256" w14:paraId="656D4C9C" w14:textId="77777777" w:rsidTr="00806256">
        <w:trPr>
          <w:trHeight w:val="300"/>
        </w:trPr>
        <w:tc>
          <w:tcPr>
            <w:tcW w:w="1200" w:type="dxa"/>
            <w:tcBorders>
              <w:top w:val="nil"/>
              <w:left w:val="single" w:sz="4" w:space="0" w:color="auto"/>
              <w:bottom w:val="single" w:sz="4" w:space="0" w:color="auto"/>
              <w:right w:val="single" w:sz="4" w:space="0" w:color="auto"/>
            </w:tcBorders>
            <w:vAlign w:val="bottom"/>
            <w:hideMark/>
          </w:tcPr>
          <w:p w14:paraId="6AA8ECE7"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Units</w:t>
            </w:r>
          </w:p>
        </w:tc>
        <w:tc>
          <w:tcPr>
            <w:tcW w:w="1196" w:type="dxa"/>
            <w:tcBorders>
              <w:top w:val="nil"/>
              <w:left w:val="nil"/>
              <w:bottom w:val="single" w:sz="4" w:space="0" w:color="auto"/>
              <w:right w:val="single" w:sz="4" w:space="0" w:color="auto"/>
            </w:tcBorders>
            <w:vAlign w:val="bottom"/>
            <w:hideMark/>
          </w:tcPr>
          <w:p w14:paraId="6D953747"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100,000 </w:t>
            </w:r>
          </w:p>
        </w:tc>
        <w:tc>
          <w:tcPr>
            <w:tcW w:w="1197" w:type="dxa"/>
            <w:tcBorders>
              <w:top w:val="nil"/>
              <w:left w:val="nil"/>
              <w:bottom w:val="single" w:sz="4" w:space="0" w:color="auto"/>
              <w:right w:val="single" w:sz="4" w:space="0" w:color="auto"/>
            </w:tcBorders>
            <w:vAlign w:val="bottom"/>
            <w:hideMark/>
          </w:tcPr>
          <w:p w14:paraId="10768513"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100,000 </w:t>
            </w:r>
          </w:p>
        </w:tc>
        <w:tc>
          <w:tcPr>
            <w:tcW w:w="1197" w:type="dxa"/>
            <w:tcBorders>
              <w:top w:val="nil"/>
              <w:left w:val="nil"/>
              <w:bottom w:val="single" w:sz="4" w:space="0" w:color="auto"/>
              <w:right w:val="single" w:sz="4" w:space="0" w:color="auto"/>
            </w:tcBorders>
            <w:vAlign w:val="bottom"/>
            <w:hideMark/>
          </w:tcPr>
          <w:p w14:paraId="2DDBDB22"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80,000 </w:t>
            </w:r>
          </w:p>
        </w:tc>
        <w:tc>
          <w:tcPr>
            <w:tcW w:w="1197" w:type="dxa"/>
            <w:tcBorders>
              <w:top w:val="nil"/>
              <w:left w:val="nil"/>
              <w:bottom w:val="single" w:sz="4" w:space="0" w:color="auto"/>
              <w:right w:val="single" w:sz="4" w:space="0" w:color="auto"/>
            </w:tcBorders>
            <w:vAlign w:val="bottom"/>
            <w:hideMark/>
          </w:tcPr>
          <w:p w14:paraId="667267CA"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  80,000 </w:t>
            </w:r>
          </w:p>
        </w:tc>
        <w:tc>
          <w:tcPr>
            <w:tcW w:w="1497" w:type="dxa"/>
            <w:tcBorders>
              <w:top w:val="nil"/>
              <w:left w:val="nil"/>
              <w:bottom w:val="single" w:sz="4" w:space="0" w:color="auto"/>
              <w:right w:val="single" w:sz="4" w:space="0" w:color="auto"/>
            </w:tcBorders>
            <w:shd w:val="clear" w:color="auto" w:fill="FFFFFF"/>
            <w:noWrap/>
            <w:vAlign w:val="bottom"/>
            <w:hideMark/>
          </w:tcPr>
          <w:p w14:paraId="4E049250"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$(20,000)</w:t>
            </w:r>
          </w:p>
        </w:tc>
        <w:tc>
          <w:tcPr>
            <w:tcW w:w="1398" w:type="dxa"/>
            <w:tcBorders>
              <w:top w:val="nil"/>
              <w:left w:val="nil"/>
              <w:bottom w:val="single" w:sz="4" w:space="0" w:color="auto"/>
              <w:right w:val="single" w:sz="4" w:space="0" w:color="auto"/>
            </w:tcBorders>
            <w:noWrap/>
            <w:vAlign w:val="bottom"/>
            <w:hideMark/>
          </w:tcPr>
          <w:p w14:paraId="206DF06A"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unfavourable</w:t>
            </w:r>
          </w:p>
        </w:tc>
        <w:tc>
          <w:tcPr>
            <w:tcW w:w="958" w:type="dxa"/>
            <w:tcBorders>
              <w:top w:val="nil"/>
              <w:left w:val="nil"/>
              <w:bottom w:val="single" w:sz="4" w:space="0" w:color="auto"/>
              <w:right w:val="single" w:sz="4" w:space="0" w:color="auto"/>
            </w:tcBorders>
            <w:noWrap/>
            <w:vAlign w:val="bottom"/>
            <w:hideMark/>
          </w:tcPr>
          <w:p w14:paraId="34ACD4D2"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-25%</w:t>
            </w:r>
          </w:p>
        </w:tc>
      </w:tr>
      <w:tr w:rsidR="00806256" w14:paraId="7AC58A69" w14:textId="77777777" w:rsidTr="00806256">
        <w:trPr>
          <w:trHeight w:val="600"/>
        </w:trPr>
        <w:tc>
          <w:tcPr>
            <w:tcW w:w="1200" w:type="dxa"/>
            <w:tcBorders>
              <w:top w:val="nil"/>
              <w:left w:val="single" w:sz="4" w:space="0" w:color="auto"/>
              <w:bottom w:val="single" w:sz="4" w:space="0" w:color="auto"/>
              <w:right w:val="single" w:sz="4" w:space="0" w:color="auto"/>
            </w:tcBorders>
            <w:vAlign w:val="bottom"/>
            <w:hideMark/>
          </w:tcPr>
          <w:p w14:paraId="2D20F216"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Selling Price</w:t>
            </w:r>
          </w:p>
        </w:tc>
        <w:tc>
          <w:tcPr>
            <w:tcW w:w="1196" w:type="dxa"/>
            <w:tcBorders>
              <w:top w:val="nil"/>
              <w:left w:val="nil"/>
              <w:bottom w:val="single" w:sz="4" w:space="0" w:color="auto"/>
              <w:right w:val="single" w:sz="4" w:space="0" w:color="auto"/>
            </w:tcBorders>
            <w:vAlign w:val="bottom"/>
            <w:hideMark/>
          </w:tcPr>
          <w:p w14:paraId="63F401AB"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$25.00 </w:t>
            </w:r>
          </w:p>
        </w:tc>
        <w:tc>
          <w:tcPr>
            <w:tcW w:w="1197" w:type="dxa"/>
            <w:tcBorders>
              <w:top w:val="nil"/>
              <w:left w:val="nil"/>
              <w:bottom w:val="single" w:sz="4" w:space="0" w:color="auto"/>
              <w:right w:val="single" w:sz="4" w:space="0" w:color="auto"/>
            </w:tcBorders>
            <w:vAlign w:val="bottom"/>
            <w:hideMark/>
          </w:tcPr>
          <w:p w14:paraId="22F0E87F"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$25 </w:t>
            </w:r>
          </w:p>
        </w:tc>
        <w:tc>
          <w:tcPr>
            <w:tcW w:w="1197" w:type="dxa"/>
            <w:tcBorders>
              <w:top w:val="nil"/>
              <w:left w:val="nil"/>
              <w:bottom w:val="single" w:sz="4" w:space="0" w:color="auto"/>
              <w:right w:val="single" w:sz="4" w:space="0" w:color="auto"/>
            </w:tcBorders>
            <w:vAlign w:val="bottom"/>
            <w:hideMark/>
          </w:tcPr>
          <w:p w14:paraId="0F140EC8"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$20 </w:t>
            </w:r>
          </w:p>
        </w:tc>
        <w:tc>
          <w:tcPr>
            <w:tcW w:w="1197" w:type="dxa"/>
            <w:tcBorders>
              <w:top w:val="nil"/>
              <w:left w:val="nil"/>
              <w:bottom w:val="single" w:sz="4" w:space="0" w:color="auto"/>
              <w:right w:val="single" w:sz="4" w:space="0" w:color="auto"/>
            </w:tcBorders>
            <w:vAlign w:val="bottom"/>
            <w:hideMark/>
          </w:tcPr>
          <w:p w14:paraId="0F87BC71"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$25 </w:t>
            </w:r>
          </w:p>
        </w:tc>
        <w:tc>
          <w:tcPr>
            <w:tcW w:w="1497" w:type="dxa"/>
            <w:tcBorders>
              <w:top w:val="nil"/>
              <w:left w:val="nil"/>
              <w:bottom w:val="single" w:sz="4" w:space="0" w:color="auto"/>
              <w:right w:val="single" w:sz="4" w:space="0" w:color="auto"/>
            </w:tcBorders>
            <w:noWrap/>
            <w:vAlign w:val="bottom"/>
            <w:hideMark/>
          </w:tcPr>
          <w:p w14:paraId="6554EDDA"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$5 </w:t>
            </w:r>
          </w:p>
        </w:tc>
        <w:tc>
          <w:tcPr>
            <w:tcW w:w="1398" w:type="dxa"/>
            <w:tcBorders>
              <w:top w:val="nil"/>
              <w:left w:val="nil"/>
              <w:bottom w:val="single" w:sz="4" w:space="0" w:color="auto"/>
              <w:right w:val="single" w:sz="4" w:space="0" w:color="auto"/>
            </w:tcBorders>
            <w:noWrap/>
            <w:vAlign w:val="bottom"/>
            <w:hideMark/>
          </w:tcPr>
          <w:p w14:paraId="0635A3E2"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favourable</w:t>
            </w:r>
          </w:p>
        </w:tc>
        <w:tc>
          <w:tcPr>
            <w:tcW w:w="958" w:type="dxa"/>
            <w:tcBorders>
              <w:top w:val="nil"/>
              <w:left w:val="nil"/>
              <w:bottom w:val="single" w:sz="4" w:space="0" w:color="auto"/>
              <w:right w:val="single" w:sz="4" w:space="0" w:color="auto"/>
            </w:tcBorders>
            <w:noWrap/>
            <w:vAlign w:val="bottom"/>
            <w:hideMark/>
          </w:tcPr>
          <w:p w14:paraId="52DCC6DA"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20%</w:t>
            </w:r>
          </w:p>
        </w:tc>
      </w:tr>
      <w:tr w:rsidR="00806256" w14:paraId="5FF8663E" w14:textId="77777777" w:rsidTr="00806256">
        <w:trPr>
          <w:trHeight w:val="600"/>
        </w:trPr>
        <w:tc>
          <w:tcPr>
            <w:tcW w:w="1200" w:type="dxa"/>
            <w:tcBorders>
              <w:top w:val="nil"/>
              <w:left w:val="single" w:sz="4" w:space="0" w:color="auto"/>
              <w:bottom w:val="single" w:sz="4" w:space="0" w:color="auto"/>
              <w:right w:val="single" w:sz="4" w:space="0" w:color="auto"/>
            </w:tcBorders>
            <w:vAlign w:val="bottom"/>
            <w:hideMark/>
          </w:tcPr>
          <w:p w14:paraId="075BC998"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Total Selling Price</w:t>
            </w:r>
          </w:p>
        </w:tc>
        <w:tc>
          <w:tcPr>
            <w:tcW w:w="1196" w:type="dxa"/>
            <w:tcBorders>
              <w:top w:val="nil"/>
              <w:left w:val="nil"/>
              <w:bottom w:val="single" w:sz="4" w:space="0" w:color="auto"/>
              <w:right w:val="single" w:sz="4" w:space="0" w:color="auto"/>
            </w:tcBorders>
            <w:vAlign w:val="bottom"/>
            <w:hideMark/>
          </w:tcPr>
          <w:p w14:paraId="675191FA"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w:t>
            </w:r>
          </w:p>
        </w:tc>
        <w:tc>
          <w:tcPr>
            <w:tcW w:w="1197" w:type="dxa"/>
            <w:tcBorders>
              <w:top w:val="nil"/>
              <w:left w:val="nil"/>
              <w:bottom w:val="single" w:sz="4" w:space="0" w:color="auto"/>
              <w:right w:val="single" w:sz="4" w:space="0" w:color="auto"/>
            </w:tcBorders>
            <w:vAlign w:val="bottom"/>
            <w:hideMark/>
          </w:tcPr>
          <w:p w14:paraId="3F5A01C8"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$2,500,000 </w:t>
            </w:r>
          </w:p>
        </w:tc>
        <w:tc>
          <w:tcPr>
            <w:tcW w:w="1197" w:type="dxa"/>
            <w:tcBorders>
              <w:top w:val="nil"/>
              <w:left w:val="nil"/>
              <w:bottom w:val="single" w:sz="4" w:space="0" w:color="auto"/>
              <w:right w:val="single" w:sz="4" w:space="0" w:color="auto"/>
            </w:tcBorders>
            <w:vAlign w:val="bottom"/>
            <w:hideMark/>
          </w:tcPr>
          <w:p w14:paraId="7B0326F3"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$1,600,000 </w:t>
            </w:r>
          </w:p>
        </w:tc>
        <w:tc>
          <w:tcPr>
            <w:tcW w:w="1197" w:type="dxa"/>
            <w:tcBorders>
              <w:top w:val="nil"/>
              <w:left w:val="nil"/>
              <w:bottom w:val="single" w:sz="4" w:space="0" w:color="auto"/>
              <w:right w:val="single" w:sz="4" w:space="0" w:color="auto"/>
            </w:tcBorders>
            <w:vAlign w:val="bottom"/>
            <w:hideMark/>
          </w:tcPr>
          <w:p w14:paraId="42FA3B8D"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$2,000,000 </w:t>
            </w:r>
          </w:p>
        </w:tc>
        <w:tc>
          <w:tcPr>
            <w:tcW w:w="1497" w:type="dxa"/>
            <w:tcBorders>
              <w:top w:val="nil"/>
              <w:left w:val="nil"/>
              <w:bottom w:val="single" w:sz="4" w:space="0" w:color="auto"/>
              <w:right w:val="single" w:sz="4" w:space="0" w:color="auto"/>
            </w:tcBorders>
            <w:noWrap/>
            <w:vAlign w:val="bottom"/>
            <w:hideMark/>
          </w:tcPr>
          <w:p w14:paraId="14CB730E"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$(400,000)</w:t>
            </w:r>
          </w:p>
        </w:tc>
        <w:tc>
          <w:tcPr>
            <w:tcW w:w="1398" w:type="dxa"/>
            <w:tcBorders>
              <w:top w:val="nil"/>
              <w:left w:val="nil"/>
              <w:bottom w:val="single" w:sz="4" w:space="0" w:color="auto"/>
              <w:right w:val="single" w:sz="4" w:space="0" w:color="auto"/>
            </w:tcBorders>
            <w:noWrap/>
            <w:vAlign w:val="bottom"/>
            <w:hideMark/>
          </w:tcPr>
          <w:p w14:paraId="5C09A9F7"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favourable</w:t>
            </w:r>
          </w:p>
        </w:tc>
        <w:tc>
          <w:tcPr>
            <w:tcW w:w="958" w:type="dxa"/>
            <w:tcBorders>
              <w:top w:val="nil"/>
              <w:left w:val="nil"/>
              <w:bottom w:val="single" w:sz="4" w:space="0" w:color="auto"/>
              <w:right w:val="single" w:sz="4" w:space="0" w:color="auto"/>
            </w:tcBorders>
            <w:noWrap/>
            <w:vAlign w:val="bottom"/>
            <w:hideMark/>
          </w:tcPr>
          <w:p w14:paraId="79CA4650"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-20%</w:t>
            </w:r>
          </w:p>
        </w:tc>
      </w:tr>
      <w:tr w:rsidR="00806256" w14:paraId="5A809106" w14:textId="77777777" w:rsidTr="00806256">
        <w:trPr>
          <w:trHeight w:val="600"/>
        </w:trPr>
        <w:tc>
          <w:tcPr>
            <w:tcW w:w="1200" w:type="dxa"/>
            <w:tcBorders>
              <w:top w:val="nil"/>
              <w:left w:val="single" w:sz="4" w:space="0" w:color="auto"/>
              <w:bottom w:val="single" w:sz="4" w:space="0" w:color="auto"/>
              <w:right w:val="single" w:sz="4" w:space="0" w:color="auto"/>
            </w:tcBorders>
            <w:vAlign w:val="bottom"/>
            <w:hideMark/>
          </w:tcPr>
          <w:p w14:paraId="57774A0A"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Variable Costs:</w:t>
            </w:r>
          </w:p>
        </w:tc>
        <w:tc>
          <w:tcPr>
            <w:tcW w:w="1196" w:type="dxa"/>
            <w:tcBorders>
              <w:top w:val="nil"/>
              <w:left w:val="nil"/>
              <w:bottom w:val="single" w:sz="4" w:space="0" w:color="auto"/>
              <w:right w:val="single" w:sz="4" w:space="0" w:color="auto"/>
            </w:tcBorders>
            <w:vAlign w:val="bottom"/>
            <w:hideMark/>
          </w:tcPr>
          <w:p w14:paraId="16604298"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w:t>
            </w:r>
          </w:p>
        </w:tc>
        <w:tc>
          <w:tcPr>
            <w:tcW w:w="1197" w:type="dxa"/>
            <w:tcBorders>
              <w:top w:val="nil"/>
              <w:left w:val="nil"/>
              <w:bottom w:val="single" w:sz="4" w:space="0" w:color="auto"/>
              <w:right w:val="single" w:sz="4" w:space="0" w:color="auto"/>
            </w:tcBorders>
            <w:vAlign w:val="bottom"/>
            <w:hideMark/>
          </w:tcPr>
          <w:p w14:paraId="05E77659"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w:t>
            </w:r>
          </w:p>
        </w:tc>
        <w:tc>
          <w:tcPr>
            <w:tcW w:w="1197" w:type="dxa"/>
            <w:tcBorders>
              <w:top w:val="nil"/>
              <w:left w:val="nil"/>
              <w:bottom w:val="single" w:sz="4" w:space="0" w:color="auto"/>
              <w:right w:val="single" w:sz="4" w:space="0" w:color="auto"/>
            </w:tcBorders>
            <w:vAlign w:val="bottom"/>
            <w:hideMark/>
          </w:tcPr>
          <w:p w14:paraId="1BB3DF7E"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w:t>
            </w:r>
          </w:p>
        </w:tc>
        <w:tc>
          <w:tcPr>
            <w:tcW w:w="1197" w:type="dxa"/>
            <w:tcBorders>
              <w:top w:val="nil"/>
              <w:left w:val="nil"/>
              <w:bottom w:val="single" w:sz="4" w:space="0" w:color="auto"/>
              <w:right w:val="single" w:sz="4" w:space="0" w:color="auto"/>
            </w:tcBorders>
            <w:vAlign w:val="bottom"/>
            <w:hideMark/>
          </w:tcPr>
          <w:p w14:paraId="5E91B03A"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w:t>
            </w:r>
          </w:p>
        </w:tc>
        <w:tc>
          <w:tcPr>
            <w:tcW w:w="1497" w:type="dxa"/>
            <w:tcBorders>
              <w:top w:val="nil"/>
              <w:left w:val="nil"/>
              <w:bottom w:val="single" w:sz="4" w:space="0" w:color="auto"/>
              <w:right w:val="single" w:sz="4" w:space="0" w:color="auto"/>
            </w:tcBorders>
            <w:noWrap/>
            <w:vAlign w:val="bottom"/>
            <w:hideMark/>
          </w:tcPr>
          <w:p w14:paraId="1622778A"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w:t>
            </w:r>
          </w:p>
        </w:tc>
        <w:tc>
          <w:tcPr>
            <w:tcW w:w="1398" w:type="dxa"/>
            <w:tcBorders>
              <w:top w:val="nil"/>
              <w:left w:val="nil"/>
              <w:bottom w:val="single" w:sz="4" w:space="0" w:color="auto"/>
              <w:right w:val="single" w:sz="4" w:space="0" w:color="auto"/>
            </w:tcBorders>
            <w:noWrap/>
            <w:vAlign w:val="bottom"/>
            <w:hideMark/>
          </w:tcPr>
          <w:p w14:paraId="4350B423"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w:t>
            </w:r>
          </w:p>
        </w:tc>
        <w:tc>
          <w:tcPr>
            <w:tcW w:w="958" w:type="dxa"/>
            <w:tcBorders>
              <w:top w:val="nil"/>
              <w:left w:val="nil"/>
              <w:bottom w:val="single" w:sz="4" w:space="0" w:color="auto"/>
              <w:right w:val="single" w:sz="4" w:space="0" w:color="auto"/>
            </w:tcBorders>
            <w:noWrap/>
            <w:vAlign w:val="bottom"/>
            <w:hideMark/>
          </w:tcPr>
          <w:p w14:paraId="0A1B75BD"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w:t>
            </w:r>
          </w:p>
        </w:tc>
      </w:tr>
      <w:tr w:rsidR="00806256" w14:paraId="20339529" w14:textId="77777777" w:rsidTr="00806256">
        <w:trPr>
          <w:trHeight w:val="300"/>
        </w:trPr>
        <w:tc>
          <w:tcPr>
            <w:tcW w:w="1200" w:type="dxa"/>
            <w:tcBorders>
              <w:top w:val="nil"/>
              <w:left w:val="single" w:sz="4" w:space="0" w:color="auto"/>
              <w:bottom w:val="single" w:sz="4" w:space="0" w:color="auto"/>
              <w:right w:val="single" w:sz="4" w:space="0" w:color="auto"/>
            </w:tcBorders>
            <w:vAlign w:val="bottom"/>
            <w:hideMark/>
          </w:tcPr>
          <w:p w14:paraId="11488A52"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Material</w:t>
            </w:r>
          </w:p>
        </w:tc>
        <w:tc>
          <w:tcPr>
            <w:tcW w:w="1196" w:type="dxa"/>
            <w:tcBorders>
              <w:top w:val="nil"/>
              <w:left w:val="nil"/>
              <w:bottom w:val="single" w:sz="4" w:space="0" w:color="auto"/>
              <w:right w:val="single" w:sz="4" w:space="0" w:color="auto"/>
            </w:tcBorders>
            <w:vAlign w:val="bottom"/>
            <w:hideMark/>
          </w:tcPr>
          <w:p w14:paraId="26EF17EC"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$2.50 </w:t>
            </w:r>
          </w:p>
        </w:tc>
        <w:tc>
          <w:tcPr>
            <w:tcW w:w="1197" w:type="dxa"/>
            <w:tcBorders>
              <w:top w:val="nil"/>
              <w:left w:val="nil"/>
              <w:bottom w:val="single" w:sz="4" w:space="0" w:color="auto"/>
              <w:right w:val="single" w:sz="4" w:space="0" w:color="auto"/>
            </w:tcBorders>
            <w:vAlign w:val="bottom"/>
            <w:hideMark/>
          </w:tcPr>
          <w:p w14:paraId="3D75920D"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$250,000 </w:t>
            </w:r>
          </w:p>
        </w:tc>
        <w:tc>
          <w:tcPr>
            <w:tcW w:w="1197" w:type="dxa"/>
            <w:tcBorders>
              <w:top w:val="nil"/>
              <w:left w:val="nil"/>
              <w:bottom w:val="single" w:sz="4" w:space="0" w:color="auto"/>
              <w:right w:val="single" w:sz="4" w:space="0" w:color="auto"/>
            </w:tcBorders>
            <w:vAlign w:val="bottom"/>
            <w:hideMark/>
          </w:tcPr>
          <w:p w14:paraId="6270C3FA"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$280,000 </w:t>
            </w:r>
          </w:p>
        </w:tc>
        <w:tc>
          <w:tcPr>
            <w:tcW w:w="1197" w:type="dxa"/>
            <w:tcBorders>
              <w:top w:val="nil"/>
              <w:left w:val="nil"/>
              <w:bottom w:val="single" w:sz="4" w:space="0" w:color="auto"/>
              <w:right w:val="single" w:sz="4" w:space="0" w:color="auto"/>
            </w:tcBorders>
            <w:vAlign w:val="bottom"/>
            <w:hideMark/>
          </w:tcPr>
          <w:p w14:paraId="1B1B440F"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$200,000 </w:t>
            </w:r>
          </w:p>
        </w:tc>
        <w:tc>
          <w:tcPr>
            <w:tcW w:w="1497" w:type="dxa"/>
            <w:tcBorders>
              <w:top w:val="nil"/>
              <w:left w:val="nil"/>
              <w:bottom w:val="single" w:sz="4" w:space="0" w:color="auto"/>
              <w:right w:val="single" w:sz="4" w:space="0" w:color="auto"/>
            </w:tcBorders>
            <w:noWrap/>
            <w:vAlign w:val="bottom"/>
            <w:hideMark/>
          </w:tcPr>
          <w:p w14:paraId="000EBF0E"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$(80,000)</w:t>
            </w:r>
          </w:p>
        </w:tc>
        <w:tc>
          <w:tcPr>
            <w:tcW w:w="1398" w:type="dxa"/>
            <w:tcBorders>
              <w:top w:val="nil"/>
              <w:left w:val="nil"/>
              <w:bottom w:val="single" w:sz="4" w:space="0" w:color="auto"/>
              <w:right w:val="single" w:sz="4" w:space="0" w:color="auto"/>
            </w:tcBorders>
            <w:noWrap/>
            <w:vAlign w:val="bottom"/>
            <w:hideMark/>
          </w:tcPr>
          <w:p w14:paraId="50C43A20"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unfavourable</w:t>
            </w:r>
          </w:p>
        </w:tc>
        <w:tc>
          <w:tcPr>
            <w:tcW w:w="958" w:type="dxa"/>
            <w:tcBorders>
              <w:top w:val="nil"/>
              <w:left w:val="nil"/>
              <w:bottom w:val="single" w:sz="4" w:space="0" w:color="auto"/>
              <w:right w:val="single" w:sz="4" w:space="0" w:color="auto"/>
            </w:tcBorders>
            <w:noWrap/>
            <w:vAlign w:val="bottom"/>
            <w:hideMark/>
          </w:tcPr>
          <w:p w14:paraId="12F6C6C1"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-40%</w:t>
            </w:r>
          </w:p>
        </w:tc>
      </w:tr>
      <w:tr w:rsidR="00806256" w14:paraId="08469BF0" w14:textId="77777777" w:rsidTr="00806256">
        <w:trPr>
          <w:trHeight w:val="300"/>
        </w:trPr>
        <w:tc>
          <w:tcPr>
            <w:tcW w:w="1200" w:type="dxa"/>
            <w:tcBorders>
              <w:top w:val="nil"/>
              <w:left w:val="single" w:sz="4" w:space="0" w:color="auto"/>
              <w:bottom w:val="single" w:sz="4" w:space="0" w:color="auto"/>
              <w:right w:val="single" w:sz="4" w:space="0" w:color="auto"/>
            </w:tcBorders>
            <w:vAlign w:val="bottom"/>
            <w:hideMark/>
          </w:tcPr>
          <w:p w14:paraId="75EDFE76"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Labour</w:t>
            </w:r>
          </w:p>
        </w:tc>
        <w:tc>
          <w:tcPr>
            <w:tcW w:w="1196" w:type="dxa"/>
            <w:tcBorders>
              <w:top w:val="nil"/>
              <w:left w:val="nil"/>
              <w:bottom w:val="single" w:sz="4" w:space="0" w:color="auto"/>
              <w:right w:val="single" w:sz="4" w:space="0" w:color="auto"/>
            </w:tcBorders>
            <w:vAlign w:val="bottom"/>
            <w:hideMark/>
          </w:tcPr>
          <w:p w14:paraId="4647FA64"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$4.00 </w:t>
            </w:r>
          </w:p>
        </w:tc>
        <w:tc>
          <w:tcPr>
            <w:tcW w:w="1197" w:type="dxa"/>
            <w:tcBorders>
              <w:top w:val="nil"/>
              <w:left w:val="nil"/>
              <w:bottom w:val="single" w:sz="4" w:space="0" w:color="auto"/>
              <w:right w:val="single" w:sz="4" w:space="0" w:color="auto"/>
            </w:tcBorders>
            <w:vAlign w:val="bottom"/>
            <w:hideMark/>
          </w:tcPr>
          <w:p w14:paraId="525D9C2E"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$400,000 </w:t>
            </w:r>
          </w:p>
        </w:tc>
        <w:tc>
          <w:tcPr>
            <w:tcW w:w="1197" w:type="dxa"/>
            <w:tcBorders>
              <w:top w:val="nil"/>
              <w:left w:val="nil"/>
              <w:bottom w:val="single" w:sz="4" w:space="0" w:color="auto"/>
              <w:right w:val="single" w:sz="4" w:space="0" w:color="auto"/>
            </w:tcBorders>
            <w:vAlign w:val="bottom"/>
            <w:hideMark/>
          </w:tcPr>
          <w:p w14:paraId="6C3D5FFC"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$440,000 </w:t>
            </w:r>
          </w:p>
        </w:tc>
        <w:tc>
          <w:tcPr>
            <w:tcW w:w="1197" w:type="dxa"/>
            <w:tcBorders>
              <w:top w:val="nil"/>
              <w:left w:val="nil"/>
              <w:bottom w:val="single" w:sz="4" w:space="0" w:color="auto"/>
              <w:right w:val="single" w:sz="4" w:space="0" w:color="auto"/>
            </w:tcBorders>
            <w:vAlign w:val="bottom"/>
            <w:hideMark/>
          </w:tcPr>
          <w:p w14:paraId="09982722"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$320,000 </w:t>
            </w:r>
          </w:p>
        </w:tc>
        <w:tc>
          <w:tcPr>
            <w:tcW w:w="1497" w:type="dxa"/>
            <w:tcBorders>
              <w:top w:val="nil"/>
              <w:left w:val="nil"/>
              <w:bottom w:val="single" w:sz="4" w:space="0" w:color="auto"/>
              <w:right w:val="single" w:sz="4" w:space="0" w:color="auto"/>
            </w:tcBorders>
            <w:noWrap/>
            <w:vAlign w:val="bottom"/>
            <w:hideMark/>
          </w:tcPr>
          <w:p w14:paraId="2D21FC13"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$(120,000)</w:t>
            </w:r>
          </w:p>
        </w:tc>
        <w:tc>
          <w:tcPr>
            <w:tcW w:w="1398" w:type="dxa"/>
            <w:tcBorders>
              <w:top w:val="nil"/>
              <w:left w:val="nil"/>
              <w:bottom w:val="single" w:sz="4" w:space="0" w:color="auto"/>
              <w:right w:val="single" w:sz="4" w:space="0" w:color="auto"/>
            </w:tcBorders>
            <w:noWrap/>
            <w:vAlign w:val="bottom"/>
            <w:hideMark/>
          </w:tcPr>
          <w:p w14:paraId="0BD02BA3"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unfavourable</w:t>
            </w:r>
          </w:p>
        </w:tc>
        <w:tc>
          <w:tcPr>
            <w:tcW w:w="958" w:type="dxa"/>
            <w:tcBorders>
              <w:top w:val="nil"/>
              <w:left w:val="nil"/>
              <w:bottom w:val="single" w:sz="4" w:space="0" w:color="auto"/>
              <w:right w:val="single" w:sz="4" w:space="0" w:color="auto"/>
            </w:tcBorders>
            <w:noWrap/>
            <w:vAlign w:val="bottom"/>
            <w:hideMark/>
          </w:tcPr>
          <w:p w14:paraId="4C26D1AC"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-38%</w:t>
            </w:r>
          </w:p>
        </w:tc>
      </w:tr>
      <w:tr w:rsidR="00806256" w14:paraId="3D06E11E" w14:textId="77777777" w:rsidTr="00806256">
        <w:trPr>
          <w:trHeight w:val="300"/>
        </w:trPr>
        <w:tc>
          <w:tcPr>
            <w:tcW w:w="1200" w:type="dxa"/>
            <w:tcBorders>
              <w:top w:val="nil"/>
              <w:left w:val="single" w:sz="4" w:space="0" w:color="auto"/>
              <w:bottom w:val="single" w:sz="4" w:space="0" w:color="auto"/>
              <w:right w:val="single" w:sz="4" w:space="0" w:color="auto"/>
            </w:tcBorders>
            <w:vAlign w:val="bottom"/>
            <w:hideMark/>
          </w:tcPr>
          <w:p w14:paraId="17D9019C"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Overhead</w:t>
            </w:r>
          </w:p>
        </w:tc>
        <w:tc>
          <w:tcPr>
            <w:tcW w:w="1196" w:type="dxa"/>
            <w:tcBorders>
              <w:top w:val="nil"/>
              <w:left w:val="nil"/>
              <w:bottom w:val="single" w:sz="4" w:space="0" w:color="auto"/>
              <w:right w:val="single" w:sz="4" w:space="0" w:color="auto"/>
            </w:tcBorders>
            <w:vAlign w:val="bottom"/>
            <w:hideMark/>
          </w:tcPr>
          <w:p w14:paraId="7B1F72B8"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$1.50 </w:t>
            </w:r>
          </w:p>
        </w:tc>
        <w:tc>
          <w:tcPr>
            <w:tcW w:w="1197" w:type="dxa"/>
            <w:tcBorders>
              <w:top w:val="nil"/>
              <w:left w:val="nil"/>
              <w:bottom w:val="single" w:sz="4" w:space="0" w:color="auto"/>
              <w:right w:val="single" w:sz="4" w:space="0" w:color="auto"/>
            </w:tcBorders>
            <w:vAlign w:val="bottom"/>
            <w:hideMark/>
          </w:tcPr>
          <w:p w14:paraId="0080EDC4"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$150,000 </w:t>
            </w:r>
          </w:p>
        </w:tc>
        <w:tc>
          <w:tcPr>
            <w:tcW w:w="1197" w:type="dxa"/>
            <w:tcBorders>
              <w:top w:val="nil"/>
              <w:left w:val="nil"/>
              <w:bottom w:val="single" w:sz="4" w:space="0" w:color="auto"/>
              <w:right w:val="single" w:sz="4" w:space="0" w:color="auto"/>
            </w:tcBorders>
            <w:vAlign w:val="bottom"/>
            <w:hideMark/>
          </w:tcPr>
          <w:p w14:paraId="6D2E217C"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$120,000 </w:t>
            </w:r>
          </w:p>
        </w:tc>
        <w:tc>
          <w:tcPr>
            <w:tcW w:w="1197" w:type="dxa"/>
            <w:tcBorders>
              <w:top w:val="nil"/>
              <w:left w:val="nil"/>
              <w:bottom w:val="single" w:sz="4" w:space="0" w:color="auto"/>
              <w:right w:val="single" w:sz="4" w:space="0" w:color="auto"/>
            </w:tcBorders>
            <w:vAlign w:val="bottom"/>
            <w:hideMark/>
          </w:tcPr>
          <w:p w14:paraId="1DC7957A"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$120,000 </w:t>
            </w:r>
          </w:p>
        </w:tc>
        <w:tc>
          <w:tcPr>
            <w:tcW w:w="1497" w:type="dxa"/>
            <w:tcBorders>
              <w:top w:val="nil"/>
              <w:left w:val="nil"/>
              <w:bottom w:val="single" w:sz="4" w:space="0" w:color="auto"/>
              <w:right w:val="single" w:sz="4" w:space="0" w:color="auto"/>
            </w:tcBorders>
            <w:noWrap/>
            <w:vAlign w:val="bottom"/>
            <w:hideMark/>
          </w:tcPr>
          <w:p w14:paraId="0CBE18E7"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 -   </w:t>
            </w:r>
          </w:p>
        </w:tc>
        <w:tc>
          <w:tcPr>
            <w:tcW w:w="1398" w:type="dxa"/>
            <w:tcBorders>
              <w:top w:val="nil"/>
              <w:left w:val="nil"/>
              <w:bottom w:val="single" w:sz="4" w:space="0" w:color="auto"/>
              <w:right w:val="single" w:sz="4" w:space="0" w:color="auto"/>
            </w:tcBorders>
            <w:noWrap/>
            <w:vAlign w:val="bottom"/>
            <w:hideMark/>
          </w:tcPr>
          <w:p w14:paraId="73CE1681" w14:textId="77777777" w:rsidR="00806256" w:rsidRDefault="00806256">
            <w:pPr>
              <w:rPr>
                <w:rFonts w:ascii="Times New Roman" w:eastAsia="Times New Roman" w:hAnsi="Times New Roman" w:cs="Times New Roman"/>
                <w:color w:val="000000" w:themeColor="text1"/>
                <w:sz w:val="24"/>
                <w:szCs w:val="24"/>
                <w:lang w:val="en-GB"/>
              </w:rPr>
            </w:pPr>
          </w:p>
        </w:tc>
        <w:tc>
          <w:tcPr>
            <w:tcW w:w="958" w:type="dxa"/>
            <w:tcBorders>
              <w:top w:val="nil"/>
              <w:left w:val="nil"/>
              <w:bottom w:val="single" w:sz="4" w:space="0" w:color="auto"/>
              <w:right w:val="single" w:sz="4" w:space="0" w:color="auto"/>
            </w:tcBorders>
            <w:noWrap/>
            <w:vAlign w:val="bottom"/>
            <w:hideMark/>
          </w:tcPr>
          <w:p w14:paraId="444242BB"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0%</w:t>
            </w:r>
          </w:p>
        </w:tc>
      </w:tr>
      <w:tr w:rsidR="00806256" w14:paraId="128B5851" w14:textId="77777777" w:rsidTr="00806256">
        <w:trPr>
          <w:trHeight w:val="600"/>
        </w:trPr>
        <w:tc>
          <w:tcPr>
            <w:tcW w:w="1200" w:type="dxa"/>
            <w:tcBorders>
              <w:top w:val="nil"/>
              <w:left w:val="single" w:sz="4" w:space="0" w:color="auto"/>
              <w:bottom w:val="single" w:sz="4" w:space="0" w:color="auto"/>
              <w:right w:val="single" w:sz="4" w:space="0" w:color="auto"/>
            </w:tcBorders>
            <w:vAlign w:val="bottom"/>
            <w:hideMark/>
          </w:tcPr>
          <w:p w14:paraId="4BF705ED"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Contribution</w:t>
            </w:r>
          </w:p>
        </w:tc>
        <w:tc>
          <w:tcPr>
            <w:tcW w:w="1196" w:type="dxa"/>
            <w:tcBorders>
              <w:top w:val="nil"/>
              <w:left w:val="nil"/>
              <w:bottom w:val="single" w:sz="4" w:space="0" w:color="auto"/>
              <w:right w:val="single" w:sz="4" w:space="0" w:color="auto"/>
            </w:tcBorders>
            <w:vAlign w:val="bottom"/>
            <w:hideMark/>
          </w:tcPr>
          <w:p w14:paraId="5EAB409E"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$17.00 </w:t>
            </w:r>
          </w:p>
        </w:tc>
        <w:tc>
          <w:tcPr>
            <w:tcW w:w="1197" w:type="dxa"/>
            <w:tcBorders>
              <w:top w:val="nil"/>
              <w:left w:val="nil"/>
              <w:bottom w:val="single" w:sz="4" w:space="0" w:color="auto"/>
              <w:right w:val="single" w:sz="4" w:space="0" w:color="auto"/>
            </w:tcBorders>
            <w:vAlign w:val="bottom"/>
            <w:hideMark/>
          </w:tcPr>
          <w:p w14:paraId="6ADAE056"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$1,700,000 </w:t>
            </w:r>
          </w:p>
        </w:tc>
        <w:tc>
          <w:tcPr>
            <w:tcW w:w="1197" w:type="dxa"/>
            <w:tcBorders>
              <w:top w:val="nil"/>
              <w:left w:val="nil"/>
              <w:bottom w:val="single" w:sz="4" w:space="0" w:color="auto"/>
              <w:right w:val="single" w:sz="4" w:space="0" w:color="auto"/>
            </w:tcBorders>
            <w:vAlign w:val="bottom"/>
            <w:hideMark/>
          </w:tcPr>
          <w:p w14:paraId="69DD3581"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$1,160,000 </w:t>
            </w:r>
          </w:p>
        </w:tc>
        <w:tc>
          <w:tcPr>
            <w:tcW w:w="1197" w:type="dxa"/>
            <w:tcBorders>
              <w:top w:val="nil"/>
              <w:left w:val="nil"/>
              <w:bottom w:val="single" w:sz="4" w:space="0" w:color="auto"/>
              <w:right w:val="single" w:sz="4" w:space="0" w:color="auto"/>
            </w:tcBorders>
            <w:vAlign w:val="bottom"/>
            <w:hideMark/>
          </w:tcPr>
          <w:p w14:paraId="665A9637"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$1,360,000 </w:t>
            </w:r>
          </w:p>
        </w:tc>
        <w:tc>
          <w:tcPr>
            <w:tcW w:w="1497" w:type="dxa"/>
            <w:tcBorders>
              <w:top w:val="nil"/>
              <w:left w:val="nil"/>
              <w:bottom w:val="single" w:sz="4" w:space="0" w:color="auto"/>
              <w:right w:val="single" w:sz="4" w:space="0" w:color="auto"/>
            </w:tcBorders>
            <w:noWrap/>
            <w:vAlign w:val="bottom"/>
            <w:hideMark/>
          </w:tcPr>
          <w:p w14:paraId="3C419B97"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$200,000 </w:t>
            </w:r>
          </w:p>
        </w:tc>
        <w:tc>
          <w:tcPr>
            <w:tcW w:w="1398" w:type="dxa"/>
            <w:tcBorders>
              <w:top w:val="nil"/>
              <w:left w:val="nil"/>
              <w:bottom w:val="single" w:sz="4" w:space="0" w:color="auto"/>
              <w:right w:val="single" w:sz="4" w:space="0" w:color="auto"/>
            </w:tcBorders>
            <w:noWrap/>
            <w:vAlign w:val="bottom"/>
            <w:hideMark/>
          </w:tcPr>
          <w:p w14:paraId="3BFAC101"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favourable</w:t>
            </w:r>
          </w:p>
        </w:tc>
        <w:tc>
          <w:tcPr>
            <w:tcW w:w="958" w:type="dxa"/>
            <w:tcBorders>
              <w:top w:val="nil"/>
              <w:left w:val="nil"/>
              <w:bottom w:val="single" w:sz="4" w:space="0" w:color="auto"/>
              <w:right w:val="single" w:sz="4" w:space="0" w:color="auto"/>
            </w:tcBorders>
            <w:noWrap/>
            <w:vAlign w:val="bottom"/>
            <w:hideMark/>
          </w:tcPr>
          <w:p w14:paraId="1DCB1257"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15%</w:t>
            </w:r>
          </w:p>
        </w:tc>
      </w:tr>
      <w:tr w:rsidR="00806256" w14:paraId="322D037D" w14:textId="77777777" w:rsidTr="00806256">
        <w:trPr>
          <w:trHeight w:val="600"/>
        </w:trPr>
        <w:tc>
          <w:tcPr>
            <w:tcW w:w="1200" w:type="dxa"/>
            <w:tcBorders>
              <w:top w:val="nil"/>
              <w:left w:val="single" w:sz="4" w:space="0" w:color="auto"/>
              <w:bottom w:val="single" w:sz="4" w:space="0" w:color="auto"/>
              <w:right w:val="single" w:sz="4" w:space="0" w:color="auto"/>
            </w:tcBorders>
            <w:vAlign w:val="bottom"/>
            <w:hideMark/>
          </w:tcPr>
          <w:p w14:paraId="06C7E48F"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Fixed Overheads:</w:t>
            </w:r>
          </w:p>
        </w:tc>
        <w:tc>
          <w:tcPr>
            <w:tcW w:w="1196" w:type="dxa"/>
            <w:tcBorders>
              <w:top w:val="nil"/>
              <w:left w:val="nil"/>
              <w:bottom w:val="single" w:sz="4" w:space="0" w:color="auto"/>
              <w:right w:val="single" w:sz="4" w:space="0" w:color="auto"/>
            </w:tcBorders>
            <w:vAlign w:val="bottom"/>
            <w:hideMark/>
          </w:tcPr>
          <w:p w14:paraId="3D980037"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w:t>
            </w:r>
          </w:p>
        </w:tc>
        <w:tc>
          <w:tcPr>
            <w:tcW w:w="1197" w:type="dxa"/>
            <w:tcBorders>
              <w:top w:val="nil"/>
              <w:left w:val="nil"/>
              <w:bottom w:val="single" w:sz="4" w:space="0" w:color="auto"/>
              <w:right w:val="single" w:sz="4" w:space="0" w:color="auto"/>
            </w:tcBorders>
            <w:vAlign w:val="bottom"/>
            <w:hideMark/>
          </w:tcPr>
          <w:p w14:paraId="0B4D15A6"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w:t>
            </w:r>
          </w:p>
        </w:tc>
        <w:tc>
          <w:tcPr>
            <w:tcW w:w="1197" w:type="dxa"/>
            <w:tcBorders>
              <w:top w:val="nil"/>
              <w:left w:val="nil"/>
              <w:bottom w:val="single" w:sz="4" w:space="0" w:color="auto"/>
              <w:right w:val="single" w:sz="4" w:space="0" w:color="auto"/>
            </w:tcBorders>
            <w:vAlign w:val="bottom"/>
            <w:hideMark/>
          </w:tcPr>
          <w:p w14:paraId="274448B7"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w:t>
            </w:r>
          </w:p>
        </w:tc>
        <w:tc>
          <w:tcPr>
            <w:tcW w:w="1197" w:type="dxa"/>
            <w:tcBorders>
              <w:top w:val="nil"/>
              <w:left w:val="nil"/>
              <w:bottom w:val="single" w:sz="4" w:space="0" w:color="auto"/>
              <w:right w:val="single" w:sz="4" w:space="0" w:color="auto"/>
            </w:tcBorders>
            <w:vAlign w:val="bottom"/>
            <w:hideMark/>
          </w:tcPr>
          <w:p w14:paraId="01A64BEE"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w:t>
            </w:r>
          </w:p>
        </w:tc>
        <w:tc>
          <w:tcPr>
            <w:tcW w:w="1497" w:type="dxa"/>
            <w:tcBorders>
              <w:top w:val="nil"/>
              <w:left w:val="nil"/>
              <w:bottom w:val="single" w:sz="4" w:space="0" w:color="auto"/>
              <w:right w:val="single" w:sz="4" w:space="0" w:color="auto"/>
            </w:tcBorders>
            <w:noWrap/>
            <w:vAlign w:val="bottom"/>
            <w:hideMark/>
          </w:tcPr>
          <w:p w14:paraId="63BBACD2"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w:t>
            </w:r>
          </w:p>
        </w:tc>
        <w:tc>
          <w:tcPr>
            <w:tcW w:w="1398" w:type="dxa"/>
            <w:tcBorders>
              <w:top w:val="nil"/>
              <w:left w:val="nil"/>
              <w:bottom w:val="single" w:sz="4" w:space="0" w:color="auto"/>
              <w:right w:val="single" w:sz="4" w:space="0" w:color="auto"/>
            </w:tcBorders>
            <w:noWrap/>
            <w:vAlign w:val="bottom"/>
            <w:hideMark/>
          </w:tcPr>
          <w:p w14:paraId="31E1D972"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w:t>
            </w:r>
          </w:p>
        </w:tc>
        <w:tc>
          <w:tcPr>
            <w:tcW w:w="958" w:type="dxa"/>
            <w:tcBorders>
              <w:top w:val="nil"/>
              <w:left w:val="nil"/>
              <w:bottom w:val="single" w:sz="4" w:space="0" w:color="auto"/>
              <w:right w:val="single" w:sz="4" w:space="0" w:color="auto"/>
            </w:tcBorders>
            <w:noWrap/>
            <w:vAlign w:val="bottom"/>
            <w:hideMark/>
          </w:tcPr>
          <w:p w14:paraId="405FB199"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w:t>
            </w:r>
          </w:p>
        </w:tc>
      </w:tr>
      <w:tr w:rsidR="00806256" w14:paraId="28AC7741" w14:textId="77777777" w:rsidTr="00806256">
        <w:trPr>
          <w:trHeight w:val="600"/>
        </w:trPr>
        <w:tc>
          <w:tcPr>
            <w:tcW w:w="1200" w:type="dxa"/>
            <w:tcBorders>
              <w:top w:val="nil"/>
              <w:left w:val="single" w:sz="4" w:space="0" w:color="auto"/>
              <w:bottom w:val="single" w:sz="4" w:space="0" w:color="auto"/>
              <w:right w:val="single" w:sz="4" w:space="0" w:color="auto"/>
            </w:tcBorders>
            <w:vAlign w:val="bottom"/>
            <w:hideMark/>
          </w:tcPr>
          <w:p w14:paraId="03EBA223"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Warehouse Rental</w:t>
            </w:r>
          </w:p>
        </w:tc>
        <w:tc>
          <w:tcPr>
            <w:tcW w:w="1196" w:type="dxa"/>
            <w:tcBorders>
              <w:top w:val="nil"/>
              <w:left w:val="nil"/>
              <w:bottom w:val="single" w:sz="4" w:space="0" w:color="auto"/>
              <w:right w:val="single" w:sz="4" w:space="0" w:color="auto"/>
            </w:tcBorders>
            <w:vAlign w:val="bottom"/>
            <w:hideMark/>
          </w:tcPr>
          <w:p w14:paraId="01B7D663"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$200,000 </w:t>
            </w:r>
          </w:p>
        </w:tc>
        <w:tc>
          <w:tcPr>
            <w:tcW w:w="1197" w:type="dxa"/>
            <w:tcBorders>
              <w:top w:val="nil"/>
              <w:left w:val="nil"/>
              <w:bottom w:val="single" w:sz="4" w:space="0" w:color="auto"/>
              <w:right w:val="single" w:sz="4" w:space="0" w:color="auto"/>
            </w:tcBorders>
            <w:vAlign w:val="bottom"/>
            <w:hideMark/>
          </w:tcPr>
          <w:p w14:paraId="04A833E3"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$200,000 </w:t>
            </w:r>
          </w:p>
        </w:tc>
        <w:tc>
          <w:tcPr>
            <w:tcW w:w="1197" w:type="dxa"/>
            <w:tcBorders>
              <w:top w:val="nil"/>
              <w:left w:val="nil"/>
              <w:bottom w:val="single" w:sz="4" w:space="0" w:color="auto"/>
              <w:right w:val="single" w:sz="4" w:space="0" w:color="auto"/>
            </w:tcBorders>
            <w:vAlign w:val="bottom"/>
            <w:hideMark/>
          </w:tcPr>
          <w:p w14:paraId="43DB4D7B"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$170,000 </w:t>
            </w:r>
          </w:p>
        </w:tc>
        <w:tc>
          <w:tcPr>
            <w:tcW w:w="1197" w:type="dxa"/>
            <w:tcBorders>
              <w:top w:val="nil"/>
              <w:left w:val="nil"/>
              <w:bottom w:val="single" w:sz="4" w:space="0" w:color="auto"/>
              <w:right w:val="single" w:sz="4" w:space="0" w:color="auto"/>
            </w:tcBorders>
            <w:vAlign w:val="bottom"/>
            <w:hideMark/>
          </w:tcPr>
          <w:p w14:paraId="4F383320"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w:t>
            </w:r>
          </w:p>
        </w:tc>
        <w:tc>
          <w:tcPr>
            <w:tcW w:w="1497" w:type="dxa"/>
            <w:tcBorders>
              <w:top w:val="nil"/>
              <w:left w:val="nil"/>
              <w:bottom w:val="single" w:sz="4" w:space="0" w:color="auto"/>
              <w:right w:val="single" w:sz="4" w:space="0" w:color="auto"/>
            </w:tcBorders>
            <w:noWrap/>
            <w:vAlign w:val="bottom"/>
            <w:hideMark/>
          </w:tcPr>
          <w:p w14:paraId="3A0E402C"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$30,000 </w:t>
            </w:r>
          </w:p>
        </w:tc>
        <w:tc>
          <w:tcPr>
            <w:tcW w:w="1398" w:type="dxa"/>
            <w:tcBorders>
              <w:top w:val="nil"/>
              <w:left w:val="nil"/>
              <w:bottom w:val="single" w:sz="4" w:space="0" w:color="auto"/>
              <w:right w:val="single" w:sz="4" w:space="0" w:color="auto"/>
            </w:tcBorders>
            <w:noWrap/>
            <w:vAlign w:val="bottom"/>
            <w:hideMark/>
          </w:tcPr>
          <w:p w14:paraId="4FC0A0E4"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Favourable</w:t>
            </w:r>
          </w:p>
        </w:tc>
        <w:tc>
          <w:tcPr>
            <w:tcW w:w="958" w:type="dxa"/>
            <w:tcBorders>
              <w:top w:val="nil"/>
              <w:left w:val="nil"/>
              <w:bottom w:val="single" w:sz="4" w:space="0" w:color="auto"/>
              <w:right w:val="single" w:sz="4" w:space="0" w:color="auto"/>
            </w:tcBorders>
            <w:noWrap/>
            <w:vAlign w:val="bottom"/>
            <w:hideMark/>
          </w:tcPr>
          <w:p w14:paraId="2BE91A8E"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15%</w:t>
            </w:r>
          </w:p>
        </w:tc>
      </w:tr>
      <w:tr w:rsidR="00806256" w14:paraId="7E9A764C" w14:textId="77777777" w:rsidTr="00806256">
        <w:trPr>
          <w:trHeight w:val="300"/>
        </w:trPr>
        <w:tc>
          <w:tcPr>
            <w:tcW w:w="1200" w:type="dxa"/>
            <w:tcBorders>
              <w:top w:val="nil"/>
              <w:left w:val="single" w:sz="4" w:space="0" w:color="auto"/>
              <w:bottom w:val="single" w:sz="4" w:space="0" w:color="auto"/>
              <w:right w:val="single" w:sz="4" w:space="0" w:color="auto"/>
            </w:tcBorders>
            <w:vAlign w:val="bottom"/>
            <w:hideMark/>
          </w:tcPr>
          <w:p w14:paraId="7B67BEE5"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Insurance</w:t>
            </w:r>
          </w:p>
        </w:tc>
        <w:tc>
          <w:tcPr>
            <w:tcW w:w="1196" w:type="dxa"/>
            <w:tcBorders>
              <w:top w:val="nil"/>
              <w:left w:val="nil"/>
              <w:bottom w:val="single" w:sz="4" w:space="0" w:color="auto"/>
              <w:right w:val="single" w:sz="4" w:space="0" w:color="auto"/>
            </w:tcBorders>
            <w:vAlign w:val="bottom"/>
            <w:hideMark/>
          </w:tcPr>
          <w:p w14:paraId="56133F91"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$100,000 </w:t>
            </w:r>
          </w:p>
        </w:tc>
        <w:tc>
          <w:tcPr>
            <w:tcW w:w="1197" w:type="dxa"/>
            <w:tcBorders>
              <w:top w:val="nil"/>
              <w:left w:val="nil"/>
              <w:bottom w:val="single" w:sz="4" w:space="0" w:color="auto"/>
              <w:right w:val="single" w:sz="4" w:space="0" w:color="auto"/>
            </w:tcBorders>
            <w:vAlign w:val="bottom"/>
            <w:hideMark/>
          </w:tcPr>
          <w:p w14:paraId="3B7A7890"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$100,000 </w:t>
            </w:r>
          </w:p>
        </w:tc>
        <w:tc>
          <w:tcPr>
            <w:tcW w:w="1197" w:type="dxa"/>
            <w:tcBorders>
              <w:top w:val="nil"/>
              <w:left w:val="nil"/>
              <w:bottom w:val="single" w:sz="4" w:space="0" w:color="auto"/>
              <w:right w:val="single" w:sz="4" w:space="0" w:color="auto"/>
            </w:tcBorders>
            <w:vAlign w:val="bottom"/>
            <w:hideMark/>
          </w:tcPr>
          <w:p w14:paraId="647012D0"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$100,000 </w:t>
            </w:r>
          </w:p>
        </w:tc>
        <w:tc>
          <w:tcPr>
            <w:tcW w:w="1197" w:type="dxa"/>
            <w:tcBorders>
              <w:top w:val="nil"/>
              <w:left w:val="nil"/>
              <w:bottom w:val="single" w:sz="4" w:space="0" w:color="auto"/>
              <w:right w:val="single" w:sz="4" w:space="0" w:color="auto"/>
            </w:tcBorders>
            <w:vAlign w:val="bottom"/>
            <w:hideMark/>
          </w:tcPr>
          <w:p w14:paraId="3A8EA1FC"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w:t>
            </w:r>
          </w:p>
        </w:tc>
        <w:tc>
          <w:tcPr>
            <w:tcW w:w="1497" w:type="dxa"/>
            <w:tcBorders>
              <w:top w:val="nil"/>
              <w:left w:val="nil"/>
              <w:bottom w:val="single" w:sz="4" w:space="0" w:color="auto"/>
              <w:right w:val="single" w:sz="4" w:space="0" w:color="auto"/>
            </w:tcBorders>
            <w:noWrap/>
            <w:vAlign w:val="bottom"/>
            <w:hideMark/>
          </w:tcPr>
          <w:p w14:paraId="0CE91405"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   </w:t>
            </w:r>
          </w:p>
        </w:tc>
        <w:tc>
          <w:tcPr>
            <w:tcW w:w="1398" w:type="dxa"/>
            <w:tcBorders>
              <w:top w:val="nil"/>
              <w:left w:val="nil"/>
              <w:bottom w:val="single" w:sz="4" w:space="0" w:color="auto"/>
              <w:right w:val="single" w:sz="4" w:space="0" w:color="auto"/>
            </w:tcBorders>
            <w:noWrap/>
            <w:vAlign w:val="bottom"/>
            <w:hideMark/>
          </w:tcPr>
          <w:p w14:paraId="64B1C4A1" w14:textId="77777777" w:rsidR="00806256" w:rsidRDefault="00806256">
            <w:pPr>
              <w:rPr>
                <w:rFonts w:ascii="Times New Roman" w:eastAsia="Times New Roman" w:hAnsi="Times New Roman" w:cs="Times New Roman"/>
                <w:color w:val="000000" w:themeColor="text1"/>
                <w:sz w:val="24"/>
                <w:szCs w:val="24"/>
                <w:lang w:val="en-GB"/>
              </w:rPr>
            </w:pPr>
          </w:p>
        </w:tc>
        <w:tc>
          <w:tcPr>
            <w:tcW w:w="958" w:type="dxa"/>
            <w:tcBorders>
              <w:top w:val="nil"/>
              <w:left w:val="nil"/>
              <w:bottom w:val="single" w:sz="4" w:space="0" w:color="auto"/>
              <w:right w:val="single" w:sz="4" w:space="0" w:color="auto"/>
            </w:tcBorders>
            <w:noWrap/>
            <w:vAlign w:val="bottom"/>
            <w:hideMark/>
          </w:tcPr>
          <w:p w14:paraId="12D132E7"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0%</w:t>
            </w:r>
          </w:p>
        </w:tc>
      </w:tr>
      <w:tr w:rsidR="00806256" w14:paraId="1EA4A4E6" w14:textId="77777777" w:rsidTr="00806256">
        <w:trPr>
          <w:trHeight w:val="1200"/>
        </w:trPr>
        <w:tc>
          <w:tcPr>
            <w:tcW w:w="1200" w:type="dxa"/>
            <w:tcBorders>
              <w:top w:val="nil"/>
              <w:left w:val="single" w:sz="4" w:space="0" w:color="auto"/>
              <w:bottom w:val="single" w:sz="4" w:space="0" w:color="auto"/>
              <w:right w:val="single" w:sz="4" w:space="0" w:color="auto"/>
            </w:tcBorders>
            <w:vAlign w:val="bottom"/>
            <w:hideMark/>
          </w:tcPr>
          <w:p w14:paraId="06B92C29"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Fulltime Warehouse Supervisor Salary</w:t>
            </w:r>
          </w:p>
        </w:tc>
        <w:tc>
          <w:tcPr>
            <w:tcW w:w="1196" w:type="dxa"/>
            <w:tcBorders>
              <w:top w:val="nil"/>
              <w:left w:val="nil"/>
              <w:bottom w:val="single" w:sz="4" w:space="0" w:color="auto"/>
              <w:right w:val="single" w:sz="4" w:space="0" w:color="auto"/>
            </w:tcBorders>
            <w:vAlign w:val="bottom"/>
            <w:hideMark/>
          </w:tcPr>
          <w:p w14:paraId="08DFDFC3"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$50,000 </w:t>
            </w:r>
          </w:p>
        </w:tc>
        <w:tc>
          <w:tcPr>
            <w:tcW w:w="1197" w:type="dxa"/>
            <w:tcBorders>
              <w:top w:val="nil"/>
              <w:left w:val="nil"/>
              <w:bottom w:val="single" w:sz="4" w:space="0" w:color="auto"/>
              <w:right w:val="single" w:sz="4" w:space="0" w:color="auto"/>
            </w:tcBorders>
            <w:vAlign w:val="bottom"/>
            <w:hideMark/>
          </w:tcPr>
          <w:p w14:paraId="0F97FE88"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$50,000 </w:t>
            </w:r>
          </w:p>
        </w:tc>
        <w:tc>
          <w:tcPr>
            <w:tcW w:w="1197" w:type="dxa"/>
            <w:tcBorders>
              <w:top w:val="nil"/>
              <w:left w:val="nil"/>
              <w:bottom w:val="single" w:sz="4" w:space="0" w:color="auto"/>
              <w:right w:val="single" w:sz="4" w:space="0" w:color="auto"/>
            </w:tcBorders>
            <w:vAlign w:val="bottom"/>
            <w:hideMark/>
          </w:tcPr>
          <w:p w14:paraId="550C4DD8"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$35,000 </w:t>
            </w:r>
          </w:p>
        </w:tc>
        <w:tc>
          <w:tcPr>
            <w:tcW w:w="1197" w:type="dxa"/>
            <w:tcBorders>
              <w:top w:val="nil"/>
              <w:left w:val="nil"/>
              <w:bottom w:val="single" w:sz="4" w:space="0" w:color="auto"/>
              <w:right w:val="single" w:sz="4" w:space="0" w:color="auto"/>
            </w:tcBorders>
            <w:vAlign w:val="bottom"/>
            <w:hideMark/>
          </w:tcPr>
          <w:p w14:paraId="54133846"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w:t>
            </w:r>
          </w:p>
        </w:tc>
        <w:tc>
          <w:tcPr>
            <w:tcW w:w="1497" w:type="dxa"/>
            <w:tcBorders>
              <w:top w:val="nil"/>
              <w:left w:val="nil"/>
              <w:bottom w:val="single" w:sz="4" w:space="0" w:color="auto"/>
              <w:right w:val="single" w:sz="4" w:space="0" w:color="auto"/>
            </w:tcBorders>
            <w:noWrap/>
            <w:vAlign w:val="bottom"/>
            <w:hideMark/>
          </w:tcPr>
          <w:p w14:paraId="0062C959"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$15,000 </w:t>
            </w:r>
          </w:p>
        </w:tc>
        <w:tc>
          <w:tcPr>
            <w:tcW w:w="1398" w:type="dxa"/>
            <w:tcBorders>
              <w:top w:val="nil"/>
              <w:left w:val="nil"/>
              <w:bottom w:val="single" w:sz="4" w:space="0" w:color="auto"/>
              <w:right w:val="single" w:sz="4" w:space="0" w:color="auto"/>
            </w:tcBorders>
            <w:noWrap/>
            <w:vAlign w:val="bottom"/>
            <w:hideMark/>
          </w:tcPr>
          <w:p w14:paraId="68D30EBB"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Favourable</w:t>
            </w:r>
          </w:p>
        </w:tc>
        <w:tc>
          <w:tcPr>
            <w:tcW w:w="958" w:type="dxa"/>
            <w:tcBorders>
              <w:top w:val="nil"/>
              <w:left w:val="nil"/>
              <w:bottom w:val="single" w:sz="4" w:space="0" w:color="auto"/>
              <w:right w:val="single" w:sz="4" w:space="0" w:color="auto"/>
            </w:tcBorders>
            <w:noWrap/>
            <w:vAlign w:val="bottom"/>
            <w:hideMark/>
          </w:tcPr>
          <w:p w14:paraId="03E90D01"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30%</w:t>
            </w:r>
          </w:p>
        </w:tc>
      </w:tr>
      <w:tr w:rsidR="00806256" w14:paraId="35787123" w14:textId="77777777" w:rsidTr="00806256">
        <w:trPr>
          <w:trHeight w:val="600"/>
        </w:trPr>
        <w:tc>
          <w:tcPr>
            <w:tcW w:w="1200" w:type="dxa"/>
            <w:tcBorders>
              <w:top w:val="nil"/>
              <w:left w:val="single" w:sz="4" w:space="0" w:color="auto"/>
              <w:bottom w:val="single" w:sz="4" w:space="0" w:color="auto"/>
              <w:right w:val="single" w:sz="4" w:space="0" w:color="auto"/>
            </w:tcBorders>
            <w:vAlign w:val="bottom"/>
            <w:hideMark/>
          </w:tcPr>
          <w:p w14:paraId="2D56D49C"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Total Fixed Cost</w:t>
            </w:r>
          </w:p>
        </w:tc>
        <w:tc>
          <w:tcPr>
            <w:tcW w:w="1196" w:type="dxa"/>
            <w:tcBorders>
              <w:top w:val="nil"/>
              <w:left w:val="nil"/>
              <w:bottom w:val="single" w:sz="4" w:space="0" w:color="auto"/>
              <w:right w:val="single" w:sz="4" w:space="0" w:color="auto"/>
            </w:tcBorders>
            <w:vAlign w:val="bottom"/>
            <w:hideMark/>
          </w:tcPr>
          <w:p w14:paraId="77274254"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$350,000 </w:t>
            </w:r>
          </w:p>
        </w:tc>
        <w:tc>
          <w:tcPr>
            <w:tcW w:w="1197" w:type="dxa"/>
            <w:tcBorders>
              <w:top w:val="nil"/>
              <w:left w:val="nil"/>
              <w:bottom w:val="single" w:sz="4" w:space="0" w:color="auto"/>
              <w:right w:val="single" w:sz="4" w:space="0" w:color="auto"/>
            </w:tcBorders>
            <w:vAlign w:val="bottom"/>
            <w:hideMark/>
          </w:tcPr>
          <w:p w14:paraId="382892AB"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$350,000 </w:t>
            </w:r>
          </w:p>
        </w:tc>
        <w:tc>
          <w:tcPr>
            <w:tcW w:w="1197" w:type="dxa"/>
            <w:tcBorders>
              <w:top w:val="nil"/>
              <w:left w:val="nil"/>
              <w:bottom w:val="single" w:sz="4" w:space="0" w:color="auto"/>
              <w:right w:val="single" w:sz="4" w:space="0" w:color="auto"/>
            </w:tcBorders>
            <w:vAlign w:val="bottom"/>
            <w:hideMark/>
          </w:tcPr>
          <w:p w14:paraId="078F713B"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$305,000 </w:t>
            </w:r>
          </w:p>
        </w:tc>
        <w:tc>
          <w:tcPr>
            <w:tcW w:w="1197" w:type="dxa"/>
            <w:tcBorders>
              <w:top w:val="nil"/>
              <w:left w:val="nil"/>
              <w:bottom w:val="single" w:sz="4" w:space="0" w:color="auto"/>
              <w:right w:val="single" w:sz="4" w:space="0" w:color="auto"/>
            </w:tcBorders>
            <w:vAlign w:val="bottom"/>
            <w:hideMark/>
          </w:tcPr>
          <w:p w14:paraId="24F7A65F"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w:t>
            </w:r>
          </w:p>
        </w:tc>
        <w:tc>
          <w:tcPr>
            <w:tcW w:w="1497" w:type="dxa"/>
            <w:tcBorders>
              <w:top w:val="nil"/>
              <w:left w:val="nil"/>
              <w:bottom w:val="single" w:sz="4" w:space="0" w:color="auto"/>
              <w:right w:val="single" w:sz="4" w:space="0" w:color="auto"/>
            </w:tcBorders>
            <w:noWrap/>
            <w:vAlign w:val="bottom"/>
            <w:hideMark/>
          </w:tcPr>
          <w:p w14:paraId="4BB65E5B"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$45,000 </w:t>
            </w:r>
          </w:p>
        </w:tc>
        <w:tc>
          <w:tcPr>
            <w:tcW w:w="1398" w:type="dxa"/>
            <w:tcBorders>
              <w:top w:val="nil"/>
              <w:left w:val="nil"/>
              <w:bottom w:val="single" w:sz="4" w:space="0" w:color="auto"/>
              <w:right w:val="single" w:sz="4" w:space="0" w:color="auto"/>
            </w:tcBorders>
            <w:noWrap/>
            <w:vAlign w:val="bottom"/>
            <w:hideMark/>
          </w:tcPr>
          <w:p w14:paraId="2E4EACB7"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Favourable</w:t>
            </w:r>
          </w:p>
        </w:tc>
        <w:tc>
          <w:tcPr>
            <w:tcW w:w="958" w:type="dxa"/>
            <w:tcBorders>
              <w:top w:val="nil"/>
              <w:left w:val="nil"/>
              <w:bottom w:val="single" w:sz="4" w:space="0" w:color="auto"/>
              <w:right w:val="single" w:sz="4" w:space="0" w:color="auto"/>
            </w:tcBorders>
            <w:noWrap/>
            <w:vAlign w:val="bottom"/>
            <w:hideMark/>
          </w:tcPr>
          <w:p w14:paraId="1B44B24A" w14:textId="77777777" w:rsidR="00806256" w:rsidRDefault="00806256">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13%</w:t>
            </w:r>
          </w:p>
        </w:tc>
      </w:tr>
    </w:tbl>
    <w:p w14:paraId="689924A7" w14:textId="77777777" w:rsidR="00806256" w:rsidRDefault="00806256" w:rsidP="00806256">
      <w:pPr>
        <w:spacing w:line="360" w:lineRule="auto"/>
        <w:jc w:val="both"/>
        <w:rPr>
          <w:rFonts w:ascii="Times New Roman" w:hAnsi="Times New Roman" w:cs="Times New Roman"/>
          <w:color w:val="000000" w:themeColor="text1"/>
          <w:sz w:val="24"/>
          <w:szCs w:val="24"/>
          <w:lang w:val="en-GB"/>
        </w:rPr>
      </w:pPr>
    </w:p>
    <w:p w14:paraId="56200BCF" w14:textId="77777777" w:rsidR="00806256" w:rsidRDefault="00806256" w:rsidP="00806256">
      <w:pPr>
        <w:pStyle w:val="NoSpacing"/>
        <w:spacing w:line="360" w:lineRule="auto"/>
        <w:jc w:val="cente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Formulas</w:t>
      </w:r>
    </w:p>
    <w:p w14:paraId="2671E8AE" w14:textId="77777777" w:rsidR="00806256" w:rsidRDefault="00806256" w:rsidP="00806256">
      <w:pPr>
        <w:pStyle w:val="NoSpacing"/>
        <w:spacing w:line="360" w:lineRule="auto"/>
        <w:jc w:val="cente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Flexed budget and variances</w:t>
      </w:r>
    </w:p>
    <w:p w14:paraId="7AF824F0" w14:textId="77777777" w:rsidR="00806256" w:rsidRDefault="00806256" w:rsidP="00806256">
      <w:pPr>
        <w:spacing w:line="360" w:lineRule="auto"/>
        <w:jc w:val="cente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lastRenderedPageBreak/>
        <w:t>Flexible budget calculation: actual quantity x standard rate</w:t>
      </w:r>
    </w:p>
    <w:p w14:paraId="1CAE0134" w14:textId="77777777" w:rsidR="00806256" w:rsidRDefault="00806256" w:rsidP="00806256">
      <w:pPr>
        <w:spacing w:line="360" w:lineRule="auto"/>
        <w:jc w:val="cente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Variance calculation: </w:t>
      </w:r>
      <w:r>
        <w:rPr>
          <w:rFonts w:ascii="Times New Roman" w:hAnsi="Times New Roman" w:cs="Times New Roman"/>
          <w:color w:val="000000" w:themeColor="text1"/>
          <w:sz w:val="24"/>
          <w:szCs w:val="24"/>
          <w:lang w:val="en-GB"/>
        </w:rPr>
        <w:br/>
        <w:t>for cost: flexible – actual</w:t>
      </w:r>
      <w:r>
        <w:rPr>
          <w:rFonts w:ascii="Times New Roman" w:hAnsi="Times New Roman" w:cs="Times New Roman"/>
          <w:color w:val="000000" w:themeColor="text1"/>
          <w:sz w:val="24"/>
          <w:szCs w:val="24"/>
          <w:lang w:val="en-GB"/>
        </w:rPr>
        <w:br/>
        <w:t>for revenues: actual – flexible</w:t>
      </w:r>
    </w:p>
    <w:p w14:paraId="5A70DEA9" w14:textId="77777777" w:rsidR="00806256" w:rsidRDefault="00806256" w:rsidP="00806256">
      <w:pPr>
        <w:spacing w:line="360" w:lineRule="auto"/>
        <w:jc w:val="center"/>
        <w:rPr>
          <w:rFonts w:ascii="Times New Roman" w:hAnsi="Times New Roman" w:cs="Times New Roman"/>
          <w:b/>
          <w:color w:val="000000" w:themeColor="text1"/>
          <w:sz w:val="24"/>
          <w:szCs w:val="24"/>
          <w:u w:val="single"/>
          <w:lang w:val="en-GB"/>
        </w:rPr>
      </w:pPr>
      <w:r>
        <w:rPr>
          <w:rFonts w:ascii="Times New Roman" w:hAnsi="Times New Roman" w:cs="Times New Roman"/>
          <w:b/>
          <w:color w:val="000000" w:themeColor="text1"/>
          <w:sz w:val="24"/>
          <w:szCs w:val="24"/>
          <w:u w:val="single"/>
          <w:lang w:val="en-GB"/>
        </w:rPr>
        <w:t>Calculations:</w:t>
      </w:r>
    </w:p>
    <w:p w14:paraId="371AF121" w14:textId="77777777" w:rsidR="00806256" w:rsidRDefault="00806256" w:rsidP="00806256">
      <w:pPr>
        <w:spacing w:line="360" w:lineRule="auto"/>
        <w:jc w:val="cente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Following variances can be calculated from the given data:</w:t>
      </w:r>
    </w:p>
    <w:p w14:paraId="1FA162DF" w14:textId="77777777" w:rsidR="00806256" w:rsidRDefault="00806256" w:rsidP="00806256">
      <w:pPr>
        <w:spacing w:line="360" w:lineRule="auto"/>
        <w:jc w:val="center"/>
        <w:rPr>
          <w:rFonts w:ascii="Times New Roman" w:hAnsi="Times New Roman" w:cs="Times New Roman"/>
          <w:i/>
          <w:color w:val="000000" w:themeColor="text1"/>
          <w:sz w:val="24"/>
          <w:szCs w:val="24"/>
          <w:u w:val="single"/>
          <w:lang w:val="en-GB"/>
        </w:rPr>
      </w:pPr>
      <w:r>
        <w:rPr>
          <w:rFonts w:ascii="Times New Roman" w:hAnsi="Times New Roman" w:cs="Times New Roman"/>
          <w:i/>
          <w:color w:val="000000" w:themeColor="text1"/>
          <w:sz w:val="24"/>
          <w:szCs w:val="24"/>
          <w:u w:val="single"/>
          <w:lang w:val="en-GB"/>
        </w:rPr>
        <w:t>Sales:</w:t>
      </w:r>
    </w:p>
    <w:p w14:paraId="0D5ABD5C" w14:textId="77777777" w:rsidR="00806256" w:rsidRDefault="00806256" w:rsidP="00806256">
      <w:pPr>
        <w:spacing w:line="360" w:lineRule="auto"/>
        <w:jc w:val="center"/>
        <w:rPr>
          <w:rFonts w:ascii="Times New Roman" w:eastAsia="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Total sales flexible budget: 80,000 x £25 = £2,000,000</w:t>
      </w:r>
      <w:r>
        <w:rPr>
          <w:rFonts w:ascii="Times New Roman" w:hAnsi="Times New Roman" w:cs="Times New Roman"/>
          <w:color w:val="000000" w:themeColor="text1"/>
          <w:sz w:val="24"/>
          <w:szCs w:val="24"/>
          <w:lang w:val="en-GB"/>
        </w:rPr>
        <w:br/>
        <w:t>Total sales variance= £</w:t>
      </w:r>
      <w:r>
        <w:rPr>
          <w:rFonts w:ascii="Times New Roman" w:eastAsia="Times New Roman" w:hAnsi="Times New Roman" w:cs="Times New Roman"/>
          <w:color w:val="000000" w:themeColor="text1"/>
          <w:sz w:val="24"/>
          <w:szCs w:val="24"/>
          <w:lang w:val="en-GB"/>
        </w:rPr>
        <w:t xml:space="preserve">1,600,000 - 2,000,000= £ (400,000) (unfavourable) </w:t>
      </w:r>
      <w:r>
        <w:rPr>
          <w:rFonts w:ascii="Times New Roman" w:eastAsia="Times New Roman" w:hAnsi="Times New Roman" w:cs="Times New Roman"/>
          <w:color w:val="000000" w:themeColor="text1"/>
          <w:sz w:val="24"/>
          <w:szCs w:val="24"/>
          <w:lang w:val="en-GB"/>
        </w:rPr>
        <w:br/>
        <w:t xml:space="preserve">percentage of variance = £ (400,000)/ </w:t>
      </w:r>
      <w:r>
        <w:rPr>
          <w:rFonts w:ascii="Times New Roman" w:hAnsi="Times New Roman" w:cs="Times New Roman"/>
          <w:color w:val="000000" w:themeColor="text1"/>
          <w:sz w:val="24"/>
          <w:szCs w:val="24"/>
          <w:lang w:val="en-GB"/>
        </w:rPr>
        <w:t>£</w:t>
      </w:r>
      <w:r>
        <w:rPr>
          <w:rFonts w:ascii="Times New Roman" w:eastAsia="Times New Roman" w:hAnsi="Times New Roman" w:cs="Times New Roman"/>
          <w:color w:val="000000" w:themeColor="text1"/>
          <w:sz w:val="24"/>
          <w:szCs w:val="24"/>
          <w:lang w:val="en-GB"/>
        </w:rPr>
        <w:t>1,600,000 = -25%</w:t>
      </w:r>
    </w:p>
    <w:p w14:paraId="6D1F3CAC" w14:textId="77777777" w:rsidR="00806256" w:rsidRDefault="00806256" w:rsidP="00806256">
      <w:pPr>
        <w:spacing w:line="360" w:lineRule="auto"/>
        <w:jc w:val="center"/>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Sales price variance: £25 - £20 = £5 (favourable) </w:t>
      </w:r>
      <w:r>
        <w:rPr>
          <w:rFonts w:ascii="Times New Roman" w:eastAsia="Times New Roman" w:hAnsi="Times New Roman" w:cs="Times New Roman"/>
          <w:color w:val="000000" w:themeColor="text1"/>
          <w:sz w:val="24"/>
          <w:szCs w:val="24"/>
          <w:lang w:val="en-GB"/>
        </w:rPr>
        <w:br/>
        <w:t>percentage of variance= £5/ £25 = 20%</w:t>
      </w:r>
    </w:p>
    <w:p w14:paraId="626792E9" w14:textId="77777777" w:rsidR="00806256" w:rsidRDefault="00806256" w:rsidP="00806256">
      <w:pPr>
        <w:spacing w:line="360" w:lineRule="auto"/>
        <w:jc w:val="center"/>
        <w:rPr>
          <w:rFonts w:ascii="Times New Roman" w:eastAsia="Times New Roman" w:hAnsi="Times New Roman" w:cs="Times New Roman"/>
          <w:i/>
          <w:color w:val="000000" w:themeColor="text1"/>
          <w:sz w:val="24"/>
          <w:szCs w:val="24"/>
          <w:u w:val="single"/>
          <w:lang w:val="en-GB"/>
        </w:rPr>
      </w:pPr>
      <w:r>
        <w:rPr>
          <w:rFonts w:ascii="Times New Roman" w:eastAsia="Times New Roman" w:hAnsi="Times New Roman" w:cs="Times New Roman"/>
          <w:i/>
          <w:color w:val="000000" w:themeColor="text1"/>
          <w:sz w:val="24"/>
          <w:szCs w:val="24"/>
          <w:u w:val="single"/>
          <w:lang w:val="en-GB"/>
        </w:rPr>
        <w:t>Material:</w:t>
      </w:r>
    </w:p>
    <w:p w14:paraId="3A7BDB5F" w14:textId="77777777" w:rsidR="00806256" w:rsidRDefault="00806256" w:rsidP="00806256">
      <w:pPr>
        <w:spacing w:line="360" w:lineRule="auto"/>
        <w:jc w:val="center"/>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Material flexible budget= 80,000 x £2.5 = £200,000</w:t>
      </w:r>
      <w:r>
        <w:rPr>
          <w:rFonts w:ascii="Times New Roman" w:eastAsia="Times New Roman" w:hAnsi="Times New Roman" w:cs="Times New Roman"/>
          <w:color w:val="000000" w:themeColor="text1"/>
          <w:sz w:val="24"/>
          <w:szCs w:val="24"/>
          <w:lang w:val="en-GB"/>
        </w:rPr>
        <w:br/>
        <w:t xml:space="preserve">Material variance: £200,000 - £280,000= £ (80,000) (unfavourable) </w:t>
      </w:r>
      <w:r>
        <w:rPr>
          <w:rFonts w:ascii="Times New Roman" w:eastAsia="Times New Roman" w:hAnsi="Times New Roman" w:cs="Times New Roman"/>
          <w:color w:val="000000" w:themeColor="text1"/>
          <w:sz w:val="24"/>
          <w:szCs w:val="24"/>
          <w:lang w:val="en-GB"/>
        </w:rPr>
        <w:br/>
        <w:t>percentage of variance: £80,000 / £200,000= - 40%</w:t>
      </w:r>
    </w:p>
    <w:p w14:paraId="3C9BA67A" w14:textId="77777777" w:rsidR="00806256" w:rsidRDefault="00806256" w:rsidP="00806256">
      <w:pPr>
        <w:spacing w:line="360" w:lineRule="auto"/>
        <w:jc w:val="center"/>
        <w:rPr>
          <w:rFonts w:ascii="Times New Roman" w:eastAsia="Times New Roman" w:hAnsi="Times New Roman" w:cs="Times New Roman"/>
          <w:i/>
          <w:color w:val="000000" w:themeColor="text1"/>
          <w:sz w:val="24"/>
          <w:szCs w:val="24"/>
          <w:u w:val="single"/>
          <w:lang w:val="en-GB"/>
        </w:rPr>
      </w:pPr>
    </w:p>
    <w:p w14:paraId="3A4E5D6E" w14:textId="77777777" w:rsidR="00806256" w:rsidRDefault="00806256" w:rsidP="00806256">
      <w:pPr>
        <w:spacing w:line="360" w:lineRule="auto"/>
        <w:jc w:val="center"/>
        <w:rPr>
          <w:rFonts w:ascii="Times New Roman" w:eastAsia="Times New Roman" w:hAnsi="Times New Roman" w:cs="Times New Roman"/>
          <w:i/>
          <w:color w:val="000000" w:themeColor="text1"/>
          <w:sz w:val="24"/>
          <w:szCs w:val="24"/>
          <w:u w:val="single"/>
          <w:lang w:val="en-GB"/>
        </w:rPr>
      </w:pPr>
      <w:r>
        <w:rPr>
          <w:rFonts w:ascii="Times New Roman" w:eastAsia="Times New Roman" w:hAnsi="Times New Roman" w:cs="Times New Roman"/>
          <w:i/>
          <w:color w:val="000000" w:themeColor="text1"/>
          <w:sz w:val="24"/>
          <w:szCs w:val="24"/>
          <w:u w:val="single"/>
          <w:lang w:val="en-GB"/>
        </w:rPr>
        <w:t>Labour:</w:t>
      </w:r>
    </w:p>
    <w:p w14:paraId="6B6306E5" w14:textId="77777777" w:rsidR="00806256" w:rsidRDefault="00806256" w:rsidP="00806256">
      <w:pPr>
        <w:spacing w:line="360" w:lineRule="auto"/>
        <w:jc w:val="center"/>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Labour flexible budget: 80,000 x £4=£320,000</w:t>
      </w:r>
      <w:r>
        <w:rPr>
          <w:rFonts w:ascii="Times New Roman" w:eastAsia="Times New Roman" w:hAnsi="Times New Roman" w:cs="Times New Roman"/>
          <w:color w:val="000000" w:themeColor="text1"/>
          <w:sz w:val="24"/>
          <w:szCs w:val="24"/>
          <w:lang w:val="en-GB"/>
        </w:rPr>
        <w:br/>
        <w:t>Labour Variance: £320,000 - £440,000= £ (120,000) (unfavourable)</w:t>
      </w:r>
      <w:r>
        <w:rPr>
          <w:rFonts w:ascii="Times New Roman" w:eastAsia="Times New Roman" w:hAnsi="Times New Roman" w:cs="Times New Roman"/>
          <w:color w:val="000000" w:themeColor="text1"/>
          <w:sz w:val="24"/>
          <w:szCs w:val="24"/>
          <w:lang w:val="en-GB"/>
        </w:rPr>
        <w:br/>
        <w:t>percentage of variance: £120,000 / £320,000=38%</w:t>
      </w:r>
    </w:p>
    <w:p w14:paraId="510C7966" w14:textId="77777777" w:rsidR="00806256" w:rsidRDefault="00806256" w:rsidP="00806256">
      <w:pPr>
        <w:spacing w:line="360" w:lineRule="auto"/>
        <w:jc w:val="center"/>
        <w:rPr>
          <w:rFonts w:ascii="Times New Roman" w:eastAsia="Times New Roman" w:hAnsi="Times New Roman" w:cs="Times New Roman"/>
          <w:i/>
          <w:color w:val="000000" w:themeColor="text1"/>
          <w:sz w:val="24"/>
          <w:szCs w:val="24"/>
          <w:u w:val="single"/>
          <w:lang w:val="en-GB"/>
        </w:rPr>
      </w:pPr>
      <w:r>
        <w:rPr>
          <w:rFonts w:ascii="Times New Roman" w:eastAsia="Times New Roman" w:hAnsi="Times New Roman" w:cs="Times New Roman"/>
          <w:i/>
          <w:color w:val="000000" w:themeColor="text1"/>
          <w:sz w:val="24"/>
          <w:szCs w:val="24"/>
          <w:u w:val="single"/>
          <w:lang w:val="en-GB"/>
        </w:rPr>
        <w:t>Overheads:</w:t>
      </w:r>
    </w:p>
    <w:p w14:paraId="669A21C8" w14:textId="77777777" w:rsidR="00806256" w:rsidRDefault="00806256" w:rsidP="00806256">
      <w:pPr>
        <w:spacing w:line="360" w:lineRule="auto"/>
        <w:jc w:val="center"/>
        <w:rPr>
          <w:rFonts w:ascii="Times New Roman" w:eastAsia="Times New Roman" w:hAnsi="Times New Roman" w:cs="Times New Roman"/>
          <w:i/>
          <w:color w:val="000000" w:themeColor="text1"/>
          <w:sz w:val="24"/>
          <w:szCs w:val="24"/>
          <w:u w:val="single"/>
          <w:lang w:val="en-GB"/>
        </w:rPr>
      </w:pPr>
      <w:r>
        <w:rPr>
          <w:rFonts w:ascii="Times New Roman" w:eastAsia="Times New Roman" w:hAnsi="Times New Roman" w:cs="Times New Roman"/>
          <w:color w:val="000000" w:themeColor="text1"/>
          <w:sz w:val="24"/>
          <w:szCs w:val="24"/>
          <w:lang w:val="en-GB"/>
        </w:rPr>
        <w:t>Overhead flexible budget: 80,000 x £1.5=£120,000</w:t>
      </w:r>
      <w:r>
        <w:rPr>
          <w:rFonts w:ascii="Times New Roman" w:eastAsia="Times New Roman" w:hAnsi="Times New Roman" w:cs="Times New Roman"/>
          <w:color w:val="000000" w:themeColor="text1"/>
          <w:sz w:val="24"/>
          <w:szCs w:val="24"/>
          <w:lang w:val="en-GB"/>
        </w:rPr>
        <w:br/>
        <w:t>Overhead variance: £120,000 - £120,000 = 0</w:t>
      </w:r>
      <w:r>
        <w:rPr>
          <w:rFonts w:ascii="Times New Roman" w:eastAsia="Times New Roman" w:hAnsi="Times New Roman" w:cs="Times New Roman"/>
          <w:color w:val="000000" w:themeColor="text1"/>
          <w:sz w:val="24"/>
          <w:szCs w:val="24"/>
          <w:lang w:val="en-GB"/>
        </w:rPr>
        <w:br/>
      </w:r>
      <w:r>
        <w:rPr>
          <w:rFonts w:ascii="Times New Roman" w:eastAsia="Times New Roman" w:hAnsi="Times New Roman" w:cs="Times New Roman"/>
          <w:i/>
          <w:color w:val="000000" w:themeColor="text1"/>
          <w:sz w:val="24"/>
          <w:szCs w:val="24"/>
          <w:u w:val="single"/>
          <w:lang w:val="en-GB"/>
        </w:rPr>
        <w:t>Fixed Costs:</w:t>
      </w:r>
    </w:p>
    <w:p w14:paraId="420EECCB" w14:textId="77777777" w:rsidR="00806256" w:rsidRDefault="00806256" w:rsidP="00806256">
      <w:pPr>
        <w:spacing w:line="360" w:lineRule="auto"/>
        <w:jc w:val="center"/>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Warehouse Rental: £200,000 - £170,000 = £30,000</w:t>
      </w:r>
      <w:r>
        <w:rPr>
          <w:rFonts w:ascii="Times New Roman" w:eastAsia="Times New Roman" w:hAnsi="Times New Roman" w:cs="Times New Roman"/>
          <w:color w:val="000000" w:themeColor="text1"/>
          <w:sz w:val="24"/>
          <w:szCs w:val="24"/>
          <w:lang w:val="en-GB"/>
        </w:rPr>
        <w:br/>
        <w:t>percentage of variance: £30,000 / £200,000 = 15%</w:t>
      </w:r>
    </w:p>
    <w:p w14:paraId="519EFA3E" w14:textId="77777777" w:rsidR="00806256" w:rsidRDefault="00806256" w:rsidP="00806256">
      <w:pPr>
        <w:spacing w:line="360" w:lineRule="auto"/>
        <w:jc w:val="center"/>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lastRenderedPageBreak/>
        <w:t>Insurance variance: £100,000 - £100,000 = 0</w:t>
      </w:r>
      <w:r>
        <w:rPr>
          <w:rFonts w:ascii="Times New Roman" w:eastAsia="Times New Roman" w:hAnsi="Times New Roman" w:cs="Times New Roman"/>
          <w:color w:val="000000" w:themeColor="text1"/>
          <w:sz w:val="24"/>
          <w:szCs w:val="24"/>
          <w:lang w:val="en-GB"/>
        </w:rPr>
        <w:br/>
        <w:t>percentage of variance: 0%</w:t>
      </w:r>
    </w:p>
    <w:p w14:paraId="5AF2F5D6" w14:textId="77777777" w:rsidR="00806256" w:rsidRDefault="00806256" w:rsidP="00806256">
      <w:pPr>
        <w:spacing w:after="0" w:line="360" w:lineRule="auto"/>
        <w:jc w:val="center"/>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Fulltime warehouse supervisor salary variance: £50,000 - £35,000 = £15,000</w:t>
      </w:r>
      <w:r>
        <w:rPr>
          <w:rFonts w:ascii="Times New Roman" w:eastAsia="Times New Roman" w:hAnsi="Times New Roman" w:cs="Times New Roman"/>
          <w:color w:val="000000" w:themeColor="text1"/>
          <w:sz w:val="24"/>
          <w:szCs w:val="24"/>
          <w:lang w:val="en-GB"/>
        </w:rPr>
        <w:br/>
        <w:t>percentage of variance:  £15,000 / £50,000 = 30%</w:t>
      </w:r>
    </w:p>
    <w:p w14:paraId="35CE005D" w14:textId="77777777" w:rsidR="00806256" w:rsidRDefault="00806256" w:rsidP="00806256">
      <w:pPr>
        <w:spacing w:line="360" w:lineRule="auto"/>
        <w:jc w:val="center"/>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Total fixed cost variance: £350,000 - £305,000= £45,000</w:t>
      </w:r>
    </w:p>
    <w:p w14:paraId="3AF0BFA9" w14:textId="77777777" w:rsidR="00806256" w:rsidRDefault="00806256" w:rsidP="00806256">
      <w:pPr>
        <w:pStyle w:val="Heading2"/>
        <w:rPr>
          <w:rFonts w:eastAsia="Times New Roman"/>
        </w:rPr>
      </w:pPr>
      <w:bookmarkStart w:id="2" w:name="_Toc71378474"/>
      <w:bookmarkStart w:id="3" w:name="_Toc71415215"/>
      <w:r>
        <w:rPr>
          <w:rFonts w:eastAsia="Times New Roman"/>
        </w:rPr>
        <w:t xml:space="preserve">Task (ii): </w:t>
      </w:r>
      <w:bookmarkEnd w:id="2"/>
      <w:r>
        <w:rPr>
          <w:rFonts w:eastAsia="Times New Roman"/>
        </w:rPr>
        <w:t>Report on the Amana’s Performance</w:t>
      </w:r>
      <w:bookmarkEnd w:id="3"/>
    </w:p>
    <w:p w14:paraId="40F581FF" w14:textId="77777777" w:rsidR="00806256" w:rsidRDefault="00806256" w:rsidP="00806256">
      <w:pPr>
        <w:spacing w:line="360" w:lineRule="auto"/>
        <w:ind w:firstLine="720"/>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Budgetary control report is a financial term used for managing and controlling the company’s revenues and expenditure. Control reports are explicitly used for the ongoing process of the comparison of actual income and expenditures to planned or budgeted revenues and expenditures (</w:t>
      </w:r>
      <w:r>
        <w:rPr>
          <w:rFonts w:ascii="Times New Roman" w:hAnsi="Times New Roman" w:cs="Times New Roman"/>
          <w:color w:val="000000" w:themeColor="text1"/>
          <w:sz w:val="24"/>
          <w:szCs w:val="24"/>
          <w:shd w:val="clear" w:color="auto" w:fill="FFFFFF"/>
          <w:lang w:val="en-GB"/>
        </w:rPr>
        <w:t>Gunawan, et al., 2020</w:t>
      </w:r>
      <w:r>
        <w:rPr>
          <w:rFonts w:ascii="Times New Roman" w:eastAsia="Times New Roman" w:hAnsi="Times New Roman" w:cs="Times New Roman"/>
          <w:color w:val="000000" w:themeColor="text1"/>
          <w:sz w:val="24"/>
          <w:szCs w:val="24"/>
          <w:lang w:val="en-GB"/>
        </w:rPr>
        <w:t>). These tools are used to evaluate how effectively and efficiently the company is operating and to identify the exact areas where the differences are coming from which have been termed as variances. Meanwhile, variance analysis is a quantitative measure for investigating the differences between the actual and planned data for a company (</w:t>
      </w:r>
      <w:r>
        <w:rPr>
          <w:rFonts w:ascii="Times New Roman" w:hAnsi="Times New Roman" w:cs="Times New Roman"/>
          <w:color w:val="000000" w:themeColor="text1"/>
          <w:sz w:val="24"/>
          <w:szCs w:val="24"/>
          <w:shd w:val="clear" w:color="auto" w:fill="FFFFFF"/>
          <w:lang w:val="en-GB"/>
        </w:rPr>
        <w:t>Farkas, Kersting, and Stephens, 2016</w:t>
      </w:r>
      <w:r>
        <w:rPr>
          <w:rFonts w:ascii="Times New Roman" w:eastAsia="Times New Roman" w:hAnsi="Times New Roman" w:cs="Times New Roman"/>
          <w:color w:val="000000" w:themeColor="text1"/>
          <w:sz w:val="24"/>
          <w:szCs w:val="24"/>
          <w:lang w:val="en-GB"/>
        </w:rPr>
        <w:t>). The variances can be favourable as well as unfavourable. When comparing the cost or expense data, the favourable situation will be the one in which the actual costs incurred are less than what was planned for the production. Alternatively, comparing revenues and sales prices the favourable situation will be the in which actual revenues earned are greater than those planned for the period under consideration. Therefore, company uses this budgetary tool to evaluate overall performance of the company to meet with the targets and perform better than expectations; and has also been used as key measures to analyse performance of the managers. In addition to, this tool also helps to determine bonuses and increments based on this analysis for the managers (</w:t>
      </w:r>
      <w:r>
        <w:rPr>
          <w:rFonts w:ascii="Times New Roman" w:hAnsi="Times New Roman" w:cs="Times New Roman"/>
          <w:color w:val="000000" w:themeColor="text1"/>
          <w:sz w:val="24"/>
          <w:szCs w:val="24"/>
          <w:shd w:val="clear" w:color="auto" w:fill="FFFFFF"/>
          <w:lang w:val="en-GB"/>
        </w:rPr>
        <w:t>Becker, et al., 2016</w:t>
      </w:r>
      <w:r>
        <w:rPr>
          <w:rFonts w:ascii="Times New Roman" w:eastAsia="Times New Roman" w:hAnsi="Times New Roman" w:cs="Times New Roman"/>
          <w:color w:val="000000" w:themeColor="text1"/>
          <w:sz w:val="24"/>
          <w:szCs w:val="24"/>
          <w:lang w:val="en-GB"/>
        </w:rPr>
        <w:t xml:space="preserve">). </w:t>
      </w:r>
    </w:p>
    <w:p w14:paraId="2588F80B" w14:textId="77777777" w:rsidR="00806256" w:rsidRDefault="00806256" w:rsidP="00806256">
      <w:pPr>
        <w:spacing w:line="360" w:lineRule="auto"/>
        <w:ind w:firstLine="720"/>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In this particular case, Amana Ltd’s analysis have been used in which control chart have been constructed showing the variances into the performance for each source of revenue, expenses and other items being considered for analysis. The company is based in England and sells souvenirs. The company was operating successfully for the last 40 years but as the situation of COVID-19 prevailed since the start of 2020, the company affected significantly since tourism declined considerably which affected the sales of the company negatively. There were variances reported in the current year which showed unfavourable situations. Looking at the budgetary control report prepared in the above section the variances can be observed either favourable or unfavourable. First of all, a flexible budget was calculated; where a flexible </w:t>
      </w:r>
      <w:r>
        <w:rPr>
          <w:rFonts w:ascii="Times New Roman" w:eastAsia="Times New Roman" w:hAnsi="Times New Roman" w:cs="Times New Roman"/>
          <w:color w:val="000000" w:themeColor="text1"/>
          <w:sz w:val="24"/>
          <w:szCs w:val="24"/>
          <w:lang w:val="en-GB"/>
        </w:rPr>
        <w:lastRenderedPageBreak/>
        <w:t>budget is a budget that is calculated incorporating the adjustments of the actual production or the actual sales of units. It is calculated by multiplying the actual production or sale of units by the standard costs per unit. This budget is more justifiable to be compared with the actual budget.</w:t>
      </w:r>
    </w:p>
    <w:p w14:paraId="12A080C3" w14:textId="77777777" w:rsidR="00806256" w:rsidRDefault="00806256" w:rsidP="00806256">
      <w:pPr>
        <w:spacing w:line="360" w:lineRule="auto"/>
        <w:ind w:firstLine="720"/>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There are many kinds of variances but with the limited amount of information given by the company, basic variances were calculated. For instances, looking at the units the company sold, the company planned the revenue associated with 100,000 units whereas it could only sell 80,000 units which were due to the COVID-19 situation. As the tourism declined there were no customers for the product. Several units reported a negative or unfavourable variance of 20,000 units that is a 25% variance. Furthermore, as far as the selling price per unit is concerned the company successfully raised its selling price by 5 pounds. The company planned to sell the product for £20 whereas it sold for £25. The selling price reported a 20% favourable variance but it was still not enough to cover up the lost revenue due to the decline in the units sold. The total selling price reported a £400,000 unfavourable variance. The total selling price variance is always a function of both number of units’ variance and the selling price per unit variance (</w:t>
      </w:r>
      <w:r>
        <w:rPr>
          <w:rFonts w:ascii="Times New Roman" w:hAnsi="Times New Roman" w:cs="Times New Roman"/>
          <w:color w:val="000000" w:themeColor="text1"/>
          <w:sz w:val="24"/>
          <w:szCs w:val="24"/>
          <w:shd w:val="clear" w:color="auto" w:fill="FFFFFF"/>
          <w:lang w:val="en-GB"/>
        </w:rPr>
        <w:t>Drury, 2018.</w:t>
      </w:r>
      <w:r>
        <w:rPr>
          <w:rFonts w:ascii="Times New Roman" w:eastAsia="Times New Roman" w:hAnsi="Times New Roman" w:cs="Times New Roman"/>
          <w:color w:val="000000" w:themeColor="text1"/>
          <w:sz w:val="24"/>
          <w:szCs w:val="24"/>
          <w:lang w:val="en-GB"/>
        </w:rPr>
        <w:t>). The 20% variance in total selling price is mainly caused by the variance of number of units.</w:t>
      </w:r>
    </w:p>
    <w:p w14:paraId="3278663F" w14:textId="77777777" w:rsidR="00806256" w:rsidRDefault="00806256" w:rsidP="00806256">
      <w:pPr>
        <w:spacing w:line="360" w:lineRule="auto"/>
        <w:ind w:firstLine="720"/>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In addition to, major variance that is usually analysed is the material variance. Although the no. of units was less than what was planned for the period still the cost of material was £80,000 more than what was allowed for the production of 80,000 units. The material reported variance of a negative 40%. Material variance is also a function of the material quantity and material price variance (</w:t>
      </w:r>
      <w:r>
        <w:rPr>
          <w:rFonts w:ascii="Times New Roman" w:hAnsi="Times New Roman" w:cs="Times New Roman"/>
          <w:color w:val="000000" w:themeColor="text1"/>
          <w:sz w:val="24"/>
          <w:szCs w:val="24"/>
          <w:shd w:val="clear" w:color="auto" w:fill="FFFFFF"/>
          <w:lang w:val="en-GB"/>
        </w:rPr>
        <w:t>Vesty and Brooks, 2017</w:t>
      </w:r>
      <w:r>
        <w:rPr>
          <w:rFonts w:ascii="Times New Roman" w:eastAsia="Times New Roman" w:hAnsi="Times New Roman" w:cs="Times New Roman"/>
          <w:color w:val="000000" w:themeColor="text1"/>
          <w:sz w:val="24"/>
          <w:szCs w:val="24"/>
          <w:lang w:val="en-GB"/>
        </w:rPr>
        <w:t>). But due to the limited amount of information, the actual cause of the variance cannot be determined. Furthermore, another major component of variable costs is labour cost. Similar to material, labour costs also showed a negative variance although the units of production declined. The total labour cost allowed on the production of 80,000 units was supposed to be £320,000 whereas the actual cost incurred was £440,000. Labour variance is also a function of labour efficiency and labour cost variance but in this limited data it cannot be calculated. Meanwhile, Overheads showed no variance as the actual costs were equal to the costs allowed for the production of 80,000 units. On the other hand, fixed costs of the company showed an overall favourable position of £45,000 because the actual overheads were less as compared to the budgeted overheads. The company was able to save £30,000 in warehouse rent and £15,000 more in fulltime warehouse supervisor salary. Insurance cost remained the same.</w:t>
      </w:r>
    </w:p>
    <w:p w14:paraId="4FF75B93" w14:textId="77777777" w:rsidR="00806256" w:rsidRDefault="00806256" w:rsidP="00806256">
      <w:pPr>
        <w:pStyle w:val="Heading2"/>
        <w:rPr>
          <w:rFonts w:eastAsia="Times New Roman"/>
        </w:rPr>
      </w:pPr>
      <w:bookmarkStart w:id="4" w:name="_Toc71378475"/>
      <w:bookmarkStart w:id="5" w:name="_Toc71415216"/>
      <w:r>
        <w:rPr>
          <w:rFonts w:eastAsia="Times New Roman"/>
        </w:rPr>
        <w:lastRenderedPageBreak/>
        <w:t>Task (iii) Recommendations to Amana’s CEO on areas of improvement</w:t>
      </w:r>
      <w:bookmarkEnd w:id="4"/>
      <w:bookmarkEnd w:id="5"/>
    </w:p>
    <w:p w14:paraId="5F80E453" w14:textId="77777777" w:rsidR="00806256" w:rsidRDefault="00806256" w:rsidP="00806256">
      <w:pPr>
        <w:spacing w:line="360" w:lineRule="auto"/>
        <w:ind w:firstLine="720"/>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The economic situation of the world that is prevailing since the start of 2020, it is seen that the economy is still going downhill. Especially for a business like Amana Ltd operates the situation is not favourable at the moment because a ban on tourism has been imposed throughout the world. If the company keeps on operating as it was in previous years, its sales are bound to decrease. It will be essential for Amana ltd to switch to more technological advancements. The company can shift to online selling platforms to increase its product accessibility. People will be able to buy their products even if they are not physically traveling. Apart from that, the company needs to look into its material and labour costs as they are increasing even in the decrease in units sold. The problem might be in acquiring low-cost and high-quality materials and labours which is causing the variances. Additionally, if the company shifts to selling its products online, The Company will be able to save a lot of costs in labour. Also, some of the fixed costs like shop rents can be saved. These steps are necessary to be taken in the situation of a pandemic for Amana ltd to remain profitable.</w:t>
      </w:r>
    </w:p>
    <w:p w14:paraId="6EC440C1" w14:textId="77777777" w:rsidR="00806256" w:rsidRDefault="00806256" w:rsidP="00806256">
      <w:pPr>
        <w:pStyle w:val="Heading1"/>
      </w:pPr>
      <w:r>
        <w:rPr>
          <w:rFonts w:eastAsia="Times New Roman"/>
          <w:b w:val="0"/>
        </w:rPr>
        <w:br w:type="page"/>
      </w:r>
      <w:bookmarkStart w:id="6" w:name="_Toc71415217"/>
      <w:r>
        <w:lastRenderedPageBreak/>
        <w:t>Part B – Analysis for Decision Making</w:t>
      </w:r>
      <w:bookmarkEnd w:id="6"/>
    </w:p>
    <w:p w14:paraId="79F52EEF" w14:textId="77777777" w:rsidR="00806256" w:rsidRDefault="00806256" w:rsidP="00806256">
      <w:pPr>
        <w:spacing w:line="360" w:lineRule="auto"/>
        <w:ind w:firstLine="720"/>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In this report, the main focus would be on the two choices given related to Mr Amana and their analysis according to the data given. Due to the ongoing pandemic, Mr Amana has to decide whether he should move 50% of the sale online or go for Amazon, but several factors were taken into consideration when making a decision and one of them was that 100,000 units would be sold and that is the guarantee based on the market research. So this figure of 100,000 units was taken into consideration when the comparison was being made between going online and shifting to Amazon. The data has been given in figure 1 for going online</w:t>
      </w:r>
    </w:p>
    <w:tbl>
      <w:tblPr>
        <w:tblW w:w="6012" w:type="dxa"/>
        <w:jc w:val="center"/>
        <w:tblLook w:val="04A0" w:firstRow="1" w:lastRow="0" w:firstColumn="1" w:lastColumn="0" w:noHBand="0" w:noVBand="1"/>
      </w:tblPr>
      <w:tblGrid>
        <w:gridCol w:w="3903"/>
        <w:gridCol w:w="2109"/>
      </w:tblGrid>
      <w:tr w:rsidR="00806256" w14:paraId="52215F76" w14:textId="77777777" w:rsidTr="00806256">
        <w:trPr>
          <w:trHeight w:val="70"/>
          <w:jc w:val="center"/>
        </w:trPr>
        <w:tc>
          <w:tcPr>
            <w:tcW w:w="6012" w:type="dxa"/>
            <w:gridSpan w:val="2"/>
            <w:tcBorders>
              <w:top w:val="single" w:sz="4" w:space="0" w:color="auto"/>
              <w:left w:val="single" w:sz="4" w:space="0" w:color="auto"/>
              <w:bottom w:val="single" w:sz="4" w:space="0" w:color="auto"/>
              <w:right w:val="single" w:sz="4" w:space="0" w:color="000000"/>
            </w:tcBorders>
            <w:noWrap/>
            <w:vAlign w:val="bottom"/>
            <w:hideMark/>
          </w:tcPr>
          <w:p w14:paraId="4E168CB8" w14:textId="77777777" w:rsidR="00806256" w:rsidRDefault="00806256">
            <w:pPr>
              <w:shd w:val="clear" w:color="auto" w:fill="FFFFFF" w:themeFill="background1"/>
              <w:spacing w:after="0" w:line="240" w:lineRule="auto"/>
              <w:jc w:val="both"/>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b/>
                <w:bCs/>
                <w:color w:val="000000" w:themeColor="text1"/>
                <w:sz w:val="24"/>
                <w:szCs w:val="24"/>
                <w:lang w:val="en-GB"/>
              </w:rPr>
              <w:t>GO ONLINE</w:t>
            </w:r>
          </w:p>
        </w:tc>
      </w:tr>
      <w:tr w:rsidR="00806256" w14:paraId="78789CA8" w14:textId="77777777" w:rsidTr="00806256">
        <w:trPr>
          <w:trHeight w:val="139"/>
          <w:jc w:val="center"/>
        </w:trPr>
        <w:tc>
          <w:tcPr>
            <w:tcW w:w="3903" w:type="dxa"/>
            <w:tcBorders>
              <w:top w:val="single" w:sz="4" w:space="0" w:color="auto"/>
              <w:left w:val="single" w:sz="4" w:space="0" w:color="auto"/>
              <w:bottom w:val="single" w:sz="4" w:space="0" w:color="auto"/>
              <w:right w:val="single" w:sz="4" w:space="0" w:color="auto"/>
            </w:tcBorders>
            <w:noWrap/>
            <w:vAlign w:val="bottom"/>
            <w:hideMark/>
          </w:tcPr>
          <w:p w14:paraId="65580BEE" w14:textId="77777777" w:rsidR="00806256" w:rsidRDefault="00806256">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Budgeted Sales Revenue</w:t>
            </w:r>
          </w:p>
        </w:tc>
        <w:tc>
          <w:tcPr>
            <w:tcW w:w="2109" w:type="dxa"/>
            <w:tcBorders>
              <w:top w:val="nil"/>
              <w:left w:val="nil"/>
              <w:bottom w:val="single" w:sz="4" w:space="0" w:color="auto"/>
              <w:right w:val="single" w:sz="4" w:space="0" w:color="auto"/>
            </w:tcBorders>
            <w:noWrap/>
            <w:vAlign w:val="bottom"/>
            <w:hideMark/>
          </w:tcPr>
          <w:p w14:paraId="7DCE9009" w14:textId="77777777" w:rsidR="00806256" w:rsidRDefault="00806256">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            2,500,000</w:t>
            </w:r>
          </w:p>
        </w:tc>
      </w:tr>
      <w:tr w:rsidR="00806256" w14:paraId="1BB3602A" w14:textId="77777777" w:rsidTr="00806256">
        <w:trPr>
          <w:trHeight w:val="132"/>
          <w:jc w:val="center"/>
        </w:trPr>
        <w:tc>
          <w:tcPr>
            <w:tcW w:w="3903" w:type="dxa"/>
            <w:tcBorders>
              <w:top w:val="single" w:sz="4" w:space="0" w:color="auto"/>
              <w:left w:val="single" w:sz="4" w:space="0" w:color="auto"/>
              <w:bottom w:val="single" w:sz="4" w:space="0" w:color="auto"/>
              <w:right w:val="single" w:sz="4" w:space="0" w:color="auto"/>
            </w:tcBorders>
            <w:noWrap/>
            <w:vAlign w:val="bottom"/>
            <w:hideMark/>
          </w:tcPr>
          <w:p w14:paraId="461ECEBE" w14:textId="77777777" w:rsidR="00806256" w:rsidRDefault="00806256">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Cost of Setting up a delivery network</w:t>
            </w:r>
          </w:p>
        </w:tc>
        <w:tc>
          <w:tcPr>
            <w:tcW w:w="2109" w:type="dxa"/>
            <w:tcBorders>
              <w:top w:val="nil"/>
              <w:left w:val="nil"/>
              <w:bottom w:val="single" w:sz="4" w:space="0" w:color="auto"/>
              <w:right w:val="single" w:sz="4" w:space="0" w:color="auto"/>
            </w:tcBorders>
            <w:noWrap/>
            <w:vAlign w:val="bottom"/>
            <w:hideMark/>
          </w:tcPr>
          <w:p w14:paraId="26EE36A7" w14:textId="77777777" w:rsidR="00806256" w:rsidRDefault="00806256">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150,000 </w:t>
            </w:r>
          </w:p>
        </w:tc>
      </w:tr>
      <w:tr w:rsidR="00806256" w14:paraId="40EF6205" w14:textId="77777777" w:rsidTr="00806256">
        <w:trPr>
          <w:trHeight w:val="132"/>
          <w:jc w:val="center"/>
        </w:trPr>
        <w:tc>
          <w:tcPr>
            <w:tcW w:w="3903" w:type="dxa"/>
            <w:tcBorders>
              <w:top w:val="single" w:sz="4" w:space="0" w:color="auto"/>
              <w:left w:val="single" w:sz="4" w:space="0" w:color="auto"/>
              <w:bottom w:val="single" w:sz="4" w:space="0" w:color="auto"/>
              <w:right w:val="single" w:sz="4" w:space="0" w:color="auto"/>
            </w:tcBorders>
            <w:noWrap/>
            <w:vAlign w:val="bottom"/>
            <w:hideMark/>
          </w:tcPr>
          <w:p w14:paraId="4B7CE746" w14:textId="77777777" w:rsidR="00806256" w:rsidRDefault="00806256">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cost of upgrading the current website</w:t>
            </w:r>
          </w:p>
        </w:tc>
        <w:tc>
          <w:tcPr>
            <w:tcW w:w="2109" w:type="dxa"/>
            <w:tcBorders>
              <w:top w:val="nil"/>
              <w:left w:val="nil"/>
              <w:bottom w:val="single" w:sz="4" w:space="0" w:color="auto"/>
              <w:right w:val="single" w:sz="4" w:space="0" w:color="auto"/>
            </w:tcBorders>
            <w:noWrap/>
            <w:vAlign w:val="bottom"/>
            <w:hideMark/>
          </w:tcPr>
          <w:p w14:paraId="11C1553B" w14:textId="77777777" w:rsidR="00806256" w:rsidRDefault="00806256">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50,000 </w:t>
            </w:r>
          </w:p>
        </w:tc>
      </w:tr>
      <w:tr w:rsidR="00806256" w14:paraId="50DA0463" w14:textId="77777777" w:rsidTr="00806256">
        <w:trPr>
          <w:trHeight w:val="132"/>
          <w:jc w:val="center"/>
        </w:trPr>
        <w:tc>
          <w:tcPr>
            <w:tcW w:w="3903" w:type="dxa"/>
            <w:tcBorders>
              <w:top w:val="single" w:sz="4" w:space="0" w:color="auto"/>
              <w:left w:val="single" w:sz="4" w:space="0" w:color="auto"/>
              <w:bottom w:val="single" w:sz="4" w:space="0" w:color="auto"/>
              <w:right w:val="single" w:sz="4" w:space="0" w:color="auto"/>
            </w:tcBorders>
            <w:noWrap/>
            <w:vAlign w:val="bottom"/>
            <w:hideMark/>
          </w:tcPr>
          <w:p w14:paraId="3A902C63" w14:textId="77777777" w:rsidR="00806256" w:rsidRDefault="00806256">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Salary of full-time IT programmer</w:t>
            </w:r>
          </w:p>
        </w:tc>
        <w:tc>
          <w:tcPr>
            <w:tcW w:w="2109" w:type="dxa"/>
            <w:tcBorders>
              <w:top w:val="nil"/>
              <w:left w:val="nil"/>
              <w:bottom w:val="single" w:sz="4" w:space="0" w:color="auto"/>
              <w:right w:val="single" w:sz="4" w:space="0" w:color="auto"/>
            </w:tcBorders>
            <w:noWrap/>
            <w:vAlign w:val="bottom"/>
            <w:hideMark/>
          </w:tcPr>
          <w:p w14:paraId="4803B23F" w14:textId="77777777" w:rsidR="00806256" w:rsidRDefault="00806256">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35,000 </w:t>
            </w:r>
          </w:p>
        </w:tc>
      </w:tr>
      <w:tr w:rsidR="00806256" w14:paraId="503BCD9C" w14:textId="77777777" w:rsidTr="00806256">
        <w:trPr>
          <w:trHeight w:val="132"/>
          <w:jc w:val="center"/>
        </w:trPr>
        <w:tc>
          <w:tcPr>
            <w:tcW w:w="3903" w:type="dxa"/>
            <w:tcBorders>
              <w:top w:val="single" w:sz="4" w:space="0" w:color="auto"/>
              <w:left w:val="single" w:sz="4" w:space="0" w:color="auto"/>
              <w:bottom w:val="single" w:sz="4" w:space="0" w:color="auto"/>
              <w:right w:val="single" w:sz="4" w:space="0" w:color="auto"/>
            </w:tcBorders>
            <w:noWrap/>
            <w:vAlign w:val="bottom"/>
            <w:hideMark/>
          </w:tcPr>
          <w:p w14:paraId="56E71A36" w14:textId="77777777" w:rsidR="00806256" w:rsidRDefault="00806256">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Budgeted Profit</w:t>
            </w:r>
          </w:p>
        </w:tc>
        <w:tc>
          <w:tcPr>
            <w:tcW w:w="2109" w:type="dxa"/>
            <w:tcBorders>
              <w:top w:val="nil"/>
              <w:left w:val="nil"/>
              <w:bottom w:val="single" w:sz="4" w:space="0" w:color="auto"/>
              <w:right w:val="single" w:sz="4" w:space="0" w:color="auto"/>
            </w:tcBorders>
            <w:noWrap/>
            <w:vAlign w:val="bottom"/>
            <w:hideMark/>
          </w:tcPr>
          <w:p w14:paraId="7AE5780F" w14:textId="77777777" w:rsidR="00806256" w:rsidRDefault="00806256">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               2,265,000 </w:t>
            </w:r>
          </w:p>
        </w:tc>
      </w:tr>
    </w:tbl>
    <w:p w14:paraId="214BC4BF" w14:textId="77777777" w:rsidR="00806256" w:rsidRDefault="00806256" w:rsidP="00806256">
      <w:pPr>
        <w:shd w:val="clear" w:color="auto" w:fill="FFFFFF" w:themeFill="background1"/>
        <w:spacing w:line="360" w:lineRule="auto"/>
        <w:jc w:val="center"/>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Figure 1</w:t>
      </w:r>
    </w:p>
    <w:p w14:paraId="72C79C84" w14:textId="77777777" w:rsidR="00806256" w:rsidRDefault="00806256" w:rsidP="00806256">
      <w:pPr>
        <w:shd w:val="clear" w:color="auto" w:fill="FFFFFF" w:themeFill="background1"/>
        <w:spacing w:line="360" w:lineRule="auto"/>
        <w:ind w:firstLine="720"/>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In figure 1, the budgeted profit was calculated based on the entire given data. </w:t>
      </w:r>
    </w:p>
    <w:p w14:paraId="6ECC5894" w14:textId="77777777" w:rsidR="00806256" w:rsidRDefault="00806256" w:rsidP="00806256">
      <w:pPr>
        <w:shd w:val="clear" w:color="auto" w:fill="FFFFFF" w:themeFill="background1"/>
        <w:spacing w:line="360" w:lineRule="auto"/>
        <w:ind w:firstLine="720"/>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The second option that was given was for switching to Amazon because of the ongoing pandemic that has shaken the global markets and left every industry affected in one way or the other. So according to the second option that is switching to Amazon, the guaranteed sales were 65,000 units. The data has been given in figure 2</w:t>
      </w:r>
    </w:p>
    <w:tbl>
      <w:tblPr>
        <w:tblW w:w="4950" w:type="dxa"/>
        <w:jc w:val="center"/>
        <w:tblLook w:val="04A0" w:firstRow="1" w:lastRow="0" w:firstColumn="1" w:lastColumn="0" w:noHBand="0" w:noVBand="1"/>
      </w:tblPr>
      <w:tblGrid>
        <w:gridCol w:w="2735"/>
        <w:gridCol w:w="2215"/>
      </w:tblGrid>
      <w:tr w:rsidR="00806256" w14:paraId="32BFF076" w14:textId="77777777" w:rsidTr="00806256">
        <w:trPr>
          <w:trHeight w:val="247"/>
          <w:jc w:val="center"/>
        </w:trPr>
        <w:tc>
          <w:tcPr>
            <w:tcW w:w="4950" w:type="dxa"/>
            <w:gridSpan w:val="2"/>
            <w:tcBorders>
              <w:top w:val="single" w:sz="4" w:space="0" w:color="auto"/>
              <w:left w:val="single" w:sz="4" w:space="0" w:color="auto"/>
              <w:bottom w:val="single" w:sz="4" w:space="0" w:color="auto"/>
              <w:right w:val="single" w:sz="4" w:space="0" w:color="auto"/>
            </w:tcBorders>
            <w:noWrap/>
            <w:vAlign w:val="bottom"/>
            <w:hideMark/>
          </w:tcPr>
          <w:p w14:paraId="306F23DF" w14:textId="77777777" w:rsidR="00806256" w:rsidRDefault="00806256">
            <w:pPr>
              <w:spacing w:after="0" w:line="240" w:lineRule="auto"/>
              <w:jc w:val="both"/>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AMAZON</w:t>
            </w:r>
          </w:p>
        </w:tc>
      </w:tr>
      <w:tr w:rsidR="00806256" w14:paraId="280DD80A" w14:textId="77777777" w:rsidTr="00806256">
        <w:trPr>
          <w:trHeight w:val="247"/>
          <w:jc w:val="center"/>
        </w:trPr>
        <w:tc>
          <w:tcPr>
            <w:tcW w:w="2735" w:type="dxa"/>
            <w:tcBorders>
              <w:top w:val="single" w:sz="4" w:space="0" w:color="auto"/>
              <w:left w:val="single" w:sz="4" w:space="0" w:color="auto"/>
              <w:bottom w:val="single" w:sz="4" w:space="0" w:color="auto"/>
              <w:right w:val="single" w:sz="4" w:space="0" w:color="auto"/>
            </w:tcBorders>
            <w:noWrap/>
            <w:vAlign w:val="bottom"/>
            <w:hideMark/>
          </w:tcPr>
          <w:p w14:paraId="0878BF87" w14:textId="77777777" w:rsidR="00806256" w:rsidRDefault="00806256">
            <w:pPr>
              <w:spacing w:after="0" w:line="24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Budgeted Sales</w:t>
            </w:r>
          </w:p>
        </w:tc>
        <w:tc>
          <w:tcPr>
            <w:tcW w:w="2215" w:type="dxa"/>
            <w:tcBorders>
              <w:top w:val="nil"/>
              <w:left w:val="nil"/>
              <w:bottom w:val="single" w:sz="4" w:space="0" w:color="auto"/>
              <w:right w:val="single" w:sz="4" w:space="0" w:color="auto"/>
            </w:tcBorders>
            <w:noWrap/>
            <w:vAlign w:val="bottom"/>
            <w:hideMark/>
          </w:tcPr>
          <w:p w14:paraId="1B585DA9" w14:textId="77777777" w:rsidR="00806256" w:rsidRDefault="00806256">
            <w:pPr>
              <w:spacing w:after="0" w:line="24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1,625,000</w:t>
            </w:r>
          </w:p>
        </w:tc>
      </w:tr>
      <w:tr w:rsidR="00806256" w14:paraId="1923A90F" w14:textId="77777777" w:rsidTr="00806256">
        <w:trPr>
          <w:trHeight w:val="247"/>
          <w:jc w:val="center"/>
        </w:trPr>
        <w:tc>
          <w:tcPr>
            <w:tcW w:w="2735" w:type="dxa"/>
            <w:tcBorders>
              <w:top w:val="single" w:sz="4" w:space="0" w:color="auto"/>
              <w:left w:val="single" w:sz="4" w:space="0" w:color="auto"/>
              <w:bottom w:val="single" w:sz="4" w:space="0" w:color="auto"/>
              <w:right w:val="single" w:sz="4" w:space="0" w:color="auto"/>
            </w:tcBorders>
            <w:noWrap/>
            <w:vAlign w:val="bottom"/>
            <w:hideMark/>
          </w:tcPr>
          <w:p w14:paraId="3625C197" w14:textId="77777777" w:rsidR="00806256" w:rsidRDefault="00806256">
            <w:pPr>
              <w:spacing w:after="0" w:line="24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Amazon Fulfilment Fees</w:t>
            </w:r>
          </w:p>
        </w:tc>
        <w:tc>
          <w:tcPr>
            <w:tcW w:w="2215" w:type="dxa"/>
            <w:tcBorders>
              <w:top w:val="nil"/>
              <w:left w:val="nil"/>
              <w:bottom w:val="single" w:sz="4" w:space="0" w:color="auto"/>
              <w:right w:val="single" w:sz="4" w:space="0" w:color="auto"/>
            </w:tcBorders>
            <w:noWrap/>
            <w:vAlign w:val="bottom"/>
            <w:hideMark/>
          </w:tcPr>
          <w:p w14:paraId="61807C0B" w14:textId="77777777" w:rsidR="00806256" w:rsidRDefault="00806256">
            <w:pPr>
              <w:spacing w:after="0" w:line="24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50,000</w:t>
            </w:r>
          </w:p>
        </w:tc>
      </w:tr>
      <w:tr w:rsidR="00806256" w14:paraId="68C255DB" w14:textId="77777777" w:rsidTr="00806256">
        <w:trPr>
          <w:trHeight w:val="247"/>
          <w:jc w:val="center"/>
        </w:trPr>
        <w:tc>
          <w:tcPr>
            <w:tcW w:w="2735" w:type="dxa"/>
            <w:tcBorders>
              <w:top w:val="single" w:sz="4" w:space="0" w:color="auto"/>
              <w:left w:val="single" w:sz="4" w:space="0" w:color="auto"/>
              <w:bottom w:val="single" w:sz="4" w:space="0" w:color="auto"/>
              <w:right w:val="single" w:sz="4" w:space="0" w:color="auto"/>
            </w:tcBorders>
            <w:noWrap/>
            <w:vAlign w:val="bottom"/>
            <w:hideMark/>
          </w:tcPr>
          <w:p w14:paraId="08196FFB" w14:textId="77777777" w:rsidR="00806256" w:rsidRDefault="00806256">
            <w:pPr>
              <w:spacing w:after="0" w:line="24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Budgeted Profit</w:t>
            </w:r>
          </w:p>
        </w:tc>
        <w:tc>
          <w:tcPr>
            <w:tcW w:w="2215" w:type="dxa"/>
            <w:tcBorders>
              <w:top w:val="nil"/>
              <w:left w:val="nil"/>
              <w:bottom w:val="single" w:sz="4" w:space="0" w:color="auto"/>
              <w:right w:val="single" w:sz="4" w:space="0" w:color="auto"/>
            </w:tcBorders>
            <w:noWrap/>
            <w:vAlign w:val="bottom"/>
            <w:hideMark/>
          </w:tcPr>
          <w:p w14:paraId="52E9A741" w14:textId="77777777" w:rsidR="00806256" w:rsidRDefault="00806256">
            <w:pPr>
              <w:spacing w:after="0" w:line="24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1,575,000</w:t>
            </w:r>
          </w:p>
        </w:tc>
      </w:tr>
    </w:tbl>
    <w:p w14:paraId="0264AC52" w14:textId="77777777" w:rsidR="00806256" w:rsidRDefault="00806256" w:rsidP="00806256">
      <w:pPr>
        <w:shd w:val="clear" w:color="auto" w:fill="FFFFFF" w:themeFill="background1"/>
        <w:spacing w:line="360" w:lineRule="auto"/>
        <w:jc w:val="center"/>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Figure 2</w:t>
      </w:r>
    </w:p>
    <w:p w14:paraId="6B337FA2" w14:textId="77777777" w:rsidR="00806256" w:rsidRDefault="00806256" w:rsidP="00806256">
      <w:pPr>
        <w:shd w:val="clear" w:color="auto" w:fill="FFFFFF" w:themeFill="background1"/>
        <w:spacing w:line="360" w:lineRule="auto"/>
        <w:ind w:firstLine="720"/>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According to figure 2, the budgeted sales are given and so is the budgeted profit given which makes it easier to make a report and a comparison between the two options. Since, going online has guaranteed 100,000 units and switching to Amazon has guaranteed sales for 65,000. The ideal sales would be 100,000, however, it is also mentioned that there was a possibility of an increase in demand annually but that increase is not guaranteed and the amount of increase in the demand is also missing so it would not be quite wise to go for it just based on that. If a specific number of increases was given, it would have been easy to determine whether to consider this factor or not. Some of the factors for going Amazon also include the fact that there would be a lack of control over pricing so there is a high chance that there may be some sort of deduction in the portion of Mr Amana, so this is also another risk that Mr Amana will </w:t>
      </w:r>
      <w:r>
        <w:rPr>
          <w:rFonts w:ascii="Times New Roman" w:eastAsia="Times New Roman" w:hAnsi="Times New Roman" w:cs="Times New Roman"/>
          <w:color w:val="000000" w:themeColor="text1"/>
          <w:sz w:val="24"/>
          <w:szCs w:val="24"/>
          <w:lang w:val="en-GB"/>
        </w:rPr>
        <w:lastRenderedPageBreak/>
        <w:t>have to go through the takes this road. The cost for this choice is not that much as compared to the first choice mentioned in figure 1 but then again, the guaranteed sale for this choice is less too and the increase in annual demand is not mentioned.</w:t>
      </w:r>
    </w:p>
    <w:p w14:paraId="31B44C63" w14:textId="77777777" w:rsidR="00806256" w:rsidRDefault="00806256" w:rsidP="00806256">
      <w:pPr>
        <w:shd w:val="clear" w:color="auto" w:fill="FFFFFF" w:themeFill="background1"/>
        <w:spacing w:line="360" w:lineRule="auto"/>
        <w:ind w:firstLine="720"/>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Following the budget, figure 2 states that the profit is £810,000 which is lower as compared to that of Figure 1. The cost margin is not that less in comparison to the profit also, the disadvantage of going towards Amazon is that the owner will lose part of control from his product because of the policies of Amazon especially the return policy and there will be the time when the customers may want a refund because they are not satisfied with the products provided and Amazon is quite strict with its policies. However, the good part about switching to Amazon is that when the products would have to be sent worldwide or across the border, the responsibility for that will be taken by Amazon and the owner himself would not have to do all the needful documentation just so the product could reach the customer. </w:t>
      </w:r>
    </w:p>
    <w:p w14:paraId="6CE336F9" w14:textId="77777777" w:rsidR="00806256" w:rsidRDefault="00806256" w:rsidP="00806256">
      <w:pPr>
        <w:shd w:val="clear" w:color="auto" w:fill="FFFFFF" w:themeFill="background1"/>
        <w:spacing w:line="360" w:lineRule="auto"/>
        <w:ind w:firstLine="720"/>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The responsibility will be taken by Amazon which will not only be convenient but will also help the business like Amazon and its employees must be experts in this area as they’ve been operating for years. The problem arises when the owner goes for the online choice as he must not have that expertise and might have to hire someone for handling that which will add to the cost. There is a possibility that due to the traffic on Amazon, the sales might get increased and it would help the company in the long run.  However, the amount of the change has not been given. The variable and fixed costs have not been taken into consideration because both of these costs are irrelevant to the decision-making process. </w:t>
      </w:r>
    </w:p>
    <w:p w14:paraId="63C0D375" w14:textId="77777777" w:rsidR="00806256" w:rsidRDefault="00806256" w:rsidP="00806256">
      <w:pPr>
        <w:shd w:val="clear" w:color="auto" w:fill="FFFFFF" w:themeFill="background1"/>
        <w:spacing w:line="360" w:lineRule="auto"/>
        <w:ind w:firstLine="720"/>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Furthermore, keeping everything in mind and after looking at all the facts and figures, it is advised that Mr Amana should go with the first option which is going online. The reasons are given. Comparing Figure 1 with figure 2, it is visible that the profits and the potential for more output sold are with going online. As the guaranteed sales units for figure 1 is 100,000 and the guaranteed sales unit figure for Amazon is 65,000, so that is less than the first one which will lead to lesser profits, which means there are fewer chances for expansion for the company. The costs were already given and the per-unit cost taken was the budgeted one, and according to the market research, it said that 100,000 units would be sold. Along with that, Mr Amana would have complete control over his business and the policies that he will and his company would have to be followed will be made following his interests so he would not have to compromise there. The potential will automatically increase as the business will gain more recognition online however if the business used this mind set for Amazon, the sales may </w:t>
      </w:r>
      <w:r>
        <w:rPr>
          <w:rFonts w:ascii="Times New Roman" w:eastAsia="Times New Roman" w:hAnsi="Times New Roman" w:cs="Times New Roman"/>
          <w:color w:val="000000" w:themeColor="text1"/>
          <w:sz w:val="24"/>
          <w:szCs w:val="24"/>
          <w:lang w:val="en-GB"/>
        </w:rPr>
        <w:lastRenderedPageBreak/>
        <w:t>increase but the units will go up from 65,000 while when going online, the demand for the unit will go up from 100,000 so that is the high amount. This situation will only be applicable if the business gets recognition online due to customer satisfaction. To conclude this, a wise decision to take would be going online considering all the costs and the control that the owner will have for its business</w:t>
      </w:r>
    </w:p>
    <w:p w14:paraId="777D2A02" w14:textId="77777777" w:rsidR="00806256" w:rsidRDefault="00806256" w:rsidP="00806256">
      <w:pPr>
        <w:shd w:val="clear" w:color="auto" w:fill="FFFFFF" w:themeFill="background1"/>
        <w:spacing w:line="360" w:lineRule="auto"/>
        <w:jc w:val="both"/>
        <w:rPr>
          <w:rFonts w:ascii="Times New Roman" w:eastAsia="Times New Roman" w:hAnsi="Times New Roman" w:cs="Times New Roman"/>
          <w:color w:val="000000" w:themeColor="text1"/>
          <w:sz w:val="24"/>
          <w:szCs w:val="24"/>
          <w:lang w:val="en-GB"/>
        </w:rPr>
      </w:pPr>
    </w:p>
    <w:p w14:paraId="17C18E42" w14:textId="77777777" w:rsidR="00806256" w:rsidRDefault="00806256" w:rsidP="00806256">
      <w:pPr>
        <w:spacing w:line="360" w:lineRule="auto"/>
        <w:jc w:val="both"/>
        <w:rPr>
          <w:rFonts w:ascii="Times New Roman" w:hAnsi="Times New Roman" w:cs="Times New Roman"/>
          <w:color w:val="000000" w:themeColor="text1"/>
          <w:sz w:val="24"/>
          <w:szCs w:val="24"/>
          <w:lang w:val="en-GB"/>
        </w:rPr>
      </w:pPr>
    </w:p>
    <w:p w14:paraId="777B3372" w14:textId="77777777" w:rsidR="00806256" w:rsidRDefault="00806256" w:rsidP="00806256">
      <w:pPr>
        <w:pStyle w:val="Heading1"/>
        <w:rPr>
          <w:rFonts w:eastAsia="Times New Roman"/>
        </w:rPr>
      </w:pPr>
      <w:r>
        <w:rPr>
          <w:rFonts w:eastAsia="Times New Roman"/>
          <w:b w:val="0"/>
        </w:rPr>
        <w:br w:type="page"/>
      </w:r>
    </w:p>
    <w:p w14:paraId="4C718277" w14:textId="77777777" w:rsidR="00806256" w:rsidRDefault="00806256" w:rsidP="00806256">
      <w:pPr>
        <w:spacing w:line="360" w:lineRule="auto"/>
        <w:jc w:val="both"/>
        <w:rPr>
          <w:rFonts w:ascii="Times New Roman" w:eastAsia="Times New Roman" w:hAnsi="Times New Roman" w:cs="Times New Roman"/>
          <w:color w:val="000000" w:themeColor="text1"/>
          <w:sz w:val="24"/>
          <w:szCs w:val="24"/>
          <w:lang w:val="en-GB"/>
        </w:rPr>
      </w:pPr>
    </w:p>
    <w:p w14:paraId="39A6F85B" w14:textId="77777777" w:rsidR="00806256" w:rsidRDefault="00806256" w:rsidP="00806256">
      <w:pPr>
        <w:pStyle w:val="Heading1"/>
        <w:rPr>
          <w:rFonts w:eastAsia="Times New Roman"/>
        </w:rPr>
      </w:pPr>
      <w:bookmarkStart w:id="7" w:name="_Toc71378476"/>
      <w:bookmarkStart w:id="8" w:name="_Toc71415218"/>
      <w:r>
        <w:rPr>
          <w:rFonts w:eastAsia="Times New Roman"/>
        </w:rPr>
        <w:t>References</w:t>
      </w:r>
      <w:bookmarkEnd w:id="7"/>
      <w:bookmarkEnd w:id="8"/>
    </w:p>
    <w:p w14:paraId="55928ED4" w14:textId="77777777" w:rsidR="00806256" w:rsidRDefault="00806256" w:rsidP="00806256">
      <w:pPr>
        <w:spacing w:line="360" w:lineRule="auto"/>
        <w:ind w:left="720" w:hanging="720"/>
        <w:jc w:val="both"/>
        <w:rPr>
          <w:rFonts w:ascii="Times New Roman" w:hAnsi="Times New Roman" w:cs="Times New Roman"/>
          <w:color w:val="000000" w:themeColor="text1"/>
          <w:sz w:val="24"/>
          <w:szCs w:val="24"/>
          <w:shd w:val="clear" w:color="auto" w:fill="FFFFFF"/>
          <w:lang w:val="en-GB"/>
        </w:rPr>
      </w:pPr>
      <w:r>
        <w:rPr>
          <w:rFonts w:ascii="Times New Roman" w:hAnsi="Times New Roman" w:cs="Times New Roman"/>
          <w:color w:val="000000" w:themeColor="text1"/>
          <w:sz w:val="24"/>
          <w:szCs w:val="24"/>
          <w:shd w:val="clear" w:color="auto" w:fill="FFFFFF"/>
          <w:lang w:val="en-GB"/>
        </w:rPr>
        <w:t>Becker, S.D., Mahlendorf, M.D., Schäffer, U. and Thaten, M., 2016. Budgeting in times of economic crisis. </w:t>
      </w:r>
      <w:r>
        <w:rPr>
          <w:rFonts w:ascii="Times New Roman" w:hAnsi="Times New Roman" w:cs="Times New Roman"/>
          <w:i/>
          <w:iCs/>
          <w:color w:val="000000" w:themeColor="text1"/>
          <w:sz w:val="24"/>
          <w:szCs w:val="24"/>
          <w:shd w:val="clear" w:color="auto" w:fill="FFFFFF"/>
          <w:lang w:val="en-GB"/>
        </w:rPr>
        <w:t>Contemporary Accounting Research</w:t>
      </w:r>
      <w:r>
        <w:rPr>
          <w:rFonts w:ascii="Times New Roman" w:hAnsi="Times New Roman" w:cs="Times New Roman"/>
          <w:color w:val="000000" w:themeColor="text1"/>
          <w:sz w:val="24"/>
          <w:szCs w:val="24"/>
          <w:shd w:val="clear" w:color="auto" w:fill="FFFFFF"/>
          <w:lang w:val="en-GB"/>
        </w:rPr>
        <w:t>, </w:t>
      </w:r>
      <w:r>
        <w:rPr>
          <w:rFonts w:ascii="Times New Roman" w:hAnsi="Times New Roman" w:cs="Times New Roman"/>
          <w:i/>
          <w:iCs/>
          <w:color w:val="000000" w:themeColor="text1"/>
          <w:sz w:val="24"/>
          <w:szCs w:val="24"/>
          <w:shd w:val="clear" w:color="auto" w:fill="FFFFFF"/>
          <w:lang w:val="en-GB"/>
        </w:rPr>
        <w:t>33</w:t>
      </w:r>
      <w:r>
        <w:rPr>
          <w:rFonts w:ascii="Times New Roman" w:hAnsi="Times New Roman" w:cs="Times New Roman"/>
          <w:color w:val="000000" w:themeColor="text1"/>
          <w:sz w:val="24"/>
          <w:szCs w:val="24"/>
          <w:shd w:val="clear" w:color="auto" w:fill="FFFFFF"/>
          <w:lang w:val="en-GB"/>
        </w:rPr>
        <w:t>(4), pp.1489-1517.</w:t>
      </w:r>
    </w:p>
    <w:p w14:paraId="727E37B3" w14:textId="77777777" w:rsidR="00806256" w:rsidRDefault="00806256" w:rsidP="00806256">
      <w:pPr>
        <w:spacing w:line="360" w:lineRule="auto"/>
        <w:ind w:left="720" w:hanging="720"/>
        <w:jc w:val="both"/>
        <w:rPr>
          <w:rFonts w:ascii="Times New Roman" w:hAnsi="Times New Roman" w:cs="Times New Roman"/>
          <w:color w:val="000000" w:themeColor="text1"/>
          <w:sz w:val="24"/>
          <w:szCs w:val="24"/>
          <w:shd w:val="clear" w:color="auto" w:fill="FFFFFF"/>
          <w:lang w:val="en-GB"/>
        </w:rPr>
      </w:pPr>
      <w:r>
        <w:rPr>
          <w:rFonts w:ascii="Times New Roman" w:hAnsi="Times New Roman" w:cs="Times New Roman"/>
          <w:color w:val="000000" w:themeColor="text1"/>
          <w:sz w:val="24"/>
          <w:szCs w:val="24"/>
          <w:shd w:val="clear" w:color="auto" w:fill="FFFFFF"/>
          <w:lang w:val="en-GB"/>
        </w:rPr>
        <w:t>Drury, C., 2018. </w:t>
      </w:r>
      <w:r>
        <w:rPr>
          <w:rFonts w:ascii="Times New Roman" w:hAnsi="Times New Roman" w:cs="Times New Roman"/>
          <w:i/>
          <w:iCs/>
          <w:color w:val="000000" w:themeColor="text1"/>
          <w:sz w:val="24"/>
          <w:szCs w:val="24"/>
          <w:shd w:val="clear" w:color="auto" w:fill="FFFFFF"/>
          <w:lang w:val="en-GB"/>
        </w:rPr>
        <w:t>Cost and management accounting</w:t>
      </w:r>
      <w:r>
        <w:rPr>
          <w:rFonts w:ascii="Times New Roman" w:hAnsi="Times New Roman" w:cs="Times New Roman"/>
          <w:color w:val="000000" w:themeColor="text1"/>
          <w:sz w:val="24"/>
          <w:szCs w:val="24"/>
          <w:shd w:val="clear" w:color="auto" w:fill="FFFFFF"/>
          <w:lang w:val="en-GB"/>
        </w:rPr>
        <w:t>. Cengage Learning.</w:t>
      </w:r>
    </w:p>
    <w:p w14:paraId="6F2BC250" w14:textId="77777777" w:rsidR="00806256" w:rsidRDefault="00806256" w:rsidP="00806256">
      <w:pPr>
        <w:spacing w:line="360" w:lineRule="auto"/>
        <w:ind w:left="720" w:hanging="720"/>
        <w:jc w:val="both"/>
        <w:rPr>
          <w:rFonts w:ascii="Times New Roman" w:hAnsi="Times New Roman" w:cs="Times New Roman"/>
          <w:color w:val="000000" w:themeColor="text1"/>
          <w:sz w:val="24"/>
          <w:szCs w:val="24"/>
          <w:shd w:val="clear" w:color="auto" w:fill="FFFFFF"/>
          <w:lang w:val="en-GB"/>
        </w:rPr>
      </w:pPr>
      <w:r>
        <w:rPr>
          <w:rFonts w:ascii="Times New Roman" w:hAnsi="Times New Roman" w:cs="Times New Roman"/>
          <w:color w:val="000000" w:themeColor="text1"/>
          <w:sz w:val="24"/>
          <w:szCs w:val="24"/>
          <w:shd w:val="clear" w:color="auto" w:fill="FFFFFF"/>
          <w:lang w:val="en-GB"/>
        </w:rPr>
        <w:t>Farkas, M., Kersting, L. and Stephens, W., 2016. Modern Watch Company: An instructional resource for presenting and learning actual, normal, and standard costing systems, and variable and fixed overhead variance analysis. </w:t>
      </w:r>
      <w:r>
        <w:rPr>
          <w:rFonts w:ascii="Times New Roman" w:hAnsi="Times New Roman" w:cs="Times New Roman"/>
          <w:i/>
          <w:iCs/>
          <w:color w:val="000000" w:themeColor="text1"/>
          <w:sz w:val="24"/>
          <w:szCs w:val="24"/>
          <w:shd w:val="clear" w:color="auto" w:fill="FFFFFF"/>
          <w:lang w:val="en-GB"/>
        </w:rPr>
        <w:t>Journal of accounting education</w:t>
      </w:r>
      <w:r>
        <w:rPr>
          <w:rFonts w:ascii="Times New Roman" w:hAnsi="Times New Roman" w:cs="Times New Roman"/>
          <w:color w:val="000000" w:themeColor="text1"/>
          <w:sz w:val="24"/>
          <w:szCs w:val="24"/>
          <w:shd w:val="clear" w:color="auto" w:fill="FFFFFF"/>
          <w:lang w:val="en-GB"/>
        </w:rPr>
        <w:t>, </w:t>
      </w:r>
      <w:r>
        <w:rPr>
          <w:rFonts w:ascii="Times New Roman" w:hAnsi="Times New Roman" w:cs="Times New Roman"/>
          <w:i/>
          <w:iCs/>
          <w:color w:val="000000" w:themeColor="text1"/>
          <w:sz w:val="24"/>
          <w:szCs w:val="24"/>
          <w:shd w:val="clear" w:color="auto" w:fill="FFFFFF"/>
          <w:lang w:val="en-GB"/>
        </w:rPr>
        <w:t>35</w:t>
      </w:r>
      <w:r>
        <w:rPr>
          <w:rFonts w:ascii="Times New Roman" w:hAnsi="Times New Roman" w:cs="Times New Roman"/>
          <w:color w:val="000000" w:themeColor="text1"/>
          <w:sz w:val="24"/>
          <w:szCs w:val="24"/>
          <w:shd w:val="clear" w:color="auto" w:fill="FFFFFF"/>
          <w:lang w:val="en-GB"/>
        </w:rPr>
        <w:t>, pp.56-68.</w:t>
      </w:r>
    </w:p>
    <w:p w14:paraId="7CCA73AA" w14:textId="77777777" w:rsidR="00806256" w:rsidRDefault="00806256" w:rsidP="00806256">
      <w:pPr>
        <w:spacing w:line="360" w:lineRule="auto"/>
        <w:ind w:left="720" w:hanging="720"/>
        <w:jc w:val="both"/>
        <w:rPr>
          <w:rFonts w:ascii="Times New Roman" w:hAnsi="Times New Roman" w:cs="Times New Roman"/>
          <w:color w:val="000000" w:themeColor="text1"/>
          <w:sz w:val="24"/>
          <w:szCs w:val="24"/>
          <w:shd w:val="clear" w:color="auto" w:fill="FFFFFF"/>
          <w:lang w:val="en-GB"/>
        </w:rPr>
      </w:pPr>
      <w:r>
        <w:rPr>
          <w:rFonts w:ascii="Times New Roman" w:hAnsi="Times New Roman" w:cs="Times New Roman"/>
          <w:color w:val="000000" w:themeColor="text1"/>
          <w:sz w:val="24"/>
          <w:szCs w:val="24"/>
          <w:shd w:val="clear" w:color="auto" w:fill="FFFFFF"/>
          <w:lang w:val="en-GB"/>
        </w:rPr>
        <w:t>Gunawan, A., Yadiati, W., Suharman, H. and Sofia, K.P., 2020. Linkages to Budgetary Control and Budgetary Absorption Performance. </w:t>
      </w:r>
      <w:r>
        <w:rPr>
          <w:rFonts w:ascii="Times New Roman" w:hAnsi="Times New Roman" w:cs="Times New Roman"/>
          <w:i/>
          <w:iCs/>
          <w:color w:val="000000" w:themeColor="text1"/>
          <w:sz w:val="24"/>
          <w:szCs w:val="24"/>
          <w:shd w:val="clear" w:color="auto" w:fill="FFFFFF"/>
          <w:lang w:val="en-GB"/>
        </w:rPr>
        <w:t>International Journal of Economics and Financial Issues</w:t>
      </w:r>
      <w:r>
        <w:rPr>
          <w:rFonts w:ascii="Times New Roman" w:hAnsi="Times New Roman" w:cs="Times New Roman"/>
          <w:color w:val="000000" w:themeColor="text1"/>
          <w:sz w:val="24"/>
          <w:szCs w:val="24"/>
          <w:shd w:val="clear" w:color="auto" w:fill="FFFFFF"/>
          <w:lang w:val="en-GB"/>
        </w:rPr>
        <w:t>, </w:t>
      </w:r>
      <w:r>
        <w:rPr>
          <w:rFonts w:ascii="Times New Roman" w:hAnsi="Times New Roman" w:cs="Times New Roman"/>
          <w:i/>
          <w:iCs/>
          <w:color w:val="000000" w:themeColor="text1"/>
          <w:sz w:val="24"/>
          <w:szCs w:val="24"/>
          <w:shd w:val="clear" w:color="auto" w:fill="FFFFFF"/>
          <w:lang w:val="en-GB"/>
        </w:rPr>
        <w:t>10</w:t>
      </w:r>
      <w:r>
        <w:rPr>
          <w:rFonts w:ascii="Times New Roman" w:hAnsi="Times New Roman" w:cs="Times New Roman"/>
          <w:color w:val="000000" w:themeColor="text1"/>
          <w:sz w:val="24"/>
          <w:szCs w:val="24"/>
          <w:shd w:val="clear" w:color="auto" w:fill="FFFFFF"/>
          <w:lang w:val="en-GB"/>
        </w:rPr>
        <w:t>(5), p.304.</w:t>
      </w:r>
    </w:p>
    <w:p w14:paraId="7DC443A7" w14:textId="77777777" w:rsidR="00806256" w:rsidRDefault="00806256" w:rsidP="00806256">
      <w:pPr>
        <w:spacing w:line="360" w:lineRule="auto"/>
        <w:ind w:left="720" w:hanging="720"/>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shd w:val="clear" w:color="auto" w:fill="FFFFFF"/>
          <w:lang w:val="en-GB"/>
        </w:rPr>
        <w:t>Vesty, G. and Brooks, A., 2017. St George Hospital: Flexible Budgeting, Volume Variance, and Balanced Scorecard Performance Measurement. </w:t>
      </w:r>
      <w:r>
        <w:rPr>
          <w:rFonts w:ascii="Times New Roman" w:hAnsi="Times New Roman" w:cs="Times New Roman"/>
          <w:i/>
          <w:iCs/>
          <w:color w:val="000000" w:themeColor="text1"/>
          <w:sz w:val="24"/>
          <w:szCs w:val="24"/>
          <w:shd w:val="clear" w:color="auto" w:fill="FFFFFF"/>
          <w:lang w:val="en-GB"/>
        </w:rPr>
        <w:t>Issues in accounting education</w:t>
      </w:r>
      <w:r>
        <w:rPr>
          <w:rFonts w:ascii="Times New Roman" w:hAnsi="Times New Roman" w:cs="Times New Roman"/>
          <w:color w:val="000000" w:themeColor="text1"/>
          <w:sz w:val="24"/>
          <w:szCs w:val="24"/>
          <w:shd w:val="clear" w:color="auto" w:fill="FFFFFF"/>
          <w:lang w:val="en-GB"/>
        </w:rPr>
        <w:t>, </w:t>
      </w:r>
      <w:r>
        <w:rPr>
          <w:rFonts w:ascii="Times New Roman" w:hAnsi="Times New Roman" w:cs="Times New Roman"/>
          <w:i/>
          <w:iCs/>
          <w:color w:val="000000" w:themeColor="text1"/>
          <w:sz w:val="24"/>
          <w:szCs w:val="24"/>
          <w:shd w:val="clear" w:color="auto" w:fill="FFFFFF"/>
          <w:lang w:val="en-GB"/>
        </w:rPr>
        <w:t>32</w:t>
      </w:r>
      <w:r>
        <w:rPr>
          <w:rFonts w:ascii="Times New Roman" w:hAnsi="Times New Roman" w:cs="Times New Roman"/>
          <w:color w:val="000000" w:themeColor="text1"/>
          <w:sz w:val="24"/>
          <w:szCs w:val="24"/>
          <w:shd w:val="clear" w:color="auto" w:fill="FFFFFF"/>
          <w:lang w:val="en-GB"/>
        </w:rPr>
        <w:t>(3), pp.103-116.</w:t>
      </w:r>
    </w:p>
    <w:p w14:paraId="6D646A75" w14:textId="77777777" w:rsidR="00806256" w:rsidRDefault="00806256" w:rsidP="00806256">
      <w:pPr>
        <w:spacing w:line="360" w:lineRule="auto"/>
        <w:jc w:val="both"/>
        <w:rPr>
          <w:rFonts w:ascii="Times New Roman" w:eastAsia="Times New Roman" w:hAnsi="Times New Roman" w:cs="Times New Roman"/>
          <w:color w:val="000000" w:themeColor="text1"/>
          <w:sz w:val="24"/>
          <w:szCs w:val="24"/>
          <w:lang w:val="en-GB"/>
        </w:rPr>
      </w:pPr>
    </w:p>
    <w:p w14:paraId="4054F008" w14:textId="77777777" w:rsidR="00806256" w:rsidRDefault="00806256" w:rsidP="00806256">
      <w:pPr>
        <w:spacing w:line="360" w:lineRule="auto"/>
        <w:jc w:val="both"/>
        <w:rPr>
          <w:rFonts w:ascii="Times New Roman" w:hAnsi="Times New Roman" w:cs="Times New Roman"/>
          <w:color w:val="000000" w:themeColor="text1"/>
          <w:sz w:val="24"/>
          <w:szCs w:val="24"/>
          <w:lang w:val="en-GB"/>
        </w:rPr>
      </w:pPr>
    </w:p>
    <w:p w14:paraId="48F26628" w14:textId="77777777" w:rsidR="008C22C7" w:rsidRDefault="008C22C7"/>
    <w:sectPr w:rsidR="008C22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256"/>
    <w:rsid w:val="005B4CB4"/>
    <w:rsid w:val="00806256"/>
    <w:rsid w:val="008C22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D7B06"/>
  <w15:chartTrackingRefBased/>
  <w15:docId w15:val="{7F4061B9-9FFF-487E-8162-271E2E14D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256"/>
    <w:pPr>
      <w:spacing w:line="256" w:lineRule="auto"/>
    </w:pPr>
    <w:rPr>
      <w:lang w:val="en-US"/>
    </w:rPr>
  </w:style>
  <w:style w:type="paragraph" w:styleId="Heading1">
    <w:name w:val="heading 1"/>
    <w:basedOn w:val="Normal"/>
    <w:next w:val="Normal"/>
    <w:link w:val="Heading1Char"/>
    <w:uiPriority w:val="9"/>
    <w:qFormat/>
    <w:rsid w:val="00806256"/>
    <w:pPr>
      <w:keepNext/>
      <w:keepLines/>
      <w:spacing w:before="240" w:after="0" w:line="360" w:lineRule="auto"/>
      <w:jc w:val="both"/>
      <w:outlineLvl w:val="0"/>
    </w:pPr>
    <w:rPr>
      <w:rFonts w:ascii="Times New Roman" w:eastAsiaTheme="majorEastAsia" w:hAnsi="Times New Roman" w:cs="Times New Roman"/>
      <w:b/>
      <w:color w:val="000000" w:themeColor="text1"/>
      <w:sz w:val="24"/>
      <w:szCs w:val="24"/>
      <w:lang w:val="en-GB"/>
    </w:rPr>
  </w:style>
  <w:style w:type="paragraph" w:styleId="Heading2">
    <w:name w:val="heading 2"/>
    <w:basedOn w:val="Heading1"/>
    <w:next w:val="Normal"/>
    <w:link w:val="Heading2Char"/>
    <w:uiPriority w:val="9"/>
    <w:semiHidden/>
    <w:unhideWhenUsed/>
    <w:qFormat/>
    <w:rsid w:val="00806256"/>
    <w:pPr>
      <w:outlineLvl w:val="1"/>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6256"/>
    <w:rPr>
      <w:rFonts w:ascii="Times New Roman" w:eastAsiaTheme="majorEastAsia" w:hAnsi="Times New Roman" w:cs="Times New Roman"/>
      <w:b/>
      <w:color w:val="000000" w:themeColor="text1"/>
      <w:sz w:val="24"/>
      <w:szCs w:val="24"/>
    </w:rPr>
  </w:style>
  <w:style w:type="character" w:customStyle="1" w:styleId="Heading2Char">
    <w:name w:val="Heading 2 Char"/>
    <w:basedOn w:val="DefaultParagraphFont"/>
    <w:link w:val="Heading2"/>
    <w:uiPriority w:val="9"/>
    <w:semiHidden/>
    <w:rsid w:val="00806256"/>
    <w:rPr>
      <w:rFonts w:ascii="Times New Roman" w:eastAsiaTheme="majorEastAsia" w:hAnsi="Times New Roman" w:cs="Times New Roman"/>
      <w:b/>
      <w:i/>
      <w:color w:val="000000" w:themeColor="text1"/>
      <w:sz w:val="24"/>
      <w:szCs w:val="24"/>
    </w:rPr>
  </w:style>
  <w:style w:type="character" w:styleId="Hyperlink">
    <w:name w:val="Hyperlink"/>
    <w:basedOn w:val="DefaultParagraphFont"/>
    <w:uiPriority w:val="99"/>
    <w:semiHidden/>
    <w:unhideWhenUsed/>
    <w:rsid w:val="00806256"/>
    <w:rPr>
      <w:color w:val="0563C1" w:themeColor="hyperlink"/>
      <w:u w:val="single"/>
    </w:rPr>
  </w:style>
  <w:style w:type="paragraph" w:styleId="TOC1">
    <w:name w:val="toc 1"/>
    <w:basedOn w:val="Normal"/>
    <w:next w:val="Normal"/>
    <w:autoRedefine/>
    <w:uiPriority w:val="39"/>
    <w:semiHidden/>
    <w:unhideWhenUsed/>
    <w:rsid w:val="00806256"/>
    <w:pPr>
      <w:spacing w:after="100"/>
    </w:pPr>
  </w:style>
  <w:style w:type="paragraph" w:styleId="TOC2">
    <w:name w:val="toc 2"/>
    <w:basedOn w:val="Normal"/>
    <w:next w:val="Normal"/>
    <w:autoRedefine/>
    <w:uiPriority w:val="39"/>
    <w:semiHidden/>
    <w:unhideWhenUsed/>
    <w:rsid w:val="00806256"/>
    <w:pPr>
      <w:spacing w:after="100"/>
      <w:ind w:left="220"/>
    </w:pPr>
  </w:style>
  <w:style w:type="paragraph" w:styleId="NoSpacing">
    <w:name w:val="No Spacing"/>
    <w:uiPriority w:val="1"/>
    <w:qFormat/>
    <w:rsid w:val="00806256"/>
    <w:pPr>
      <w:spacing w:after="0" w:line="240" w:lineRule="auto"/>
    </w:pPr>
    <w:rPr>
      <w:lang w:val="en-US"/>
    </w:rPr>
  </w:style>
  <w:style w:type="paragraph" w:styleId="TOCHeading">
    <w:name w:val="TOC Heading"/>
    <w:basedOn w:val="Heading1"/>
    <w:next w:val="Normal"/>
    <w:uiPriority w:val="39"/>
    <w:unhideWhenUsed/>
    <w:qFormat/>
    <w:rsid w:val="00806256"/>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13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loris\AppData\Local\Packages\microsoft.windowscommunicationsapps_8wekyb3d8bbwe\LocalState\Files\S0\680\Attachments\HD-BAW-MIR-02%5b1134%5d.docx" TargetMode="External"/><Relationship Id="rId3" Type="http://schemas.openxmlformats.org/officeDocument/2006/relationships/webSettings" Target="webSettings.xml"/><Relationship Id="rId7" Type="http://schemas.openxmlformats.org/officeDocument/2006/relationships/hyperlink" Target="file:///C:\Users\loris\AppData\Local\Packages\microsoft.windowscommunicationsapps_8wekyb3d8bbwe\LocalState\Files\S0\680\Attachments\HD-BAW-MIR-02%5b1134%5d.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loris\AppData\Local\Packages\microsoft.windowscommunicationsapps_8wekyb3d8bbwe\LocalState\Files\S0\680\Attachments\HD-BAW-MIR-02%5b1134%5d.docx" TargetMode="External"/><Relationship Id="rId11" Type="http://schemas.openxmlformats.org/officeDocument/2006/relationships/theme" Target="theme/theme1.xml"/><Relationship Id="rId5" Type="http://schemas.openxmlformats.org/officeDocument/2006/relationships/hyperlink" Target="file:///C:\Users\loris\AppData\Local\Packages\microsoft.windowscommunicationsapps_8wekyb3d8bbwe\LocalState\Files\S0\680\Attachments\HD-BAW-MIR-02%5b1134%5d.docx" TargetMode="External"/><Relationship Id="rId10" Type="http://schemas.openxmlformats.org/officeDocument/2006/relationships/fontTable" Target="fontTable.xml"/><Relationship Id="rId4" Type="http://schemas.openxmlformats.org/officeDocument/2006/relationships/hyperlink" Target="file:///C:\Users\loris\AppData\Local\Packages\microsoft.windowscommunicationsapps_8wekyb3d8bbwe\LocalState\Files\S0\680\Attachments\HD-BAW-MIR-02%5b1134%5d.docx" TargetMode="External"/><Relationship Id="rId9" Type="http://schemas.openxmlformats.org/officeDocument/2006/relationships/hyperlink" Target="file:///C:\Users\loris\AppData\Local\Packages\microsoft.windowscommunicationsapps_8wekyb3d8bbwe\LocalState\Files\S0\680\Attachments\HD-BAW-MIR-02%5b1134%5d.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11</Pages>
  <Words>2602</Words>
  <Characters>14832</Characters>
  <Application>Microsoft Office Word</Application>
  <DocSecurity>0</DocSecurity>
  <Lines>123</Lines>
  <Paragraphs>34</Paragraphs>
  <ScaleCrop>false</ScaleCrop>
  <Company/>
  <LinksUpToDate>false</LinksUpToDate>
  <CharactersWithSpaces>17400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Loredana Andrei (1914800)</dc:creator>
  <cp:keywords/>
  <dc:description/>
  <cp:lastModifiedBy>Mirela Loredana Andrei (1914800)</cp:lastModifiedBy>
  <cp:revision>2</cp:revision>
  <dcterms:created xsi:type="dcterms:W3CDTF">2021-05-10T10:23:00Z</dcterms:created>
  <dcterms:modified xsi:type="dcterms:W3CDTF">2021-05-10T10:38:00Z</dcterms:modified>
</cp:coreProperties>
</file>