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58A30B" w14:textId="6A73ABC9" w:rsidR="00221CE1" w:rsidRDefault="00221CE1" w:rsidP="00221CE1">
      <w:pPr>
        <w:spacing w:after="0" w:line="360" w:lineRule="auto"/>
        <w:ind w:firstLine="720"/>
        <w:jc w:val="center"/>
        <w:rPr>
          <w:rFonts w:ascii="Arial" w:eastAsia="Calibri" w:hAnsi="Arial" w:cs="Arial"/>
          <w:b/>
          <w:bCs/>
          <w:kern w:val="0"/>
          <w:lang w:val="en-CA"/>
          <w14:ligatures w14:val="none"/>
        </w:rPr>
      </w:pPr>
      <w:r>
        <w:rPr>
          <w:rFonts w:ascii="Arial" w:eastAsia="Calibri" w:hAnsi="Arial" w:cs="Arial"/>
          <w:b/>
          <w:noProof/>
          <w:kern w:val="0"/>
          <w:lang w:val="en-CA"/>
        </w:rPr>
        <w:drawing>
          <wp:inline distT="0" distB="0" distL="0" distR="0" wp14:anchorId="501CB63B" wp14:editId="729230F5">
            <wp:extent cx="1882140" cy="838200"/>
            <wp:effectExtent l="0" t="0" r="3810" b="0"/>
            <wp:docPr id="3"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a sig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82140" cy="838200"/>
                    </a:xfrm>
                    <a:prstGeom prst="rect">
                      <a:avLst/>
                    </a:prstGeom>
                    <a:noFill/>
                    <a:ln>
                      <a:noFill/>
                    </a:ln>
                  </pic:spPr>
                </pic:pic>
              </a:graphicData>
            </a:graphic>
          </wp:inline>
        </w:drawing>
      </w:r>
    </w:p>
    <w:p w14:paraId="347392B9" w14:textId="77777777" w:rsidR="00221CE1" w:rsidRDefault="00221CE1" w:rsidP="00221CE1">
      <w:pPr>
        <w:spacing w:after="0" w:line="360" w:lineRule="auto"/>
        <w:ind w:firstLine="720"/>
        <w:jc w:val="center"/>
        <w:rPr>
          <w:rFonts w:ascii="Arial" w:eastAsia="Calibri" w:hAnsi="Arial" w:cs="Arial"/>
          <w:b/>
          <w:bCs/>
          <w:kern w:val="0"/>
          <w:lang w:val="en-CA"/>
          <w14:ligatures w14:val="none"/>
        </w:rPr>
      </w:pPr>
    </w:p>
    <w:p w14:paraId="50D07FC0" w14:textId="77777777" w:rsidR="00221CE1" w:rsidRPr="008D01B6" w:rsidRDefault="00221CE1" w:rsidP="00221CE1">
      <w:pPr>
        <w:spacing w:after="0" w:line="259" w:lineRule="auto"/>
        <w:ind w:left="10" w:right="238" w:hanging="10"/>
        <w:jc w:val="center"/>
        <w:rPr>
          <w:rFonts w:ascii="Calibri" w:eastAsia="Calibri" w:hAnsi="Calibri" w:cs="Calibri"/>
          <w:color w:val="000000"/>
          <w:sz w:val="32"/>
          <w:szCs w:val="32"/>
          <w:lang w:eastAsia="zh-CN"/>
        </w:rPr>
      </w:pPr>
      <w:r>
        <w:rPr>
          <w:rFonts w:ascii="Arial" w:eastAsia="Arial" w:hAnsi="Arial" w:cs="Arial"/>
          <w:b/>
          <w:color w:val="000000"/>
          <w:sz w:val="32"/>
          <w:szCs w:val="32"/>
          <w:lang w:eastAsia="zh-CN"/>
        </w:rPr>
        <w:t xml:space="preserve">        </w:t>
      </w:r>
      <w:r w:rsidRPr="008D01B6">
        <w:rPr>
          <w:rFonts w:ascii="Arial" w:eastAsia="Arial" w:hAnsi="Arial" w:cs="Arial"/>
          <w:b/>
          <w:color w:val="000000"/>
          <w:sz w:val="32"/>
          <w:szCs w:val="32"/>
          <w:lang w:eastAsia="zh-CN"/>
        </w:rPr>
        <w:t>BA Leadership and Management</w:t>
      </w:r>
    </w:p>
    <w:p w14:paraId="69C1B998" w14:textId="77777777" w:rsidR="00221CE1" w:rsidRPr="008D01B6" w:rsidRDefault="00221CE1" w:rsidP="00221CE1">
      <w:pPr>
        <w:spacing w:after="0" w:line="259" w:lineRule="auto"/>
        <w:ind w:left="10" w:right="126" w:hanging="10"/>
        <w:jc w:val="center"/>
        <w:rPr>
          <w:rFonts w:ascii="Arial" w:eastAsia="Arial" w:hAnsi="Arial" w:cs="Arial"/>
          <w:b/>
          <w:color w:val="000000"/>
          <w:sz w:val="32"/>
          <w:szCs w:val="32"/>
          <w:lang w:eastAsia="zh-CN"/>
        </w:rPr>
      </w:pPr>
      <w:r w:rsidRPr="008D01B6">
        <w:rPr>
          <w:rFonts w:ascii="Arial" w:eastAsia="Arial" w:hAnsi="Arial" w:cs="Arial"/>
          <w:b/>
          <w:color w:val="000000"/>
          <w:sz w:val="32"/>
          <w:szCs w:val="32"/>
          <w:lang w:eastAsia="zh-CN"/>
        </w:rPr>
        <w:t>LEVEL 5</w:t>
      </w:r>
    </w:p>
    <w:p w14:paraId="47F9FC0C" w14:textId="77777777" w:rsidR="00221CE1" w:rsidRPr="008D01B6" w:rsidRDefault="00221CE1" w:rsidP="00221CE1">
      <w:pPr>
        <w:spacing w:after="0" w:line="259" w:lineRule="auto"/>
        <w:ind w:left="10" w:right="126" w:hanging="10"/>
        <w:jc w:val="center"/>
        <w:rPr>
          <w:rFonts w:ascii="Arial" w:eastAsia="Arial" w:hAnsi="Arial" w:cs="Arial"/>
          <w:b/>
          <w:color w:val="000000"/>
          <w:sz w:val="32"/>
          <w:szCs w:val="32"/>
          <w:lang w:eastAsia="zh-CN"/>
        </w:rPr>
      </w:pPr>
    </w:p>
    <w:p w14:paraId="5C472D8D" w14:textId="77777777" w:rsidR="00221CE1" w:rsidRPr="008D01B6" w:rsidRDefault="00221CE1" w:rsidP="00221CE1">
      <w:pPr>
        <w:spacing w:after="0" w:line="259" w:lineRule="auto"/>
        <w:rPr>
          <w:rFonts w:ascii="Arial" w:eastAsia="Calibri" w:hAnsi="Arial" w:cs="Arial"/>
          <w:b/>
          <w:bCs/>
          <w:color w:val="000000"/>
          <w:sz w:val="32"/>
          <w:szCs w:val="32"/>
          <w:lang w:eastAsia="zh-CN"/>
        </w:rPr>
      </w:pPr>
      <w:r>
        <w:rPr>
          <w:rFonts w:ascii="Arial" w:eastAsia="Arial" w:hAnsi="Arial" w:cs="Arial"/>
          <w:b/>
          <w:color w:val="000000"/>
          <w:sz w:val="32"/>
          <w:szCs w:val="32"/>
          <w:lang w:eastAsia="zh-CN"/>
        </w:rPr>
        <w:t xml:space="preserve">                             </w:t>
      </w:r>
    </w:p>
    <w:p w14:paraId="31AB6838" w14:textId="77777777" w:rsidR="00221CE1" w:rsidRPr="00FE6661" w:rsidRDefault="00221CE1" w:rsidP="00221CE1">
      <w:pPr>
        <w:spacing w:after="0" w:line="360" w:lineRule="auto"/>
        <w:ind w:firstLine="720"/>
        <w:jc w:val="center"/>
        <w:rPr>
          <w:rFonts w:ascii="Arial" w:eastAsia="Calibri" w:hAnsi="Arial" w:cs="Arial"/>
          <w:b/>
          <w:bCs/>
          <w:kern w:val="0"/>
          <w:sz w:val="32"/>
          <w:szCs w:val="32"/>
          <w14:ligatures w14:val="none"/>
        </w:rPr>
      </w:pPr>
      <w:bookmarkStart w:id="0" w:name="_Hlk223435451"/>
    </w:p>
    <w:bookmarkEnd w:id="0"/>
    <w:p w14:paraId="17C9F8B3" w14:textId="77777777" w:rsidR="00221CE1" w:rsidRPr="00BE1435" w:rsidRDefault="00221CE1" w:rsidP="00221CE1">
      <w:pPr>
        <w:spacing w:after="0" w:line="360" w:lineRule="auto"/>
        <w:ind w:firstLine="720"/>
        <w:rPr>
          <w:rFonts w:ascii="Arial" w:eastAsia="Calibri" w:hAnsi="Arial" w:cs="Arial"/>
          <w:b/>
          <w:bCs/>
          <w:kern w:val="0"/>
          <w:sz w:val="32"/>
          <w:szCs w:val="32"/>
          <w14:ligatures w14:val="none"/>
        </w:rPr>
      </w:pPr>
      <w:r>
        <w:rPr>
          <w:rFonts w:ascii="Arial" w:eastAsia="Calibri" w:hAnsi="Arial" w:cs="Arial"/>
          <w:b/>
          <w:bCs/>
          <w:kern w:val="0"/>
          <w:sz w:val="32"/>
          <w:szCs w:val="32"/>
          <w14:ligatures w14:val="none"/>
        </w:rPr>
        <w:t xml:space="preserve">                </w:t>
      </w:r>
      <w:r w:rsidRPr="00BE1435">
        <w:rPr>
          <w:rFonts w:ascii="Arial" w:eastAsia="Calibri" w:hAnsi="Arial" w:cs="Arial"/>
          <w:b/>
          <w:bCs/>
          <w:kern w:val="0"/>
          <w:sz w:val="32"/>
          <w:szCs w:val="32"/>
          <w14:ligatures w14:val="none"/>
        </w:rPr>
        <w:t>Principles and Concepts of Finance</w:t>
      </w:r>
    </w:p>
    <w:p w14:paraId="3A56A206" w14:textId="77777777" w:rsidR="00221CE1" w:rsidRPr="00FE6661" w:rsidRDefault="00221CE1" w:rsidP="00221CE1">
      <w:pPr>
        <w:spacing w:after="0" w:line="360" w:lineRule="auto"/>
        <w:ind w:firstLine="720"/>
        <w:jc w:val="center"/>
        <w:rPr>
          <w:rFonts w:ascii="Arial" w:eastAsia="Calibri" w:hAnsi="Arial" w:cs="Arial"/>
          <w:b/>
          <w:bCs/>
          <w:kern w:val="0"/>
          <w:sz w:val="32"/>
          <w:szCs w:val="32"/>
          <w14:ligatures w14:val="none"/>
        </w:rPr>
      </w:pPr>
      <w:r w:rsidRPr="00FE6661">
        <w:rPr>
          <w:rFonts w:ascii="Arial" w:eastAsia="Calibri" w:hAnsi="Arial" w:cs="Arial"/>
          <w:b/>
          <w:bCs/>
          <w:kern w:val="0"/>
          <w:sz w:val="32"/>
          <w:szCs w:val="32"/>
          <w14:ligatures w14:val="none"/>
        </w:rPr>
        <w:t>(BMSW</w:t>
      </w:r>
      <w:r>
        <w:rPr>
          <w:rFonts w:ascii="Arial" w:eastAsia="Calibri" w:hAnsi="Arial" w:cs="Arial"/>
          <w:b/>
          <w:bCs/>
          <w:kern w:val="0"/>
          <w:sz w:val="32"/>
          <w:szCs w:val="32"/>
          <w14:ligatures w14:val="none"/>
        </w:rPr>
        <w:t>5012</w:t>
      </w:r>
      <w:r w:rsidRPr="00FE6661">
        <w:rPr>
          <w:rFonts w:ascii="Arial" w:eastAsia="Calibri" w:hAnsi="Arial" w:cs="Arial"/>
          <w:b/>
          <w:bCs/>
          <w:kern w:val="0"/>
          <w:sz w:val="32"/>
          <w:szCs w:val="32"/>
          <w14:ligatures w14:val="none"/>
        </w:rPr>
        <w:t>_CARD)</w:t>
      </w:r>
    </w:p>
    <w:p w14:paraId="2892A675" w14:textId="77777777" w:rsidR="00221CE1" w:rsidRDefault="00221CE1" w:rsidP="00221CE1">
      <w:pPr>
        <w:spacing w:after="0" w:line="360" w:lineRule="auto"/>
        <w:ind w:firstLine="720"/>
        <w:jc w:val="center"/>
        <w:rPr>
          <w:rFonts w:ascii="Arial" w:eastAsia="Calibri" w:hAnsi="Arial" w:cs="Arial"/>
          <w:b/>
          <w:bCs/>
          <w:kern w:val="0"/>
          <w:sz w:val="32"/>
          <w:szCs w:val="32"/>
          <w:lang w:val="en-CA"/>
          <w14:ligatures w14:val="none"/>
        </w:rPr>
      </w:pPr>
    </w:p>
    <w:p w14:paraId="1D08AE06" w14:textId="77777777" w:rsidR="00221CE1" w:rsidRPr="008D01B6" w:rsidRDefault="00221CE1" w:rsidP="00221CE1">
      <w:pPr>
        <w:spacing w:after="0" w:line="360" w:lineRule="auto"/>
        <w:ind w:firstLine="720"/>
        <w:jc w:val="center"/>
        <w:rPr>
          <w:rFonts w:ascii="Arial" w:eastAsia="Calibri" w:hAnsi="Arial" w:cs="Arial"/>
          <w:b/>
          <w:bCs/>
          <w:kern w:val="0"/>
          <w:sz w:val="32"/>
          <w:szCs w:val="32"/>
          <w:lang w:val="en-CA"/>
          <w14:ligatures w14:val="none"/>
        </w:rPr>
      </w:pPr>
      <w:r w:rsidRPr="00BE1435">
        <w:rPr>
          <w:rFonts w:ascii="Arial" w:eastAsia="Calibri" w:hAnsi="Arial" w:cs="Arial"/>
          <w:b/>
          <w:bCs/>
          <w:kern w:val="0"/>
          <w:sz w:val="32"/>
          <w:szCs w:val="32"/>
          <w14:ligatures w14:val="none"/>
        </w:rPr>
        <w:t>Assignment Title</w:t>
      </w:r>
      <w:r>
        <w:rPr>
          <w:rFonts w:ascii="Arial" w:eastAsia="Calibri" w:hAnsi="Arial" w:cs="Arial"/>
          <w:b/>
          <w:bCs/>
          <w:kern w:val="0"/>
          <w:sz w:val="32"/>
          <w:szCs w:val="32"/>
          <w14:ligatures w14:val="none"/>
        </w:rPr>
        <w:t xml:space="preserve">: </w:t>
      </w:r>
      <w:r w:rsidRPr="00BE1435">
        <w:rPr>
          <w:rFonts w:ascii="Arial" w:eastAsia="Calibri" w:hAnsi="Arial" w:cs="Arial"/>
          <w:b/>
          <w:bCs/>
          <w:kern w:val="0"/>
          <w:sz w:val="32"/>
          <w:szCs w:val="32"/>
          <w14:ligatures w14:val="none"/>
        </w:rPr>
        <w:t>Budgeting Principles and Approaches</w:t>
      </w:r>
    </w:p>
    <w:p w14:paraId="7108D5A6" w14:textId="77777777" w:rsidR="00221CE1" w:rsidRDefault="00221CE1" w:rsidP="00221CE1">
      <w:pPr>
        <w:spacing w:after="0" w:line="360" w:lineRule="auto"/>
        <w:ind w:firstLine="720"/>
        <w:jc w:val="center"/>
        <w:rPr>
          <w:rFonts w:ascii="Arial" w:eastAsia="Calibri" w:hAnsi="Arial" w:cs="Arial"/>
          <w:b/>
          <w:bCs/>
          <w:kern w:val="0"/>
          <w:sz w:val="32"/>
          <w:szCs w:val="32"/>
          <w:lang w:val="en-CA"/>
          <w14:ligatures w14:val="none"/>
        </w:rPr>
      </w:pPr>
      <w:bookmarkStart w:id="1" w:name="_Hlk223435427"/>
    </w:p>
    <w:bookmarkEnd w:id="1"/>
    <w:p w14:paraId="7AF9275B" w14:textId="77777777" w:rsidR="00221CE1" w:rsidRDefault="00221CE1" w:rsidP="00221CE1">
      <w:pPr>
        <w:spacing w:after="0" w:line="360" w:lineRule="auto"/>
        <w:ind w:firstLine="720"/>
        <w:jc w:val="center"/>
        <w:rPr>
          <w:rFonts w:ascii="Arial" w:eastAsia="Calibri" w:hAnsi="Arial" w:cs="Arial"/>
          <w:b/>
          <w:bCs/>
          <w:kern w:val="0"/>
          <w:sz w:val="32"/>
          <w:szCs w:val="32"/>
          <w14:ligatures w14:val="none"/>
        </w:rPr>
      </w:pPr>
      <w:r w:rsidRPr="008D01B6">
        <w:rPr>
          <w:rFonts w:ascii="Arial" w:eastAsia="Calibri" w:hAnsi="Arial" w:cs="Arial"/>
          <w:b/>
          <w:bCs/>
          <w:kern w:val="0"/>
          <w:sz w:val="32"/>
          <w:szCs w:val="32"/>
          <w14:ligatures w14:val="none"/>
        </w:rPr>
        <w:t xml:space="preserve">  </w:t>
      </w:r>
    </w:p>
    <w:p w14:paraId="4367B72F" w14:textId="77777777" w:rsidR="00221CE1" w:rsidRPr="008D01B6" w:rsidRDefault="00221CE1" w:rsidP="00221CE1">
      <w:pPr>
        <w:spacing w:after="0" w:line="360" w:lineRule="auto"/>
        <w:ind w:firstLine="720"/>
        <w:jc w:val="center"/>
        <w:rPr>
          <w:rFonts w:ascii="Arial" w:eastAsia="Calibri" w:hAnsi="Arial" w:cs="Arial"/>
          <w:b/>
          <w:bCs/>
          <w:kern w:val="0"/>
          <w:sz w:val="32"/>
          <w:szCs w:val="32"/>
          <w:lang w:val="en-CA"/>
          <w14:ligatures w14:val="none"/>
        </w:rPr>
      </w:pPr>
    </w:p>
    <w:p w14:paraId="7CEB59EA" w14:textId="77777777" w:rsidR="00221CE1" w:rsidRPr="00BE1435" w:rsidRDefault="00221CE1" w:rsidP="00221CE1">
      <w:pPr>
        <w:spacing w:after="0" w:line="259" w:lineRule="auto"/>
        <w:ind w:left="10" w:right="134" w:hanging="10"/>
        <w:jc w:val="center"/>
        <w:rPr>
          <w:rFonts w:ascii="Arial" w:eastAsia="Arial" w:hAnsi="Arial" w:cs="Arial"/>
          <w:b/>
          <w:color w:val="000000"/>
          <w:sz w:val="32"/>
          <w:szCs w:val="32"/>
          <w:lang w:eastAsia="zh-CN"/>
        </w:rPr>
      </w:pPr>
      <w:r>
        <w:rPr>
          <w:rFonts w:ascii="Arial" w:eastAsia="Arial" w:hAnsi="Arial" w:cs="Arial"/>
          <w:b/>
          <w:color w:val="000000"/>
          <w:sz w:val="32"/>
          <w:szCs w:val="32"/>
          <w:lang w:eastAsia="zh-CN"/>
        </w:rPr>
        <w:t xml:space="preserve">     </w:t>
      </w:r>
      <w:r w:rsidRPr="008D01B6">
        <w:rPr>
          <w:rFonts w:ascii="Arial" w:eastAsia="Arial" w:hAnsi="Arial" w:cs="Arial"/>
          <w:b/>
          <w:color w:val="000000"/>
          <w:sz w:val="32"/>
          <w:szCs w:val="32"/>
          <w:lang w:eastAsia="zh-CN"/>
        </w:rPr>
        <w:t>Module Lead:</w:t>
      </w:r>
      <w:r>
        <w:rPr>
          <w:rFonts w:ascii="Arial" w:eastAsia="Arial" w:hAnsi="Arial" w:cs="Arial"/>
          <w:b/>
          <w:color w:val="000000"/>
          <w:sz w:val="32"/>
          <w:szCs w:val="32"/>
          <w:lang w:eastAsia="zh-CN"/>
        </w:rPr>
        <w:t xml:space="preserve">  </w:t>
      </w:r>
      <w:r w:rsidRPr="00BE1435">
        <w:rPr>
          <w:rFonts w:ascii="Arial" w:eastAsia="Arial" w:hAnsi="Arial" w:cs="Arial"/>
          <w:b/>
          <w:color w:val="000000"/>
          <w:sz w:val="32"/>
          <w:szCs w:val="32"/>
          <w:lang w:eastAsia="zh-CN"/>
        </w:rPr>
        <w:t>Christine Joy</w:t>
      </w:r>
    </w:p>
    <w:p w14:paraId="6BE57006" w14:textId="77777777" w:rsidR="00221CE1" w:rsidRPr="008D01B6" w:rsidRDefault="00221CE1" w:rsidP="00221CE1">
      <w:pPr>
        <w:spacing w:after="0" w:line="259" w:lineRule="auto"/>
        <w:ind w:left="10" w:right="134" w:hanging="10"/>
        <w:jc w:val="center"/>
        <w:rPr>
          <w:rFonts w:ascii="Arial" w:eastAsia="Calibri" w:hAnsi="Arial" w:cs="Arial"/>
          <w:b/>
          <w:bCs/>
          <w:kern w:val="0"/>
          <w:sz w:val="32"/>
          <w:szCs w:val="32"/>
          <w:lang w:val="en-CA"/>
          <w14:ligatures w14:val="none"/>
        </w:rPr>
      </w:pPr>
      <w:r w:rsidRPr="008D01B6">
        <w:rPr>
          <w:rFonts w:ascii="Arial" w:eastAsia="Arial" w:hAnsi="Arial" w:cs="Arial"/>
          <w:b/>
          <w:color w:val="000000"/>
          <w:sz w:val="32"/>
          <w:szCs w:val="32"/>
          <w:lang w:eastAsia="zh-CN"/>
        </w:rPr>
        <w:t xml:space="preserve"> </w:t>
      </w:r>
      <w:r>
        <w:rPr>
          <w:rFonts w:ascii="Arial" w:eastAsia="Calibri" w:hAnsi="Arial" w:cs="Arial"/>
          <w:b/>
          <w:bCs/>
          <w:kern w:val="0"/>
          <w:sz w:val="32"/>
          <w:szCs w:val="32"/>
          <w:lang w:val="en-CA"/>
          <w14:ligatures w14:val="none"/>
        </w:rPr>
        <w:tab/>
      </w:r>
    </w:p>
    <w:p w14:paraId="5C07867F" w14:textId="0D370C1A" w:rsidR="00221CE1" w:rsidRPr="008D01B6" w:rsidRDefault="00221CE1" w:rsidP="00221CE1">
      <w:pPr>
        <w:spacing w:after="0" w:line="360" w:lineRule="auto"/>
        <w:ind w:firstLine="720"/>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 xml:space="preserve">                       </w:t>
      </w:r>
      <w:r w:rsidRPr="008D01B6">
        <w:rPr>
          <w:rFonts w:ascii="Arial" w:eastAsia="Calibri" w:hAnsi="Arial" w:cs="Arial"/>
          <w:b/>
          <w:bCs/>
          <w:kern w:val="0"/>
          <w:sz w:val="32"/>
          <w:szCs w:val="32"/>
          <w:lang w:val="en-CA"/>
          <w14:ligatures w14:val="none"/>
        </w:rPr>
        <w:t xml:space="preserve">Name: </w:t>
      </w:r>
      <w:r>
        <w:rPr>
          <w:rFonts w:ascii="Arial" w:eastAsia="Calibri" w:hAnsi="Arial" w:cs="Arial"/>
          <w:b/>
          <w:bCs/>
          <w:kern w:val="0"/>
          <w:sz w:val="32"/>
          <w:szCs w:val="32"/>
          <w:lang w:val="en-CA"/>
          <w14:ligatures w14:val="none"/>
        </w:rPr>
        <w:t>Andreea</w:t>
      </w:r>
      <w:r w:rsidRPr="008D01B6">
        <w:rPr>
          <w:rFonts w:ascii="Arial" w:eastAsia="Calibri" w:hAnsi="Arial" w:cs="Arial"/>
          <w:b/>
          <w:bCs/>
          <w:kern w:val="0"/>
          <w:sz w:val="32"/>
          <w:szCs w:val="32"/>
          <w:lang w:val="en-CA"/>
          <w14:ligatures w14:val="none"/>
        </w:rPr>
        <w:t xml:space="preserve"> Tanasa</w:t>
      </w:r>
    </w:p>
    <w:p w14:paraId="27BF9AC4" w14:textId="77777777" w:rsidR="00221CE1" w:rsidRPr="008D01B6" w:rsidRDefault="00221CE1" w:rsidP="00221CE1">
      <w:pPr>
        <w:spacing w:after="0" w:line="360" w:lineRule="auto"/>
        <w:ind w:firstLine="720"/>
        <w:jc w:val="center"/>
        <w:rPr>
          <w:rFonts w:ascii="Arial" w:eastAsia="Calibri" w:hAnsi="Arial" w:cs="Arial"/>
          <w:b/>
          <w:bCs/>
          <w:kern w:val="0"/>
          <w:sz w:val="32"/>
          <w:szCs w:val="32"/>
          <w:lang w:val="en-CA"/>
          <w14:ligatures w14:val="none"/>
        </w:rPr>
      </w:pPr>
    </w:p>
    <w:p w14:paraId="7CA128DE" w14:textId="49EA954D" w:rsidR="00221CE1" w:rsidRPr="008D01B6" w:rsidRDefault="00221CE1" w:rsidP="00221CE1">
      <w:pPr>
        <w:spacing w:after="0" w:line="360" w:lineRule="auto"/>
        <w:ind w:firstLine="720"/>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 xml:space="preserve">                        </w:t>
      </w:r>
      <w:r w:rsidRPr="008D01B6">
        <w:rPr>
          <w:rFonts w:ascii="Arial" w:eastAsia="Calibri" w:hAnsi="Arial" w:cs="Arial"/>
          <w:b/>
          <w:bCs/>
          <w:kern w:val="0"/>
          <w:sz w:val="32"/>
          <w:szCs w:val="32"/>
          <w:lang w:val="en-CA"/>
          <w14:ligatures w14:val="none"/>
        </w:rPr>
        <w:t>Student Number:233215</w:t>
      </w:r>
      <w:r>
        <w:rPr>
          <w:rFonts w:ascii="Arial" w:eastAsia="Calibri" w:hAnsi="Arial" w:cs="Arial"/>
          <w:b/>
          <w:bCs/>
          <w:kern w:val="0"/>
          <w:sz w:val="32"/>
          <w:szCs w:val="32"/>
          <w:lang w:val="en-CA"/>
          <w14:ligatures w14:val="none"/>
        </w:rPr>
        <w:t>7</w:t>
      </w:r>
    </w:p>
    <w:p w14:paraId="4DA9BA6B" w14:textId="77777777" w:rsidR="00221CE1" w:rsidRDefault="00221CE1" w:rsidP="00221CE1">
      <w:pPr>
        <w:spacing w:after="0" w:line="360" w:lineRule="auto"/>
        <w:rPr>
          <w:rFonts w:ascii="Arial" w:eastAsia="Calibri" w:hAnsi="Arial" w:cs="Arial"/>
          <w:b/>
          <w:bCs/>
          <w:kern w:val="0"/>
          <w:lang w:val="en-CA"/>
          <w14:ligatures w14:val="none"/>
        </w:rPr>
      </w:pPr>
    </w:p>
    <w:p w14:paraId="036178C3" w14:textId="77777777" w:rsidR="00221CE1" w:rsidRDefault="00221CE1" w:rsidP="00221CE1">
      <w:pPr>
        <w:spacing w:after="0" w:line="360" w:lineRule="auto"/>
        <w:rPr>
          <w:rFonts w:ascii="Arial" w:eastAsia="Calibri" w:hAnsi="Arial" w:cs="Arial"/>
          <w:b/>
          <w:bCs/>
          <w:kern w:val="0"/>
          <w:lang w:val="en-CA"/>
          <w14:ligatures w14:val="none"/>
        </w:rPr>
      </w:pPr>
    </w:p>
    <w:p w14:paraId="4D6274CE" w14:textId="77777777" w:rsidR="00221CE1" w:rsidRDefault="00221CE1" w:rsidP="00221CE1">
      <w:pPr>
        <w:spacing w:after="0" w:line="360" w:lineRule="auto"/>
        <w:rPr>
          <w:rFonts w:ascii="Arial" w:eastAsia="Calibri" w:hAnsi="Arial" w:cs="Arial"/>
          <w:b/>
          <w:bCs/>
          <w:kern w:val="0"/>
          <w:lang w:val="en-CA"/>
          <w14:ligatures w14:val="none"/>
        </w:rPr>
      </w:pPr>
    </w:p>
    <w:p w14:paraId="5527E3DE" w14:textId="77777777" w:rsidR="00221CE1" w:rsidRDefault="00221CE1" w:rsidP="00221CE1">
      <w:pPr>
        <w:spacing w:after="0" w:line="360" w:lineRule="auto"/>
        <w:rPr>
          <w:rFonts w:ascii="Arial" w:eastAsia="Calibri" w:hAnsi="Arial" w:cs="Arial"/>
          <w:b/>
          <w:bCs/>
          <w:kern w:val="0"/>
          <w:lang w:val="en-CA"/>
          <w14:ligatures w14:val="none"/>
        </w:rPr>
      </w:pPr>
    </w:p>
    <w:p w14:paraId="765D9E1A" w14:textId="77777777" w:rsidR="00221CE1" w:rsidRDefault="00221CE1" w:rsidP="00221CE1">
      <w:pPr>
        <w:spacing w:after="0" w:line="360" w:lineRule="auto"/>
        <w:rPr>
          <w:rFonts w:ascii="Arial" w:eastAsia="Calibri" w:hAnsi="Arial" w:cs="Arial"/>
          <w:b/>
          <w:bCs/>
          <w:kern w:val="0"/>
          <w:lang w:val="en-CA"/>
          <w14:ligatures w14:val="none"/>
        </w:rPr>
      </w:pPr>
    </w:p>
    <w:p w14:paraId="00873F37" w14:textId="4F6B6F5A" w:rsidR="00221CE1" w:rsidRPr="006339BF" w:rsidRDefault="00221CE1" w:rsidP="00221CE1">
      <w:pPr>
        <w:spacing w:after="0" w:line="360" w:lineRule="auto"/>
        <w:rPr>
          <w:rFonts w:ascii="Arial" w:eastAsia="Calibri" w:hAnsi="Arial" w:cs="Arial"/>
          <w:b/>
          <w:bCs/>
          <w:kern w:val="0"/>
          <w:sz w:val="28"/>
          <w:szCs w:val="28"/>
          <w:lang w:val="en-CA"/>
          <w14:ligatures w14:val="none"/>
        </w:rPr>
      </w:pPr>
      <w:r w:rsidRPr="0004008C">
        <w:rPr>
          <w:rFonts w:ascii="Arial" w:eastAsia="Calibri" w:hAnsi="Arial" w:cs="Arial"/>
          <w:b/>
          <w:bCs/>
          <w:kern w:val="0"/>
          <w:sz w:val="28"/>
          <w:szCs w:val="28"/>
          <w:lang w:val="en-CA"/>
          <w14:ligatures w14:val="none"/>
        </w:rPr>
        <w:t xml:space="preserve">Total word count:   </w:t>
      </w:r>
      <w:r w:rsidR="00DF59A6">
        <w:rPr>
          <w:rFonts w:ascii="Arial" w:eastAsia="Calibri" w:hAnsi="Arial" w:cs="Arial"/>
          <w:b/>
          <w:bCs/>
          <w:kern w:val="0"/>
          <w:sz w:val="28"/>
          <w:szCs w:val="28"/>
          <w:lang w:val="en-CA"/>
          <w14:ligatures w14:val="none"/>
        </w:rPr>
        <w:t>3792</w:t>
      </w:r>
      <w:r w:rsidRPr="0004008C">
        <w:rPr>
          <w:rFonts w:ascii="Arial" w:eastAsia="Calibri" w:hAnsi="Arial" w:cs="Arial"/>
          <w:b/>
          <w:bCs/>
          <w:kern w:val="0"/>
          <w:sz w:val="28"/>
          <w:szCs w:val="28"/>
          <w:lang w:val="en-CA"/>
          <w14:ligatures w14:val="none"/>
        </w:rPr>
        <w:t xml:space="preserve">              </w:t>
      </w:r>
      <w:r>
        <w:rPr>
          <w:rFonts w:ascii="Arial" w:eastAsia="Calibri" w:hAnsi="Arial" w:cs="Arial"/>
          <w:b/>
          <w:bCs/>
          <w:kern w:val="0"/>
          <w:sz w:val="28"/>
          <w:szCs w:val="28"/>
          <w:lang w:val="en-CA"/>
          <w14:ligatures w14:val="none"/>
        </w:rPr>
        <w:t xml:space="preserve">   </w:t>
      </w:r>
      <w:r w:rsidRPr="0004008C">
        <w:rPr>
          <w:rFonts w:ascii="Arial" w:eastAsia="Calibri" w:hAnsi="Arial" w:cs="Arial"/>
          <w:b/>
          <w:bCs/>
          <w:kern w:val="0"/>
          <w:sz w:val="28"/>
          <w:szCs w:val="28"/>
          <w:lang w:val="en-CA"/>
          <w14:ligatures w14:val="none"/>
        </w:rPr>
        <w:t xml:space="preserve"> Submission Deadline:</w:t>
      </w:r>
      <w:r>
        <w:rPr>
          <w:rFonts w:ascii="Arial" w:eastAsia="Calibri" w:hAnsi="Arial" w:cs="Arial"/>
          <w:b/>
          <w:bCs/>
          <w:kern w:val="0"/>
          <w:sz w:val="28"/>
          <w:szCs w:val="28"/>
          <w:lang w:val="en-CA"/>
          <w14:ligatures w14:val="none"/>
        </w:rPr>
        <w:t>20.03.2026</w:t>
      </w:r>
    </w:p>
    <w:p w14:paraId="5F90C685" w14:textId="77777777" w:rsidR="00221CE1" w:rsidRDefault="00221CE1" w:rsidP="00221CE1"/>
    <w:sdt>
      <w:sdtPr>
        <w:rPr>
          <w:rFonts w:ascii="Aptos" w:eastAsia="Aptos" w:hAnsi="Aptos" w:cs="Times New Roman"/>
          <w:color w:val="auto"/>
          <w:kern w:val="2"/>
          <w:sz w:val="24"/>
          <w:szCs w:val="24"/>
          <w:lang w:val="en-GB"/>
          <w14:ligatures w14:val="standardContextual"/>
        </w:rPr>
        <w:id w:val="2115859619"/>
        <w:docPartObj>
          <w:docPartGallery w:val="Table of Contents"/>
          <w:docPartUnique/>
        </w:docPartObj>
      </w:sdtPr>
      <w:sdtEndPr>
        <w:rPr>
          <w:b/>
          <w:bCs/>
          <w:noProof/>
        </w:rPr>
      </w:sdtEndPr>
      <w:sdtContent>
        <w:p w14:paraId="0CE2A3F6" w14:textId="239D52CE" w:rsidR="00732D4B" w:rsidRDefault="00732D4B">
          <w:pPr>
            <w:pStyle w:val="TOCHeading"/>
          </w:pPr>
          <w:r>
            <w:t>Contents</w:t>
          </w:r>
        </w:p>
        <w:p w14:paraId="7B9B47BA" w14:textId="070B8688" w:rsidR="00AC061D" w:rsidRDefault="00732D4B">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224845285" w:history="1">
            <w:r w:rsidR="00AC061D" w:rsidRPr="002F4F8C">
              <w:rPr>
                <w:rStyle w:val="Hyperlink"/>
                <w:rFonts w:ascii="Arial" w:eastAsiaTheme="minorHAnsi" w:hAnsi="Arial" w:cs="Arial"/>
                <w:noProof/>
              </w:rPr>
              <w:t>Executive summary</w:t>
            </w:r>
            <w:r w:rsidR="00AC061D">
              <w:rPr>
                <w:noProof/>
                <w:webHidden/>
              </w:rPr>
              <w:tab/>
            </w:r>
            <w:r w:rsidR="00AC061D">
              <w:rPr>
                <w:noProof/>
                <w:webHidden/>
              </w:rPr>
              <w:fldChar w:fldCharType="begin"/>
            </w:r>
            <w:r w:rsidR="00AC061D">
              <w:rPr>
                <w:noProof/>
                <w:webHidden/>
              </w:rPr>
              <w:instrText xml:space="preserve"> PAGEREF _Toc224845285 \h </w:instrText>
            </w:r>
            <w:r w:rsidR="00AC061D">
              <w:rPr>
                <w:noProof/>
                <w:webHidden/>
              </w:rPr>
            </w:r>
            <w:r w:rsidR="00AC061D">
              <w:rPr>
                <w:noProof/>
                <w:webHidden/>
              </w:rPr>
              <w:fldChar w:fldCharType="separate"/>
            </w:r>
            <w:r w:rsidR="00AC061D">
              <w:rPr>
                <w:noProof/>
                <w:webHidden/>
              </w:rPr>
              <w:t>3</w:t>
            </w:r>
            <w:r w:rsidR="00AC061D">
              <w:rPr>
                <w:noProof/>
                <w:webHidden/>
              </w:rPr>
              <w:fldChar w:fldCharType="end"/>
            </w:r>
          </w:hyperlink>
        </w:p>
        <w:p w14:paraId="0F1BA0D9" w14:textId="62BDAE6D" w:rsidR="00AC061D" w:rsidRDefault="00AC061D">
          <w:pPr>
            <w:pStyle w:val="TOC1"/>
            <w:tabs>
              <w:tab w:val="left" w:pos="480"/>
              <w:tab w:val="right" w:leader="dot" w:pos="9016"/>
            </w:tabs>
            <w:rPr>
              <w:rFonts w:asciiTheme="minorHAnsi" w:eastAsiaTheme="minorEastAsia" w:hAnsiTheme="minorHAnsi" w:cstheme="minorBidi"/>
              <w:noProof/>
              <w:lang w:eastAsia="en-GB"/>
            </w:rPr>
          </w:pPr>
          <w:hyperlink w:anchor="_Toc224845286" w:history="1">
            <w:r w:rsidRPr="002F4F8C">
              <w:rPr>
                <w:rStyle w:val="Hyperlink"/>
                <w:rFonts w:ascii="Arial" w:hAnsi="Arial" w:cs="Arial"/>
                <w:noProof/>
              </w:rPr>
              <w:t>1.</w:t>
            </w:r>
            <w:r>
              <w:rPr>
                <w:rFonts w:asciiTheme="minorHAnsi" w:eastAsiaTheme="minorEastAsia" w:hAnsiTheme="minorHAnsi" w:cstheme="minorBidi"/>
                <w:noProof/>
                <w:lang w:eastAsia="en-GB"/>
              </w:rPr>
              <w:tab/>
            </w:r>
            <w:r w:rsidRPr="002F4F8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_Toc224845286 \h </w:instrText>
            </w:r>
            <w:r>
              <w:rPr>
                <w:noProof/>
                <w:webHidden/>
              </w:rPr>
            </w:r>
            <w:r>
              <w:rPr>
                <w:noProof/>
                <w:webHidden/>
              </w:rPr>
              <w:fldChar w:fldCharType="separate"/>
            </w:r>
            <w:r>
              <w:rPr>
                <w:noProof/>
                <w:webHidden/>
              </w:rPr>
              <w:t>4</w:t>
            </w:r>
            <w:r>
              <w:rPr>
                <w:noProof/>
                <w:webHidden/>
              </w:rPr>
              <w:fldChar w:fldCharType="end"/>
            </w:r>
          </w:hyperlink>
        </w:p>
        <w:p w14:paraId="31F660DA" w14:textId="310052B7" w:rsidR="00AC061D" w:rsidRDefault="00AC061D">
          <w:pPr>
            <w:pStyle w:val="TOC1"/>
            <w:tabs>
              <w:tab w:val="left" w:pos="480"/>
              <w:tab w:val="right" w:leader="dot" w:pos="9016"/>
            </w:tabs>
            <w:rPr>
              <w:rFonts w:asciiTheme="minorHAnsi" w:eastAsiaTheme="minorEastAsia" w:hAnsiTheme="minorHAnsi" w:cstheme="minorBidi"/>
              <w:noProof/>
              <w:lang w:eastAsia="en-GB"/>
            </w:rPr>
          </w:pPr>
          <w:hyperlink w:anchor="_Toc224845287" w:history="1">
            <w:r w:rsidRPr="002F4F8C">
              <w:rPr>
                <w:rStyle w:val="Hyperlink"/>
                <w:rFonts w:ascii="Arial" w:hAnsi="Arial" w:cs="Arial"/>
                <w:noProof/>
              </w:rPr>
              <w:t>2.</w:t>
            </w:r>
            <w:r>
              <w:rPr>
                <w:rFonts w:asciiTheme="minorHAnsi" w:eastAsiaTheme="minorEastAsia" w:hAnsiTheme="minorHAnsi" w:cstheme="minorBidi"/>
                <w:noProof/>
                <w:lang w:eastAsia="en-GB"/>
              </w:rPr>
              <w:tab/>
            </w:r>
            <w:r w:rsidRPr="002F4F8C">
              <w:rPr>
                <w:rStyle w:val="Hyperlink"/>
                <w:rFonts w:ascii="Arial" w:hAnsi="Arial" w:cs="Arial"/>
                <w:noProof/>
              </w:rPr>
              <w:t>Method and assumption</w:t>
            </w:r>
            <w:r>
              <w:rPr>
                <w:noProof/>
                <w:webHidden/>
              </w:rPr>
              <w:tab/>
            </w:r>
            <w:r>
              <w:rPr>
                <w:noProof/>
                <w:webHidden/>
              </w:rPr>
              <w:fldChar w:fldCharType="begin"/>
            </w:r>
            <w:r>
              <w:rPr>
                <w:noProof/>
                <w:webHidden/>
              </w:rPr>
              <w:instrText xml:space="preserve"> PAGEREF _Toc224845287 \h </w:instrText>
            </w:r>
            <w:r>
              <w:rPr>
                <w:noProof/>
                <w:webHidden/>
              </w:rPr>
            </w:r>
            <w:r>
              <w:rPr>
                <w:noProof/>
                <w:webHidden/>
              </w:rPr>
              <w:fldChar w:fldCharType="separate"/>
            </w:r>
            <w:r>
              <w:rPr>
                <w:noProof/>
                <w:webHidden/>
              </w:rPr>
              <w:t>5</w:t>
            </w:r>
            <w:r>
              <w:rPr>
                <w:noProof/>
                <w:webHidden/>
              </w:rPr>
              <w:fldChar w:fldCharType="end"/>
            </w:r>
          </w:hyperlink>
        </w:p>
        <w:p w14:paraId="53EE51A1" w14:textId="568CEF99" w:rsidR="00AC061D" w:rsidRDefault="00AC061D">
          <w:pPr>
            <w:pStyle w:val="TOC1"/>
            <w:tabs>
              <w:tab w:val="left" w:pos="480"/>
              <w:tab w:val="right" w:leader="dot" w:pos="9016"/>
            </w:tabs>
            <w:rPr>
              <w:rFonts w:asciiTheme="minorHAnsi" w:eastAsiaTheme="minorEastAsia" w:hAnsiTheme="minorHAnsi" w:cstheme="minorBidi"/>
              <w:noProof/>
              <w:lang w:eastAsia="en-GB"/>
            </w:rPr>
          </w:pPr>
          <w:hyperlink w:anchor="_Toc224845288" w:history="1">
            <w:r w:rsidRPr="002F4F8C">
              <w:rPr>
                <w:rStyle w:val="Hyperlink"/>
                <w:rFonts w:ascii="Arial" w:hAnsi="Arial" w:cs="Arial"/>
                <w:noProof/>
              </w:rPr>
              <w:t>3.</w:t>
            </w:r>
            <w:r>
              <w:rPr>
                <w:rFonts w:asciiTheme="minorHAnsi" w:eastAsiaTheme="minorEastAsia" w:hAnsiTheme="minorHAnsi" w:cstheme="minorBidi"/>
                <w:noProof/>
                <w:lang w:eastAsia="en-GB"/>
              </w:rPr>
              <w:tab/>
            </w:r>
            <w:r w:rsidRPr="002F4F8C">
              <w:rPr>
                <w:rStyle w:val="Hyperlink"/>
                <w:rFonts w:ascii="Arial" w:hAnsi="Arial" w:cs="Arial"/>
                <w:noProof/>
              </w:rPr>
              <w:t>Budget for stock</w:t>
            </w:r>
            <w:r>
              <w:rPr>
                <w:noProof/>
                <w:webHidden/>
              </w:rPr>
              <w:tab/>
            </w:r>
            <w:r>
              <w:rPr>
                <w:noProof/>
                <w:webHidden/>
              </w:rPr>
              <w:fldChar w:fldCharType="begin"/>
            </w:r>
            <w:r>
              <w:rPr>
                <w:noProof/>
                <w:webHidden/>
              </w:rPr>
              <w:instrText xml:space="preserve"> PAGEREF _Toc224845288 \h </w:instrText>
            </w:r>
            <w:r>
              <w:rPr>
                <w:noProof/>
                <w:webHidden/>
              </w:rPr>
            </w:r>
            <w:r>
              <w:rPr>
                <w:noProof/>
                <w:webHidden/>
              </w:rPr>
              <w:fldChar w:fldCharType="separate"/>
            </w:r>
            <w:r>
              <w:rPr>
                <w:noProof/>
                <w:webHidden/>
              </w:rPr>
              <w:t>7</w:t>
            </w:r>
            <w:r>
              <w:rPr>
                <w:noProof/>
                <w:webHidden/>
              </w:rPr>
              <w:fldChar w:fldCharType="end"/>
            </w:r>
          </w:hyperlink>
        </w:p>
        <w:p w14:paraId="78BE5D6F" w14:textId="1B395675" w:rsidR="00AC061D" w:rsidRDefault="00AC061D">
          <w:pPr>
            <w:pStyle w:val="TOC2"/>
            <w:tabs>
              <w:tab w:val="right" w:leader="dot" w:pos="9016"/>
            </w:tabs>
            <w:rPr>
              <w:rFonts w:asciiTheme="minorHAnsi" w:eastAsiaTheme="minorEastAsia" w:hAnsiTheme="minorHAnsi" w:cstheme="minorBidi"/>
              <w:noProof/>
              <w:lang w:eastAsia="en-GB"/>
            </w:rPr>
          </w:pPr>
          <w:hyperlink w:anchor="_Toc224845289" w:history="1">
            <w:r w:rsidRPr="002F4F8C">
              <w:rPr>
                <w:rStyle w:val="Hyperlink"/>
                <w:rFonts w:ascii="Arial" w:hAnsi="Arial" w:cs="Arial"/>
                <w:noProof/>
              </w:rPr>
              <w:t>3.1 Cash budget</w:t>
            </w:r>
            <w:r>
              <w:rPr>
                <w:noProof/>
                <w:webHidden/>
              </w:rPr>
              <w:tab/>
            </w:r>
            <w:r>
              <w:rPr>
                <w:noProof/>
                <w:webHidden/>
              </w:rPr>
              <w:fldChar w:fldCharType="begin"/>
            </w:r>
            <w:r>
              <w:rPr>
                <w:noProof/>
                <w:webHidden/>
              </w:rPr>
              <w:instrText xml:space="preserve"> PAGEREF _Toc224845289 \h </w:instrText>
            </w:r>
            <w:r>
              <w:rPr>
                <w:noProof/>
                <w:webHidden/>
              </w:rPr>
            </w:r>
            <w:r>
              <w:rPr>
                <w:noProof/>
                <w:webHidden/>
              </w:rPr>
              <w:fldChar w:fldCharType="separate"/>
            </w:r>
            <w:r>
              <w:rPr>
                <w:noProof/>
                <w:webHidden/>
              </w:rPr>
              <w:t>7</w:t>
            </w:r>
            <w:r>
              <w:rPr>
                <w:noProof/>
                <w:webHidden/>
              </w:rPr>
              <w:fldChar w:fldCharType="end"/>
            </w:r>
          </w:hyperlink>
        </w:p>
        <w:p w14:paraId="3A136442" w14:textId="52834C0F" w:rsidR="00AC061D" w:rsidRDefault="00AC061D">
          <w:pPr>
            <w:pStyle w:val="TOC2"/>
            <w:tabs>
              <w:tab w:val="right" w:leader="dot" w:pos="9016"/>
            </w:tabs>
            <w:rPr>
              <w:rFonts w:asciiTheme="minorHAnsi" w:eastAsiaTheme="minorEastAsia" w:hAnsiTheme="minorHAnsi" w:cstheme="minorBidi"/>
              <w:noProof/>
              <w:lang w:eastAsia="en-GB"/>
            </w:rPr>
          </w:pPr>
          <w:hyperlink w:anchor="_Toc224845290" w:history="1">
            <w:r w:rsidRPr="002F4F8C">
              <w:rPr>
                <w:rStyle w:val="Hyperlink"/>
                <w:rFonts w:ascii="Arial" w:hAnsi="Arial" w:cs="Arial"/>
                <w:noProof/>
              </w:rPr>
              <w:t>3.2 Planned profit and loss</w:t>
            </w:r>
            <w:r>
              <w:rPr>
                <w:noProof/>
                <w:webHidden/>
              </w:rPr>
              <w:tab/>
            </w:r>
            <w:r>
              <w:rPr>
                <w:noProof/>
                <w:webHidden/>
              </w:rPr>
              <w:fldChar w:fldCharType="begin"/>
            </w:r>
            <w:r>
              <w:rPr>
                <w:noProof/>
                <w:webHidden/>
              </w:rPr>
              <w:instrText xml:space="preserve"> PAGEREF _Toc224845290 \h </w:instrText>
            </w:r>
            <w:r>
              <w:rPr>
                <w:noProof/>
                <w:webHidden/>
              </w:rPr>
            </w:r>
            <w:r>
              <w:rPr>
                <w:noProof/>
                <w:webHidden/>
              </w:rPr>
              <w:fldChar w:fldCharType="separate"/>
            </w:r>
            <w:r>
              <w:rPr>
                <w:noProof/>
                <w:webHidden/>
              </w:rPr>
              <w:t>8</w:t>
            </w:r>
            <w:r>
              <w:rPr>
                <w:noProof/>
                <w:webHidden/>
              </w:rPr>
              <w:fldChar w:fldCharType="end"/>
            </w:r>
          </w:hyperlink>
        </w:p>
        <w:p w14:paraId="14FA186A" w14:textId="1AC471D1" w:rsidR="00AC061D" w:rsidRDefault="00AC061D">
          <w:pPr>
            <w:pStyle w:val="TOC2"/>
            <w:tabs>
              <w:tab w:val="right" w:leader="dot" w:pos="9016"/>
            </w:tabs>
            <w:rPr>
              <w:rFonts w:asciiTheme="minorHAnsi" w:eastAsiaTheme="minorEastAsia" w:hAnsiTheme="minorHAnsi" w:cstheme="minorBidi"/>
              <w:noProof/>
              <w:lang w:eastAsia="en-GB"/>
            </w:rPr>
          </w:pPr>
          <w:hyperlink w:anchor="_Toc224845291" w:history="1">
            <w:r w:rsidRPr="002F4F8C">
              <w:rPr>
                <w:rStyle w:val="Hyperlink"/>
                <w:rFonts w:ascii="Arial" w:hAnsi="Arial" w:cs="Arial"/>
                <w:noProof/>
              </w:rPr>
              <w:t>3.3 Information needs for management and keeping an eye on performance</w:t>
            </w:r>
            <w:r>
              <w:rPr>
                <w:noProof/>
                <w:webHidden/>
              </w:rPr>
              <w:tab/>
            </w:r>
            <w:r>
              <w:rPr>
                <w:noProof/>
                <w:webHidden/>
              </w:rPr>
              <w:fldChar w:fldCharType="begin"/>
            </w:r>
            <w:r>
              <w:rPr>
                <w:noProof/>
                <w:webHidden/>
              </w:rPr>
              <w:instrText xml:space="preserve"> PAGEREF _Toc224845291 \h </w:instrText>
            </w:r>
            <w:r>
              <w:rPr>
                <w:noProof/>
                <w:webHidden/>
              </w:rPr>
            </w:r>
            <w:r>
              <w:rPr>
                <w:noProof/>
                <w:webHidden/>
              </w:rPr>
              <w:fldChar w:fldCharType="separate"/>
            </w:r>
            <w:r>
              <w:rPr>
                <w:noProof/>
                <w:webHidden/>
              </w:rPr>
              <w:t>9</w:t>
            </w:r>
            <w:r>
              <w:rPr>
                <w:noProof/>
                <w:webHidden/>
              </w:rPr>
              <w:fldChar w:fldCharType="end"/>
            </w:r>
          </w:hyperlink>
        </w:p>
        <w:p w14:paraId="59874537" w14:textId="606A4998" w:rsidR="00AC061D" w:rsidRDefault="00AC061D">
          <w:pPr>
            <w:pStyle w:val="TOC1"/>
            <w:tabs>
              <w:tab w:val="right" w:leader="dot" w:pos="9016"/>
            </w:tabs>
            <w:rPr>
              <w:rFonts w:asciiTheme="minorHAnsi" w:eastAsiaTheme="minorEastAsia" w:hAnsiTheme="minorHAnsi" w:cstheme="minorBidi"/>
              <w:noProof/>
              <w:lang w:eastAsia="en-GB"/>
            </w:rPr>
          </w:pPr>
          <w:hyperlink w:anchor="_Toc224845292" w:history="1">
            <w:r w:rsidRPr="002F4F8C">
              <w:rPr>
                <w:rStyle w:val="Hyperlink"/>
                <w:rFonts w:ascii="Arial" w:hAnsi="Arial" w:cs="Arial"/>
                <w:noProof/>
              </w:rPr>
              <w:t>4. Problems shown by the budgets and actions taken by management</w:t>
            </w:r>
            <w:r>
              <w:rPr>
                <w:noProof/>
                <w:webHidden/>
              </w:rPr>
              <w:tab/>
            </w:r>
            <w:r>
              <w:rPr>
                <w:noProof/>
                <w:webHidden/>
              </w:rPr>
              <w:fldChar w:fldCharType="begin"/>
            </w:r>
            <w:r>
              <w:rPr>
                <w:noProof/>
                <w:webHidden/>
              </w:rPr>
              <w:instrText xml:space="preserve"> PAGEREF _Toc224845292 \h </w:instrText>
            </w:r>
            <w:r>
              <w:rPr>
                <w:noProof/>
                <w:webHidden/>
              </w:rPr>
            </w:r>
            <w:r>
              <w:rPr>
                <w:noProof/>
                <w:webHidden/>
              </w:rPr>
              <w:fldChar w:fldCharType="separate"/>
            </w:r>
            <w:r>
              <w:rPr>
                <w:noProof/>
                <w:webHidden/>
              </w:rPr>
              <w:t>11</w:t>
            </w:r>
            <w:r>
              <w:rPr>
                <w:noProof/>
                <w:webHidden/>
              </w:rPr>
              <w:fldChar w:fldCharType="end"/>
            </w:r>
          </w:hyperlink>
        </w:p>
        <w:p w14:paraId="35773D5A" w14:textId="643613FF" w:rsidR="00AC061D" w:rsidRDefault="00AC061D">
          <w:pPr>
            <w:pStyle w:val="TOC2"/>
            <w:tabs>
              <w:tab w:val="right" w:leader="dot" w:pos="9016"/>
            </w:tabs>
            <w:rPr>
              <w:rFonts w:asciiTheme="minorHAnsi" w:eastAsiaTheme="minorEastAsia" w:hAnsiTheme="minorHAnsi" w:cstheme="minorBidi"/>
              <w:noProof/>
              <w:lang w:eastAsia="en-GB"/>
            </w:rPr>
          </w:pPr>
          <w:hyperlink w:anchor="_Toc224845293" w:history="1">
            <w:r w:rsidRPr="002F4F8C">
              <w:rPr>
                <w:rStyle w:val="Hyperlink"/>
                <w:rFonts w:ascii="Arial" w:hAnsi="Arial" w:cs="Arial"/>
                <w:noProof/>
              </w:rPr>
              <w:t>4.1 Timing shocks and cash risk concentrations</w:t>
            </w:r>
            <w:r>
              <w:rPr>
                <w:noProof/>
                <w:webHidden/>
              </w:rPr>
              <w:tab/>
            </w:r>
            <w:r>
              <w:rPr>
                <w:noProof/>
                <w:webHidden/>
              </w:rPr>
              <w:fldChar w:fldCharType="begin"/>
            </w:r>
            <w:r>
              <w:rPr>
                <w:noProof/>
                <w:webHidden/>
              </w:rPr>
              <w:instrText xml:space="preserve"> PAGEREF _Toc224845293 \h </w:instrText>
            </w:r>
            <w:r>
              <w:rPr>
                <w:noProof/>
                <w:webHidden/>
              </w:rPr>
            </w:r>
            <w:r>
              <w:rPr>
                <w:noProof/>
                <w:webHidden/>
              </w:rPr>
              <w:fldChar w:fldCharType="separate"/>
            </w:r>
            <w:r>
              <w:rPr>
                <w:noProof/>
                <w:webHidden/>
              </w:rPr>
              <w:t>11</w:t>
            </w:r>
            <w:r>
              <w:rPr>
                <w:noProof/>
                <w:webHidden/>
              </w:rPr>
              <w:fldChar w:fldCharType="end"/>
            </w:r>
          </w:hyperlink>
        </w:p>
        <w:p w14:paraId="3A796E87" w14:textId="5CD7A354" w:rsidR="00AC061D" w:rsidRDefault="00AC061D">
          <w:pPr>
            <w:pStyle w:val="TOC2"/>
            <w:tabs>
              <w:tab w:val="right" w:leader="dot" w:pos="9016"/>
            </w:tabs>
            <w:rPr>
              <w:rFonts w:asciiTheme="minorHAnsi" w:eastAsiaTheme="minorEastAsia" w:hAnsiTheme="minorHAnsi" w:cstheme="minorBidi"/>
              <w:noProof/>
              <w:lang w:eastAsia="en-GB"/>
            </w:rPr>
          </w:pPr>
          <w:hyperlink w:anchor="_Toc224845294" w:history="1">
            <w:r w:rsidRPr="002F4F8C">
              <w:rPr>
                <w:rStyle w:val="Hyperlink"/>
                <w:rFonts w:ascii="Arial" w:hAnsi="Arial" w:cs="Arial"/>
                <w:noProof/>
              </w:rPr>
              <w:t>4.2 Debt service and the structure of funding</w:t>
            </w:r>
            <w:r>
              <w:rPr>
                <w:noProof/>
                <w:webHidden/>
              </w:rPr>
              <w:tab/>
            </w:r>
            <w:r>
              <w:rPr>
                <w:noProof/>
                <w:webHidden/>
              </w:rPr>
              <w:fldChar w:fldCharType="begin"/>
            </w:r>
            <w:r>
              <w:rPr>
                <w:noProof/>
                <w:webHidden/>
              </w:rPr>
              <w:instrText xml:space="preserve"> PAGEREF _Toc224845294 \h </w:instrText>
            </w:r>
            <w:r>
              <w:rPr>
                <w:noProof/>
                <w:webHidden/>
              </w:rPr>
            </w:r>
            <w:r>
              <w:rPr>
                <w:noProof/>
                <w:webHidden/>
              </w:rPr>
              <w:fldChar w:fldCharType="separate"/>
            </w:r>
            <w:r>
              <w:rPr>
                <w:noProof/>
                <w:webHidden/>
              </w:rPr>
              <w:t>12</w:t>
            </w:r>
            <w:r>
              <w:rPr>
                <w:noProof/>
                <w:webHidden/>
              </w:rPr>
              <w:fldChar w:fldCharType="end"/>
            </w:r>
          </w:hyperlink>
        </w:p>
        <w:p w14:paraId="5F91F9CC" w14:textId="73DCAED8" w:rsidR="00AC061D" w:rsidRDefault="00AC061D">
          <w:pPr>
            <w:pStyle w:val="TOC2"/>
            <w:tabs>
              <w:tab w:val="right" w:leader="dot" w:pos="9016"/>
            </w:tabs>
            <w:rPr>
              <w:rFonts w:asciiTheme="minorHAnsi" w:eastAsiaTheme="minorEastAsia" w:hAnsiTheme="minorHAnsi" w:cstheme="minorBidi"/>
              <w:noProof/>
              <w:lang w:eastAsia="en-GB"/>
            </w:rPr>
          </w:pPr>
          <w:hyperlink w:anchor="_Toc224845295" w:history="1">
            <w:r w:rsidRPr="002F4F8C">
              <w:rPr>
                <w:rStyle w:val="Hyperlink"/>
                <w:rFonts w:ascii="Arial" w:hAnsi="Arial" w:cs="Arial"/>
                <w:noProof/>
              </w:rPr>
              <w:t>4.3 Fees for credit and pricing discipline</w:t>
            </w:r>
            <w:r>
              <w:rPr>
                <w:noProof/>
                <w:webHidden/>
              </w:rPr>
              <w:tab/>
            </w:r>
            <w:r>
              <w:rPr>
                <w:noProof/>
                <w:webHidden/>
              </w:rPr>
              <w:fldChar w:fldCharType="begin"/>
            </w:r>
            <w:r>
              <w:rPr>
                <w:noProof/>
                <w:webHidden/>
              </w:rPr>
              <w:instrText xml:space="preserve"> PAGEREF _Toc224845295 \h </w:instrText>
            </w:r>
            <w:r>
              <w:rPr>
                <w:noProof/>
                <w:webHidden/>
              </w:rPr>
            </w:r>
            <w:r>
              <w:rPr>
                <w:noProof/>
                <w:webHidden/>
              </w:rPr>
              <w:fldChar w:fldCharType="separate"/>
            </w:r>
            <w:r>
              <w:rPr>
                <w:noProof/>
                <w:webHidden/>
              </w:rPr>
              <w:t>12</w:t>
            </w:r>
            <w:r>
              <w:rPr>
                <w:noProof/>
                <w:webHidden/>
              </w:rPr>
              <w:fldChar w:fldCharType="end"/>
            </w:r>
          </w:hyperlink>
        </w:p>
        <w:p w14:paraId="7E28EF42" w14:textId="69C40519" w:rsidR="00AC061D" w:rsidRDefault="00AC061D">
          <w:pPr>
            <w:pStyle w:val="TOC2"/>
            <w:tabs>
              <w:tab w:val="right" w:leader="dot" w:pos="9016"/>
            </w:tabs>
            <w:rPr>
              <w:rFonts w:asciiTheme="minorHAnsi" w:eastAsiaTheme="minorEastAsia" w:hAnsiTheme="minorHAnsi" w:cstheme="minorBidi"/>
              <w:noProof/>
              <w:lang w:eastAsia="en-GB"/>
            </w:rPr>
          </w:pPr>
          <w:hyperlink w:anchor="_Toc224845296" w:history="1">
            <w:r w:rsidRPr="002F4F8C">
              <w:rPr>
                <w:rStyle w:val="Hyperlink"/>
                <w:rFonts w:ascii="Arial" w:hAnsi="Arial" w:cs="Arial"/>
                <w:noProof/>
              </w:rPr>
              <w:t>4.4 Working capital strategy</w:t>
            </w:r>
            <w:r>
              <w:rPr>
                <w:noProof/>
                <w:webHidden/>
              </w:rPr>
              <w:tab/>
            </w:r>
            <w:r>
              <w:rPr>
                <w:noProof/>
                <w:webHidden/>
              </w:rPr>
              <w:fldChar w:fldCharType="begin"/>
            </w:r>
            <w:r>
              <w:rPr>
                <w:noProof/>
                <w:webHidden/>
              </w:rPr>
              <w:instrText xml:space="preserve"> PAGEREF _Toc224845296 \h </w:instrText>
            </w:r>
            <w:r>
              <w:rPr>
                <w:noProof/>
                <w:webHidden/>
              </w:rPr>
            </w:r>
            <w:r>
              <w:rPr>
                <w:noProof/>
                <w:webHidden/>
              </w:rPr>
              <w:fldChar w:fldCharType="separate"/>
            </w:r>
            <w:r>
              <w:rPr>
                <w:noProof/>
                <w:webHidden/>
              </w:rPr>
              <w:t>12</w:t>
            </w:r>
            <w:r>
              <w:rPr>
                <w:noProof/>
                <w:webHidden/>
              </w:rPr>
              <w:fldChar w:fldCharType="end"/>
            </w:r>
          </w:hyperlink>
        </w:p>
        <w:p w14:paraId="036FA341" w14:textId="650CCCA5" w:rsidR="00AC061D" w:rsidRDefault="00AC061D">
          <w:pPr>
            <w:pStyle w:val="TOC1"/>
            <w:tabs>
              <w:tab w:val="right" w:leader="dot" w:pos="9016"/>
            </w:tabs>
            <w:rPr>
              <w:rFonts w:asciiTheme="minorHAnsi" w:eastAsiaTheme="minorEastAsia" w:hAnsiTheme="minorHAnsi" w:cstheme="minorBidi"/>
              <w:noProof/>
              <w:lang w:eastAsia="en-GB"/>
            </w:rPr>
          </w:pPr>
          <w:hyperlink w:anchor="_Toc224845297" w:history="1">
            <w:r w:rsidRPr="002F4F8C">
              <w:rPr>
                <w:rStyle w:val="Hyperlink"/>
                <w:rFonts w:ascii="Arial" w:hAnsi="Arial" w:cs="Arial"/>
                <w:noProof/>
              </w:rPr>
              <w:t>5. Conditions for effective budgeting and financial control</w:t>
            </w:r>
            <w:r>
              <w:rPr>
                <w:noProof/>
                <w:webHidden/>
              </w:rPr>
              <w:tab/>
            </w:r>
            <w:r>
              <w:rPr>
                <w:noProof/>
                <w:webHidden/>
              </w:rPr>
              <w:fldChar w:fldCharType="begin"/>
            </w:r>
            <w:r>
              <w:rPr>
                <w:noProof/>
                <w:webHidden/>
              </w:rPr>
              <w:instrText xml:space="preserve"> PAGEREF _Toc224845297 \h </w:instrText>
            </w:r>
            <w:r>
              <w:rPr>
                <w:noProof/>
                <w:webHidden/>
              </w:rPr>
            </w:r>
            <w:r>
              <w:rPr>
                <w:noProof/>
                <w:webHidden/>
              </w:rPr>
              <w:fldChar w:fldCharType="separate"/>
            </w:r>
            <w:r>
              <w:rPr>
                <w:noProof/>
                <w:webHidden/>
              </w:rPr>
              <w:t>14</w:t>
            </w:r>
            <w:r>
              <w:rPr>
                <w:noProof/>
                <w:webHidden/>
              </w:rPr>
              <w:fldChar w:fldCharType="end"/>
            </w:r>
          </w:hyperlink>
        </w:p>
        <w:p w14:paraId="6CD693DB" w14:textId="0C6A7961" w:rsidR="00AC061D" w:rsidRDefault="00AC061D">
          <w:pPr>
            <w:pStyle w:val="TOC2"/>
            <w:tabs>
              <w:tab w:val="right" w:leader="dot" w:pos="9016"/>
            </w:tabs>
            <w:rPr>
              <w:rFonts w:asciiTheme="minorHAnsi" w:eastAsiaTheme="minorEastAsia" w:hAnsiTheme="minorHAnsi" w:cstheme="minorBidi"/>
              <w:noProof/>
              <w:lang w:eastAsia="en-GB"/>
            </w:rPr>
          </w:pPr>
          <w:hyperlink w:anchor="_Toc224845298" w:history="1">
            <w:r w:rsidRPr="002F4F8C">
              <w:rPr>
                <w:rStyle w:val="Hyperlink"/>
                <w:rFonts w:ascii="Arial" w:hAnsi="Arial" w:cs="Arial"/>
                <w:noProof/>
              </w:rPr>
              <w:t>5.1 Behavioural factors</w:t>
            </w:r>
            <w:r>
              <w:rPr>
                <w:noProof/>
                <w:webHidden/>
              </w:rPr>
              <w:tab/>
            </w:r>
            <w:r>
              <w:rPr>
                <w:noProof/>
                <w:webHidden/>
              </w:rPr>
              <w:fldChar w:fldCharType="begin"/>
            </w:r>
            <w:r>
              <w:rPr>
                <w:noProof/>
                <w:webHidden/>
              </w:rPr>
              <w:instrText xml:space="preserve"> PAGEREF _Toc224845298 \h </w:instrText>
            </w:r>
            <w:r>
              <w:rPr>
                <w:noProof/>
                <w:webHidden/>
              </w:rPr>
            </w:r>
            <w:r>
              <w:rPr>
                <w:noProof/>
                <w:webHidden/>
              </w:rPr>
              <w:fldChar w:fldCharType="separate"/>
            </w:r>
            <w:r>
              <w:rPr>
                <w:noProof/>
                <w:webHidden/>
              </w:rPr>
              <w:t>15</w:t>
            </w:r>
            <w:r>
              <w:rPr>
                <w:noProof/>
                <w:webHidden/>
              </w:rPr>
              <w:fldChar w:fldCharType="end"/>
            </w:r>
          </w:hyperlink>
        </w:p>
        <w:p w14:paraId="7EF32EF1" w14:textId="219B02E1" w:rsidR="00AC061D" w:rsidRDefault="00AC061D">
          <w:pPr>
            <w:pStyle w:val="TOC1"/>
            <w:tabs>
              <w:tab w:val="right" w:leader="dot" w:pos="9016"/>
            </w:tabs>
            <w:rPr>
              <w:rFonts w:asciiTheme="minorHAnsi" w:eastAsiaTheme="minorEastAsia" w:hAnsiTheme="minorHAnsi" w:cstheme="minorBidi"/>
              <w:noProof/>
              <w:lang w:eastAsia="en-GB"/>
            </w:rPr>
          </w:pPr>
          <w:hyperlink w:anchor="_Toc224845299" w:history="1">
            <w:r w:rsidRPr="002F4F8C">
              <w:rPr>
                <w:rStyle w:val="Hyperlink"/>
                <w:rFonts w:ascii="Arial" w:hAnsi="Arial" w:cs="Arial"/>
                <w:noProof/>
              </w:rPr>
              <w:t>5.2 Tools for budget control</w:t>
            </w:r>
            <w:r>
              <w:rPr>
                <w:noProof/>
                <w:webHidden/>
              </w:rPr>
              <w:tab/>
            </w:r>
            <w:r>
              <w:rPr>
                <w:noProof/>
                <w:webHidden/>
              </w:rPr>
              <w:fldChar w:fldCharType="begin"/>
            </w:r>
            <w:r>
              <w:rPr>
                <w:noProof/>
                <w:webHidden/>
              </w:rPr>
              <w:instrText xml:space="preserve"> PAGEREF _Toc224845299 \h </w:instrText>
            </w:r>
            <w:r>
              <w:rPr>
                <w:noProof/>
                <w:webHidden/>
              </w:rPr>
            </w:r>
            <w:r>
              <w:rPr>
                <w:noProof/>
                <w:webHidden/>
              </w:rPr>
              <w:fldChar w:fldCharType="separate"/>
            </w:r>
            <w:r>
              <w:rPr>
                <w:noProof/>
                <w:webHidden/>
              </w:rPr>
              <w:t>15</w:t>
            </w:r>
            <w:r>
              <w:rPr>
                <w:noProof/>
                <w:webHidden/>
              </w:rPr>
              <w:fldChar w:fldCharType="end"/>
            </w:r>
          </w:hyperlink>
        </w:p>
        <w:p w14:paraId="525CD374" w14:textId="30AEF8E5" w:rsidR="00AC061D" w:rsidRDefault="00AC061D">
          <w:pPr>
            <w:pStyle w:val="TOC2"/>
            <w:tabs>
              <w:tab w:val="right" w:leader="dot" w:pos="9016"/>
            </w:tabs>
            <w:rPr>
              <w:rFonts w:asciiTheme="minorHAnsi" w:eastAsiaTheme="minorEastAsia" w:hAnsiTheme="minorHAnsi" w:cstheme="minorBidi"/>
              <w:noProof/>
              <w:lang w:eastAsia="en-GB"/>
            </w:rPr>
          </w:pPr>
          <w:hyperlink w:anchor="_Toc224845300" w:history="1">
            <w:r w:rsidRPr="002F4F8C">
              <w:rPr>
                <w:rStyle w:val="Hyperlink"/>
                <w:rFonts w:ascii="Arial" w:hAnsi="Arial" w:cs="Arial"/>
                <w:noProof/>
              </w:rPr>
              <w:t>5.3 KPIs and scorecards</w:t>
            </w:r>
            <w:r>
              <w:rPr>
                <w:noProof/>
                <w:webHidden/>
              </w:rPr>
              <w:tab/>
            </w:r>
            <w:r>
              <w:rPr>
                <w:noProof/>
                <w:webHidden/>
              </w:rPr>
              <w:fldChar w:fldCharType="begin"/>
            </w:r>
            <w:r>
              <w:rPr>
                <w:noProof/>
                <w:webHidden/>
              </w:rPr>
              <w:instrText xml:space="preserve"> PAGEREF _Toc224845300 \h </w:instrText>
            </w:r>
            <w:r>
              <w:rPr>
                <w:noProof/>
                <w:webHidden/>
              </w:rPr>
            </w:r>
            <w:r>
              <w:rPr>
                <w:noProof/>
                <w:webHidden/>
              </w:rPr>
              <w:fldChar w:fldCharType="separate"/>
            </w:r>
            <w:r>
              <w:rPr>
                <w:noProof/>
                <w:webHidden/>
              </w:rPr>
              <w:t>16</w:t>
            </w:r>
            <w:r>
              <w:rPr>
                <w:noProof/>
                <w:webHidden/>
              </w:rPr>
              <w:fldChar w:fldCharType="end"/>
            </w:r>
          </w:hyperlink>
        </w:p>
        <w:p w14:paraId="4E28E560" w14:textId="676AB9D7" w:rsidR="00AC061D" w:rsidRDefault="00AC061D">
          <w:pPr>
            <w:pStyle w:val="TOC1"/>
            <w:tabs>
              <w:tab w:val="right" w:leader="dot" w:pos="9016"/>
            </w:tabs>
            <w:rPr>
              <w:rFonts w:asciiTheme="minorHAnsi" w:eastAsiaTheme="minorEastAsia" w:hAnsiTheme="minorHAnsi" w:cstheme="minorBidi"/>
              <w:noProof/>
              <w:lang w:eastAsia="en-GB"/>
            </w:rPr>
          </w:pPr>
          <w:hyperlink w:anchor="_Toc224845301" w:history="1">
            <w:r w:rsidRPr="002F4F8C">
              <w:rPr>
                <w:rStyle w:val="Hyperlink"/>
                <w:rFonts w:ascii="Arial" w:hAnsi="Arial" w:cs="Arial"/>
                <w:noProof/>
              </w:rPr>
              <w:t>6. A critical look at standard budgeting in circumstances that change quickly</w:t>
            </w:r>
            <w:r>
              <w:rPr>
                <w:noProof/>
                <w:webHidden/>
              </w:rPr>
              <w:tab/>
            </w:r>
            <w:r>
              <w:rPr>
                <w:noProof/>
                <w:webHidden/>
              </w:rPr>
              <w:fldChar w:fldCharType="begin"/>
            </w:r>
            <w:r>
              <w:rPr>
                <w:noProof/>
                <w:webHidden/>
              </w:rPr>
              <w:instrText xml:space="preserve"> PAGEREF _Toc224845301 \h </w:instrText>
            </w:r>
            <w:r>
              <w:rPr>
                <w:noProof/>
                <w:webHidden/>
              </w:rPr>
            </w:r>
            <w:r>
              <w:rPr>
                <w:noProof/>
                <w:webHidden/>
              </w:rPr>
              <w:fldChar w:fldCharType="separate"/>
            </w:r>
            <w:r>
              <w:rPr>
                <w:noProof/>
                <w:webHidden/>
              </w:rPr>
              <w:t>17</w:t>
            </w:r>
            <w:r>
              <w:rPr>
                <w:noProof/>
                <w:webHidden/>
              </w:rPr>
              <w:fldChar w:fldCharType="end"/>
            </w:r>
          </w:hyperlink>
        </w:p>
        <w:p w14:paraId="11F484B8" w14:textId="302E7B4F" w:rsidR="00AC061D" w:rsidRDefault="00AC061D">
          <w:pPr>
            <w:pStyle w:val="TOC2"/>
            <w:tabs>
              <w:tab w:val="right" w:leader="dot" w:pos="9016"/>
            </w:tabs>
            <w:rPr>
              <w:rFonts w:asciiTheme="minorHAnsi" w:eastAsiaTheme="minorEastAsia" w:hAnsiTheme="minorHAnsi" w:cstheme="minorBidi"/>
              <w:noProof/>
              <w:lang w:eastAsia="en-GB"/>
            </w:rPr>
          </w:pPr>
          <w:hyperlink w:anchor="_Toc224845302" w:history="1">
            <w:r w:rsidRPr="002F4F8C">
              <w:rPr>
                <w:rStyle w:val="Hyperlink"/>
                <w:rFonts w:ascii="Arial" w:hAnsi="Arial" w:cs="Arial"/>
                <w:noProof/>
              </w:rPr>
              <w:t>6.1 Problems and how to fix them</w:t>
            </w:r>
            <w:r>
              <w:rPr>
                <w:noProof/>
                <w:webHidden/>
              </w:rPr>
              <w:tab/>
            </w:r>
            <w:r>
              <w:rPr>
                <w:noProof/>
                <w:webHidden/>
              </w:rPr>
              <w:fldChar w:fldCharType="begin"/>
            </w:r>
            <w:r>
              <w:rPr>
                <w:noProof/>
                <w:webHidden/>
              </w:rPr>
              <w:instrText xml:space="preserve"> PAGEREF _Toc224845302 \h </w:instrText>
            </w:r>
            <w:r>
              <w:rPr>
                <w:noProof/>
                <w:webHidden/>
              </w:rPr>
            </w:r>
            <w:r>
              <w:rPr>
                <w:noProof/>
                <w:webHidden/>
              </w:rPr>
              <w:fldChar w:fldCharType="separate"/>
            </w:r>
            <w:r>
              <w:rPr>
                <w:noProof/>
                <w:webHidden/>
              </w:rPr>
              <w:t>18</w:t>
            </w:r>
            <w:r>
              <w:rPr>
                <w:noProof/>
                <w:webHidden/>
              </w:rPr>
              <w:fldChar w:fldCharType="end"/>
            </w:r>
          </w:hyperlink>
        </w:p>
        <w:p w14:paraId="6C944F72" w14:textId="082DBB4F" w:rsidR="00AC061D" w:rsidRDefault="00AC061D">
          <w:pPr>
            <w:pStyle w:val="TOC1"/>
            <w:tabs>
              <w:tab w:val="right" w:leader="dot" w:pos="9016"/>
            </w:tabs>
            <w:rPr>
              <w:rFonts w:asciiTheme="minorHAnsi" w:eastAsiaTheme="minorEastAsia" w:hAnsiTheme="minorHAnsi" w:cstheme="minorBidi"/>
              <w:noProof/>
              <w:lang w:eastAsia="en-GB"/>
            </w:rPr>
          </w:pPr>
          <w:hyperlink w:anchor="_Toc224845303" w:history="1">
            <w:r w:rsidRPr="002F4F8C">
              <w:rPr>
                <w:rStyle w:val="Hyperlink"/>
                <w:rFonts w:ascii="Arial" w:hAnsi="Arial" w:cs="Arial"/>
                <w:noProof/>
              </w:rPr>
              <w:t>7. Recommendations</w:t>
            </w:r>
            <w:r>
              <w:rPr>
                <w:noProof/>
                <w:webHidden/>
              </w:rPr>
              <w:tab/>
            </w:r>
            <w:r>
              <w:rPr>
                <w:noProof/>
                <w:webHidden/>
              </w:rPr>
              <w:fldChar w:fldCharType="begin"/>
            </w:r>
            <w:r>
              <w:rPr>
                <w:noProof/>
                <w:webHidden/>
              </w:rPr>
              <w:instrText xml:space="preserve"> PAGEREF _Toc224845303 \h </w:instrText>
            </w:r>
            <w:r>
              <w:rPr>
                <w:noProof/>
                <w:webHidden/>
              </w:rPr>
            </w:r>
            <w:r>
              <w:rPr>
                <w:noProof/>
                <w:webHidden/>
              </w:rPr>
              <w:fldChar w:fldCharType="separate"/>
            </w:r>
            <w:r>
              <w:rPr>
                <w:noProof/>
                <w:webHidden/>
              </w:rPr>
              <w:t>19</w:t>
            </w:r>
            <w:r>
              <w:rPr>
                <w:noProof/>
                <w:webHidden/>
              </w:rPr>
              <w:fldChar w:fldCharType="end"/>
            </w:r>
          </w:hyperlink>
        </w:p>
        <w:p w14:paraId="10B8C8FF" w14:textId="4A0C2C0D" w:rsidR="00AC061D" w:rsidRDefault="00AC061D">
          <w:pPr>
            <w:pStyle w:val="TOC1"/>
            <w:tabs>
              <w:tab w:val="right" w:leader="dot" w:pos="9016"/>
            </w:tabs>
            <w:rPr>
              <w:rFonts w:asciiTheme="minorHAnsi" w:eastAsiaTheme="minorEastAsia" w:hAnsiTheme="minorHAnsi" w:cstheme="minorBidi"/>
              <w:noProof/>
              <w:lang w:eastAsia="en-GB"/>
            </w:rPr>
          </w:pPr>
          <w:hyperlink w:anchor="_Toc224845304" w:history="1">
            <w:r w:rsidRPr="002F4F8C">
              <w:rPr>
                <w:rStyle w:val="Hyperlink"/>
                <w:rFonts w:ascii="Arial" w:hAnsi="Arial" w:cs="Arial"/>
                <w:noProof/>
              </w:rPr>
              <w:t>8. Conclusion</w:t>
            </w:r>
            <w:r>
              <w:rPr>
                <w:noProof/>
                <w:webHidden/>
              </w:rPr>
              <w:tab/>
            </w:r>
            <w:r>
              <w:rPr>
                <w:noProof/>
                <w:webHidden/>
              </w:rPr>
              <w:fldChar w:fldCharType="begin"/>
            </w:r>
            <w:r>
              <w:rPr>
                <w:noProof/>
                <w:webHidden/>
              </w:rPr>
              <w:instrText xml:space="preserve"> PAGEREF _Toc224845304 \h </w:instrText>
            </w:r>
            <w:r>
              <w:rPr>
                <w:noProof/>
                <w:webHidden/>
              </w:rPr>
            </w:r>
            <w:r>
              <w:rPr>
                <w:noProof/>
                <w:webHidden/>
              </w:rPr>
              <w:fldChar w:fldCharType="separate"/>
            </w:r>
            <w:r>
              <w:rPr>
                <w:noProof/>
                <w:webHidden/>
              </w:rPr>
              <w:t>20</w:t>
            </w:r>
            <w:r>
              <w:rPr>
                <w:noProof/>
                <w:webHidden/>
              </w:rPr>
              <w:fldChar w:fldCharType="end"/>
            </w:r>
          </w:hyperlink>
        </w:p>
        <w:p w14:paraId="1C03866D" w14:textId="13F50396" w:rsidR="00AC061D" w:rsidRDefault="00AC061D">
          <w:pPr>
            <w:pStyle w:val="TOC1"/>
            <w:tabs>
              <w:tab w:val="right" w:leader="dot" w:pos="9016"/>
            </w:tabs>
            <w:rPr>
              <w:rFonts w:asciiTheme="minorHAnsi" w:eastAsiaTheme="minorEastAsia" w:hAnsiTheme="minorHAnsi" w:cstheme="minorBidi"/>
              <w:noProof/>
              <w:lang w:eastAsia="en-GB"/>
            </w:rPr>
          </w:pPr>
          <w:hyperlink w:anchor="_Toc224845305" w:history="1">
            <w:r w:rsidRPr="002F4F8C">
              <w:rPr>
                <w:rStyle w:val="Hyperlink"/>
                <w:noProof/>
              </w:rPr>
              <w:t>References</w:t>
            </w:r>
            <w:r>
              <w:rPr>
                <w:noProof/>
                <w:webHidden/>
              </w:rPr>
              <w:tab/>
            </w:r>
            <w:r>
              <w:rPr>
                <w:noProof/>
                <w:webHidden/>
              </w:rPr>
              <w:fldChar w:fldCharType="begin"/>
            </w:r>
            <w:r>
              <w:rPr>
                <w:noProof/>
                <w:webHidden/>
              </w:rPr>
              <w:instrText xml:space="preserve"> PAGEREF _Toc224845305 \h </w:instrText>
            </w:r>
            <w:r>
              <w:rPr>
                <w:noProof/>
                <w:webHidden/>
              </w:rPr>
            </w:r>
            <w:r>
              <w:rPr>
                <w:noProof/>
                <w:webHidden/>
              </w:rPr>
              <w:fldChar w:fldCharType="separate"/>
            </w:r>
            <w:r>
              <w:rPr>
                <w:noProof/>
                <w:webHidden/>
              </w:rPr>
              <w:t>21</w:t>
            </w:r>
            <w:r>
              <w:rPr>
                <w:noProof/>
                <w:webHidden/>
              </w:rPr>
              <w:fldChar w:fldCharType="end"/>
            </w:r>
          </w:hyperlink>
        </w:p>
        <w:p w14:paraId="6DB8D7F3" w14:textId="4E48C862" w:rsidR="00732D4B" w:rsidRDefault="00732D4B">
          <w:r>
            <w:rPr>
              <w:b/>
              <w:bCs/>
              <w:noProof/>
            </w:rPr>
            <w:fldChar w:fldCharType="end"/>
          </w:r>
        </w:p>
      </w:sdtContent>
    </w:sdt>
    <w:p w14:paraId="01F349D7" w14:textId="77777777" w:rsidR="002F0B77" w:rsidRDefault="002F0B77"/>
    <w:p w14:paraId="0C116055" w14:textId="77777777" w:rsidR="00732D4B" w:rsidRDefault="00732D4B"/>
    <w:p w14:paraId="27824479" w14:textId="77777777" w:rsidR="00732D4B" w:rsidRDefault="00732D4B"/>
    <w:p w14:paraId="7ADC85C8" w14:textId="77777777" w:rsidR="00732D4B" w:rsidRDefault="00732D4B"/>
    <w:p w14:paraId="57C4B323" w14:textId="77777777" w:rsidR="00732D4B" w:rsidRDefault="00732D4B"/>
    <w:p w14:paraId="51887D7A" w14:textId="77777777" w:rsidR="00732D4B" w:rsidRDefault="00732D4B"/>
    <w:p w14:paraId="224E59A2" w14:textId="77777777" w:rsidR="00732D4B" w:rsidRDefault="00732D4B"/>
    <w:p w14:paraId="276666F1" w14:textId="77777777" w:rsidR="00732D4B" w:rsidRDefault="00732D4B"/>
    <w:p w14:paraId="72D7FC1B" w14:textId="4A49539A" w:rsidR="00732D4B" w:rsidRPr="00AC061D" w:rsidRDefault="00732D4B" w:rsidP="00AC061D">
      <w:pPr>
        <w:pStyle w:val="Heading1"/>
        <w:spacing w:line="360" w:lineRule="auto"/>
        <w:jc w:val="both"/>
        <w:rPr>
          <w:rFonts w:ascii="Arial" w:eastAsiaTheme="minorHAnsi" w:hAnsi="Arial" w:cs="Arial"/>
          <w:sz w:val="24"/>
          <w:szCs w:val="24"/>
        </w:rPr>
      </w:pPr>
      <w:r w:rsidRPr="00AC061D">
        <w:rPr>
          <w:rFonts w:ascii="Arial" w:eastAsiaTheme="minorHAnsi" w:hAnsi="Arial" w:cs="Arial"/>
          <w:sz w:val="24"/>
          <w:szCs w:val="24"/>
        </w:rPr>
        <w:lastRenderedPageBreak/>
        <w:t xml:space="preserve"> </w:t>
      </w:r>
      <w:bookmarkStart w:id="2" w:name="_Toc224845285"/>
      <w:r w:rsidRPr="00AC061D">
        <w:rPr>
          <w:rFonts w:ascii="Arial" w:eastAsiaTheme="minorHAnsi" w:hAnsi="Arial" w:cs="Arial"/>
          <w:sz w:val="24"/>
          <w:szCs w:val="24"/>
        </w:rPr>
        <w:t>Executive</w:t>
      </w:r>
      <w:r w:rsidR="006946EF" w:rsidRPr="00AC061D">
        <w:rPr>
          <w:rFonts w:ascii="Arial" w:eastAsiaTheme="minorHAnsi" w:hAnsi="Arial" w:cs="Arial"/>
          <w:sz w:val="24"/>
          <w:szCs w:val="24"/>
        </w:rPr>
        <w:t xml:space="preserve"> summary</w:t>
      </w:r>
      <w:bookmarkEnd w:id="2"/>
    </w:p>
    <w:p w14:paraId="62EF8653" w14:textId="77777777" w:rsidR="00732D4B" w:rsidRPr="00AC061D" w:rsidRDefault="00732D4B" w:rsidP="00AC061D">
      <w:pPr>
        <w:spacing w:line="360" w:lineRule="auto"/>
        <w:jc w:val="both"/>
        <w:rPr>
          <w:rFonts w:ascii="Arial" w:eastAsiaTheme="minorHAnsi" w:hAnsi="Arial" w:cs="Arial"/>
        </w:rPr>
      </w:pPr>
    </w:p>
    <w:p w14:paraId="27D2AE67" w14:textId="77777777" w:rsidR="0053069B" w:rsidRPr="00AC061D" w:rsidRDefault="00732D4B" w:rsidP="00AC061D">
      <w:pPr>
        <w:spacing w:line="360" w:lineRule="auto"/>
        <w:jc w:val="both"/>
        <w:rPr>
          <w:rFonts w:ascii="Arial" w:eastAsiaTheme="minorHAnsi" w:hAnsi="Arial" w:cs="Arial"/>
        </w:rPr>
      </w:pPr>
      <w:r w:rsidRPr="00AC061D">
        <w:rPr>
          <w:rFonts w:ascii="Arial" w:eastAsiaTheme="minorHAnsi" w:hAnsi="Arial" w:cs="Arial"/>
        </w:rPr>
        <w:t xml:space="preserve">This report uses a stock budget, a cash budget, and a budgeted profit and loss statement to look at Silver Stitch </w:t>
      </w:r>
      <w:r w:rsidR="0053069B" w:rsidRPr="00AC061D">
        <w:rPr>
          <w:rFonts w:ascii="Arial" w:eastAsiaTheme="minorHAnsi" w:hAnsi="Arial" w:cs="Arial"/>
        </w:rPr>
        <w:t>Ltd.’s</w:t>
      </w:r>
      <w:r w:rsidRPr="00AC061D">
        <w:rPr>
          <w:rFonts w:ascii="Arial" w:eastAsiaTheme="minorHAnsi" w:hAnsi="Arial" w:cs="Arial"/>
        </w:rPr>
        <w:t xml:space="preserve"> short-term financial situation. The budgets suggest </w:t>
      </w:r>
      <w:r w:rsidR="000A0831" w:rsidRPr="00AC061D">
        <w:rPr>
          <w:rFonts w:ascii="Arial" w:eastAsiaTheme="minorHAnsi" w:hAnsi="Arial" w:cs="Arial"/>
        </w:rPr>
        <w:t>that the business can repay the £30,000 initial overdraft over the projection period, but only because sales are generating significant cash inflows</w:t>
      </w:r>
      <w:r w:rsidRPr="00AC061D">
        <w:rPr>
          <w:rFonts w:ascii="Arial" w:eastAsiaTheme="minorHAnsi" w:hAnsi="Arial" w:cs="Arial"/>
        </w:rPr>
        <w:t xml:space="preserve">. The stock budget also </w:t>
      </w:r>
      <w:r w:rsidR="000A0831" w:rsidRPr="00AC061D">
        <w:rPr>
          <w:rFonts w:ascii="Arial" w:eastAsiaTheme="minorHAnsi" w:hAnsi="Arial" w:cs="Arial"/>
        </w:rPr>
        <w:t>indicates that stock is accumulating rapidly, tying up funds in working capital and increasing the risk of obsolescence</w:t>
      </w:r>
      <w:r w:rsidRPr="00AC061D">
        <w:rPr>
          <w:rFonts w:ascii="Arial" w:eastAsiaTheme="minorHAnsi" w:hAnsi="Arial" w:cs="Arial"/>
        </w:rPr>
        <w:t xml:space="preserve">. </w:t>
      </w:r>
    </w:p>
    <w:p w14:paraId="1A011B5C" w14:textId="613ACCE1" w:rsidR="00732D4B" w:rsidRPr="00AC061D" w:rsidRDefault="00732D4B" w:rsidP="00AC061D">
      <w:pPr>
        <w:spacing w:line="360" w:lineRule="auto"/>
        <w:jc w:val="both"/>
        <w:rPr>
          <w:rFonts w:ascii="Arial" w:eastAsiaTheme="minorHAnsi" w:hAnsi="Arial" w:cs="Arial"/>
        </w:rPr>
      </w:pPr>
      <w:r w:rsidRPr="00AC061D">
        <w:rPr>
          <w:rFonts w:ascii="Arial" w:eastAsiaTheme="minorHAnsi" w:hAnsi="Arial" w:cs="Arial"/>
        </w:rPr>
        <w:t xml:space="preserve"> </w:t>
      </w:r>
      <w:r w:rsidR="0053069B" w:rsidRPr="00AC061D">
        <w:rPr>
          <w:rFonts w:ascii="Arial" w:eastAsiaTheme="minorHAnsi" w:hAnsi="Arial" w:cs="Arial"/>
        </w:rPr>
        <w:t>T</w:t>
      </w:r>
      <w:r w:rsidRPr="00AC061D">
        <w:rPr>
          <w:rFonts w:ascii="Arial" w:eastAsiaTheme="minorHAnsi" w:hAnsi="Arial" w:cs="Arial"/>
        </w:rPr>
        <w:t>he main problem with management isn't sales demand</w:t>
      </w:r>
      <w:r w:rsidR="000A0831" w:rsidRPr="00AC061D">
        <w:rPr>
          <w:rFonts w:ascii="Arial" w:eastAsiaTheme="minorHAnsi" w:hAnsi="Arial" w:cs="Arial"/>
        </w:rPr>
        <w:t>; it's tracking working capital and adhering</w:t>
      </w:r>
      <w:r w:rsidRPr="00AC061D">
        <w:rPr>
          <w:rFonts w:ascii="Arial" w:eastAsiaTheme="minorHAnsi" w:hAnsi="Arial" w:cs="Arial"/>
        </w:rPr>
        <w:t xml:space="preserve"> to the budget. Directors should make purchase decisions </w:t>
      </w:r>
      <w:r w:rsidR="000A0831" w:rsidRPr="00AC061D">
        <w:rPr>
          <w:rFonts w:ascii="Arial" w:eastAsiaTheme="minorHAnsi" w:hAnsi="Arial" w:cs="Arial"/>
        </w:rPr>
        <w:t>more stringent by establishing a clear stock policy, initiating a rolling cash forecast, and using a modest set of liquidity and operating KPIs to monitor</w:t>
      </w:r>
      <w:r w:rsidRPr="00AC061D">
        <w:rPr>
          <w:rFonts w:ascii="Arial" w:eastAsiaTheme="minorHAnsi" w:hAnsi="Arial" w:cs="Arial"/>
        </w:rPr>
        <w:t xml:space="preserve"> performance. They should stop using a strict annual budget and instead use a more flexible approach, such as rolling budgets, flexible budgeting, and scenario analysis, together with explicit accountability and behavioural protections.</w:t>
      </w:r>
    </w:p>
    <w:p w14:paraId="37835FE8" w14:textId="77777777" w:rsidR="00732D4B" w:rsidRPr="00AC061D" w:rsidRDefault="00732D4B" w:rsidP="00AC061D">
      <w:pPr>
        <w:spacing w:line="360" w:lineRule="auto"/>
        <w:jc w:val="both"/>
        <w:rPr>
          <w:rFonts w:ascii="Arial" w:eastAsiaTheme="minorHAnsi" w:hAnsi="Arial" w:cs="Arial"/>
        </w:rPr>
      </w:pPr>
    </w:p>
    <w:p w14:paraId="460305B2" w14:textId="77777777" w:rsidR="00732D4B" w:rsidRPr="00AC061D" w:rsidRDefault="00732D4B" w:rsidP="00AC061D">
      <w:pPr>
        <w:spacing w:line="360" w:lineRule="auto"/>
        <w:jc w:val="both"/>
        <w:rPr>
          <w:rFonts w:ascii="Arial" w:eastAsiaTheme="minorHAnsi" w:hAnsi="Arial" w:cs="Arial"/>
        </w:rPr>
      </w:pPr>
    </w:p>
    <w:p w14:paraId="7CFE6343" w14:textId="77777777" w:rsidR="00732D4B" w:rsidRPr="00AC061D" w:rsidRDefault="00732D4B" w:rsidP="00AC061D">
      <w:pPr>
        <w:spacing w:line="360" w:lineRule="auto"/>
        <w:jc w:val="both"/>
        <w:rPr>
          <w:rFonts w:ascii="Arial" w:eastAsiaTheme="minorHAnsi" w:hAnsi="Arial" w:cs="Arial"/>
        </w:rPr>
      </w:pPr>
    </w:p>
    <w:p w14:paraId="2D6CCA66" w14:textId="77777777" w:rsidR="00732D4B" w:rsidRPr="00AC061D" w:rsidRDefault="00732D4B" w:rsidP="00AC061D">
      <w:pPr>
        <w:spacing w:line="360" w:lineRule="auto"/>
        <w:jc w:val="both"/>
        <w:rPr>
          <w:rFonts w:ascii="Arial" w:eastAsiaTheme="minorHAnsi" w:hAnsi="Arial" w:cs="Arial"/>
        </w:rPr>
      </w:pPr>
    </w:p>
    <w:p w14:paraId="51314BAF" w14:textId="77777777" w:rsidR="00732D4B" w:rsidRPr="00AC061D" w:rsidRDefault="00732D4B" w:rsidP="00AC061D">
      <w:pPr>
        <w:spacing w:line="360" w:lineRule="auto"/>
        <w:jc w:val="both"/>
        <w:rPr>
          <w:rFonts w:ascii="Arial" w:eastAsiaTheme="minorHAnsi" w:hAnsi="Arial" w:cs="Arial"/>
        </w:rPr>
      </w:pPr>
    </w:p>
    <w:p w14:paraId="5FD44B6D" w14:textId="77777777" w:rsidR="00732D4B" w:rsidRPr="00AC061D" w:rsidRDefault="00732D4B" w:rsidP="00AC061D">
      <w:pPr>
        <w:spacing w:line="360" w:lineRule="auto"/>
        <w:jc w:val="both"/>
        <w:rPr>
          <w:rFonts w:ascii="Arial" w:eastAsiaTheme="minorHAnsi" w:hAnsi="Arial" w:cs="Arial"/>
        </w:rPr>
      </w:pPr>
    </w:p>
    <w:p w14:paraId="3A20F4F1" w14:textId="77777777" w:rsidR="00732D4B" w:rsidRPr="00AC061D" w:rsidRDefault="00732D4B" w:rsidP="00AC061D">
      <w:pPr>
        <w:spacing w:line="360" w:lineRule="auto"/>
        <w:jc w:val="both"/>
        <w:rPr>
          <w:rFonts w:ascii="Arial" w:eastAsiaTheme="minorHAnsi" w:hAnsi="Arial" w:cs="Arial"/>
        </w:rPr>
      </w:pPr>
    </w:p>
    <w:p w14:paraId="45D50E84" w14:textId="77777777" w:rsidR="00732D4B" w:rsidRPr="00AC061D" w:rsidRDefault="00732D4B" w:rsidP="00AC061D">
      <w:pPr>
        <w:spacing w:line="360" w:lineRule="auto"/>
        <w:jc w:val="both"/>
        <w:rPr>
          <w:rFonts w:ascii="Arial" w:eastAsiaTheme="minorHAnsi" w:hAnsi="Arial" w:cs="Arial"/>
        </w:rPr>
      </w:pPr>
    </w:p>
    <w:p w14:paraId="5F4A7B43" w14:textId="77777777" w:rsidR="00732D4B" w:rsidRPr="00AC061D" w:rsidRDefault="00732D4B" w:rsidP="00AC061D">
      <w:pPr>
        <w:spacing w:line="360" w:lineRule="auto"/>
        <w:jc w:val="both"/>
        <w:rPr>
          <w:rFonts w:ascii="Arial" w:eastAsiaTheme="minorHAnsi" w:hAnsi="Arial" w:cs="Arial"/>
        </w:rPr>
      </w:pPr>
    </w:p>
    <w:p w14:paraId="6D8B861A" w14:textId="77777777" w:rsidR="00732D4B" w:rsidRPr="00AC061D" w:rsidRDefault="00732D4B" w:rsidP="00AC061D">
      <w:pPr>
        <w:spacing w:line="360" w:lineRule="auto"/>
        <w:jc w:val="both"/>
        <w:rPr>
          <w:rFonts w:ascii="Arial" w:eastAsiaTheme="minorHAnsi" w:hAnsi="Arial" w:cs="Arial"/>
        </w:rPr>
      </w:pPr>
    </w:p>
    <w:p w14:paraId="6EC17012" w14:textId="77777777" w:rsidR="00732D4B" w:rsidRPr="00AC061D" w:rsidRDefault="00732D4B" w:rsidP="00AC061D">
      <w:pPr>
        <w:spacing w:line="360" w:lineRule="auto"/>
        <w:jc w:val="both"/>
        <w:rPr>
          <w:rFonts w:ascii="Arial" w:eastAsiaTheme="minorHAnsi" w:hAnsi="Arial" w:cs="Arial"/>
        </w:rPr>
      </w:pPr>
    </w:p>
    <w:p w14:paraId="15C673A5" w14:textId="77777777" w:rsidR="00732D4B" w:rsidRPr="00AC061D" w:rsidRDefault="00732D4B" w:rsidP="00AC061D">
      <w:pPr>
        <w:spacing w:line="360" w:lineRule="auto"/>
        <w:jc w:val="both"/>
        <w:rPr>
          <w:rFonts w:ascii="Arial" w:eastAsiaTheme="minorHAnsi" w:hAnsi="Arial" w:cs="Arial"/>
        </w:rPr>
      </w:pPr>
    </w:p>
    <w:p w14:paraId="582DB1B8" w14:textId="77777777" w:rsidR="00732D4B" w:rsidRPr="00AC061D" w:rsidRDefault="00732D4B" w:rsidP="00AC061D">
      <w:pPr>
        <w:spacing w:line="360" w:lineRule="auto"/>
        <w:jc w:val="both"/>
        <w:rPr>
          <w:rFonts w:ascii="Arial" w:eastAsiaTheme="minorHAnsi" w:hAnsi="Arial" w:cs="Arial"/>
        </w:rPr>
      </w:pPr>
    </w:p>
    <w:p w14:paraId="08BC062A" w14:textId="7F8BB247" w:rsidR="000A0831" w:rsidRPr="00AC061D" w:rsidRDefault="000A0831" w:rsidP="00AC061D">
      <w:pPr>
        <w:pStyle w:val="Heading1"/>
        <w:numPr>
          <w:ilvl w:val="0"/>
          <w:numId w:val="2"/>
        </w:numPr>
        <w:spacing w:line="360" w:lineRule="auto"/>
        <w:jc w:val="both"/>
        <w:rPr>
          <w:rFonts w:ascii="Arial" w:hAnsi="Arial" w:cs="Arial"/>
          <w:sz w:val="24"/>
          <w:szCs w:val="24"/>
        </w:rPr>
      </w:pPr>
      <w:bookmarkStart w:id="3" w:name="_Toc224845286"/>
      <w:r w:rsidRPr="00AC061D">
        <w:rPr>
          <w:rFonts w:ascii="Arial" w:hAnsi="Arial" w:cs="Arial"/>
          <w:sz w:val="24"/>
          <w:szCs w:val="24"/>
        </w:rPr>
        <w:lastRenderedPageBreak/>
        <w:t>Introduction</w:t>
      </w:r>
      <w:bookmarkEnd w:id="3"/>
    </w:p>
    <w:p w14:paraId="5159DD4D" w14:textId="5AA18861" w:rsidR="000A0831" w:rsidRPr="00AC061D" w:rsidRDefault="000A0831" w:rsidP="00AC061D">
      <w:pPr>
        <w:spacing w:line="360" w:lineRule="auto"/>
        <w:jc w:val="both"/>
        <w:rPr>
          <w:rFonts w:ascii="Arial" w:hAnsi="Arial" w:cs="Arial"/>
        </w:rPr>
      </w:pPr>
      <w:r w:rsidRPr="00AC061D">
        <w:rPr>
          <w:rFonts w:ascii="Arial" w:hAnsi="Arial" w:cs="Arial"/>
        </w:rPr>
        <w:t xml:space="preserve">Silver Stitch Ltd owns a chain of 12 stores selling premium casual clothing. At the beginning of June, they had a £30,000 overdraft. The bank wants the overdraft to be gone by the end of December. </w:t>
      </w:r>
    </w:p>
    <w:p w14:paraId="698E51CD" w14:textId="7E1E3F1B" w:rsidR="000A0831" w:rsidRPr="00AC061D" w:rsidRDefault="000A0831" w:rsidP="00AC061D">
      <w:pPr>
        <w:spacing w:line="360" w:lineRule="auto"/>
        <w:jc w:val="both"/>
        <w:rPr>
          <w:rFonts w:ascii="Arial" w:hAnsi="Arial" w:cs="Arial"/>
        </w:rPr>
      </w:pPr>
      <w:r w:rsidRPr="00AC061D">
        <w:rPr>
          <w:rFonts w:ascii="Arial" w:hAnsi="Arial" w:cs="Arial"/>
        </w:rPr>
        <w:t xml:space="preserve">Directors have made plans for sales, purchases, expenses, taxes, interest, and </w:t>
      </w:r>
      <w:r w:rsidR="004E47FB" w:rsidRPr="00AC061D">
        <w:rPr>
          <w:rFonts w:ascii="Arial" w:hAnsi="Arial" w:cs="Arial"/>
        </w:rPr>
        <w:t>refurbishment</w:t>
      </w:r>
      <w:r w:rsidRPr="00AC061D">
        <w:rPr>
          <w:rFonts w:ascii="Arial" w:hAnsi="Arial" w:cs="Arial"/>
        </w:rPr>
        <w:t xml:space="preserve"> costs for the period from June to December.</w:t>
      </w:r>
    </w:p>
    <w:p w14:paraId="7B8CE5D2" w14:textId="7A3E193D" w:rsidR="000A0831" w:rsidRPr="00AC061D" w:rsidRDefault="000A0831" w:rsidP="00AC061D">
      <w:pPr>
        <w:spacing w:line="360" w:lineRule="auto"/>
        <w:jc w:val="both"/>
        <w:rPr>
          <w:rFonts w:ascii="Arial" w:hAnsi="Arial" w:cs="Arial"/>
        </w:rPr>
      </w:pPr>
      <w:r w:rsidRPr="00AC061D">
        <w:rPr>
          <w:rFonts w:ascii="Arial" w:hAnsi="Arial" w:cs="Arial"/>
        </w:rPr>
        <w:t>They also have a one-month credit term with suppliers and are paid for sales in the month of sale, including credit card payments with a card fee.</w:t>
      </w:r>
    </w:p>
    <w:p w14:paraId="3C939A9F" w14:textId="5232E205" w:rsidR="000A0831" w:rsidRPr="00AC061D" w:rsidRDefault="000A0831" w:rsidP="00AC061D">
      <w:pPr>
        <w:spacing w:line="360" w:lineRule="auto"/>
        <w:jc w:val="both"/>
        <w:rPr>
          <w:rFonts w:ascii="Arial" w:hAnsi="Arial" w:cs="Arial"/>
        </w:rPr>
      </w:pPr>
      <w:r w:rsidRPr="00AC061D">
        <w:rPr>
          <w:rFonts w:ascii="Arial" w:hAnsi="Arial" w:cs="Arial"/>
        </w:rPr>
        <w:t xml:space="preserve">This report uses </w:t>
      </w:r>
      <w:r w:rsidR="00E65F93" w:rsidRPr="00AC061D">
        <w:rPr>
          <w:rFonts w:ascii="Arial" w:hAnsi="Arial" w:cs="Arial"/>
        </w:rPr>
        <w:t xml:space="preserve">anticipated data to set the necessary budgets and </w:t>
      </w:r>
      <w:r w:rsidRPr="00AC061D">
        <w:rPr>
          <w:rFonts w:ascii="Arial" w:hAnsi="Arial" w:cs="Arial"/>
        </w:rPr>
        <w:t xml:space="preserve">explains what </w:t>
      </w:r>
      <w:r w:rsidR="00E65F93" w:rsidRPr="00AC061D">
        <w:rPr>
          <w:rFonts w:ascii="Arial" w:hAnsi="Arial" w:cs="Arial"/>
        </w:rPr>
        <w:t>those budgets mean for financial health, working capital, and control (Drury, 2021; Seal, Garrison, and Noreen, 2018).</w:t>
      </w:r>
      <w:r w:rsidR="004E47FB" w:rsidRPr="00AC061D">
        <w:rPr>
          <w:rFonts w:ascii="Arial" w:hAnsi="Arial" w:cs="Arial"/>
        </w:rPr>
        <w:t xml:space="preserve"> This kind of budgeting base is also consistent with practical budgeting guidance and management control thinking (Bragg, 2020; Anthony and Govindarajan, 2007).</w:t>
      </w:r>
    </w:p>
    <w:p w14:paraId="0F8187C9" w14:textId="231DCD34" w:rsidR="00E65F93" w:rsidRPr="00AC061D" w:rsidRDefault="00E65F93" w:rsidP="00AC061D">
      <w:pPr>
        <w:spacing w:line="360" w:lineRule="auto"/>
        <w:jc w:val="both"/>
        <w:rPr>
          <w:rFonts w:ascii="Arial" w:hAnsi="Arial" w:cs="Arial"/>
        </w:rPr>
      </w:pPr>
      <w:r w:rsidRPr="00AC061D">
        <w:rPr>
          <w:rFonts w:ascii="Arial" w:hAnsi="Arial" w:cs="Arial"/>
        </w:rPr>
        <w:t>The report also discusses the problems with standard annual budgeting in contexts that change quickly and examines other options that align with the ideas of “beyond budgeting” (Hope and Fraser, 2003; Bogsnes, 2016).</w:t>
      </w:r>
    </w:p>
    <w:p w14:paraId="1F8E0FC2" w14:textId="77777777" w:rsidR="00E65F93" w:rsidRPr="00AC061D" w:rsidRDefault="00E65F93" w:rsidP="00AC061D">
      <w:pPr>
        <w:spacing w:line="360" w:lineRule="auto"/>
        <w:jc w:val="both"/>
        <w:rPr>
          <w:rFonts w:ascii="Arial" w:hAnsi="Arial" w:cs="Arial"/>
        </w:rPr>
      </w:pPr>
    </w:p>
    <w:p w14:paraId="07552201" w14:textId="77777777" w:rsidR="00E65F93" w:rsidRPr="00AC061D" w:rsidRDefault="00E65F93" w:rsidP="00AC061D">
      <w:pPr>
        <w:spacing w:line="360" w:lineRule="auto"/>
        <w:jc w:val="both"/>
        <w:rPr>
          <w:rFonts w:ascii="Arial" w:hAnsi="Arial" w:cs="Arial"/>
        </w:rPr>
      </w:pPr>
    </w:p>
    <w:p w14:paraId="4FCEDE7C" w14:textId="77777777" w:rsidR="00E65F93" w:rsidRPr="00AC061D" w:rsidRDefault="00E65F93" w:rsidP="00AC061D">
      <w:pPr>
        <w:spacing w:line="360" w:lineRule="auto"/>
        <w:jc w:val="both"/>
        <w:rPr>
          <w:rFonts w:ascii="Arial" w:hAnsi="Arial" w:cs="Arial"/>
        </w:rPr>
      </w:pPr>
    </w:p>
    <w:p w14:paraId="2768014F" w14:textId="77777777" w:rsidR="00E65F93" w:rsidRPr="00AC061D" w:rsidRDefault="00E65F93" w:rsidP="00AC061D">
      <w:pPr>
        <w:spacing w:line="360" w:lineRule="auto"/>
        <w:jc w:val="both"/>
        <w:rPr>
          <w:rFonts w:ascii="Arial" w:hAnsi="Arial" w:cs="Arial"/>
        </w:rPr>
      </w:pPr>
    </w:p>
    <w:p w14:paraId="11F622F8" w14:textId="77777777" w:rsidR="00E65F93" w:rsidRPr="00AC061D" w:rsidRDefault="00E65F93" w:rsidP="00AC061D">
      <w:pPr>
        <w:spacing w:line="360" w:lineRule="auto"/>
        <w:jc w:val="both"/>
        <w:rPr>
          <w:rFonts w:ascii="Arial" w:hAnsi="Arial" w:cs="Arial"/>
        </w:rPr>
      </w:pPr>
    </w:p>
    <w:p w14:paraId="12742D32" w14:textId="77777777" w:rsidR="00E65F93" w:rsidRPr="00AC061D" w:rsidRDefault="00E65F93" w:rsidP="00AC061D">
      <w:pPr>
        <w:spacing w:line="360" w:lineRule="auto"/>
        <w:jc w:val="both"/>
        <w:rPr>
          <w:rFonts w:ascii="Arial" w:hAnsi="Arial" w:cs="Arial"/>
        </w:rPr>
      </w:pPr>
    </w:p>
    <w:p w14:paraId="4967A243" w14:textId="77777777" w:rsidR="00E65F93" w:rsidRPr="00AC061D" w:rsidRDefault="00E65F93" w:rsidP="00AC061D">
      <w:pPr>
        <w:spacing w:line="360" w:lineRule="auto"/>
        <w:jc w:val="both"/>
        <w:rPr>
          <w:rFonts w:ascii="Arial" w:hAnsi="Arial" w:cs="Arial"/>
        </w:rPr>
      </w:pPr>
    </w:p>
    <w:p w14:paraId="5CBBAACB" w14:textId="77777777" w:rsidR="00E65F93" w:rsidRPr="00AC061D" w:rsidRDefault="00E65F93" w:rsidP="00AC061D">
      <w:pPr>
        <w:spacing w:line="360" w:lineRule="auto"/>
        <w:jc w:val="both"/>
        <w:rPr>
          <w:rFonts w:ascii="Arial" w:hAnsi="Arial" w:cs="Arial"/>
        </w:rPr>
      </w:pPr>
    </w:p>
    <w:p w14:paraId="1A217E14" w14:textId="77777777" w:rsidR="00E65F93" w:rsidRPr="00AC061D" w:rsidRDefault="00E65F93" w:rsidP="00AC061D">
      <w:pPr>
        <w:spacing w:line="360" w:lineRule="auto"/>
        <w:jc w:val="both"/>
        <w:rPr>
          <w:rFonts w:ascii="Arial" w:hAnsi="Arial" w:cs="Arial"/>
        </w:rPr>
      </w:pPr>
    </w:p>
    <w:p w14:paraId="057558DF" w14:textId="77777777" w:rsidR="00E65F93" w:rsidRPr="00AC061D" w:rsidRDefault="00E65F93" w:rsidP="00AC061D">
      <w:pPr>
        <w:spacing w:line="360" w:lineRule="auto"/>
        <w:jc w:val="both"/>
        <w:rPr>
          <w:rFonts w:ascii="Arial" w:hAnsi="Arial" w:cs="Arial"/>
        </w:rPr>
      </w:pPr>
    </w:p>
    <w:p w14:paraId="37AD7F11" w14:textId="77777777" w:rsidR="00E65F93" w:rsidRPr="00AC061D" w:rsidRDefault="00E65F93" w:rsidP="00AC061D">
      <w:pPr>
        <w:spacing w:line="360" w:lineRule="auto"/>
        <w:jc w:val="both"/>
        <w:rPr>
          <w:rFonts w:ascii="Arial" w:hAnsi="Arial" w:cs="Arial"/>
        </w:rPr>
      </w:pPr>
    </w:p>
    <w:p w14:paraId="4899E68E" w14:textId="3D2034B3" w:rsidR="00E65F93" w:rsidRPr="00AC061D" w:rsidRDefault="00E65F93" w:rsidP="00AC061D">
      <w:pPr>
        <w:pStyle w:val="Heading1"/>
        <w:numPr>
          <w:ilvl w:val="0"/>
          <w:numId w:val="2"/>
        </w:numPr>
        <w:spacing w:line="360" w:lineRule="auto"/>
        <w:jc w:val="both"/>
        <w:rPr>
          <w:rFonts w:ascii="Arial" w:hAnsi="Arial" w:cs="Arial"/>
          <w:sz w:val="24"/>
          <w:szCs w:val="24"/>
        </w:rPr>
      </w:pPr>
      <w:bookmarkStart w:id="4" w:name="_Toc224845287"/>
      <w:r w:rsidRPr="00AC061D">
        <w:rPr>
          <w:rFonts w:ascii="Arial" w:hAnsi="Arial" w:cs="Arial"/>
          <w:sz w:val="24"/>
          <w:szCs w:val="24"/>
        </w:rPr>
        <w:lastRenderedPageBreak/>
        <w:t>Method and assumption</w:t>
      </w:r>
      <w:bookmarkEnd w:id="4"/>
      <w:r w:rsidRPr="00AC061D">
        <w:rPr>
          <w:rFonts w:ascii="Arial" w:hAnsi="Arial" w:cs="Arial"/>
          <w:sz w:val="24"/>
          <w:szCs w:val="24"/>
        </w:rPr>
        <w:t xml:space="preserve"> </w:t>
      </w:r>
    </w:p>
    <w:p w14:paraId="1D28B122" w14:textId="3F7AAE8A" w:rsidR="00E65F93" w:rsidRPr="00AC061D" w:rsidRDefault="00E65F93" w:rsidP="00AC061D">
      <w:pPr>
        <w:spacing w:line="360" w:lineRule="auto"/>
        <w:jc w:val="both"/>
        <w:rPr>
          <w:rFonts w:ascii="Arial" w:hAnsi="Arial" w:cs="Arial"/>
        </w:rPr>
      </w:pPr>
      <w:r w:rsidRPr="00AC061D">
        <w:rPr>
          <w:rFonts w:ascii="Arial" w:hAnsi="Arial" w:cs="Arial"/>
        </w:rPr>
        <w:t>The following key assumptions are always used in the budgets:</w:t>
      </w:r>
    </w:p>
    <w:p w14:paraId="2CDF435F" w14:textId="068B2537" w:rsidR="00E65F93" w:rsidRPr="00AC061D" w:rsidRDefault="008B4764" w:rsidP="00AC061D">
      <w:pPr>
        <w:pStyle w:val="ListParagraph"/>
        <w:numPr>
          <w:ilvl w:val="0"/>
          <w:numId w:val="3"/>
        </w:numPr>
        <w:spacing w:line="360" w:lineRule="auto"/>
        <w:jc w:val="both"/>
        <w:rPr>
          <w:rFonts w:ascii="Arial" w:hAnsi="Arial" w:cs="Arial"/>
        </w:rPr>
      </w:pPr>
      <w:r w:rsidRPr="00AC061D">
        <w:rPr>
          <w:rFonts w:ascii="Arial" w:hAnsi="Arial" w:cs="Arial"/>
        </w:rPr>
        <w:t>The gross profit margin is 40%, which means that the cost of sales is 60% of sales income</w:t>
      </w:r>
      <w:r w:rsidR="000A2928" w:rsidRPr="00AC061D">
        <w:rPr>
          <w:rFonts w:ascii="Arial" w:hAnsi="Arial" w:cs="Arial"/>
        </w:rPr>
        <w:t xml:space="preserve"> (</w:t>
      </w:r>
      <w:r w:rsidR="00520B16" w:rsidRPr="00AC061D">
        <w:rPr>
          <w:rFonts w:ascii="Arial" w:hAnsi="Arial" w:cs="Arial"/>
        </w:rPr>
        <w:t>Seal, Garrison, and Noreen, 2018).</w:t>
      </w:r>
    </w:p>
    <w:p w14:paraId="6E65119C" w14:textId="70CE1A66" w:rsidR="008B4764" w:rsidRPr="00AC061D" w:rsidRDefault="008B4764" w:rsidP="00AC061D">
      <w:pPr>
        <w:pStyle w:val="ListParagraph"/>
        <w:numPr>
          <w:ilvl w:val="0"/>
          <w:numId w:val="3"/>
        </w:numPr>
        <w:spacing w:line="360" w:lineRule="auto"/>
        <w:jc w:val="both"/>
        <w:rPr>
          <w:rFonts w:ascii="Arial" w:hAnsi="Arial" w:cs="Arial"/>
        </w:rPr>
      </w:pPr>
      <w:r w:rsidRPr="00AC061D">
        <w:rPr>
          <w:rFonts w:ascii="Arial" w:hAnsi="Arial" w:cs="Arial"/>
        </w:rPr>
        <w:t xml:space="preserve">Customer pays </w:t>
      </w:r>
      <w:r w:rsidR="004E47FB" w:rsidRPr="00AC061D">
        <w:rPr>
          <w:rFonts w:ascii="Arial" w:hAnsi="Arial" w:cs="Arial"/>
        </w:rPr>
        <w:t>by</w:t>
      </w:r>
      <w:r w:rsidRPr="00AC061D">
        <w:rPr>
          <w:rFonts w:ascii="Arial" w:hAnsi="Arial" w:cs="Arial"/>
        </w:rPr>
        <w:t xml:space="preserve"> credit cards 35% of the time. The credit card fee is 2,5% of </w:t>
      </w:r>
      <w:r w:rsidR="00520B16" w:rsidRPr="00AC061D">
        <w:rPr>
          <w:rFonts w:ascii="Arial" w:hAnsi="Arial" w:cs="Arial"/>
        </w:rPr>
        <w:t xml:space="preserve">credit card </w:t>
      </w:r>
      <w:r w:rsidR="004E47FB" w:rsidRPr="00AC061D">
        <w:rPr>
          <w:rFonts w:ascii="Arial" w:hAnsi="Arial" w:cs="Arial"/>
        </w:rPr>
        <w:t>sales</w:t>
      </w:r>
      <w:r w:rsidRPr="00AC061D">
        <w:rPr>
          <w:rFonts w:ascii="Arial" w:hAnsi="Arial" w:cs="Arial"/>
        </w:rPr>
        <w:t xml:space="preserve">, and it is </w:t>
      </w:r>
      <w:r w:rsidR="004E47FB" w:rsidRPr="00AC061D">
        <w:rPr>
          <w:rFonts w:ascii="Arial" w:hAnsi="Arial" w:cs="Arial"/>
        </w:rPr>
        <w:t>deducted</w:t>
      </w:r>
      <w:r w:rsidRPr="00AC061D">
        <w:rPr>
          <w:rFonts w:ascii="Arial" w:hAnsi="Arial" w:cs="Arial"/>
        </w:rPr>
        <w:t xml:space="preserve"> before cash is received</w:t>
      </w:r>
      <w:r w:rsidR="00520B16" w:rsidRPr="00AC061D">
        <w:rPr>
          <w:rFonts w:ascii="Arial" w:hAnsi="Arial" w:cs="Arial"/>
        </w:rPr>
        <w:t xml:space="preserve"> (Horner, 2020).</w:t>
      </w:r>
    </w:p>
    <w:p w14:paraId="6CC9ACF0" w14:textId="0ABFD1AD" w:rsidR="008B4764" w:rsidRPr="00AC061D" w:rsidRDefault="008B4764" w:rsidP="00AC061D">
      <w:pPr>
        <w:pStyle w:val="ListParagraph"/>
        <w:numPr>
          <w:ilvl w:val="0"/>
          <w:numId w:val="3"/>
        </w:numPr>
        <w:spacing w:line="360" w:lineRule="auto"/>
        <w:jc w:val="both"/>
        <w:rPr>
          <w:rFonts w:ascii="Arial" w:hAnsi="Arial" w:cs="Arial"/>
        </w:rPr>
      </w:pPr>
      <w:r w:rsidRPr="00AC061D">
        <w:rPr>
          <w:rFonts w:ascii="Arial" w:hAnsi="Arial" w:cs="Arial"/>
        </w:rPr>
        <w:t>Suppliers grant one month of credit; t</w:t>
      </w:r>
      <w:r w:rsidR="004E47FB" w:rsidRPr="00AC061D">
        <w:rPr>
          <w:rFonts w:ascii="Arial" w:hAnsi="Arial" w:cs="Arial"/>
        </w:rPr>
        <w:t>he business pays</w:t>
      </w:r>
      <w:r w:rsidRPr="00AC061D">
        <w:rPr>
          <w:rFonts w:ascii="Arial" w:hAnsi="Arial" w:cs="Arial"/>
        </w:rPr>
        <w:t xml:space="preserve"> for the stock purchases one month</w:t>
      </w:r>
      <w:r w:rsidR="004E47FB" w:rsidRPr="00AC061D">
        <w:rPr>
          <w:rFonts w:ascii="Arial" w:hAnsi="Arial" w:cs="Arial"/>
        </w:rPr>
        <w:t xml:space="preserve"> after </w:t>
      </w:r>
      <w:r w:rsidR="00DF59A6" w:rsidRPr="00AC061D">
        <w:rPr>
          <w:rFonts w:ascii="Arial" w:hAnsi="Arial" w:cs="Arial"/>
        </w:rPr>
        <w:t>purchase (</w:t>
      </w:r>
      <w:r w:rsidR="00520B16" w:rsidRPr="00AC061D">
        <w:rPr>
          <w:rFonts w:ascii="Arial" w:hAnsi="Arial" w:cs="Arial"/>
        </w:rPr>
        <w:t>Atrill and McLaney, 2018).</w:t>
      </w:r>
    </w:p>
    <w:p w14:paraId="35E8A5ED" w14:textId="1D68A54D" w:rsidR="008B4764" w:rsidRPr="00AC061D" w:rsidRDefault="008B4764" w:rsidP="00AC061D">
      <w:pPr>
        <w:pStyle w:val="ListParagraph"/>
        <w:numPr>
          <w:ilvl w:val="0"/>
          <w:numId w:val="3"/>
        </w:numPr>
        <w:spacing w:line="360" w:lineRule="auto"/>
        <w:jc w:val="both"/>
        <w:rPr>
          <w:rFonts w:ascii="Arial" w:hAnsi="Arial" w:cs="Arial"/>
        </w:rPr>
      </w:pPr>
      <w:r w:rsidRPr="00AC061D">
        <w:rPr>
          <w:rFonts w:ascii="Arial" w:hAnsi="Arial" w:cs="Arial"/>
        </w:rPr>
        <w:t>Selling expenses are payable in the following month.</w:t>
      </w:r>
    </w:p>
    <w:p w14:paraId="7F0D7226" w14:textId="31AA44BB" w:rsidR="008B4764" w:rsidRPr="00AC061D" w:rsidRDefault="008B4764" w:rsidP="00AC061D">
      <w:pPr>
        <w:pStyle w:val="ListParagraph"/>
        <w:numPr>
          <w:ilvl w:val="0"/>
          <w:numId w:val="3"/>
        </w:numPr>
        <w:spacing w:line="360" w:lineRule="auto"/>
        <w:jc w:val="both"/>
        <w:rPr>
          <w:rFonts w:ascii="Arial" w:hAnsi="Arial" w:cs="Arial"/>
        </w:rPr>
      </w:pPr>
      <w:r w:rsidRPr="00AC061D">
        <w:rPr>
          <w:rFonts w:ascii="Arial" w:hAnsi="Arial" w:cs="Arial"/>
        </w:rPr>
        <w:t>Depreciation of £7000 per month is one of the costs of running the business. The cash budget doesn’t contain depreciation, but the accruals profit and loss do.</w:t>
      </w:r>
    </w:p>
    <w:p w14:paraId="725B3FC4" w14:textId="1F34124A" w:rsidR="008B4764" w:rsidRPr="00AC061D" w:rsidRDefault="00567267" w:rsidP="00AC061D">
      <w:pPr>
        <w:pStyle w:val="ListParagraph"/>
        <w:numPr>
          <w:ilvl w:val="0"/>
          <w:numId w:val="3"/>
        </w:numPr>
        <w:spacing w:line="360" w:lineRule="auto"/>
        <w:jc w:val="both"/>
        <w:rPr>
          <w:rFonts w:ascii="Arial" w:hAnsi="Arial" w:cs="Arial"/>
        </w:rPr>
      </w:pPr>
      <w:r w:rsidRPr="00AC061D">
        <w:rPr>
          <w:rFonts w:ascii="Arial" w:hAnsi="Arial" w:cs="Arial"/>
        </w:rPr>
        <w:t>The company pays £5000 a month on its borrowing. The interest part is 20% of each payment, and the rest goes toward the loan balance. The full £5000 instalment is the monthly cash outflow, while the interest element is treated as a finance charge.</w:t>
      </w:r>
    </w:p>
    <w:p w14:paraId="5C14C601" w14:textId="558DC004" w:rsidR="00567267" w:rsidRPr="00AC061D" w:rsidRDefault="00567267" w:rsidP="00AC061D">
      <w:pPr>
        <w:pStyle w:val="ListParagraph"/>
        <w:numPr>
          <w:ilvl w:val="0"/>
          <w:numId w:val="3"/>
        </w:numPr>
        <w:spacing w:line="360" w:lineRule="auto"/>
        <w:jc w:val="both"/>
        <w:rPr>
          <w:rFonts w:ascii="Arial" w:hAnsi="Arial" w:cs="Arial"/>
        </w:rPr>
      </w:pPr>
      <w:r w:rsidRPr="00AC061D">
        <w:rPr>
          <w:rFonts w:ascii="Arial" w:hAnsi="Arial" w:cs="Arial"/>
        </w:rPr>
        <w:t xml:space="preserve">Payments for taxes are considered cash settlements instead of the tax expenses for the period, as the question presents </w:t>
      </w:r>
      <w:r w:rsidR="00B100AF" w:rsidRPr="00AC061D">
        <w:rPr>
          <w:rFonts w:ascii="Arial" w:hAnsi="Arial" w:cs="Arial"/>
        </w:rPr>
        <w:t>payments rather than an accrual basis tax charge (Seal, Garrison, and Noreen, 2018; Horner, 2020).</w:t>
      </w:r>
    </w:p>
    <w:p w14:paraId="26841555" w14:textId="706CA329" w:rsidR="00B100AF" w:rsidRPr="00AC061D" w:rsidRDefault="00B100AF" w:rsidP="00AC061D">
      <w:pPr>
        <w:pStyle w:val="ListParagraph"/>
        <w:spacing w:line="360" w:lineRule="auto"/>
        <w:jc w:val="both"/>
        <w:rPr>
          <w:rFonts w:ascii="Arial" w:hAnsi="Arial" w:cs="Arial"/>
        </w:rPr>
      </w:pPr>
    </w:p>
    <w:p w14:paraId="5EEF5F36" w14:textId="77777777" w:rsidR="00B100AF" w:rsidRPr="00AC061D" w:rsidRDefault="00B100AF" w:rsidP="00AC061D">
      <w:pPr>
        <w:pStyle w:val="ListParagraph"/>
        <w:spacing w:line="360" w:lineRule="auto"/>
        <w:jc w:val="both"/>
        <w:rPr>
          <w:rFonts w:ascii="Arial" w:hAnsi="Arial" w:cs="Arial"/>
        </w:rPr>
      </w:pPr>
    </w:p>
    <w:p w14:paraId="31BF9C3D" w14:textId="1E4C3CD2" w:rsidR="00B100AF" w:rsidRPr="00AC061D" w:rsidRDefault="00AC061D" w:rsidP="00AC061D">
      <w:pPr>
        <w:pStyle w:val="ListParagraph"/>
        <w:spacing w:line="360" w:lineRule="auto"/>
        <w:jc w:val="both"/>
        <w:rPr>
          <w:rFonts w:ascii="Arial" w:hAnsi="Arial" w:cs="Arial"/>
        </w:rPr>
      </w:pPr>
      <w:r w:rsidRPr="00AC061D">
        <w:rPr>
          <w:rFonts w:ascii="Arial" w:hAnsi="Arial" w:cs="Arial"/>
          <w:noProof/>
        </w:rPr>
        <w:lastRenderedPageBreak/>
        <w:drawing>
          <wp:inline distT="0" distB="0" distL="0" distR="0" wp14:anchorId="756384A3" wp14:editId="1F55167B">
            <wp:extent cx="5730240" cy="3771900"/>
            <wp:effectExtent l="0" t="0" r="3810" b="0"/>
            <wp:docPr id="19561060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3771900"/>
                    </a:xfrm>
                    <a:prstGeom prst="rect">
                      <a:avLst/>
                    </a:prstGeom>
                    <a:noFill/>
                    <a:ln>
                      <a:noFill/>
                    </a:ln>
                  </pic:spPr>
                </pic:pic>
              </a:graphicData>
            </a:graphic>
          </wp:inline>
        </w:drawing>
      </w:r>
    </w:p>
    <w:p w14:paraId="1BC69CEE" w14:textId="77777777" w:rsidR="00B100AF" w:rsidRPr="00AC061D" w:rsidRDefault="00B100AF" w:rsidP="00AC061D">
      <w:pPr>
        <w:pStyle w:val="ListParagraph"/>
        <w:spacing w:line="360" w:lineRule="auto"/>
        <w:jc w:val="both"/>
        <w:rPr>
          <w:rFonts w:ascii="Arial" w:hAnsi="Arial" w:cs="Arial"/>
        </w:rPr>
      </w:pPr>
    </w:p>
    <w:p w14:paraId="7F259CEA" w14:textId="79D57673" w:rsidR="00B100AF" w:rsidRPr="00AC061D" w:rsidRDefault="00B100AF" w:rsidP="00AC061D">
      <w:pPr>
        <w:pStyle w:val="ListParagraph"/>
        <w:spacing w:line="360" w:lineRule="auto"/>
        <w:jc w:val="both"/>
        <w:rPr>
          <w:rFonts w:ascii="Arial" w:hAnsi="Arial" w:cs="Arial"/>
        </w:rPr>
      </w:pPr>
    </w:p>
    <w:p w14:paraId="1A48F7DA" w14:textId="77777777" w:rsidR="00B100AF" w:rsidRPr="00AC061D" w:rsidRDefault="00B100AF" w:rsidP="00AC061D">
      <w:pPr>
        <w:pStyle w:val="ListParagraph"/>
        <w:spacing w:line="360" w:lineRule="auto"/>
        <w:jc w:val="both"/>
        <w:rPr>
          <w:rFonts w:ascii="Arial" w:hAnsi="Arial" w:cs="Arial"/>
        </w:rPr>
      </w:pPr>
    </w:p>
    <w:p w14:paraId="04B8A4F1" w14:textId="77777777" w:rsidR="00B100AF" w:rsidRPr="00AC061D" w:rsidRDefault="00B100AF" w:rsidP="00AC061D">
      <w:pPr>
        <w:pStyle w:val="ListParagraph"/>
        <w:spacing w:line="360" w:lineRule="auto"/>
        <w:jc w:val="both"/>
        <w:rPr>
          <w:rFonts w:ascii="Arial" w:hAnsi="Arial" w:cs="Arial"/>
        </w:rPr>
      </w:pPr>
    </w:p>
    <w:p w14:paraId="1A756AE5" w14:textId="77777777" w:rsidR="00B100AF" w:rsidRPr="00AC061D" w:rsidRDefault="00B100AF" w:rsidP="00AC061D">
      <w:pPr>
        <w:pStyle w:val="ListParagraph"/>
        <w:spacing w:line="360" w:lineRule="auto"/>
        <w:jc w:val="both"/>
        <w:rPr>
          <w:rFonts w:ascii="Arial" w:hAnsi="Arial" w:cs="Arial"/>
        </w:rPr>
      </w:pPr>
    </w:p>
    <w:p w14:paraId="0122A159" w14:textId="77777777" w:rsidR="00B100AF" w:rsidRPr="00AC061D" w:rsidRDefault="00B100AF" w:rsidP="00AC061D">
      <w:pPr>
        <w:pStyle w:val="ListParagraph"/>
        <w:spacing w:line="360" w:lineRule="auto"/>
        <w:jc w:val="both"/>
        <w:rPr>
          <w:rFonts w:ascii="Arial" w:hAnsi="Arial" w:cs="Arial"/>
        </w:rPr>
      </w:pPr>
    </w:p>
    <w:p w14:paraId="669CB282" w14:textId="77777777" w:rsidR="00B100AF" w:rsidRPr="00AC061D" w:rsidRDefault="00B100AF" w:rsidP="00AC061D">
      <w:pPr>
        <w:pStyle w:val="ListParagraph"/>
        <w:spacing w:line="360" w:lineRule="auto"/>
        <w:jc w:val="both"/>
        <w:rPr>
          <w:rFonts w:ascii="Arial" w:hAnsi="Arial" w:cs="Arial"/>
        </w:rPr>
      </w:pPr>
    </w:p>
    <w:p w14:paraId="51104E9F" w14:textId="77777777" w:rsidR="00B100AF" w:rsidRPr="00AC061D" w:rsidRDefault="00B100AF" w:rsidP="00AC061D">
      <w:pPr>
        <w:pStyle w:val="ListParagraph"/>
        <w:spacing w:line="360" w:lineRule="auto"/>
        <w:jc w:val="both"/>
        <w:rPr>
          <w:rFonts w:ascii="Arial" w:hAnsi="Arial" w:cs="Arial"/>
        </w:rPr>
      </w:pPr>
    </w:p>
    <w:p w14:paraId="4BAD2F6D" w14:textId="77777777" w:rsidR="00B100AF" w:rsidRPr="00AC061D" w:rsidRDefault="00B100AF" w:rsidP="00AC061D">
      <w:pPr>
        <w:pStyle w:val="ListParagraph"/>
        <w:spacing w:line="360" w:lineRule="auto"/>
        <w:jc w:val="both"/>
        <w:rPr>
          <w:rFonts w:ascii="Arial" w:hAnsi="Arial" w:cs="Arial"/>
        </w:rPr>
      </w:pPr>
    </w:p>
    <w:p w14:paraId="218C924B" w14:textId="77777777" w:rsidR="00B100AF" w:rsidRPr="00AC061D" w:rsidRDefault="00B100AF" w:rsidP="00AC061D">
      <w:pPr>
        <w:pStyle w:val="ListParagraph"/>
        <w:spacing w:line="360" w:lineRule="auto"/>
        <w:jc w:val="both"/>
        <w:rPr>
          <w:rFonts w:ascii="Arial" w:hAnsi="Arial" w:cs="Arial"/>
        </w:rPr>
      </w:pPr>
    </w:p>
    <w:p w14:paraId="0F300B09" w14:textId="77777777" w:rsidR="00B100AF" w:rsidRPr="00AC061D" w:rsidRDefault="00B100AF" w:rsidP="00AC061D">
      <w:pPr>
        <w:pStyle w:val="ListParagraph"/>
        <w:spacing w:line="360" w:lineRule="auto"/>
        <w:jc w:val="both"/>
        <w:rPr>
          <w:rFonts w:ascii="Arial" w:hAnsi="Arial" w:cs="Arial"/>
        </w:rPr>
      </w:pPr>
    </w:p>
    <w:p w14:paraId="1FD4E533" w14:textId="77777777" w:rsidR="00B100AF" w:rsidRPr="00AC061D" w:rsidRDefault="00B100AF" w:rsidP="00AC061D">
      <w:pPr>
        <w:pStyle w:val="ListParagraph"/>
        <w:spacing w:line="360" w:lineRule="auto"/>
        <w:jc w:val="both"/>
        <w:rPr>
          <w:rFonts w:ascii="Arial" w:hAnsi="Arial" w:cs="Arial"/>
        </w:rPr>
      </w:pPr>
    </w:p>
    <w:p w14:paraId="7C85FF5C" w14:textId="77777777" w:rsidR="00B100AF" w:rsidRPr="00AC061D" w:rsidRDefault="00B100AF" w:rsidP="00AC061D">
      <w:pPr>
        <w:pStyle w:val="ListParagraph"/>
        <w:spacing w:line="360" w:lineRule="auto"/>
        <w:jc w:val="both"/>
        <w:rPr>
          <w:rFonts w:ascii="Arial" w:hAnsi="Arial" w:cs="Arial"/>
        </w:rPr>
      </w:pPr>
    </w:p>
    <w:p w14:paraId="60BB0D0B" w14:textId="77777777" w:rsidR="00B100AF" w:rsidRPr="00AC061D" w:rsidRDefault="00B100AF" w:rsidP="00AC061D">
      <w:pPr>
        <w:pStyle w:val="ListParagraph"/>
        <w:spacing w:line="360" w:lineRule="auto"/>
        <w:jc w:val="both"/>
        <w:rPr>
          <w:rFonts w:ascii="Arial" w:hAnsi="Arial" w:cs="Arial"/>
        </w:rPr>
      </w:pPr>
    </w:p>
    <w:p w14:paraId="57703C81" w14:textId="77777777" w:rsidR="00B100AF" w:rsidRPr="00AC061D" w:rsidRDefault="00B100AF" w:rsidP="00AC061D">
      <w:pPr>
        <w:pStyle w:val="ListParagraph"/>
        <w:spacing w:line="360" w:lineRule="auto"/>
        <w:jc w:val="both"/>
        <w:rPr>
          <w:rFonts w:ascii="Arial" w:hAnsi="Arial" w:cs="Arial"/>
        </w:rPr>
      </w:pPr>
    </w:p>
    <w:p w14:paraId="05E67F3F" w14:textId="77777777" w:rsidR="00B100AF" w:rsidRPr="00AC061D" w:rsidRDefault="00B100AF" w:rsidP="00AC061D">
      <w:pPr>
        <w:pStyle w:val="ListParagraph"/>
        <w:spacing w:line="360" w:lineRule="auto"/>
        <w:jc w:val="both"/>
        <w:rPr>
          <w:rFonts w:ascii="Arial" w:hAnsi="Arial" w:cs="Arial"/>
        </w:rPr>
      </w:pPr>
    </w:p>
    <w:p w14:paraId="4CDB2E32" w14:textId="77777777" w:rsidR="00B100AF" w:rsidRPr="00AC061D" w:rsidRDefault="00B100AF" w:rsidP="00AC061D">
      <w:pPr>
        <w:pStyle w:val="ListParagraph"/>
        <w:spacing w:line="360" w:lineRule="auto"/>
        <w:jc w:val="both"/>
        <w:rPr>
          <w:rFonts w:ascii="Arial" w:hAnsi="Arial" w:cs="Arial"/>
        </w:rPr>
      </w:pPr>
    </w:p>
    <w:p w14:paraId="5E3234EE" w14:textId="77777777" w:rsidR="00B100AF" w:rsidRPr="00AC061D" w:rsidRDefault="00B100AF" w:rsidP="00AC061D">
      <w:pPr>
        <w:pStyle w:val="ListParagraph"/>
        <w:spacing w:line="360" w:lineRule="auto"/>
        <w:jc w:val="both"/>
        <w:rPr>
          <w:rFonts w:ascii="Arial" w:hAnsi="Arial" w:cs="Arial"/>
        </w:rPr>
      </w:pPr>
    </w:p>
    <w:p w14:paraId="70B51FB6" w14:textId="1F2D09D4" w:rsidR="00B100AF" w:rsidRPr="00AC061D" w:rsidRDefault="00B100AF" w:rsidP="00AC061D">
      <w:pPr>
        <w:pStyle w:val="Heading1"/>
        <w:numPr>
          <w:ilvl w:val="0"/>
          <w:numId w:val="2"/>
        </w:numPr>
        <w:spacing w:line="360" w:lineRule="auto"/>
        <w:jc w:val="both"/>
        <w:rPr>
          <w:rFonts w:ascii="Arial" w:hAnsi="Arial" w:cs="Arial"/>
          <w:sz w:val="24"/>
          <w:szCs w:val="24"/>
        </w:rPr>
      </w:pPr>
      <w:bookmarkStart w:id="5" w:name="_Toc224845288"/>
      <w:r w:rsidRPr="00AC061D">
        <w:rPr>
          <w:rFonts w:ascii="Arial" w:hAnsi="Arial" w:cs="Arial"/>
          <w:sz w:val="24"/>
          <w:szCs w:val="24"/>
        </w:rPr>
        <w:lastRenderedPageBreak/>
        <w:t>Budget for stock</w:t>
      </w:r>
      <w:bookmarkEnd w:id="5"/>
    </w:p>
    <w:p w14:paraId="53B12230" w14:textId="1FBCD52D" w:rsidR="00B100AF" w:rsidRPr="00AC061D" w:rsidRDefault="00B100AF" w:rsidP="00AC061D">
      <w:pPr>
        <w:spacing w:line="360" w:lineRule="auto"/>
        <w:jc w:val="both"/>
        <w:rPr>
          <w:rFonts w:ascii="Arial" w:hAnsi="Arial" w:cs="Arial"/>
        </w:rPr>
      </w:pPr>
      <w:r w:rsidRPr="00AC061D">
        <w:rPr>
          <w:rFonts w:ascii="Arial" w:hAnsi="Arial" w:cs="Arial"/>
        </w:rPr>
        <w:t>The stock budget starts with £100,000 in opening stock on July 1. Using the anticipated</w:t>
      </w:r>
      <w:r w:rsidR="006B42EC" w:rsidRPr="00AC061D">
        <w:rPr>
          <w:rFonts w:ascii="Arial" w:hAnsi="Arial" w:cs="Arial"/>
        </w:rPr>
        <w:t xml:space="preserve"> p</w:t>
      </w:r>
      <w:r w:rsidRPr="00AC061D">
        <w:rPr>
          <w:rFonts w:ascii="Arial" w:hAnsi="Arial" w:cs="Arial"/>
        </w:rPr>
        <w:t>urchases and the cost of sales based on the 40% gross margin, the closing stock goes up every month and reaches £388,000 by December. This is far beyond the minimal stock level of £50,000 and shows that the anticipated purchases are much greater than what is needed to support sales. In other words, inventory is not a “buffer”</w:t>
      </w:r>
      <w:r w:rsidR="008C5AB7" w:rsidRPr="00AC061D">
        <w:rPr>
          <w:rFonts w:ascii="Arial" w:hAnsi="Arial" w:cs="Arial"/>
        </w:rPr>
        <w:t>;</w:t>
      </w:r>
      <w:r w:rsidRPr="00AC061D">
        <w:rPr>
          <w:rFonts w:ascii="Arial" w:hAnsi="Arial" w:cs="Arial"/>
        </w:rPr>
        <w:t xml:space="preserve"> it is an investment </w:t>
      </w:r>
      <w:r w:rsidR="008C5AB7" w:rsidRPr="00AC061D">
        <w:rPr>
          <w:rFonts w:ascii="Arial" w:hAnsi="Arial" w:cs="Arial"/>
        </w:rPr>
        <w:t xml:space="preserve">in working capital that grows over time (Atrill </w:t>
      </w:r>
      <w:r w:rsidR="004E47FB" w:rsidRPr="00AC061D">
        <w:rPr>
          <w:rFonts w:ascii="Arial" w:hAnsi="Arial" w:cs="Arial"/>
        </w:rPr>
        <w:t>and</w:t>
      </w:r>
      <w:r w:rsidR="008C5AB7" w:rsidRPr="00AC061D">
        <w:rPr>
          <w:rFonts w:ascii="Arial" w:hAnsi="Arial" w:cs="Arial"/>
        </w:rPr>
        <w:t xml:space="preserve"> McLaney, 2021).</w:t>
      </w:r>
    </w:p>
    <w:p w14:paraId="0B25E414" w14:textId="1D4A4228" w:rsidR="008C5AB7" w:rsidRPr="00AC061D" w:rsidRDefault="008C5AB7" w:rsidP="00AC061D">
      <w:pPr>
        <w:spacing w:line="360" w:lineRule="auto"/>
        <w:jc w:val="both"/>
        <w:rPr>
          <w:rFonts w:ascii="Arial" w:hAnsi="Arial" w:cs="Arial"/>
        </w:rPr>
      </w:pPr>
      <w:r w:rsidRPr="00AC061D">
        <w:rPr>
          <w:rFonts w:ascii="Arial" w:hAnsi="Arial" w:cs="Arial"/>
        </w:rPr>
        <w:t>There are a few reasons why an inventory profile could rise: planned seasonal buildup, hedging against supplier price changes, smoothing production, or a lack of discipline when buying.</w:t>
      </w:r>
    </w:p>
    <w:p w14:paraId="48261092" w14:textId="7DCAC4FF" w:rsidR="008C5AB7" w:rsidRPr="00AC061D" w:rsidRDefault="008C5AB7" w:rsidP="00AC061D">
      <w:pPr>
        <w:spacing w:line="360" w:lineRule="auto"/>
        <w:jc w:val="both"/>
        <w:rPr>
          <w:rFonts w:ascii="Arial" w:hAnsi="Arial" w:cs="Arial"/>
        </w:rPr>
      </w:pPr>
      <w:r w:rsidRPr="00AC061D">
        <w:rPr>
          <w:rFonts w:ascii="Arial" w:hAnsi="Arial" w:cs="Arial"/>
        </w:rPr>
        <w:t>The issue is that inventory takes up capital and raises expenses for holding, markdowns, and obsolescence, especially in fashion and casual apparel, where product cycles are short (Drury, 2021). It also suggests that budget owners may be concentrating on activity levels instead of monetary outcomes, a typical flaw of incremental budgeting when spending habits persist without new scrutiny (Bhimani, 2006).</w:t>
      </w:r>
    </w:p>
    <w:p w14:paraId="7513A9F1" w14:textId="20B083D4" w:rsidR="00AC061D" w:rsidRPr="00AC061D" w:rsidRDefault="00AC061D" w:rsidP="00AC061D">
      <w:pPr>
        <w:spacing w:line="360" w:lineRule="auto"/>
        <w:jc w:val="both"/>
        <w:rPr>
          <w:rFonts w:ascii="Arial" w:hAnsi="Arial" w:cs="Arial"/>
        </w:rPr>
      </w:pPr>
      <w:r w:rsidRPr="00AC061D">
        <w:rPr>
          <w:rFonts w:ascii="Arial" w:hAnsi="Arial" w:cs="Arial"/>
          <w:noProof/>
        </w:rPr>
        <w:drawing>
          <wp:inline distT="0" distB="0" distL="0" distR="0" wp14:anchorId="3F912D29" wp14:editId="6B36643E">
            <wp:extent cx="5730240" cy="1501140"/>
            <wp:effectExtent l="0" t="0" r="3810" b="3810"/>
            <wp:docPr id="7065196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1501140"/>
                    </a:xfrm>
                    <a:prstGeom prst="rect">
                      <a:avLst/>
                    </a:prstGeom>
                    <a:noFill/>
                    <a:ln>
                      <a:noFill/>
                    </a:ln>
                  </pic:spPr>
                </pic:pic>
              </a:graphicData>
            </a:graphic>
          </wp:inline>
        </w:drawing>
      </w:r>
    </w:p>
    <w:p w14:paraId="48B6973C" w14:textId="77777777" w:rsidR="008C5AB7" w:rsidRPr="00AC061D" w:rsidRDefault="008C5AB7" w:rsidP="00AC061D">
      <w:pPr>
        <w:spacing w:line="360" w:lineRule="auto"/>
        <w:jc w:val="both"/>
        <w:rPr>
          <w:rFonts w:ascii="Arial" w:hAnsi="Arial" w:cs="Arial"/>
        </w:rPr>
      </w:pPr>
    </w:p>
    <w:p w14:paraId="3BAB21D9" w14:textId="77777777" w:rsidR="008C5AB7" w:rsidRPr="00AC061D" w:rsidRDefault="008C5AB7" w:rsidP="00AC061D">
      <w:pPr>
        <w:spacing w:line="360" w:lineRule="auto"/>
        <w:jc w:val="both"/>
        <w:rPr>
          <w:rFonts w:ascii="Arial" w:hAnsi="Arial" w:cs="Arial"/>
        </w:rPr>
      </w:pPr>
    </w:p>
    <w:p w14:paraId="04B499A7" w14:textId="6BE3A92F" w:rsidR="008C5AB7" w:rsidRPr="00AC061D" w:rsidRDefault="001933CE" w:rsidP="00AC061D">
      <w:pPr>
        <w:pStyle w:val="Heading2"/>
        <w:spacing w:line="360" w:lineRule="auto"/>
        <w:jc w:val="both"/>
        <w:rPr>
          <w:rFonts w:ascii="Arial" w:hAnsi="Arial" w:cs="Arial"/>
          <w:sz w:val="24"/>
          <w:szCs w:val="24"/>
        </w:rPr>
      </w:pPr>
      <w:bookmarkStart w:id="6" w:name="_Toc224845289"/>
      <w:r w:rsidRPr="00AC061D">
        <w:rPr>
          <w:rFonts w:ascii="Arial" w:hAnsi="Arial" w:cs="Arial"/>
          <w:sz w:val="24"/>
          <w:szCs w:val="24"/>
        </w:rPr>
        <w:t>3.1</w:t>
      </w:r>
      <w:r w:rsidR="0063508B" w:rsidRPr="00AC061D">
        <w:rPr>
          <w:rFonts w:ascii="Arial" w:hAnsi="Arial" w:cs="Arial"/>
          <w:sz w:val="24"/>
          <w:szCs w:val="24"/>
        </w:rPr>
        <w:t xml:space="preserve"> </w:t>
      </w:r>
      <w:r w:rsidRPr="00AC061D">
        <w:rPr>
          <w:rFonts w:ascii="Arial" w:hAnsi="Arial" w:cs="Arial"/>
          <w:sz w:val="24"/>
          <w:szCs w:val="24"/>
        </w:rPr>
        <w:t>Cash budget</w:t>
      </w:r>
      <w:bookmarkEnd w:id="6"/>
    </w:p>
    <w:p w14:paraId="2E7C9799" w14:textId="77777777" w:rsidR="001933CE" w:rsidRPr="00AC061D" w:rsidRDefault="001933CE" w:rsidP="00AC061D">
      <w:pPr>
        <w:pStyle w:val="ListParagraph"/>
        <w:spacing w:line="360" w:lineRule="auto"/>
        <w:ind w:left="732"/>
        <w:jc w:val="both"/>
        <w:rPr>
          <w:rFonts w:ascii="Arial" w:hAnsi="Arial" w:cs="Arial"/>
        </w:rPr>
      </w:pPr>
    </w:p>
    <w:p w14:paraId="784CE82C" w14:textId="4CA315E4" w:rsidR="001933CE" w:rsidRPr="00AC061D" w:rsidRDefault="001933CE" w:rsidP="00AC061D">
      <w:pPr>
        <w:spacing w:line="360" w:lineRule="auto"/>
        <w:jc w:val="both"/>
        <w:rPr>
          <w:rFonts w:ascii="Arial" w:hAnsi="Arial" w:cs="Arial"/>
        </w:rPr>
      </w:pPr>
      <w:r w:rsidRPr="00AC061D">
        <w:rPr>
          <w:rFonts w:ascii="Arial" w:hAnsi="Arial" w:cs="Arial"/>
        </w:rPr>
        <w:t>The cash budget keeps track of how much cash and overdraft they have at the beginning and end of each month</w:t>
      </w:r>
      <w:r w:rsidR="00B47882" w:rsidRPr="00AC061D">
        <w:rPr>
          <w:rFonts w:ascii="Arial" w:hAnsi="Arial" w:cs="Arial"/>
        </w:rPr>
        <w:t xml:space="preserve">. Silver Stitch remains in overdraft during July and August, moves into a positive cash position by the end of September, and ends December with a positive cash balance of about £59,250. </w:t>
      </w:r>
    </w:p>
    <w:p w14:paraId="367B9EF8" w14:textId="5F3B990C" w:rsidR="00B47882" w:rsidRPr="00AC061D" w:rsidRDefault="00B47882" w:rsidP="00AC061D">
      <w:pPr>
        <w:spacing w:line="360" w:lineRule="auto"/>
        <w:jc w:val="both"/>
        <w:rPr>
          <w:rFonts w:ascii="Arial" w:hAnsi="Arial" w:cs="Arial"/>
        </w:rPr>
      </w:pPr>
      <w:r w:rsidRPr="00AC061D">
        <w:rPr>
          <w:rFonts w:ascii="Arial" w:hAnsi="Arial" w:cs="Arial"/>
        </w:rPr>
        <w:lastRenderedPageBreak/>
        <w:t xml:space="preserve">Strong sales and the fact that supplier credit lets you wait a month to pay for purchases are the main reasons. From July to September, cash flow problems are worse because of greater stock payments (for purchases made the month before), </w:t>
      </w:r>
      <w:r w:rsidR="004E47FB" w:rsidRPr="00AC061D">
        <w:rPr>
          <w:rFonts w:ascii="Arial" w:hAnsi="Arial" w:cs="Arial"/>
        </w:rPr>
        <w:t>refurbishment</w:t>
      </w:r>
      <w:r w:rsidRPr="00AC061D">
        <w:rPr>
          <w:rFonts w:ascii="Arial" w:hAnsi="Arial" w:cs="Arial"/>
        </w:rPr>
        <w:t xml:space="preserve"> payments, and the September tax payment (Drury, 2021).</w:t>
      </w:r>
    </w:p>
    <w:p w14:paraId="34D803EB" w14:textId="02C0052D" w:rsidR="00B47882" w:rsidRPr="00AC061D" w:rsidRDefault="00B47882" w:rsidP="00AC061D">
      <w:pPr>
        <w:spacing w:line="360" w:lineRule="auto"/>
        <w:jc w:val="both"/>
        <w:rPr>
          <w:rFonts w:ascii="Arial" w:hAnsi="Arial" w:cs="Arial"/>
        </w:rPr>
      </w:pPr>
      <w:r w:rsidRPr="00AC061D">
        <w:rPr>
          <w:rFonts w:ascii="Arial" w:hAnsi="Arial" w:cs="Arial"/>
        </w:rPr>
        <w:t>The cash budget will cover the bank’s requirements by December, but this is not a good place to be. First, liquidity depends a lot on how</w:t>
      </w:r>
      <w:r w:rsidR="00C2742D" w:rsidRPr="00AC061D">
        <w:rPr>
          <w:rFonts w:ascii="Arial" w:hAnsi="Arial" w:cs="Arial"/>
        </w:rPr>
        <w:t xml:space="preserve"> well sales keep going. Second, the company has a lot of stock, and if sales </w:t>
      </w:r>
      <w:r w:rsidR="006B42EC" w:rsidRPr="00AC061D">
        <w:rPr>
          <w:rFonts w:ascii="Arial" w:hAnsi="Arial" w:cs="Arial"/>
        </w:rPr>
        <w:t>slow down</w:t>
      </w:r>
      <w:r w:rsidR="00C2742D" w:rsidRPr="00AC061D">
        <w:rPr>
          <w:rFonts w:ascii="Arial" w:hAnsi="Arial" w:cs="Arial"/>
        </w:rPr>
        <w:t xml:space="preserve">, it could cost them money. Third, the cash budget shows that the business is spending a lot of money on things that aren’t necessary (like refurbishment), even while it is still in debt. This may worry lenders unless the refurbishment is necessary to keep revenue coming in (Horner, 2020; Atrill </w:t>
      </w:r>
      <w:r w:rsidR="004E47FB" w:rsidRPr="00AC061D">
        <w:rPr>
          <w:rFonts w:ascii="Arial" w:hAnsi="Arial" w:cs="Arial"/>
        </w:rPr>
        <w:t xml:space="preserve">and </w:t>
      </w:r>
      <w:r w:rsidR="00C2742D" w:rsidRPr="00AC061D">
        <w:rPr>
          <w:rFonts w:ascii="Arial" w:hAnsi="Arial" w:cs="Arial"/>
        </w:rPr>
        <w:t>McLaney, 2018).</w:t>
      </w:r>
    </w:p>
    <w:p w14:paraId="2A7783D7" w14:textId="613BBE81" w:rsidR="00AC061D" w:rsidRPr="00AC061D" w:rsidRDefault="00AC061D" w:rsidP="00AC061D">
      <w:pPr>
        <w:spacing w:line="360" w:lineRule="auto"/>
        <w:jc w:val="both"/>
        <w:rPr>
          <w:rFonts w:ascii="Arial" w:hAnsi="Arial" w:cs="Arial"/>
        </w:rPr>
      </w:pPr>
      <w:r w:rsidRPr="00AC061D">
        <w:rPr>
          <w:rFonts w:ascii="Arial" w:hAnsi="Arial" w:cs="Arial"/>
          <w:noProof/>
        </w:rPr>
        <w:drawing>
          <wp:inline distT="0" distB="0" distL="0" distR="0" wp14:anchorId="78626ED4" wp14:editId="22924A5E">
            <wp:extent cx="5730240" cy="3200400"/>
            <wp:effectExtent l="0" t="0" r="3810" b="0"/>
            <wp:docPr id="1117013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3200400"/>
                    </a:xfrm>
                    <a:prstGeom prst="rect">
                      <a:avLst/>
                    </a:prstGeom>
                    <a:noFill/>
                    <a:ln>
                      <a:noFill/>
                    </a:ln>
                  </pic:spPr>
                </pic:pic>
              </a:graphicData>
            </a:graphic>
          </wp:inline>
        </w:drawing>
      </w:r>
    </w:p>
    <w:p w14:paraId="22244933" w14:textId="77777777" w:rsidR="00B47882" w:rsidRPr="00AC061D" w:rsidRDefault="00B47882" w:rsidP="00AC061D">
      <w:pPr>
        <w:spacing w:line="360" w:lineRule="auto"/>
        <w:jc w:val="both"/>
        <w:rPr>
          <w:rFonts w:ascii="Arial" w:hAnsi="Arial" w:cs="Arial"/>
        </w:rPr>
      </w:pPr>
    </w:p>
    <w:p w14:paraId="73449BC2" w14:textId="42494093" w:rsidR="008C5AB7" w:rsidRPr="00AC061D" w:rsidRDefault="00C2742D" w:rsidP="00AC061D">
      <w:pPr>
        <w:pStyle w:val="Heading2"/>
        <w:spacing w:line="360" w:lineRule="auto"/>
        <w:jc w:val="both"/>
        <w:rPr>
          <w:rFonts w:ascii="Arial" w:hAnsi="Arial" w:cs="Arial"/>
          <w:sz w:val="24"/>
          <w:szCs w:val="24"/>
        </w:rPr>
      </w:pPr>
      <w:bookmarkStart w:id="7" w:name="_Toc224845290"/>
      <w:r w:rsidRPr="00AC061D">
        <w:rPr>
          <w:rFonts w:ascii="Arial" w:hAnsi="Arial" w:cs="Arial"/>
          <w:sz w:val="24"/>
          <w:szCs w:val="24"/>
        </w:rPr>
        <w:t>3.2 Planned profit and loss</w:t>
      </w:r>
      <w:bookmarkEnd w:id="7"/>
    </w:p>
    <w:p w14:paraId="04AE9068" w14:textId="77777777" w:rsidR="00C2742D" w:rsidRPr="00AC061D" w:rsidRDefault="00C2742D" w:rsidP="00AC061D">
      <w:pPr>
        <w:spacing w:line="360" w:lineRule="auto"/>
        <w:jc w:val="both"/>
        <w:rPr>
          <w:rFonts w:ascii="Arial" w:hAnsi="Arial" w:cs="Arial"/>
        </w:rPr>
      </w:pPr>
    </w:p>
    <w:p w14:paraId="22C09F9A" w14:textId="79E5E577" w:rsidR="00C2742D" w:rsidRPr="00AC061D" w:rsidRDefault="00C2742D" w:rsidP="00AC061D">
      <w:pPr>
        <w:spacing w:line="360" w:lineRule="auto"/>
        <w:jc w:val="both"/>
        <w:rPr>
          <w:rFonts w:ascii="Arial" w:hAnsi="Arial" w:cs="Arial"/>
        </w:rPr>
      </w:pPr>
      <w:r w:rsidRPr="00AC061D">
        <w:rPr>
          <w:rFonts w:ascii="Arial" w:hAnsi="Arial" w:cs="Arial"/>
        </w:rPr>
        <w:t xml:space="preserve">The budgeted profit and loss account for July to December </w:t>
      </w:r>
      <w:r w:rsidR="004E47FB" w:rsidRPr="00AC061D">
        <w:rPr>
          <w:rFonts w:ascii="Arial" w:hAnsi="Arial" w:cs="Arial"/>
        </w:rPr>
        <w:t>shows</w:t>
      </w:r>
      <w:r w:rsidRPr="00AC061D">
        <w:rPr>
          <w:rFonts w:ascii="Arial" w:hAnsi="Arial" w:cs="Arial"/>
        </w:rPr>
        <w:t xml:space="preserve"> that the business is </w:t>
      </w:r>
      <w:r w:rsidR="004E47FB" w:rsidRPr="00AC061D">
        <w:rPr>
          <w:rFonts w:ascii="Arial" w:hAnsi="Arial" w:cs="Arial"/>
        </w:rPr>
        <w:t>profitable over the six months</w:t>
      </w:r>
      <w:r w:rsidRPr="00AC061D">
        <w:rPr>
          <w:rFonts w:ascii="Arial" w:hAnsi="Arial" w:cs="Arial"/>
        </w:rPr>
        <w:t>. The gross profit for the six months is £588,000, which is a 40% gross margin.</w:t>
      </w:r>
    </w:p>
    <w:p w14:paraId="70BE70DF" w14:textId="194FC894" w:rsidR="00C2742D" w:rsidRPr="00AC061D" w:rsidRDefault="00C2742D" w:rsidP="00AC061D">
      <w:pPr>
        <w:spacing w:line="360" w:lineRule="auto"/>
        <w:jc w:val="both"/>
        <w:rPr>
          <w:rFonts w:ascii="Arial" w:hAnsi="Arial" w:cs="Arial"/>
        </w:rPr>
      </w:pPr>
      <w:r w:rsidRPr="00AC061D">
        <w:rPr>
          <w:rFonts w:ascii="Arial" w:hAnsi="Arial" w:cs="Arial"/>
        </w:rPr>
        <w:t>The planned net profit is about £3</w:t>
      </w:r>
      <w:r w:rsidR="005F649D" w:rsidRPr="00AC061D">
        <w:rPr>
          <w:rFonts w:ascii="Arial" w:hAnsi="Arial" w:cs="Arial"/>
        </w:rPr>
        <w:t>13,14</w:t>
      </w:r>
      <w:r w:rsidRPr="00AC061D">
        <w:rPr>
          <w:rFonts w:ascii="Arial" w:hAnsi="Arial" w:cs="Arial"/>
        </w:rPr>
        <w:t xml:space="preserve">0 after </w:t>
      </w:r>
      <w:r w:rsidR="00F13284" w:rsidRPr="00AC061D">
        <w:rPr>
          <w:rFonts w:ascii="Arial" w:hAnsi="Arial" w:cs="Arial"/>
        </w:rPr>
        <w:t>paying for</w:t>
      </w:r>
      <w:r w:rsidRPr="00AC061D">
        <w:rPr>
          <w:rFonts w:ascii="Arial" w:hAnsi="Arial" w:cs="Arial"/>
        </w:rPr>
        <w:t xml:space="preserve"> things like credit card fees,</w:t>
      </w:r>
      <w:r w:rsidR="00F13284" w:rsidRPr="00AC061D">
        <w:rPr>
          <w:rFonts w:ascii="Arial" w:hAnsi="Arial" w:cs="Arial"/>
        </w:rPr>
        <w:t xml:space="preserve"> borrowing costs, and administrative and marketing expenditures. This is a good </w:t>
      </w:r>
      <w:r w:rsidR="00F13284" w:rsidRPr="00AC061D">
        <w:rPr>
          <w:rFonts w:ascii="Arial" w:hAnsi="Arial" w:cs="Arial"/>
        </w:rPr>
        <w:lastRenderedPageBreak/>
        <w:t>reminder that cash and profit are not the same thing. If working capital grows or if timing discrepancies are bad, the business can still be profitable but have cash flow concerns (Atrill and McLaney, 2021; Drury, 2021). The main risk here is that the stock takes up cash even when earnings look good.</w:t>
      </w:r>
      <w:r w:rsidR="004E47FB" w:rsidRPr="00AC061D">
        <w:rPr>
          <w:rFonts w:ascii="Arial" w:hAnsi="Arial" w:cs="Arial"/>
        </w:rPr>
        <w:t xml:space="preserve"> That distinction between cash position and accounting performance is a basic financial reporting issue as well (Kotkitz, 2017).</w:t>
      </w:r>
    </w:p>
    <w:p w14:paraId="38E1AF62" w14:textId="112B7358" w:rsidR="00AC061D" w:rsidRPr="00AC061D" w:rsidRDefault="00AC061D" w:rsidP="00AC061D">
      <w:pPr>
        <w:spacing w:line="360" w:lineRule="auto"/>
        <w:jc w:val="both"/>
        <w:rPr>
          <w:rFonts w:ascii="Arial" w:hAnsi="Arial" w:cs="Arial"/>
        </w:rPr>
      </w:pPr>
      <w:r w:rsidRPr="00AC061D">
        <w:rPr>
          <w:rFonts w:ascii="Arial" w:hAnsi="Arial" w:cs="Arial"/>
          <w:noProof/>
        </w:rPr>
        <w:drawing>
          <wp:inline distT="0" distB="0" distL="0" distR="0" wp14:anchorId="0ECAA954" wp14:editId="67570A1A">
            <wp:extent cx="5730240" cy="2575560"/>
            <wp:effectExtent l="0" t="0" r="3810" b="0"/>
            <wp:docPr id="16873368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2575560"/>
                    </a:xfrm>
                    <a:prstGeom prst="rect">
                      <a:avLst/>
                    </a:prstGeom>
                    <a:noFill/>
                    <a:ln>
                      <a:noFill/>
                    </a:ln>
                  </pic:spPr>
                </pic:pic>
              </a:graphicData>
            </a:graphic>
          </wp:inline>
        </w:drawing>
      </w:r>
    </w:p>
    <w:p w14:paraId="1E1E6AE5" w14:textId="77777777" w:rsidR="008B0C14" w:rsidRPr="00AC061D" w:rsidRDefault="008B0C14" w:rsidP="00AC061D">
      <w:pPr>
        <w:spacing w:line="360" w:lineRule="auto"/>
        <w:jc w:val="both"/>
        <w:rPr>
          <w:rFonts w:ascii="Arial" w:hAnsi="Arial" w:cs="Arial"/>
        </w:rPr>
      </w:pPr>
    </w:p>
    <w:p w14:paraId="760CCE5F" w14:textId="3098D6B3" w:rsidR="00F13284" w:rsidRPr="00AC061D" w:rsidRDefault="00F13284" w:rsidP="00AC061D">
      <w:pPr>
        <w:pStyle w:val="Heading2"/>
        <w:spacing w:line="360" w:lineRule="auto"/>
        <w:jc w:val="both"/>
        <w:rPr>
          <w:rFonts w:ascii="Arial" w:hAnsi="Arial" w:cs="Arial"/>
          <w:sz w:val="24"/>
          <w:szCs w:val="24"/>
        </w:rPr>
      </w:pPr>
      <w:bookmarkStart w:id="8" w:name="_Toc224845291"/>
      <w:r w:rsidRPr="00AC061D">
        <w:rPr>
          <w:rFonts w:ascii="Arial" w:hAnsi="Arial" w:cs="Arial"/>
          <w:sz w:val="24"/>
          <w:szCs w:val="24"/>
        </w:rPr>
        <w:t>3.3 Information needs for management and keeping an eye on performance</w:t>
      </w:r>
      <w:bookmarkEnd w:id="8"/>
      <w:r w:rsidRPr="00AC061D">
        <w:rPr>
          <w:rFonts w:ascii="Arial" w:hAnsi="Arial" w:cs="Arial"/>
          <w:sz w:val="24"/>
          <w:szCs w:val="24"/>
        </w:rPr>
        <w:t xml:space="preserve"> </w:t>
      </w:r>
    </w:p>
    <w:p w14:paraId="118F4655" w14:textId="77777777" w:rsidR="00F13284" w:rsidRPr="00AC061D" w:rsidRDefault="00F13284" w:rsidP="00AC061D">
      <w:pPr>
        <w:spacing w:line="360" w:lineRule="auto"/>
        <w:jc w:val="both"/>
        <w:rPr>
          <w:rFonts w:ascii="Arial" w:hAnsi="Arial" w:cs="Arial"/>
        </w:rPr>
      </w:pPr>
    </w:p>
    <w:p w14:paraId="05352E73" w14:textId="4638632A" w:rsidR="00F13284" w:rsidRPr="00AC061D" w:rsidRDefault="008B0C14" w:rsidP="00AC061D">
      <w:pPr>
        <w:spacing w:line="360" w:lineRule="auto"/>
        <w:jc w:val="both"/>
        <w:rPr>
          <w:rFonts w:ascii="Arial" w:hAnsi="Arial" w:cs="Arial"/>
        </w:rPr>
      </w:pPr>
      <w:r w:rsidRPr="00AC061D">
        <w:rPr>
          <w:rFonts w:ascii="Arial" w:hAnsi="Arial" w:cs="Arial"/>
        </w:rPr>
        <w:t>Directors require management information that shows what drives performance and points up warning signs early on. In terms of revenues, that entails breaking down sales by channel, product category</w:t>
      </w:r>
      <w:r w:rsidR="004864DF" w:rsidRPr="00AC061D">
        <w:rPr>
          <w:rFonts w:ascii="Arial" w:hAnsi="Arial" w:cs="Arial"/>
        </w:rPr>
        <w:t>, and region, as well as showing how sales volume fluctuates with price adjustments.</w:t>
      </w:r>
    </w:p>
    <w:p w14:paraId="099EF6CB" w14:textId="3ABFAF81" w:rsidR="004864DF" w:rsidRPr="00AC061D" w:rsidRDefault="004864DF" w:rsidP="00AC061D">
      <w:pPr>
        <w:spacing w:line="360" w:lineRule="auto"/>
        <w:jc w:val="both"/>
        <w:rPr>
          <w:rFonts w:ascii="Arial" w:hAnsi="Arial" w:cs="Arial"/>
        </w:rPr>
      </w:pPr>
      <w:r w:rsidRPr="00AC061D">
        <w:rPr>
          <w:rFonts w:ascii="Arial" w:hAnsi="Arial" w:cs="Arial"/>
        </w:rPr>
        <w:t>A single income line can mask changes in discounts or mix that lower gross margin (Drury, 2021; Datar and Rajan, 2017). Directors need to know how costs behave in order to make decisions about them. This means knowing which expenses are stable, which are variable, and which are step costs. Managers cannot foresee the reactions of cash and profit to declining sales volumes without that (Seal, Garrison, and Noreen, 2018).</w:t>
      </w:r>
    </w:p>
    <w:p w14:paraId="6EF32F81" w14:textId="77777777" w:rsidR="004864DF" w:rsidRPr="00AC061D" w:rsidRDefault="004864DF" w:rsidP="00AC061D">
      <w:pPr>
        <w:spacing w:line="360" w:lineRule="auto"/>
        <w:jc w:val="both"/>
        <w:rPr>
          <w:rFonts w:ascii="Arial" w:hAnsi="Arial" w:cs="Arial"/>
        </w:rPr>
      </w:pPr>
    </w:p>
    <w:p w14:paraId="78A21645" w14:textId="54C6EFB7" w:rsidR="004864DF" w:rsidRPr="00AC061D" w:rsidRDefault="004864DF" w:rsidP="00AC061D">
      <w:pPr>
        <w:spacing w:line="360" w:lineRule="auto"/>
        <w:jc w:val="both"/>
        <w:rPr>
          <w:rFonts w:ascii="Arial" w:hAnsi="Arial" w:cs="Arial"/>
        </w:rPr>
      </w:pPr>
      <w:r w:rsidRPr="00AC061D">
        <w:rPr>
          <w:rFonts w:ascii="Arial" w:hAnsi="Arial" w:cs="Arial"/>
        </w:rPr>
        <w:t>A working capital lens is also needed for monitoring. A straightforward and reliable dashboard would feature stock days, stock turnover, aged stock, debtor days</w:t>
      </w:r>
      <w:r w:rsidR="0015659F" w:rsidRPr="00AC061D">
        <w:rPr>
          <w:rFonts w:ascii="Arial" w:hAnsi="Arial" w:cs="Arial"/>
        </w:rPr>
        <w:t xml:space="preserve">, creditor </w:t>
      </w:r>
      <w:r w:rsidR="0015659F" w:rsidRPr="00AC061D">
        <w:rPr>
          <w:rFonts w:ascii="Arial" w:hAnsi="Arial" w:cs="Arial"/>
        </w:rPr>
        <w:lastRenderedPageBreak/>
        <w:t xml:space="preserve">days, and a weekly cash runway metric (Atrill and McLaney, 2021; Walsh, 2008). These steps help with the second learning goal, which is keeping an eye on and judging financial performance. </w:t>
      </w:r>
    </w:p>
    <w:p w14:paraId="54AC65C4" w14:textId="67E89107" w:rsidR="0015659F" w:rsidRPr="00AC061D" w:rsidRDefault="0015659F" w:rsidP="00AC061D">
      <w:pPr>
        <w:spacing w:line="360" w:lineRule="auto"/>
        <w:jc w:val="both"/>
        <w:rPr>
          <w:rFonts w:ascii="Arial" w:hAnsi="Arial" w:cs="Arial"/>
        </w:rPr>
      </w:pPr>
      <w:r w:rsidRPr="00AC061D">
        <w:rPr>
          <w:rFonts w:ascii="Arial" w:hAnsi="Arial" w:cs="Arial"/>
        </w:rPr>
        <w:t xml:space="preserve">Ratio analysis is useful because it turns raw numbers into indications that can be compared. However, managers need to look at ratios in context and not see them as “good or bad” responses (Walsh, 2008; Atrill and McLaney, 2018). A higher current ratio may seem like a good thing, but it could </w:t>
      </w:r>
      <w:r w:rsidR="006B42EC" w:rsidRPr="00AC061D">
        <w:rPr>
          <w:rFonts w:ascii="Arial" w:hAnsi="Arial" w:cs="Arial"/>
        </w:rPr>
        <w:t>mean</w:t>
      </w:r>
      <w:r w:rsidRPr="00AC061D">
        <w:rPr>
          <w:rFonts w:ascii="Arial" w:hAnsi="Arial" w:cs="Arial"/>
        </w:rPr>
        <w:t xml:space="preserve"> </w:t>
      </w:r>
      <w:r w:rsidR="003654AD" w:rsidRPr="00AC061D">
        <w:rPr>
          <w:rFonts w:ascii="Arial" w:hAnsi="Arial" w:cs="Arial"/>
        </w:rPr>
        <w:t>too</w:t>
      </w:r>
      <w:r w:rsidRPr="00AC061D">
        <w:rPr>
          <w:rFonts w:ascii="Arial" w:hAnsi="Arial" w:cs="Arial"/>
        </w:rPr>
        <w:t xml:space="preserve"> much inventory, which is a problem in this case.</w:t>
      </w:r>
    </w:p>
    <w:p w14:paraId="5B517375" w14:textId="7BA538F6" w:rsidR="0015659F" w:rsidRPr="00AC061D" w:rsidRDefault="009A3928" w:rsidP="00AC061D">
      <w:pPr>
        <w:spacing w:line="360" w:lineRule="auto"/>
        <w:jc w:val="both"/>
        <w:rPr>
          <w:rFonts w:ascii="Arial" w:hAnsi="Arial" w:cs="Arial"/>
        </w:rPr>
      </w:pPr>
      <w:r w:rsidRPr="00AC061D">
        <w:rPr>
          <w:rFonts w:ascii="Arial" w:hAnsi="Arial" w:cs="Arial"/>
        </w:rPr>
        <w:t xml:space="preserve">When management just uses one set of numbers, budgeting becomes unstable. In apparel markets, demand can fluctuate swiftly because of discount pressure and changes in demand. Directors should add at least three scenarios to the cash forecast: a base case </w:t>
      </w:r>
      <w:r w:rsidR="003654AD" w:rsidRPr="00AC061D">
        <w:rPr>
          <w:rFonts w:ascii="Arial" w:hAnsi="Arial" w:cs="Arial"/>
        </w:rPr>
        <w:t>(the</w:t>
      </w:r>
      <w:r w:rsidRPr="00AC061D">
        <w:rPr>
          <w:rFonts w:ascii="Arial" w:hAnsi="Arial" w:cs="Arial"/>
        </w:rPr>
        <w:t xml:space="preserve"> existing plan), a downside case (for example, a 10% decline in sales volume with the same fixed cost base), and a margin pressure case </w:t>
      </w:r>
      <w:r w:rsidR="00692762" w:rsidRPr="00AC061D">
        <w:rPr>
          <w:rFonts w:ascii="Arial" w:hAnsi="Arial" w:cs="Arial"/>
        </w:rPr>
        <w:t>(for</w:t>
      </w:r>
      <w:r w:rsidRPr="00AC061D">
        <w:rPr>
          <w:rFonts w:ascii="Arial" w:hAnsi="Arial" w:cs="Arial"/>
        </w:rPr>
        <w:t xml:space="preserve"> example, higher discounting that lowers gross margin).</w:t>
      </w:r>
    </w:p>
    <w:p w14:paraId="10A32481" w14:textId="36EA97C3" w:rsidR="009A3928" w:rsidRPr="00AC061D" w:rsidRDefault="009A3928" w:rsidP="00AC061D">
      <w:pPr>
        <w:spacing w:line="360" w:lineRule="auto"/>
        <w:jc w:val="both"/>
        <w:rPr>
          <w:rFonts w:ascii="Arial" w:hAnsi="Arial" w:cs="Arial"/>
        </w:rPr>
      </w:pPr>
      <w:r w:rsidRPr="00AC061D">
        <w:rPr>
          <w:rFonts w:ascii="Arial" w:hAnsi="Arial" w:cs="Arial"/>
        </w:rPr>
        <w:t>The goal is not to fully foresee the future, but to know how the firm is vulnerable and what it can do if things change (Drury, 2021; Horner, 2020).</w:t>
      </w:r>
    </w:p>
    <w:p w14:paraId="6DCA0EE5" w14:textId="4254D4E9" w:rsidR="00D153E7" w:rsidRPr="00AC061D" w:rsidRDefault="00D153E7" w:rsidP="00AC061D">
      <w:pPr>
        <w:spacing w:line="360" w:lineRule="auto"/>
        <w:jc w:val="both"/>
        <w:rPr>
          <w:rFonts w:ascii="Arial" w:hAnsi="Arial" w:cs="Arial"/>
        </w:rPr>
      </w:pPr>
      <w:r w:rsidRPr="00AC061D">
        <w:rPr>
          <w:rFonts w:ascii="Arial" w:hAnsi="Arial" w:cs="Arial"/>
        </w:rPr>
        <w:t>Practical forecasting guidance also supports regular re-forecasting when risk drivers change (ACCA,2023).</w:t>
      </w:r>
    </w:p>
    <w:p w14:paraId="2DE43F1F" w14:textId="02D8842A" w:rsidR="009A3928" w:rsidRPr="00AC061D" w:rsidRDefault="009A3928" w:rsidP="00AC061D">
      <w:pPr>
        <w:spacing w:line="360" w:lineRule="auto"/>
        <w:jc w:val="both"/>
        <w:rPr>
          <w:rFonts w:ascii="Arial" w:hAnsi="Arial" w:cs="Arial"/>
        </w:rPr>
      </w:pPr>
      <w:r w:rsidRPr="00AC061D">
        <w:rPr>
          <w:rFonts w:ascii="Arial" w:hAnsi="Arial" w:cs="Arial"/>
        </w:rPr>
        <w:t>Scenario thinking also makes conversations better. Instead of fighting over whose budget is “right”, managers can talk about what causes risks and how to deal with them. For instance, directors can agree that if stock levels go above a certain level, they will stop buying new items except for proven</w:t>
      </w:r>
      <w:r w:rsidR="00A2058B" w:rsidRPr="00AC061D">
        <w:rPr>
          <w:rFonts w:ascii="Arial" w:hAnsi="Arial" w:cs="Arial"/>
        </w:rPr>
        <w:t xml:space="preserve"> fast-moving lines. If the funds go below a set buffer, the renovation phases stop on their own. This is an example of using budgets to help people work together instead of to control them (Hope and Fraser, 2003; Merchant and Van der Stede, 2017).</w:t>
      </w:r>
    </w:p>
    <w:p w14:paraId="7B038411" w14:textId="77777777" w:rsidR="00C84219" w:rsidRPr="00AC061D" w:rsidRDefault="00C84219" w:rsidP="00AC061D">
      <w:pPr>
        <w:spacing w:line="360" w:lineRule="auto"/>
        <w:jc w:val="both"/>
        <w:rPr>
          <w:rFonts w:ascii="Arial" w:hAnsi="Arial" w:cs="Arial"/>
        </w:rPr>
      </w:pPr>
    </w:p>
    <w:p w14:paraId="6A5248E1" w14:textId="77777777" w:rsidR="00C84219" w:rsidRPr="00AC061D" w:rsidRDefault="00C84219" w:rsidP="00AC061D">
      <w:pPr>
        <w:spacing w:line="360" w:lineRule="auto"/>
        <w:jc w:val="both"/>
        <w:rPr>
          <w:rFonts w:ascii="Arial" w:hAnsi="Arial" w:cs="Arial"/>
        </w:rPr>
      </w:pPr>
    </w:p>
    <w:p w14:paraId="5716CBC6" w14:textId="77777777" w:rsidR="00C84219" w:rsidRPr="00AC061D" w:rsidRDefault="00C84219" w:rsidP="00AC061D">
      <w:pPr>
        <w:spacing w:line="360" w:lineRule="auto"/>
        <w:jc w:val="both"/>
        <w:rPr>
          <w:rFonts w:ascii="Arial" w:hAnsi="Arial" w:cs="Arial"/>
        </w:rPr>
      </w:pPr>
    </w:p>
    <w:p w14:paraId="71EE58F2" w14:textId="77777777" w:rsidR="00C84219" w:rsidRPr="00AC061D" w:rsidRDefault="00C84219" w:rsidP="00AC061D">
      <w:pPr>
        <w:spacing w:line="360" w:lineRule="auto"/>
        <w:jc w:val="both"/>
        <w:rPr>
          <w:rFonts w:ascii="Arial" w:hAnsi="Arial" w:cs="Arial"/>
        </w:rPr>
      </w:pPr>
    </w:p>
    <w:p w14:paraId="2C6BAD97" w14:textId="77777777" w:rsidR="00C84219" w:rsidRPr="00AC061D" w:rsidRDefault="00C84219" w:rsidP="00AC061D">
      <w:pPr>
        <w:spacing w:line="360" w:lineRule="auto"/>
        <w:jc w:val="both"/>
        <w:rPr>
          <w:rFonts w:ascii="Arial" w:hAnsi="Arial" w:cs="Arial"/>
        </w:rPr>
      </w:pPr>
    </w:p>
    <w:p w14:paraId="2DC3C154" w14:textId="658D56A7" w:rsidR="00C84219" w:rsidRPr="00AC061D" w:rsidRDefault="00C84219" w:rsidP="00AC061D">
      <w:pPr>
        <w:pStyle w:val="Heading1"/>
        <w:spacing w:line="360" w:lineRule="auto"/>
        <w:jc w:val="both"/>
        <w:rPr>
          <w:rFonts w:ascii="Arial" w:hAnsi="Arial" w:cs="Arial"/>
          <w:sz w:val="24"/>
          <w:szCs w:val="24"/>
        </w:rPr>
      </w:pPr>
      <w:bookmarkStart w:id="9" w:name="_Toc224845292"/>
      <w:r w:rsidRPr="00AC061D">
        <w:rPr>
          <w:rFonts w:ascii="Arial" w:hAnsi="Arial" w:cs="Arial"/>
          <w:sz w:val="24"/>
          <w:szCs w:val="24"/>
        </w:rPr>
        <w:lastRenderedPageBreak/>
        <w:t>4. Problems shown by the budgets and actions taken by management</w:t>
      </w:r>
      <w:bookmarkEnd w:id="9"/>
      <w:r w:rsidRPr="00AC061D">
        <w:rPr>
          <w:rFonts w:ascii="Arial" w:hAnsi="Arial" w:cs="Arial"/>
          <w:sz w:val="24"/>
          <w:szCs w:val="24"/>
        </w:rPr>
        <w:t xml:space="preserve"> </w:t>
      </w:r>
    </w:p>
    <w:p w14:paraId="78B39C31" w14:textId="77777777" w:rsidR="00F13284" w:rsidRPr="00AC061D" w:rsidRDefault="00F13284" w:rsidP="00AC061D">
      <w:pPr>
        <w:spacing w:line="360" w:lineRule="auto"/>
        <w:jc w:val="both"/>
        <w:rPr>
          <w:rFonts w:ascii="Arial" w:hAnsi="Arial" w:cs="Arial"/>
        </w:rPr>
      </w:pPr>
    </w:p>
    <w:p w14:paraId="5FBC9A9E" w14:textId="704B80C8" w:rsidR="00C84219" w:rsidRPr="00AC061D" w:rsidRDefault="00C84219" w:rsidP="00AC061D">
      <w:pPr>
        <w:spacing w:line="360" w:lineRule="auto"/>
        <w:jc w:val="both"/>
        <w:rPr>
          <w:rFonts w:ascii="Arial" w:hAnsi="Arial" w:cs="Arial"/>
        </w:rPr>
      </w:pPr>
      <w:r w:rsidRPr="00AC061D">
        <w:rPr>
          <w:rFonts w:ascii="Arial" w:hAnsi="Arial" w:cs="Arial"/>
        </w:rPr>
        <w:t>The biggest sign of trouble is an increase in inventories. The stock budget reveals that the closing stock is going up every month, even though there is no minimum constraint pressure. This means that the connection between sales planning and purchase planning is weak. Management should therefore regard stock as a regulated investment with specific aims, not as “whatever we buy” (Seal, Garrison, and Noreen, 2018).</w:t>
      </w:r>
    </w:p>
    <w:p w14:paraId="2AF8BEDC" w14:textId="7EB40C5F" w:rsidR="00C84219" w:rsidRPr="00AC061D" w:rsidRDefault="00C84219" w:rsidP="00AC061D">
      <w:pPr>
        <w:spacing w:line="360" w:lineRule="auto"/>
        <w:jc w:val="both"/>
        <w:rPr>
          <w:rFonts w:ascii="Arial" w:hAnsi="Arial" w:cs="Arial"/>
        </w:rPr>
      </w:pPr>
      <w:r w:rsidRPr="00AC061D">
        <w:rPr>
          <w:rFonts w:ascii="Arial" w:hAnsi="Arial" w:cs="Arial"/>
        </w:rPr>
        <w:t>Some useful things to do are:</w:t>
      </w:r>
    </w:p>
    <w:p w14:paraId="47C30FC0" w14:textId="105883D1" w:rsidR="00C34F1D" w:rsidRPr="00AC061D" w:rsidRDefault="00C84219" w:rsidP="00AC061D">
      <w:pPr>
        <w:pStyle w:val="ListParagraph"/>
        <w:numPr>
          <w:ilvl w:val="0"/>
          <w:numId w:val="4"/>
        </w:numPr>
        <w:spacing w:line="360" w:lineRule="auto"/>
        <w:jc w:val="both"/>
        <w:rPr>
          <w:rFonts w:ascii="Arial" w:hAnsi="Arial" w:cs="Arial"/>
        </w:rPr>
      </w:pPr>
      <w:r w:rsidRPr="00AC061D">
        <w:rPr>
          <w:rFonts w:ascii="Arial" w:hAnsi="Arial" w:cs="Arial"/>
        </w:rPr>
        <w:t xml:space="preserve">Set an inventory limit based on expected sales and lead times. For example, set a target closing stock equal to a set number of weeks’ worth of </w:t>
      </w:r>
      <w:r w:rsidR="00C34F1D" w:rsidRPr="00AC061D">
        <w:rPr>
          <w:rFonts w:ascii="Arial" w:hAnsi="Arial" w:cs="Arial"/>
        </w:rPr>
        <w:t>sales</w:t>
      </w:r>
      <w:r w:rsidRPr="00AC061D">
        <w:rPr>
          <w:rFonts w:ascii="Arial" w:hAnsi="Arial" w:cs="Arial"/>
        </w:rPr>
        <w:t xml:space="preserve"> costs, </w:t>
      </w:r>
      <w:r w:rsidR="003654AD" w:rsidRPr="00AC061D">
        <w:rPr>
          <w:rFonts w:ascii="Arial" w:hAnsi="Arial" w:cs="Arial"/>
        </w:rPr>
        <w:t>considering</w:t>
      </w:r>
      <w:r w:rsidRPr="00AC061D">
        <w:rPr>
          <w:rFonts w:ascii="Arial" w:hAnsi="Arial" w:cs="Arial"/>
        </w:rPr>
        <w:t xml:space="preserve"> seasonal changes</w:t>
      </w:r>
      <w:r w:rsidR="00C34F1D" w:rsidRPr="00AC061D">
        <w:rPr>
          <w:rFonts w:ascii="Arial" w:hAnsi="Arial" w:cs="Arial"/>
        </w:rPr>
        <w:t>.</w:t>
      </w:r>
    </w:p>
    <w:p w14:paraId="0959702C" w14:textId="29E76AAC" w:rsidR="00C84219" w:rsidRPr="00AC061D" w:rsidRDefault="00C34F1D" w:rsidP="00AC061D">
      <w:pPr>
        <w:pStyle w:val="ListParagraph"/>
        <w:numPr>
          <w:ilvl w:val="0"/>
          <w:numId w:val="4"/>
        </w:numPr>
        <w:spacing w:line="360" w:lineRule="auto"/>
        <w:jc w:val="both"/>
        <w:rPr>
          <w:rFonts w:ascii="Arial" w:hAnsi="Arial" w:cs="Arial"/>
        </w:rPr>
      </w:pPr>
      <w:r w:rsidRPr="00AC061D">
        <w:rPr>
          <w:rFonts w:ascii="Arial" w:hAnsi="Arial" w:cs="Arial"/>
        </w:rPr>
        <w:t>When projected closing stock goes above the cap, a written reason for the purchase is needed, including a markdown and obsolescence risk assessment</w:t>
      </w:r>
      <w:r w:rsidR="00520B16" w:rsidRPr="00AC061D">
        <w:rPr>
          <w:rFonts w:ascii="Arial" w:hAnsi="Arial" w:cs="Arial"/>
        </w:rPr>
        <w:t xml:space="preserve"> (ICAEW, 2022).</w:t>
      </w:r>
    </w:p>
    <w:p w14:paraId="4B49AA76" w14:textId="7142C332" w:rsidR="00C34F1D" w:rsidRPr="00AC061D" w:rsidRDefault="00C34F1D" w:rsidP="00AC061D">
      <w:pPr>
        <w:pStyle w:val="ListParagraph"/>
        <w:numPr>
          <w:ilvl w:val="0"/>
          <w:numId w:val="4"/>
        </w:numPr>
        <w:spacing w:line="360" w:lineRule="auto"/>
        <w:jc w:val="both"/>
        <w:rPr>
          <w:rFonts w:ascii="Arial" w:hAnsi="Arial" w:cs="Arial"/>
        </w:rPr>
      </w:pPr>
      <w:r w:rsidRPr="00AC061D">
        <w:rPr>
          <w:rFonts w:ascii="Arial" w:hAnsi="Arial" w:cs="Arial"/>
        </w:rPr>
        <w:t>Set purchase budgets based on rolling projection instead of a set annual amount so that procurement can alter with demand (Hope and Fraser,2003; Bogsnes, 2016).</w:t>
      </w:r>
    </w:p>
    <w:p w14:paraId="2FCE1277" w14:textId="77777777" w:rsidR="00C34F1D" w:rsidRPr="00AC061D" w:rsidRDefault="00C34F1D" w:rsidP="00AC061D">
      <w:pPr>
        <w:pStyle w:val="ListParagraph"/>
        <w:spacing w:line="360" w:lineRule="auto"/>
        <w:jc w:val="both"/>
        <w:rPr>
          <w:rFonts w:ascii="Arial" w:hAnsi="Arial" w:cs="Arial"/>
        </w:rPr>
      </w:pPr>
    </w:p>
    <w:p w14:paraId="1DF49153" w14:textId="77777777" w:rsidR="00C34F1D" w:rsidRPr="00AC061D" w:rsidRDefault="00C34F1D" w:rsidP="00AC061D">
      <w:pPr>
        <w:pStyle w:val="ListParagraph"/>
        <w:spacing w:line="360" w:lineRule="auto"/>
        <w:jc w:val="both"/>
        <w:rPr>
          <w:rFonts w:ascii="Arial" w:hAnsi="Arial" w:cs="Arial"/>
        </w:rPr>
      </w:pPr>
    </w:p>
    <w:p w14:paraId="45AEF3F6" w14:textId="77777777" w:rsidR="00C34F1D" w:rsidRPr="00AC061D" w:rsidRDefault="00C34F1D" w:rsidP="00AC061D">
      <w:pPr>
        <w:pStyle w:val="Heading2"/>
        <w:spacing w:line="360" w:lineRule="auto"/>
        <w:jc w:val="both"/>
        <w:rPr>
          <w:rFonts w:ascii="Arial" w:hAnsi="Arial" w:cs="Arial"/>
          <w:sz w:val="24"/>
          <w:szCs w:val="24"/>
        </w:rPr>
      </w:pPr>
    </w:p>
    <w:p w14:paraId="0B009E32" w14:textId="5D4ED4F9" w:rsidR="00C34F1D" w:rsidRPr="00AC061D" w:rsidRDefault="00C34F1D" w:rsidP="00AC061D">
      <w:pPr>
        <w:pStyle w:val="Heading2"/>
        <w:spacing w:line="360" w:lineRule="auto"/>
        <w:jc w:val="both"/>
        <w:rPr>
          <w:rFonts w:ascii="Arial" w:hAnsi="Arial" w:cs="Arial"/>
          <w:sz w:val="24"/>
          <w:szCs w:val="24"/>
        </w:rPr>
      </w:pPr>
      <w:bookmarkStart w:id="10" w:name="_Toc224845293"/>
      <w:r w:rsidRPr="00AC061D">
        <w:rPr>
          <w:rFonts w:ascii="Arial" w:hAnsi="Arial" w:cs="Arial"/>
          <w:sz w:val="24"/>
          <w:szCs w:val="24"/>
        </w:rPr>
        <w:t>4.1 Timing shocks and cash risk concentrations</w:t>
      </w:r>
      <w:bookmarkEnd w:id="10"/>
    </w:p>
    <w:p w14:paraId="6A539DE6" w14:textId="77777777" w:rsidR="00C34F1D" w:rsidRPr="00AC061D" w:rsidRDefault="00C34F1D" w:rsidP="00AC061D">
      <w:pPr>
        <w:spacing w:line="360" w:lineRule="auto"/>
        <w:jc w:val="both"/>
        <w:rPr>
          <w:rFonts w:ascii="Arial" w:hAnsi="Arial" w:cs="Arial"/>
        </w:rPr>
      </w:pPr>
    </w:p>
    <w:p w14:paraId="682375D5" w14:textId="0E57F1F4" w:rsidR="00C34F1D" w:rsidRPr="00AC061D" w:rsidRDefault="00C34F1D" w:rsidP="00AC061D">
      <w:pPr>
        <w:spacing w:line="360" w:lineRule="auto"/>
        <w:jc w:val="both"/>
        <w:rPr>
          <w:rFonts w:ascii="Arial" w:hAnsi="Arial" w:cs="Arial"/>
        </w:rPr>
      </w:pPr>
      <w:r w:rsidRPr="00AC061D">
        <w:rPr>
          <w:rFonts w:ascii="Arial" w:hAnsi="Arial" w:cs="Arial"/>
        </w:rPr>
        <w:t xml:space="preserve">The cash budget shows that July through September are the months when cash is most at risk. The </w:t>
      </w:r>
      <w:r w:rsidR="00D153E7" w:rsidRPr="00AC061D">
        <w:rPr>
          <w:rFonts w:ascii="Arial" w:hAnsi="Arial" w:cs="Arial"/>
        </w:rPr>
        <w:t>tax and refurbishment</w:t>
      </w:r>
      <w:r w:rsidRPr="00AC061D">
        <w:rPr>
          <w:rFonts w:ascii="Arial" w:hAnsi="Arial" w:cs="Arial"/>
        </w:rPr>
        <w:t xml:space="preserve"> in September </w:t>
      </w:r>
      <w:r w:rsidR="00D153E7" w:rsidRPr="00AC061D">
        <w:rPr>
          <w:rFonts w:ascii="Arial" w:hAnsi="Arial" w:cs="Arial"/>
        </w:rPr>
        <w:t>caused</w:t>
      </w:r>
      <w:r w:rsidRPr="00AC061D">
        <w:rPr>
          <w:rFonts w:ascii="Arial" w:hAnsi="Arial" w:cs="Arial"/>
        </w:rPr>
        <w:t xml:space="preserve"> a timing shock.</w:t>
      </w:r>
    </w:p>
    <w:p w14:paraId="2448E0E4" w14:textId="79DC2A40" w:rsidR="00C34F1D" w:rsidRPr="00AC061D" w:rsidRDefault="00C34F1D" w:rsidP="00AC061D">
      <w:pPr>
        <w:spacing w:line="360" w:lineRule="auto"/>
        <w:jc w:val="both"/>
        <w:rPr>
          <w:rFonts w:ascii="Arial" w:hAnsi="Arial" w:cs="Arial"/>
        </w:rPr>
      </w:pPr>
      <w:r w:rsidRPr="00AC061D">
        <w:rPr>
          <w:rFonts w:ascii="Arial" w:hAnsi="Arial" w:cs="Arial"/>
        </w:rPr>
        <w:t>Management can lower this risk by:</w:t>
      </w:r>
    </w:p>
    <w:p w14:paraId="5A45F833" w14:textId="47D2BC85" w:rsidR="00C34F1D" w:rsidRPr="00AC061D" w:rsidRDefault="00C34F1D" w:rsidP="00AC061D">
      <w:pPr>
        <w:pStyle w:val="ListParagraph"/>
        <w:numPr>
          <w:ilvl w:val="0"/>
          <w:numId w:val="5"/>
        </w:numPr>
        <w:spacing w:line="360" w:lineRule="auto"/>
        <w:jc w:val="both"/>
        <w:rPr>
          <w:rFonts w:ascii="Arial" w:hAnsi="Arial" w:cs="Arial"/>
        </w:rPr>
      </w:pPr>
      <w:r w:rsidRPr="00AC061D">
        <w:rPr>
          <w:rFonts w:ascii="Arial" w:hAnsi="Arial" w:cs="Arial"/>
        </w:rPr>
        <w:t xml:space="preserve">Planning </w:t>
      </w:r>
      <w:r w:rsidR="00D153E7" w:rsidRPr="00AC061D">
        <w:rPr>
          <w:rFonts w:ascii="Arial" w:hAnsi="Arial" w:cs="Arial"/>
        </w:rPr>
        <w:t>refurbishment</w:t>
      </w:r>
      <w:r w:rsidR="008422F7" w:rsidRPr="00AC061D">
        <w:rPr>
          <w:rFonts w:ascii="Arial" w:hAnsi="Arial" w:cs="Arial"/>
        </w:rPr>
        <w:t xml:space="preserve"> costs to fit with cash flow, breaking the job up into segments, or putting off non-essential parts when in overdraft (Horner,2020).</w:t>
      </w:r>
    </w:p>
    <w:p w14:paraId="3182DF1F" w14:textId="27E82DD3" w:rsidR="00D153E7" w:rsidRPr="00AC061D" w:rsidRDefault="00D153E7" w:rsidP="00AC061D">
      <w:pPr>
        <w:spacing w:line="360" w:lineRule="auto"/>
        <w:ind w:left="360"/>
        <w:jc w:val="both"/>
        <w:rPr>
          <w:rFonts w:ascii="Arial" w:hAnsi="Arial" w:cs="Arial"/>
        </w:rPr>
      </w:pPr>
      <w:r w:rsidRPr="00AC061D">
        <w:rPr>
          <w:rFonts w:ascii="Arial" w:hAnsi="Arial" w:cs="Arial"/>
        </w:rPr>
        <w:t>This kind of short-cycle cash monitoring is widely recommended in cash flow guidance (ICAEW, n.d.).</w:t>
      </w:r>
    </w:p>
    <w:p w14:paraId="60BCFAE0" w14:textId="4DE9537F" w:rsidR="008422F7" w:rsidRPr="00AC061D" w:rsidRDefault="008422F7" w:rsidP="00AC061D">
      <w:pPr>
        <w:pStyle w:val="ListParagraph"/>
        <w:numPr>
          <w:ilvl w:val="0"/>
          <w:numId w:val="5"/>
        </w:numPr>
        <w:spacing w:line="360" w:lineRule="auto"/>
        <w:jc w:val="both"/>
        <w:rPr>
          <w:rFonts w:ascii="Arial" w:hAnsi="Arial" w:cs="Arial"/>
        </w:rPr>
      </w:pPr>
      <w:r w:rsidRPr="00AC061D">
        <w:rPr>
          <w:rFonts w:ascii="Arial" w:hAnsi="Arial" w:cs="Arial"/>
        </w:rPr>
        <w:lastRenderedPageBreak/>
        <w:t xml:space="preserve">They can try to </w:t>
      </w:r>
      <w:r w:rsidR="00F019A5" w:rsidRPr="00AC061D">
        <w:rPr>
          <w:rFonts w:ascii="Arial" w:hAnsi="Arial" w:cs="Arial"/>
        </w:rPr>
        <w:t>negotiate the timing.</w:t>
      </w:r>
    </w:p>
    <w:p w14:paraId="1018A8CB" w14:textId="0E0CA0E9" w:rsidR="00F019A5" w:rsidRPr="00AC061D" w:rsidRDefault="00F019A5" w:rsidP="00AC061D">
      <w:pPr>
        <w:pStyle w:val="ListParagraph"/>
        <w:numPr>
          <w:ilvl w:val="0"/>
          <w:numId w:val="5"/>
        </w:numPr>
        <w:spacing w:line="360" w:lineRule="auto"/>
        <w:jc w:val="both"/>
        <w:rPr>
          <w:rFonts w:ascii="Arial" w:hAnsi="Arial" w:cs="Arial"/>
        </w:rPr>
      </w:pPr>
      <w:r w:rsidRPr="00AC061D">
        <w:rPr>
          <w:rFonts w:ascii="Arial" w:hAnsi="Arial" w:cs="Arial"/>
        </w:rPr>
        <w:t>Setting up a short-term rolling cash forecast so the business can move quickly instead of waiting until the end of the month when things get worse (Drury, 2021).</w:t>
      </w:r>
    </w:p>
    <w:p w14:paraId="7EA9B6A4" w14:textId="77777777" w:rsidR="00F019A5" w:rsidRPr="00AC061D" w:rsidRDefault="00F019A5" w:rsidP="00AC061D">
      <w:pPr>
        <w:spacing w:line="360" w:lineRule="auto"/>
        <w:jc w:val="both"/>
        <w:rPr>
          <w:rFonts w:ascii="Arial" w:hAnsi="Arial" w:cs="Arial"/>
        </w:rPr>
      </w:pPr>
    </w:p>
    <w:p w14:paraId="193757FB" w14:textId="77777777" w:rsidR="00F019A5" w:rsidRPr="00AC061D" w:rsidRDefault="00F019A5" w:rsidP="00AC061D">
      <w:pPr>
        <w:spacing w:line="360" w:lineRule="auto"/>
        <w:jc w:val="both"/>
        <w:rPr>
          <w:rFonts w:ascii="Arial" w:hAnsi="Arial" w:cs="Arial"/>
        </w:rPr>
      </w:pPr>
    </w:p>
    <w:p w14:paraId="060C97C9" w14:textId="77777777" w:rsidR="00F019A5" w:rsidRPr="00AC061D" w:rsidRDefault="00F019A5" w:rsidP="00AC061D">
      <w:pPr>
        <w:spacing w:line="360" w:lineRule="auto"/>
        <w:jc w:val="both"/>
        <w:rPr>
          <w:rFonts w:ascii="Arial" w:hAnsi="Arial" w:cs="Arial"/>
        </w:rPr>
      </w:pPr>
    </w:p>
    <w:p w14:paraId="6123FED5" w14:textId="304D06C8" w:rsidR="00F019A5" w:rsidRPr="00AC061D" w:rsidRDefault="00F019A5" w:rsidP="00AC061D">
      <w:pPr>
        <w:pStyle w:val="Heading2"/>
        <w:spacing w:line="360" w:lineRule="auto"/>
        <w:jc w:val="both"/>
        <w:rPr>
          <w:rFonts w:ascii="Arial" w:hAnsi="Arial" w:cs="Arial"/>
          <w:sz w:val="24"/>
          <w:szCs w:val="24"/>
        </w:rPr>
      </w:pPr>
      <w:bookmarkStart w:id="11" w:name="_Toc224845294"/>
      <w:r w:rsidRPr="00AC061D">
        <w:rPr>
          <w:rFonts w:ascii="Arial" w:hAnsi="Arial" w:cs="Arial"/>
          <w:sz w:val="24"/>
          <w:szCs w:val="24"/>
        </w:rPr>
        <w:t>4.2 Debt service and the structure of funding</w:t>
      </w:r>
      <w:bookmarkEnd w:id="11"/>
    </w:p>
    <w:p w14:paraId="07FB810A" w14:textId="77777777" w:rsidR="00F019A5" w:rsidRPr="00AC061D" w:rsidRDefault="00F019A5" w:rsidP="00AC061D">
      <w:pPr>
        <w:spacing w:line="360" w:lineRule="auto"/>
        <w:jc w:val="both"/>
        <w:rPr>
          <w:rFonts w:ascii="Arial" w:hAnsi="Arial" w:cs="Arial"/>
        </w:rPr>
      </w:pPr>
    </w:p>
    <w:p w14:paraId="3B6160C7" w14:textId="24A5F616" w:rsidR="00F019A5" w:rsidRPr="00AC061D" w:rsidRDefault="00F019A5" w:rsidP="00AC061D">
      <w:pPr>
        <w:spacing w:line="360" w:lineRule="auto"/>
        <w:jc w:val="both"/>
        <w:rPr>
          <w:rFonts w:ascii="Arial" w:hAnsi="Arial" w:cs="Arial"/>
        </w:rPr>
      </w:pPr>
      <w:r w:rsidRPr="00AC061D">
        <w:rPr>
          <w:rFonts w:ascii="Arial" w:hAnsi="Arial" w:cs="Arial"/>
        </w:rPr>
        <w:t xml:space="preserve">Every month, the business pays </w:t>
      </w:r>
      <w:r w:rsidR="009E3C63" w:rsidRPr="00AC061D">
        <w:rPr>
          <w:rFonts w:ascii="Arial" w:hAnsi="Arial" w:cs="Arial"/>
        </w:rPr>
        <w:t xml:space="preserve">a </w:t>
      </w:r>
      <w:r w:rsidRPr="00AC061D">
        <w:rPr>
          <w:rFonts w:ascii="Arial" w:hAnsi="Arial" w:cs="Arial"/>
        </w:rPr>
        <w:t>£5,000 loan instalment, of which £</w:t>
      </w:r>
      <w:r w:rsidR="009E3C63" w:rsidRPr="00AC061D">
        <w:rPr>
          <w:rFonts w:ascii="Arial" w:hAnsi="Arial" w:cs="Arial"/>
        </w:rPr>
        <w:t>1,</w:t>
      </w:r>
      <w:r w:rsidRPr="00AC061D">
        <w:rPr>
          <w:rFonts w:ascii="Arial" w:hAnsi="Arial" w:cs="Arial"/>
        </w:rPr>
        <w:t>000</w:t>
      </w:r>
      <w:r w:rsidR="009E3C63" w:rsidRPr="00AC061D">
        <w:rPr>
          <w:rFonts w:ascii="Arial" w:hAnsi="Arial" w:cs="Arial"/>
        </w:rPr>
        <w:t xml:space="preserve"> is interest.</w:t>
      </w:r>
      <w:r w:rsidR="006B42EC" w:rsidRPr="00AC061D">
        <w:rPr>
          <w:rFonts w:ascii="Arial" w:hAnsi="Arial" w:cs="Arial"/>
        </w:rPr>
        <w:t xml:space="preserve"> </w:t>
      </w:r>
      <w:r w:rsidR="009E3C63" w:rsidRPr="00AC061D">
        <w:rPr>
          <w:rFonts w:ascii="Arial" w:hAnsi="Arial" w:cs="Arial"/>
        </w:rPr>
        <w:t xml:space="preserve">Management should keep an eye on interest cover and predict how much room there is in the covenant. </w:t>
      </w:r>
    </w:p>
    <w:p w14:paraId="353D46F8" w14:textId="69E2320E" w:rsidR="009E3C63" w:rsidRPr="00AC061D" w:rsidRDefault="009E3C63" w:rsidP="00AC061D">
      <w:pPr>
        <w:spacing w:line="360" w:lineRule="auto"/>
        <w:jc w:val="both"/>
        <w:rPr>
          <w:rFonts w:ascii="Arial" w:hAnsi="Arial" w:cs="Arial"/>
        </w:rPr>
      </w:pPr>
      <w:r w:rsidRPr="00AC061D">
        <w:rPr>
          <w:rFonts w:ascii="Arial" w:hAnsi="Arial" w:cs="Arial"/>
        </w:rPr>
        <w:t>Directors must balance bank confidence with operational needs when cash stress rises. They can refinance, extend maturities, or temporarily limit discretionary expenditures (Atrill and McLaney,</w:t>
      </w:r>
      <w:r w:rsidR="00D153E7" w:rsidRPr="00AC061D">
        <w:rPr>
          <w:rFonts w:ascii="Arial" w:hAnsi="Arial" w:cs="Arial"/>
        </w:rPr>
        <w:t xml:space="preserve"> </w:t>
      </w:r>
      <w:r w:rsidRPr="00AC061D">
        <w:rPr>
          <w:rFonts w:ascii="Arial" w:hAnsi="Arial" w:cs="Arial"/>
        </w:rPr>
        <w:t xml:space="preserve">2021; </w:t>
      </w:r>
      <w:r w:rsidR="00DF59A6" w:rsidRPr="00AC061D">
        <w:rPr>
          <w:rFonts w:ascii="Arial" w:hAnsi="Arial" w:cs="Arial"/>
        </w:rPr>
        <w:t>Walsh, 2008</w:t>
      </w:r>
      <w:r w:rsidRPr="00AC061D">
        <w:rPr>
          <w:rFonts w:ascii="Arial" w:hAnsi="Arial" w:cs="Arial"/>
        </w:rPr>
        <w:t>).</w:t>
      </w:r>
    </w:p>
    <w:p w14:paraId="54950A2C" w14:textId="77777777" w:rsidR="009E3C63" w:rsidRPr="00AC061D" w:rsidRDefault="009E3C63" w:rsidP="00AC061D">
      <w:pPr>
        <w:spacing w:line="360" w:lineRule="auto"/>
        <w:jc w:val="both"/>
        <w:rPr>
          <w:rFonts w:ascii="Arial" w:hAnsi="Arial" w:cs="Arial"/>
        </w:rPr>
      </w:pPr>
    </w:p>
    <w:p w14:paraId="3BF3511E" w14:textId="069A9573" w:rsidR="009E3C63" w:rsidRPr="00AC061D" w:rsidRDefault="009E3C63" w:rsidP="00AC061D">
      <w:pPr>
        <w:pStyle w:val="Heading2"/>
        <w:spacing w:line="360" w:lineRule="auto"/>
        <w:jc w:val="both"/>
        <w:rPr>
          <w:rFonts w:ascii="Arial" w:hAnsi="Arial" w:cs="Arial"/>
          <w:sz w:val="24"/>
          <w:szCs w:val="24"/>
        </w:rPr>
      </w:pPr>
      <w:bookmarkStart w:id="12" w:name="_Toc224845295"/>
      <w:r w:rsidRPr="00AC061D">
        <w:rPr>
          <w:rFonts w:ascii="Arial" w:hAnsi="Arial" w:cs="Arial"/>
          <w:sz w:val="24"/>
          <w:szCs w:val="24"/>
        </w:rPr>
        <w:t>4.3 Fees for credit and pricing discipline</w:t>
      </w:r>
      <w:bookmarkEnd w:id="12"/>
    </w:p>
    <w:p w14:paraId="5F7A4EAC" w14:textId="77777777" w:rsidR="009E3C63" w:rsidRPr="00AC061D" w:rsidRDefault="009E3C63" w:rsidP="00AC061D">
      <w:pPr>
        <w:spacing w:line="360" w:lineRule="auto"/>
        <w:jc w:val="both"/>
        <w:rPr>
          <w:rFonts w:ascii="Arial" w:hAnsi="Arial" w:cs="Arial"/>
        </w:rPr>
      </w:pPr>
    </w:p>
    <w:p w14:paraId="2CF0EC9D" w14:textId="591CAABB" w:rsidR="009E3C63" w:rsidRPr="00AC061D" w:rsidRDefault="009E3C63" w:rsidP="00AC061D">
      <w:pPr>
        <w:spacing w:line="360" w:lineRule="auto"/>
        <w:jc w:val="both"/>
        <w:rPr>
          <w:rFonts w:ascii="Arial" w:hAnsi="Arial" w:cs="Arial"/>
        </w:rPr>
      </w:pPr>
      <w:r w:rsidRPr="00AC061D">
        <w:rPr>
          <w:rFonts w:ascii="Arial" w:hAnsi="Arial" w:cs="Arial"/>
        </w:rPr>
        <w:t>Fees for credit cards lower the amount of cash you get. The cost isn’t very high compared to sales, but it’s a regular leak. Management should make sure that pricing and margin management take into account the expenses of payments. One option is to encourage payment methods that cost less, or to incorporate fee costs in the study of product contributions (Datar and Rajan, 2017).</w:t>
      </w:r>
    </w:p>
    <w:p w14:paraId="3F1A01CA" w14:textId="77777777" w:rsidR="002C6DDF" w:rsidRPr="00AC061D" w:rsidRDefault="002C6DDF" w:rsidP="00AC061D">
      <w:pPr>
        <w:spacing w:line="360" w:lineRule="auto"/>
        <w:jc w:val="both"/>
        <w:rPr>
          <w:rFonts w:ascii="Arial" w:hAnsi="Arial" w:cs="Arial"/>
        </w:rPr>
      </w:pPr>
    </w:p>
    <w:p w14:paraId="5E1F8144" w14:textId="3B3DC870" w:rsidR="002C6DDF" w:rsidRPr="00AC061D" w:rsidRDefault="002C6DDF" w:rsidP="00AC061D">
      <w:pPr>
        <w:pStyle w:val="Heading2"/>
        <w:spacing w:line="360" w:lineRule="auto"/>
        <w:jc w:val="both"/>
        <w:rPr>
          <w:rFonts w:ascii="Arial" w:hAnsi="Arial" w:cs="Arial"/>
          <w:sz w:val="24"/>
          <w:szCs w:val="24"/>
        </w:rPr>
      </w:pPr>
      <w:bookmarkStart w:id="13" w:name="_Toc224845296"/>
      <w:r w:rsidRPr="00AC061D">
        <w:rPr>
          <w:rFonts w:ascii="Arial" w:hAnsi="Arial" w:cs="Arial"/>
          <w:sz w:val="24"/>
          <w:szCs w:val="24"/>
        </w:rPr>
        <w:t>4.4 Working capital strategy</w:t>
      </w:r>
      <w:bookmarkEnd w:id="13"/>
    </w:p>
    <w:p w14:paraId="31ED1C4C" w14:textId="77777777" w:rsidR="002C6DDF" w:rsidRPr="00AC061D" w:rsidRDefault="002C6DDF" w:rsidP="00AC061D">
      <w:pPr>
        <w:spacing w:line="360" w:lineRule="auto"/>
        <w:jc w:val="both"/>
        <w:rPr>
          <w:rFonts w:ascii="Arial" w:hAnsi="Arial" w:cs="Arial"/>
        </w:rPr>
      </w:pPr>
    </w:p>
    <w:p w14:paraId="2C9B42F3" w14:textId="1C26F9F1" w:rsidR="002C6DDF" w:rsidRPr="00AC061D" w:rsidRDefault="002C6DDF" w:rsidP="00AC061D">
      <w:pPr>
        <w:spacing w:line="360" w:lineRule="auto"/>
        <w:jc w:val="both"/>
        <w:rPr>
          <w:rFonts w:ascii="Arial" w:hAnsi="Arial" w:cs="Arial"/>
        </w:rPr>
      </w:pPr>
      <w:r w:rsidRPr="00AC061D">
        <w:rPr>
          <w:rFonts w:ascii="Arial" w:hAnsi="Arial" w:cs="Arial"/>
        </w:rPr>
        <w:t xml:space="preserve">Policy decisions should be based on the stock budget. In practice, directors can specify a target stock profile and then make sure that all purchases suit that profile. A </w:t>
      </w:r>
      <w:r w:rsidRPr="00AC061D">
        <w:rPr>
          <w:rFonts w:ascii="Arial" w:hAnsi="Arial" w:cs="Arial"/>
        </w:rPr>
        <w:lastRenderedPageBreak/>
        <w:t xml:space="preserve">standard way to set stock levels is to use a multiple of the projected monthly cost of sales, taking into account lead times. </w:t>
      </w:r>
    </w:p>
    <w:p w14:paraId="6482F217" w14:textId="36EA2BAE" w:rsidR="002C6DDF" w:rsidRPr="00AC061D" w:rsidRDefault="002C6DDF" w:rsidP="00AC061D">
      <w:pPr>
        <w:spacing w:line="360" w:lineRule="auto"/>
        <w:jc w:val="both"/>
        <w:rPr>
          <w:rFonts w:ascii="Arial" w:hAnsi="Arial" w:cs="Arial"/>
        </w:rPr>
      </w:pPr>
      <w:r w:rsidRPr="00AC061D">
        <w:rPr>
          <w:rFonts w:ascii="Arial" w:hAnsi="Arial" w:cs="Arial"/>
        </w:rPr>
        <w:t>The business already knows it needs a buffer because its minimum stock level is £50,000. The issue is that the predicted closing stock goes much above any reasonable buffer. That means that buying isn’t based on demand and could be based on habit, deals with suppliers, or ease of production (Drury, 2021).</w:t>
      </w:r>
    </w:p>
    <w:p w14:paraId="549119AB" w14:textId="1E63CDFA" w:rsidR="002C6DDF" w:rsidRPr="00AC061D" w:rsidRDefault="002C6DDF" w:rsidP="00AC061D">
      <w:pPr>
        <w:spacing w:line="360" w:lineRule="auto"/>
        <w:jc w:val="both"/>
        <w:rPr>
          <w:rFonts w:ascii="Arial" w:hAnsi="Arial" w:cs="Arial"/>
        </w:rPr>
      </w:pPr>
      <w:r w:rsidRPr="00AC061D">
        <w:rPr>
          <w:rFonts w:ascii="Arial" w:hAnsi="Arial" w:cs="Arial"/>
        </w:rPr>
        <w:t xml:space="preserve">Management should be able to do both control and capabilities. </w:t>
      </w:r>
      <w:r w:rsidR="00374799" w:rsidRPr="00AC061D">
        <w:rPr>
          <w:rFonts w:ascii="Arial" w:hAnsi="Arial" w:cs="Arial"/>
        </w:rPr>
        <w:t>Directors can do the following to regulate stock:</w:t>
      </w:r>
    </w:p>
    <w:p w14:paraId="6C7629F3" w14:textId="2A8B599D" w:rsidR="00374799" w:rsidRPr="00AC061D" w:rsidRDefault="00374799" w:rsidP="00AC061D">
      <w:pPr>
        <w:pStyle w:val="ListParagraph"/>
        <w:numPr>
          <w:ilvl w:val="0"/>
          <w:numId w:val="6"/>
        </w:numPr>
        <w:spacing w:line="360" w:lineRule="auto"/>
        <w:jc w:val="both"/>
        <w:rPr>
          <w:rFonts w:ascii="Arial" w:hAnsi="Arial" w:cs="Arial"/>
        </w:rPr>
      </w:pPr>
      <w:r w:rsidRPr="00AC061D">
        <w:rPr>
          <w:rFonts w:ascii="Arial" w:hAnsi="Arial" w:cs="Arial"/>
        </w:rPr>
        <w:t>Put limitations on stock authorisation</w:t>
      </w:r>
    </w:p>
    <w:p w14:paraId="65F2B15E" w14:textId="40E67AF2" w:rsidR="00374799" w:rsidRPr="00AC061D" w:rsidRDefault="00374799" w:rsidP="00AC061D">
      <w:pPr>
        <w:pStyle w:val="ListParagraph"/>
        <w:numPr>
          <w:ilvl w:val="0"/>
          <w:numId w:val="6"/>
        </w:numPr>
        <w:spacing w:line="360" w:lineRule="auto"/>
        <w:jc w:val="both"/>
        <w:rPr>
          <w:rFonts w:ascii="Arial" w:hAnsi="Arial" w:cs="Arial"/>
        </w:rPr>
      </w:pPr>
      <w:r w:rsidRPr="00AC061D">
        <w:rPr>
          <w:rFonts w:ascii="Arial" w:hAnsi="Arial" w:cs="Arial"/>
        </w:rPr>
        <w:t>Require a markdown strategy for old stock</w:t>
      </w:r>
    </w:p>
    <w:p w14:paraId="6A00A927" w14:textId="2902D7C3" w:rsidR="00374799" w:rsidRPr="00AC061D" w:rsidRDefault="00374799" w:rsidP="00AC061D">
      <w:pPr>
        <w:pStyle w:val="ListParagraph"/>
        <w:numPr>
          <w:ilvl w:val="0"/>
          <w:numId w:val="6"/>
        </w:numPr>
        <w:spacing w:line="360" w:lineRule="auto"/>
        <w:jc w:val="both"/>
        <w:rPr>
          <w:rFonts w:ascii="Arial" w:hAnsi="Arial" w:cs="Arial"/>
        </w:rPr>
      </w:pPr>
      <w:r w:rsidRPr="00AC061D">
        <w:rPr>
          <w:rFonts w:ascii="Arial" w:hAnsi="Arial" w:cs="Arial"/>
        </w:rPr>
        <w:t>Define a clear goal for stock turns</w:t>
      </w:r>
    </w:p>
    <w:p w14:paraId="69E0E29C" w14:textId="25C45279" w:rsidR="00374799" w:rsidRPr="00AC061D" w:rsidRDefault="00374799" w:rsidP="00AC061D">
      <w:pPr>
        <w:spacing w:line="360" w:lineRule="auto"/>
        <w:jc w:val="both"/>
        <w:rPr>
          <w:rFonts w:ascii="Arial" w:hAnsi="Arial" w:cs="Arial"/>
        </w:rPr>
      </w:pPr>
      <w:r w:rsidRPr="00AC061D">
        <w:rPr>
          <w:rFonts w:ascii="Arial" w:hAnsi="Arial" w:cs="Arial"/>
        </w:rPr>
        <w:t>Directors can make forecasts more accurate by leveraging sales analytics and making it easier for sales, buying, and finance to talk to each other. This is in line with modern management accounting, which focuses on helping people make decisions and working together across departments instead of “accounting as policing” (Bhimani, 2006).</w:t>
      </w:r>
    </w:p>
    <w:p w14:paraId="2CD06F68" w14:textId="42E56604" w:rsidR="00374799" w:rsidRPr="00AC061D" w:rsidRDefault="00374799" w:rsidP="00AC061D">
      <w:pPr>
        <w:spacing w:line="360" w:lineRule="auto"/>
        <w:jc w:val="both"/>
        <w:rPr>
          <w:rFonts w:ascii="Arial" w:hAnsi="Arial" w:cs="Arial"/>
        </w:rPr>
      </w:pPr>
      <w:r w:rsidRPr="00AC061D">
        <w:rPr>
          <w:rFonts w:ascii="Arial" w:hAnsi="Arial" w:cs="Arial"/>
        </w:rPr>
        <w:t xml:space="preserve">The company should also look at how strict its suppliers are with credit and payment. If directors pay early all the time, they lose a free source of cash flow. If they don’t pay on time, they could lose their supply and </w:t>
      </w:r>
      <w:r w:rsidR="00ED0954" w:rsidRPr="00AC061D">
        <w:rPr>
          <w:rFonts w:ascii="Arial" w:hAnsi="Arial" w:cs="Arial"/>
        </w:rPr>
        <w:t>affect their reputation. So good cash management implies paying on time, not just late (Atrill and McLaney, 2018).</w:t>
      </w:r>
    </w:p>
    <w:p w14:paraId="69D9D307" w14:textId="31629340" w:rsidR="00ED0954" w:rsidRPr="00AC061D" w:rsidRDefault="00ED0954" w:rsidP="00AC061D">
      <w:pPr>
        <w:spacing w:line="360" w:lineRule="auto"/>
        <w:jc w:val="both"/>
        <w:rPr>
          <w:rFonts w:ascii="Arial" w:hAnsi="Arial" w:cs="Arial"/>
        </w:rPr>
      </w:pPr>
      <w:r w:rsidRPr="00AC061D">
        <w:rPr>
          <w:rFonts w:ascii="Arial" w:hAnsi="Arial" w:cs="Arial"/>
        </w:rPr>
        <w:t>Directors can also ease cash flow problems by not letting raw materials or completed goods pile up and by focusing on shorter conversion cycles. Clothing inventory generally loses value over time</w:t>
      </w:r>
      <w:r w:rsidR="00921E10" w:rsidRPr="00AC061D">
        <w:rPr>
          <w:rFonts w:ascii="Arial" w:hAnsi="Arial" w:cs="Arial"/>
        </w:rPr>
        <w:t>;</w:t>
      </w:r>
      <w:r w:rsidRPr="00AC061D">
        <w:rPr>
          <w:rFonts w:ascii="Arial" w:hAnsi="Arial" w:cs="Arial"/>
        </w:rPr>
        <w:t xml:space="preserve"> getting rid of old stock is a way to</w:t>
      </w:r>
      <w:r w:rsidR="00921E10" w:rsidRPr="00AC061D">
        <w:rPr>
          <w:rFonts w:ascii="Arial" w:hAnsi="Arial" w:cs="Arial"/>
        </w:rPr>
        <w:t xml:space="preserve"> make more money and save money (Drury, 2021).</w:t>
      </w:r>
    </w:p>
    <w:p w14:paraId="3893B1E7" w14:textId="77777777" w:rsidR="00921E10" w:rsidRPr="00AC061D" w:rsidRDefault="00921E10" w:rsidP="00AC061D">
      <w:pPr>
        <w:spacing w:line="360" w:lineRule="auto"/>
        <w:jc w:val="both"/>
        <w:rPr>
          <w:rFonts w:ascii="Arial" w:hAnsi="Arial" w:cs="Arial"/>
        </w:rPr>
      </w:pPr>
    </w:p>
    <w:p w14:paraId="0A92C537" w14:textId="77777777" w:rsidR="00921E10" w:rsidRPr="00AC061D" w:rsidRDefault="00921E10" w:rsidP="00AC061D">
      <w:pPr>
        <w:spacing w:line="360" w:lineRule="auto"/>
        <w:jc w:val="both"/>
        <w:rPr>
          <w:rFonts w:ascii="Arial" w:hAnsi="Arial" w:cs="Arial"/>
        </w:rPr>
      </w:pPr>
    </w:p>
    <w:p w14:paraId="303EFEE9" w14:textId="77777777" w:rsidR="00921E10" w:rsidRPr="00AC061D" w:rsidRDefault="00921E10" w:rsidP="00AC061D">
      <w:pPr>
        <w:spacing w:line="360" w:lineRule="auto"/>
        <w:jc w:val="both"/>
        <w:rPr>
          <w:rFonts w:ascii="Arial" w:hAnsi="Arial" w:cs="Arial"/>
        </w:rPr>
      </w:pPr>
    </w:p>
    <w:p w14:paraId="77002F0D" w14:textId="77777777" w:rsidR="00921E10" w:rsidRPr="00AC061D" w:rsidRDefault="00921E10" w:rsidP="00AC061D">
      <w:pPr>
        <w:spacing w:line="360" w:lineRule="auto"/>
        <w:jc w:val="both"/>
        <w:rPr>
          <w:rFonts w:ascii="Arial" w:hAnsi="Arial" w:cs="Arial"/>
        </w:rPr>
      </w:pPr>
    </w:p>
    <w:p w14:paraId="0E6A60AA" w14:textId="77777777" w:rsidR="00921E10" w:rsidRPr="00AC061D" w:rsidRDefault="00921E10" w:rsidP="00AC061D">
      <w:pPr>
        <w:spacing w:line="360" w:lineRule="auto"/>
        <w:jc w:val="both"/>
        <w:rPr>
          <w:rFonts w:ascii="Arial" w:hAnsi="Arial" w:cs="Arial"/>
        </w:rPr>
      </w:pPr>
    </w:p>
    <w:p w14:paraId="7BA65E5D" w14:textId="68C9FC2F" w:rsidR="00921E10" w:rsidRPr="00AC061D" w:rsidRDefault="00921E10" w:rsidP="00AC061D">
      <w:pPr>
        <w:pStyle w:val="Heading1"/>
        <w:spacing w:line="360" w:lineRule="auto"/>
        <w:jc w:val="both"/>
        <w:rPr>
          <w:rFonts w:ascii="Arial" w:hAnsi="Arial" w:cs="Arial"/>
          <w:sz w:val="24"/>
          <w:szCs w:val="24"/>
        </w:rPr>
      </w:pPr>
      <w:bookmarkStart w:id="14" w:name="_Toc224845297"/>
      <w:r w:rsidRPr="00AC061D">
        <w:rPr>
          <w:rFonts w:ascii="Arial" w:hAnsi="Arial" w:cs="Arial"/>
          <w:sz w:val="24"/>
          <w:szCs w:val="24"/>
        </w:rPr>
        <w:lastRenderedPageBreak/>
        <w:t>5. Conditions for effective budgeting and financial control</w:t>
      </w:r>
      <w:bookmarkEnd w:id="14"/>
    </w:p>
    <w:p w14:paraId="5C0985F3" w14:textId="77777777" w:rsidR="00921E10" w:rsidRPr="00AC061D" w:rsidRDefault="00921E10" w:rsidP="00AC061D">
      <w:pPr>
        <w:pStyle w:val="ListParagraph"/>
        <w:spacing w:line="360" w:lineRule="auto"/>
        <w:ind w:left="744"/>
        <w:jc w:val="both"/>
        <w:rPr>
          <w:rFonts w:ascii="Arial" w:hAnsi="Arial" w:cs="Arial"/>
        </w:rPr>
      </w:pPr>
    </w:p>
    <w:p w14:paraId="02BE44A2" w14:textId="52D54DD0" w:rsidR="00CB428B" w:rsidRPr="00AC061D" w:rsidRDefault="00921E10" w:rsidP="00AC061D">
      <w:pPr>
        <w:spacing w:line="360" w:lineRule="auto"/>
        <w:jc w:val="both"/>
        <w:rPr>
          <w:rFonts w:ascii="Arial" w:hAnsi="Arial" w:cs="Arial"/>
        </w:rPr>
      </w:pPr>
      <w:r w:rsidRPr="00AC061D">
        <w:rPr>
          <w:rFonts w:ascii="Arial" w:hAnsi="Arial" w:cs="Arial"/>
        </w:rPr>
        <w:t>Budgets work when they help with planning, communication, control, and coordination</w:t>
      </w:r>
      <w:r w:rsidR="00CB428B" w:rsidRPr="00AC061D">
        <w:rPr>
          <w:rFonts w:ascii="Arial" w:hAnsi="Arial" w:cs="Arial"/>
        </w:rPr>
        <w:t xml:space="preserve">, not when they become rigid targets </w:t>
      </w:r>
      <w:r w:rsidRPr="00AC061D">
        <w:rPr>
          <w:rFonts w:ascii="Arial" w:hAnsi="Arial" w:cs="Arial"/>
        </w:rPr>
        <w:t>that aren’t based on reality (Seal, Garrison, and Noreen, 2018).</w:t>
      </w:r>
      <w:r w:rsidR="00CB428B" w:rsidRPr="00AC061D">
        <w:rPr>
          <w:rFonts w:ascii="Arial" w:hAnsi="Arial" w:cs="Arial"/>
        </w:rPr>
        <w:t xml:space="preserve"> In Silver Stitch, the budgets have to link to sales, buying, making things, and managing cash.</w:t>
      </w:r>
    </w:p>
    <w:p w14:paraId="1E241BAB" w14:textId="02C60BC5" w:rsidR="00921E10" w:rsidRPr="00AC061D" w:rsidRDefault="00CB428B" w:rsidP="00AC061D">
      <w:pPr>
        <w:spacing w:line="360" w:lineRule="auto"/>
        <w:jc w:val="both"/>
        <w:rPr>
          <w:rFonts w:ascii="Arial" w:hAnsi="Arial" w:cs="Arial"/>
        </w:rPr>
      </w:pPr>
      <w:r w:rsidRPr="00AC061D">
        <w:rPr>
          <w:rFonts w:ascii="Arial" w:hAnsi="Arial" w:cs="Arial"/>
        </w:rPr>
        <w:t xml:space="preserve"> For budgetary control work, they need to:</w:t>
      </w:r>
    </w:p>
    <w:p w14:paraId="51F94124" w14:textId="4A467D77" w:rsidR="00CB428B" w:rsidRPr="00AC061D" w:rsidRDefault="00CB428B" w:rsidP="00AC061D">
      <w:pPr>
        <w:pStyle w:val="ListParagraph"/>
        <w:numPr>
          <w:ilvl w:val="0"/>
          <w:numId w:val="7"/>
        </w:numPr>
        <w:spacing w:line="360" w:lineRule="auto"/>
        <w:jc w:val="both"/>
        <w:rPr>
          <w:rFonts w:ascii="Arial" w:hAnsi="Arial" w:cs="Arial"/>
        </w:rPr>
      </w:pPr>
      <w:r w:rsidRPr="00AC061D">
        <w:rPr>
          <w:rFonts w:ascii="Arial" w:hAnsi="Arial" w:cs="Arial"/>
        </w:rPr>
        <w:t>Clear lines of duty and accountability for things that can be controlled, including buying stock and spending on overhead (Drury, 2021).</w:t>
      </w:r>
    </w:p>
    <w:p w14:paraId="740025BE" w14:textId="33070288" w:rsidR="00CB428B" w:rsidRPr="00AC061D" w:rsidRDefault="00CB428B" w:rsidP="00AC061D">
      <w:pPr>
        <w:pStyle w:val="ListParagraph"/>
        <w:numPr>
          <w:ilvl w:val="0"/>
          <w:numId w:val="7"/>
        </w:numPr>
        <w:spacing w:line="360" w:lineRule="auto"/>
        <w:jc w:val="both"/>
        <w:rPr>
          <w:rFonts w:ascii="Arial" w:hAnsi="Arial" w:cs="Arial"/>
        </w:rPr>
      </w:pPr>
      <w:r w:rsidRPr="00AC061D">
        <w:rPr>
          <w:rFonts w:ascii="Arial" w:hAnsi="Arial" w:cs="Arial"/>
        </w:rPr>
        <w:t>Reporting on time with a variance analysis that not only shows what happened but also why it changed and what management will do next (Dyson, 2020).</w:t>
      </w:r>
    </w:p>
    <w:p w14:paraId="1DDA1B19" w14:textId="6C6D93FB" w:rsidR="00CB428B" w:rsidRPr="00AC061D" w:rsidRDefault="00CB428B" w:rsidP="00AC061D">
      <w:pPr>
        <w:pStyle w:val="ListParagraph"/>
        <w:numPr>
          <w:ilvl w:val="0"/>
          <w:numId w:val="7"/>
        </w:numPr>
        <w:spacing w:line="360" w:lineRule="auto"/>
        <w:jc w:val="both"/>
        <w:rPr>
          <w:rFonts w:ascii="Arial" w:hAnsi="Arial" w:cs="Arial"/>
        </w:rPr>
      </w:pPr>
      <w:r w:rsidRPr="00AC061D">
        <w:rPr>
          <w:rFonts w:ascii="Arial" w:hAnsi="Arial" w:cs="Arial"/>
        </w:rPr>
        <w:t>Standards that are realistic and participatory. Too many top-down targets can cause people to cheat, waste money, and only care about the short term (Merchant and Van der Stede,</w:t>
      </w:r>
      <w:r w:rsidR="00D153E7" w:rsidRPr="00AC061D">
        <w:rPr>
          <w:rFonts w:ascii="Arial" w:hAnsi="Arial" w:cs="Arial"/>
        </w:rPr>
        <w:t xml:space="preserve"> </w:t>
      </w:r>
      <w:r w:rsidRPr="00AC061D">
        <w:rPr>
          <w:rFonts w:ascii="Arial" w:hAnsi="Arial" w:cs="Arial"/>
        </w:rPr>
        <w:t>2017).</w:t>
      </w:r>
    </w:p>
    <w:p w14:paraId="3D3E6DB2" w14:textId="703DB2AA" w:rsidR="00CB428B" w:rsidRPr="00AC061D" w:rsidRDefault="00002AB4" w:rsidP="00AC061D">
      <w:pPr>
        <w:pStyle w:val="ListParagraph"/>
        <w:numPr>
          <w:ilvl w:val="0"/>
          <w:numId w:val="7"/>
        </w:numPr>
        <w:spacing w:line="360" w:lineRule="auto"/>
        <w:jc w:val="both"/>
        <w:rPr>
          <w:rFonts w:ascii="Arial" w:hAnsi="Arial" w:cs="Arial"/>
        </w:rPr>
      </w:pPr>
      <w:r w:rsidRPr="00AC061D">
        <w:rPr>
          <w:rFonts w:ascii="Arial" w:hAnsi="Arial" w:cs="Arial"/>
        </w:rPr>
        <w:t>Safety measures for behaviour. For instance, managers might safeguard their own goals instead of the company’s cash flow by ordering too much to avoid stock-outs that could affect sales, even when there is already too much inventory (Hope and Fraser, 2003). This risk is high in apparel because the worry of not meeting demand can override sensible stock policy. To avoid tunnel vision, directors should use both financial and operational measurements (Marr, 2013).</w:t>
      </w:r>
    </w:p>
    <w:p w14:paraId="24C9567C" w14:textId="7B03C3EE" w:rsidR="00002AB4" w:rsidRPr="00AC061D" w:rsidRDefault="00002AB4" w:rsidP="00AC061D">
      <w:pPr>
        <w:spacing w:line="360" w:lineRule="auto"/>
        <w:jc w:val="both"/>
        <w:rPr>
          <w:rFonts w:ascii="Arial" w:hAnsi="Arial" w:cs="Arial"/>
        </w:rPr>
      </w:pPr>
      <w:r w:rsidRPr="00AC061D">
        <w:rPr>
          <w:rFonts w:ascii="Arial" w:hAnsi="Arial" w:cs="Arial"/>
        </w:rPr>
        <w:t>A useful control framework for Silver Stitch would include a rolling cash forecast, monthly flexible budgets for costs that can be controlled, and a modest dashboard of KPIs that show profitability, liquidity, and working capital</w:t>
      </w:r>
      <w:r w:rsidR="009239A7" w:rsidRPr="00AC061D">
        <w:rPr>
          <w:rFonts w:ascii="Arial" w:hAnsi="Arial" w:cs="Arial"/>
        </w:rPr>
        <w:t>. KPIs should not be a random list; instead, they should be connected to strategy and consumer objectives (Kaplan and Norton, 1996).</w:t>
      </w:r>
    </w:p>
    <w:p w14:paraId="311A8138" w14:textId="019FD1EF" w:rsidR="00D153E7" w:rsidRDefault="00D153E7" w:rsidP="00AC061D">
      <w:pPr>
        <w:spacing w:line="360" w:lineRule="auto"/>
        <w:jc w:val="both"/>
        <w:rPr>
          <w:rFonts w:ascii="Arial" w:hAnsi="Arial" w:cs="Arial"/>
        </w:rPr>
      </w:pPr>
      <w:r w:rsidRPr="00AC061D">
        <w:rPr>
          <w:rFonts w:ascii="Arial" w:hAnsi="Arial" w:cs="Arial"/>
        </w:rPr>
        <w:t xml:space="preserve">It also fits broader performance-control frameworks that balance accountability, diagnostic </w:t>
      </w:r>
      <w:r w:rsidR="00AC061D" w:rsidRPr="00AC061D">
        <w:rPr>
          <w:rFonts w:ascii="Arial" w:hAnsi="Arial" w:cs="Arial"/>
        </w:rPr>
        <w:t>control, and</w:t>
      </w:r>
      <w:r w:rsidRPr="00AC061D">
        <w:rPr>
          <w:rFonts w:ascii="Arial" w:hAnsi="Arial" w:cs="Arial"/>
        </w:rPr>
        <w:t xml:space="preserve"> strategic learning (Otley, 1999; Simons, 1995; FRC, 2024).</w:t>
      </w:r>
    </w:p>
    <w:p w14:paraId="467D6EE5" w14:textId="77777777" w:rsidR="00AC061D" w:rsidRPr="00AC061D" w:rsidRDefault="00AC061D" w:rsidP="00AC061D">
      <w:pPr>
        <w:spacing w:line="360" w:lineRule="auto"/>
        <w:jc w:val="both"/>
        <w:rPr>
          <w:rFonts w:ascii="Arial" w:hAnsi="Arial" w:cs="Arial"/>
        </w:rPr>
      </w:pPr>
    </w:p>
    <w:p w14:paraId="0EC1AB18" w14:textId="38479A92" w:rsidR="009239A7" w:rsidRPr="00AC061D" w:rsidRDefault="009239A7" w:rsidP="00AC061D">
      <w:pPr>
        <w:pStyle w:val="Heading2"/>
        <w:spacing w:line="360" w:lineRule="auto"/>
        <w:jc w:val="both"/>
        <w:rPr>
          <w:rFonts w:ascii="Arial" w:hAnsi="Arial" w:cs="Arial"/>
          <w:sz w:val="24"/>
          <w:szCs w:val="24"/>
        </w:rPr>
      </w:pPr>
      <w:bookmarkStart w:id="15" w:name="_Toc224845298"/>
      <w:r w:rsidRPr="00AC061D">
        <w:rPr>
          <w:rFonts w:ascii="Arial" w:hAnsi="Arial" w:cs="Arial"/>
          <w:sz w:val="24"/>
          <w:szCs w:val="24"/>
        </w:rPr>
        <w:lastRenderedPageBreak/>
        <w:t>5.1 Behavioural factors</w:t>
      </w:r>
      <w:bookmarkEnd w:id="15"/>
      <w:r w:rsidRPr="00AC061D">
        <w:rPr>
          <w:rFonts w:ascii="Arial" w:hAnsi="Arial" w:cs="Arial"/>
          <w:sz w:val="24"/>
          <w:szCs w:val="24"/>
        </w:rPr>
        <w:t xml:space="preserve"> </w:t>
      </w:r>
    </w:p>
    <w:p w14:paraId="1293F6EE" w14:textId="77777777" w:rsidR="009239A7" w:rsidRPr="00AC061D" w:rsidRDefault="009239A7" w:rsidP="00AC061D">
      <w:pPr>
        <w:spacing w:line="360" w:lineRule="auto"/>
        <w:jc w:val="both"/>
        <w:rPr>
          <w:rFonts w:ascii="Arial" w:hAnsi="Arial" w:cs="Arial"/>
        </w:rPr>
      </w:pPr>
    </w:p>
    <w:p w14:paraId="061B7AB5" w14:textId="0D1064D3" w:rsidR="009239A7" w:rsidRPr="00AC061D" w:rsidRDefault="009239A7" w:rsidP="00AC061D">
      <w:pPr>
        <w:spacing w:line="360" w:lineRule="auto"/>
        <w:jc w:val="both"/>
        <w:rPr>
          <w:rFonts w:ascii="Arial" w:hAnsi="Arial" w:cs="Arial"/>
        </w:rPr>
      </w:pPr>
      <w:r w:rsidRPr="00AC061D">
        <w:rPr>
          <w:rFonts w:ascii="Arial" w:hAnsi="Arial" w:cs="Arial"/>
        </w:rPr>
        <w:t>When an organisation uses budgets in ways that lead to bad behaviour, they don’t work. Some common behavioural hazards are budget slack, shifting blame, and focusing on fulfilling goals instead of helping customers (Merchant and Van der Stede,2017).</w:t>
      </w:r>
    </w:p>
    <w:p w14:paraId="1931EC79" w14:textId="59E4B43B" w:rsidR="00D153E7" w:rsidRPr="00AC061D" w:rsidRDefault="00D153E7" w:rsidP="00AC061D">
      <w:pPr>
        <w:spacing w:line="360" w:lineRule="auto"/>
        <w:jc w:val="both"/>
        <w:rPr>
          <w:rFonts w:ascii="Arial" w:hAnsi="Arial" w:cs="Arial"/>
        </w:rPr>
      </w:pPr>
      <w:r w:rsidRPr="00AC061D">
        <w:rPr>
          <w:rFonts w:ascii="Arial" w:hAnsi="Arial" w:cs="Arial"/>
        </w:rPr>
        <w:t>Agency-focused critiques make the same point, arguing that badly designed budget incentives can encourage people to distort numbers (Jensen, 2003).</w:t>
      </w:r>
    </w:p>
    <w:p w14:paraId="08519769" w14:textId="4C0C657A" w:rsidR="009239A7" w:rsidRPr="00AC061D" w:rsidRDefault="009239A7" w:rsidP="00AC061D">
      <w:pPr>
        <w:spacing w:line="360" w:lineRule="auto"/>
        <w:jc w:val="both"/>
        <w:rPr>
          <w:rFonts w:ascii="Arial" w:hAnsi="Arial" w:cs="Arial"/>
        </w:rPr>
      </w:pPr>
      <w:r w:rsidRPr="00AC061D">
        <w:rPr>
          <w:rFonts w:ascii="Arial" w:hAnsi="Arial" w:cs="Arial"/>
        </w:rPr>
        <w:t>In Silver Stitch</w:t>
      </w:r>
      <w:r w:rsidR="00D738DF" w:rsidRPr="00AC061D">
        <w:rPr>
          <w:rFonts w:ascii="Arial" w:hAnsi="Arial" w:cs="Arial"/>
        </w:rPr>
        <w:t>, a common habit is “defensive buying”, which means that purchasing managers order too much to keep service levels high and avoid running out of goods, even while the total amount of stock is already going up. Another risk is “end-of-period spending”, which happens when managers spend more money than they need because they are afraid that their budgets will be cut in the future if they don’t spend enough (Hope and Fraser, 2003).</w:t>
      </w:r>
    </w:p>
    <w:p w14:paraId="3B0BFD6B" w14:textId="58661A37" w:rsidR="00D738DF" w:rsidRPr="00AC061D" w:rsidRDefault="00D738DF" w:rsidP="00AC061D">
      <w:pPr>
        <w:spacing w:line="360" w:lineRule="auto"/>
        <w:jc w:val="both"/>
        <w:rPr>
          <w:rFonts w:ascii="Arial" w:hAnsi="Arial" w:cs="Arial"/>
        </w:rPr>
      </w:pPr>
      <w:r w:rsidRPr="00AC061D">
        <w:rPr>
          <w:rFonts w:ascii="Arial" w:hAnsi="Arial" w:cs="Arial"/>
        </w:rPr>
        <w:t>To mitigate these behaviours, directors must construct the control system with psychological considerations in focus. Involvement can boost dedication and local expertise, but it can also lead to slack if incentives aren’t linked well (Drury,2021).</w:t>
      </w:r>
    </w:p>
    <w:p w14:paraId="42CCECC3" w14:textId="718872E8" w:rsidR="00D738DF" w:rsidRPr="00AC061D" w:rsidRDefault="00D738DF" w:rsidP="00AC061D">
      <w:pPr>
        <w:spacing w:line="360" w:lineRule="auto"/>
        <w:jc w:val="both"/>
        <w:rPr>
          <w:rFonts w:ascii="Arial" w:hAnsi="Arial" w:cs="Arial"/>
        </w:rPr>
      </w:pPr>
      <w:r w:rsidRPr="00AC061D">
        <w:rPr>
          <w:rFonts w:ascii="Arial" w:hAnsi="Arial" w:cs="Arial"/>
        </w:rPr>
        <w:t xml:space="preserve">A good way to do this is to have </w:t>
      </w:r>
      <w:r w:rsidR="001F7101" w:rsidRPr="00AC061D">
        <w:rPr>
          <w:rFonts w:ascii="Arial" w:hAnsi="Arial" w:cs="Arial"/>
        </w:rPr>
        <w:t>managers help make projections and find hazards, but to stop manipulation, you should utilise independent challenge and clear rules.</w:t>
      </w:r>
    </w:p>
    <w:p w14:paraId="130BFDA0" w14:textId="77777777" w:rsidR="00596E75" w:rsidRPr="00AC061D" w:rsidRDefault="001F7101" w:rsidP="00AC061D">
      <w:pPr>
        <w:spacing w:line="360" w:lineRule="auto"/>
        <w:jc w:val="both"/>
        <w:rPr>
          <w:rFonts w:ascii="Arial" w:hAnsi="Arial" w:cs="Arial"/>
        </w:rPr>
      </w:pPr>
      <w:r w:rsidRPr="00AC061D">
        <w:rPr>
          <w:rFonts w:ascii="Arial" w:hAnsi="Arial" w:cs="Arial"/>
        </w:rPr>
        <w:t xml:space="preserve">Directors should also try to keep forecasting and setting goals separate. Forecasts should say what is likely to happen, while goals should say what the organisation intends to achieve. </w:t>
      </w:r>
    </w:p>
    <w:p w14:paraId="7DB89CB0" w14:textId="77777777" w:rsidR="00596E75" w:rsidRPr="00AC061D" w:rsidRDefault="00596E75" w:rsidP="00AC061D">
      <w:pPr>
        <w:spacing w:line="360" w:lineRule="auto"/>
        <w:jc w:val="both"/>
        <w:rPr>
          <w:rFonts w:ascii="Arial" w:hAnsi="Arial" w:cs="Arial"/>
        </w:rPr>
      </w:pPr>
    </w:p>
    <w:p w14:paraId="3F6DC108" w14:textId="4E0DAD27" w:rsidR="00596E75" w:rsidRPr="00AC061D" w:rsidRDefault="00596E75" w:rsidP="00AC061D">
      <w:pPr>
        <w:pStyle w:val="Heading1"/>
        <w:spacing w:line="360" w:lineRule="auto"/>
        <w:jc w:val="both"/>
        <w:rPr>
          <w:rFonts w:ascii="Arial" w:hAnsi="Arial" w:cs="Arial"/>
          <w:sz w:val="24"/>
          <w:szCs w:val="24"/>
        </w:rPr>
      </w:pPr>
      <w:bookmarkStart w:id="16" w:name="_Toc224845299"/>
      <w:r w:rsidRPr="00AC061D">
        <w:rPr>
          <w:rFonts w:ascii="Arial" w:hAnsi="Arial" w:cs="Arial"/>
          <w:sz w:val="24"/>
          <w:szCs w:val="24"/>
        </w:rPr>
        <w:t>5.2 Tools for budget control</w:t>
      </w:r>
      <w:bookmarkEnd w:id="16"/>
      <w:r w:rsidRPr="00AC061D">
        <w:rPr>
          <w:rFonts w:ascii="Arial" w:hAnsi="Arial" w:cs="Arial"/>
          <w:sz w:val="24"/>
          <w:szCs w:val="24"/>
        </w:rPr>
        <w:t xml:space="preserve"> </w:t>
      </w:r>
    </w:p>
    <w:p w14:paraId="5A11D22E" w14:textId="77777777" w:rsidR="00F019A5" w:rsidRPr="00AC061D" w:rsidRDefault="00F019A5" w:rsidP="00AC061D">
      <w:pPr>
        <w:spacing w:line="360" w:lineRule="auto"/>
        <w:jc w:val="both"/>
        <w:rPr>
          <w:rFonts w:ascii="Arial" w:hAnsi="Arial" w:cs="Arial"/>
        </w:rPr>
      </w:pPr>
    </w:p>
    <w:p w14:paraId="71A02BD1" w14:textId="77777777" w:rsidR="00F019A5" w:rsidRPr="00AC061D" w:rsidRDefault="00F019A5" w:rsidP="00AC061D">
      <w:pPr>
        <w:spacing w:line="360" w:lineRule="auto"/>
        <w:jc w:val="both"/>
        <w:rPr>
          <w:rFonts w:ascii="Arial" w:hAnsi="Arial" w:cs="Arial"/>
        </w:rPr>
      </w:pPr>
    </w:p>
    <w:p w14:paraId="5B9F5DD4" w14:textId="3F61E38F" w:rsidR="00C34F1D" w:rsidRPr="00AC061D" w:rsidRDefault="00B3179D" w:rsidP="00AC061D">
      <w:pPr>
        <w:spacing w:line="360" w:lineRule="auto"/>
        <w:jc w:val="both"/>
        <w:rPr>
          <w:rFonts w:ascii="Arial" w:hAnsi="Arial" w:cs="Arial"/>
        </w:rPr>
      </w:pPr>
      <w:r w:rsidRPr="00AC061D">
        <w:rPr>
          <w:rFonts w:ascii="Arial" w:hAnsi="Arial" w:cs="Arial"/>
        </w:rPr>
        <w:t xml:space="preserve">Silver Stitch shouldn’t just use a fixed budget. Flexible budgeting alters the anticipated cost assumptions based on the actual level of activity. This helps managers figure out whether differences are due to changes in volume or efficiency (Seal, Garrison, and </w:t>
      </w:r>
      <w:r w:rsidRPr="00AC061D">
        <w:rPr>
          <w:rFonts w:ascii="Arial" w:hAnsi="Arial" w:cs="Arial"/>
        </w:rPr>
        <w:lastRenderedPageBreak/>
        <w:t>Noreen,2018).</w:t>
      </w:r>
      <w:r w:rsidR="00D153E7" w:rsidRPr="00AC061D">
        <w:rPr>
          <w:rFonts w:ascii="Arial" w:hAnsi="Arial" w:cs="Arial"/>
        </w:rPr>
        <w:t xml:space="preserve"> This is also standard in cost accounting texts (Horngren, Datar, and Rajan, 2015).</w:t>
      </w:r>
    </w:p>
    <w:p w14:paraId="50481798" w14:textId="65A9DCEB" w:rsidR="00B3179D" w:rsidRPr="00AC061D" w:rsidRDefault="00B3179D" w:rsidP="00AC061D">
      <w:pPr>
        <w:spacing w:line="360" w:lineRule="auto"/>
        <w:jc w:val="both"/>
        <w:rPr>
          <w:rFonts w:ascii="Arial" w:hAnsi="Arial" w:cs="Arial"/>
        </w:rPr>
      </w:pPr>
      <w:r w:rsidRPr="00AC061D">
        <w:rPr>
          <w:rFonts w:ascii="Arial" w:hAnsi="Arial" w:cs="Arial"/>
        </w:rPr>
        <w:t xml:space="preserve">This is important since a drop in sales can cause </w:t>
      </w:r>
      <w:r w:rsidR="002C5A89" w:rsidRPr="00AC061D">
        <w:rPr>
          <w:rFonts w:ascii="Arial" w:hAnsi="Arial" w:cs="Arial"/>
        </w:rPr>
        <w:t xml:space="preserve">a </w:t>
      </w:r>
      <w:r w:rsidRPr="00AC061D">
        <w:rPr>
          <w:rFonts w:ascii="Arial" w:hAnsi="Arial" w:cs="Arial"/>
        </w:rPr>
        <w:t>b</w:t>
      </w:r>
      <w:r w:rsidR="002C5A89" w:rsidRPr="00AC061D">
        <w:rPr>
          <w:rFonts w:ascii="Arial" w:hAnsi="Arial" w:cs="Arial"/>
        </w:rPr>
        <w:t>ig</w:t>
      </w:r>
      <w:r w:rsidRPr="00AC061D">
        <w:rPr>
          <w:rFonts w:ascii="Arial" w:hAnsi="Arial" w:cs="Arial"/>
        </w:rPr>
        <w:t xml:space="preserve"> profit </w:t>
      </w:r>
      <w:r w:rsidR="002C5A89" w:rsidRPr="00AC061D">
        <w:rPr>
          <w:rFonts w:ascii="Arial" w:hAnsi="Arial" w:cs="Arial"/>
        </w:rPr>
        <w:t>change</w:t>
      </w:r>
      <w:r w:rsidRPr="00AC061D">
        <w:rPr>
          <w:rFonts w:ascii="Arial" w:hAnsi="Arial" w:cs="Arial"/>
        </w:rPr>
        <w:t xml:space="preserve"> even if costs are well managed, and managers shouldn’t be responsible for changes in volume that are out of their control (Drury, 2021).</w:t>
      </w:r>
    </w:p>
    <w:p w14:paraId="1B0248DC" w14:textId="74FFD601" w:rsidR="00B3179D" w:rsidRPr="00AC061D" w:rsidRDefault="00B3179D" w:rsidP="00AC061D">
      <w:pPr>
        <w:spacing w:line="360" w:lineRule="auto"/>
        <w:jc w:val="both"/>
        <w:rPr>
          <w:rFonts w:ascii="Arial" w:hAnsi="Arial" w:cs="Arial"/>
        </w:rPr>
      </w:pPr>
      <w:r w:rsidRPr="00AC061D">
        <w:rPr>
          <w:rFonts w:ascii="Arial" w:hAnsi="Arial" w:cs="Arial"/>
        </w:rPr>
        <w:t>If the actual gross margin is less than the intended 40%, management should look into whether price cuts, changes in the product mix, shrinkage, or supplier cost hikes are to blame. Management should also look into why inventory is growing faster than projected. This could be because purc</w:t>
      </w:r>
      <w:r w:rsidR="00FF4AC8" w:rsidRPr="00AC061D">
        <w:rPr>
          <w:rFonts w:ascii="Arial" w:hAnsi="Arial" w:cs="Arial"/>
        </w:rPr>
        <w:t>hases were more than planned, sales were lower, or decisions about production led to more stock than needed. The goal is to link differences to operational causes and then to choices (Dyson, 2020).</w:t>
      </w:r>
    </w:p>
    <w:p w14:paraId="46E6A8FA" w14:textId="77777777" w:rsidR="00FF4AC8" w:rsidRPr="00AC061D" w:rsidRDefault="00FF4AC8" w:rsidP="00AC061D">
      <w:pPr>
        <w:spacing w:line="360" w:lineRule="auto"/>
        <w:jc w:val="both"/>
        <w:rPr>
          <w:rFonts w:ascii="Arial" w:hAnsi="Arial" w:cs="Arial"/>
        </w:rPr>
      </w:pPr>
    </w:p>
    <w:p w14:paraId="4149BEBF" w14:textId="259587E4" w:rsidR="00FF4AC8" w:rsidRPr="00AC061D" w:rsidRDefault="00FF4AC8" w:rsidP="00AC061D">
      <w:pPr>
        <w:pStyle w:val="Heading2"/>
        <w:spacing w:line="360" w:lineRule="auto"/>
        <w:jc w:val="both"/>
        <w:rPr>
          <w:rFonts w:ascii="Arial" w:hAnsi="Arial" w:cs="Arial"/>
          <w:sz w:val="24"/>
          <w:szCs w:val="24"/>
        </w:rPr>
      </w:pPr>
      <w:bookmarkStart w:id="17" w:name="_Toc224845300"/>
      <w:r w:rsidRPr="00AC061D">
        <w:rPr>
          <w:rFonts w:ascii="Arial" w:hAnsi="Arial" w:cs="Arial"/>
          <w:sz w:val="24"/>
          <w:szCs w:val="24"/>
        </w:rPr>
        <w:t>5.3 KPIs and scorecards</w:t>
      </w:r>
      <w:bookmarkEnd w:id="17"/>
    </w:p>
    <w:p w14:paraId="14AE72C3" w14:textId="77777777" w:rsidR="00FF4AC8" w:rsidRPr="00AC061D" w:rsidRDefault="00FF4AC8" w:rsidP="00AC061D">
      <w:pPr>
        <w:spacing w:line="360" w:lineRule="auto"/>
        <w:jc w:val="both"/>
        <w:rPr>
          <w:rFonts w:ascii="Arial" w:hAnsi="Arial" w:cs="Arial"/>
        </w:rPr>
      </w:pPr>
    </w:p>
    <w:p w14:paraId="4AE70BC8" w14:textId="77777777" w:rsidR="00FF4AC8" w:rsidRPr="00AC061D" w:rsidRDefault="00FF4AC8" w:rsidP="00AC061D">
      <w:pPr>
        <w:spacing w:line="360" w:lineRule="auto"/>
        <w:jc w:val="both"/>
        <w:rPr>
          <w:rFonts w:ascii="Arial" w:hAnsi="Arial" w:cs="Arial"/>
        </w:rPr>
      </w:pPr>
    </w:p>
    <w:p w14:paraId="57BBFDDB" w14:textId="511F48AC" w:rsidR="00C84219" w:rsidRPr="00AC061D" w:rsidRDefault="001E2935" w:rsidP="00AC061D">
      <w:pPr>
        <w:spacing w:line="360" w:lineRule="auto"/>
        <w:jc w:val="both"/>
        <w:rPr>
          <w:rFonts w:ascii="Arial" w:hAnsi="Arial" w:cs="Arial"/>
        </w:rPr>
      </w:pPr>
      <w:r w:rsidRPr="00AC061D">
        <w:rPr>
          <w:rFonts w:ascii="Arial" w:hAnsi="Arial" w:cs="Arial"/>
        </w:rPr>
        <w:t>KPIs can help turn strategy into measurable results, but only if they are chosen carefully and fit together. A lot of KPIs might make things confusing. The KPI literature stresses the need to choose metrics that are meaningful, manageable, and connected to factors that lead to success (Marr, 2013).</w:t>
      </w:r>
    </w:p>
    <w:p w14:paraId="59C1ACDB" w14:textId="209BDD44" w:rsidR="001E2935" w:rsidRPr="00AC061D" w:rsidRDefault="001E2935" w:rsidP="00AC061D">
      <w:pPr>
        <w:spacing w:line="360" w:lineRule="auto"/>
        <w:jc w:val="both"/>
        <w:rPr>
          <w:rFonts w:ascii="Arial" w:hAnsi="Arial" w:cs="Arial"/>
        </w:rPr>
      </w:pPr>
      <w:r w:rsidRPr="00AC061D">
        <w:rPr>
          <w:rFonts w:ascii="Arial" w:hAnsi="Arial" w:cs="Arial"/>
        </w:rPr>
        <w:t>A useful set of KPIs for Silver Stitch could be:</w:t>
      </w:r>
    </w:p>
    <w:p w14:paraId="67C32F83" w14:textId="2CF83C2D" w:rsidR="001E2935" w:rsidRPr="00AC061D" w:rsidRDefault="001E2935" w:rsidP="00AC061D">
      <w:pPr>
        <w:pStyle w:val="ListParagraph"/>
        <w:numPr>
          <w:ilvl w:val="0"/>
          <w:numId w:val="8"/>
        </w:numPr>
        <w:spacing w:line="360" w:lineRule="auto"/>
        <w:jc w:val="both"/>
        <w:rPr>
          <w:rFonts w:ascii="Arial" w:hAnsi="Arial" w:cs="Arial"/>
        </w:rPr>
      </w:pPr>
      <w:r w:rsidRPr="00AC061D">
        <w:rPr>
          <w:rFonts w:ascii="Arial" w:hAnsi="Arial" w:cs="Arial"/>
        </w:rPr>
        <w:t>The percentage of gross margin and the markdown rate.</w:t>
      </w:r>
    </w:p>
    <w:p w14:paraId="2EE18F09" w14:textId="1AF2663C" w:rsidR="001E2935" w:rsidRPr="00AC061D" w:rsidRDefault="001E2935" w:rsidP="00AC061D">
      <w:pPr>
        <w:pStyle w:val="ListParagraph"/>
        <w:numPr>
          <w:ilvl w:val="0"/>
          <w:numId w:val="8"/>
        </w:numPr>
        <w:spacing w:line="360" w:lineRule="auto"/>
        <w:jc w:val="both"/>
        <w:rPr>
          <w:rFonts w:ascii="Arial" w:hAnsi="Arial" w:cs="Arial"/>
        </w:rPr>
      </w:pPr>
      <w:r w:rsidRPr="00AC061D">
        <w:rPr>
          <w:rFonts w:ascii="Arial" w:hAnsi="Arial" w:cs="Arial"/>
        </w:rPr>
        <w:t>The percentage of stock that has been around for a long time and the percentage of stock that has been sold.</w:t>
      </w:r>
    </w:p>
    <w:p w14:paraId="645155E8" w14:textId="324C74FB" w:rsidR="001E2935" w:rsidRPr="00AC061D" w:rsidRDefault="001E2935" w:rsidP="00AC061D">
      <w:pPr>
        <w:pStyle w:val="ListParagraph"/>
        <w:numPr>
          <w:ilvl w:val="0"/>
          <w:numId w:val="8"/>
        </w:numPr>
        <w:spacing w:line="360" w:lineRule="auto"/>
        <w:jc w:val="both"/>
        <w:rPr>
          <w:rFonts w:ascii="Arial" w:hAnsi="Arial" w:cs="Arial"/>
        </w:rPr>
      </w:pPr>
      <w:r w:rsidRPr="00AC061D">
        <w:rPr>
          <w:rFonts w:ascii="Arial" w:hAnsi="Arial" w:cs="Arial"/>
        </w:rPr>
        <w:t>Cash conversion cycle or a simpler variant (liquidity discipline).</w:t>
      </w:r>
    </w:p>
    <w:p w14:paraId="72B2C9A3" w14:textId="44575037" w:rsidR="001E2935" w:rsidRPr="00AC061D" w:rsidRDefault="001E2935" w:rsidP="00AC061D">
      <w:pPr>
        <w:pStyle w:val="ListParagraph"/>
        <w:numPr>
          <w:ilvl w:val="0"/>
          <w:numId w:val="8"/>
        </w:numPr>
        <w:spacing w:line="360" w:lineRule="auto"/>
        <w:jc w:val="both"/>
        <w:rPr>
          <w:rFonts w:ascii="Arial" w:hAnsi="Arial" w:cs="Arial"/>
        </w:rPr>
      </w:pPr>
      <w:r w:rsidRPr="00AC061D">
        <w:rPr>
          <w:rFonts w:ascii="Arial" w:hAnsi="Arial" w:cs="Arial"/>
        </w:rPr>
        <w:t>Cost control using the operating expense ratio.</w:t>
      </w:r>
    </w:p>
    <w:p w14:paraId="7C8E3FF9" w14:textId="37F42B59" w:rsidR="001E2935" w:rsidRPr="00AC061D" w:rsidRDefault="001E2935" w:rsidP="00AC061D">
      <w:pPr>
        <w:pStyle w:val="ListParagraph"/>
        <w:numPr>
          <w:ilvl w:val="0"/>
          <w:numId w:val="8"/>
        </w:numPr>
        <w:spacing w:line="360" w:lineRule="auto"/>
        <w:jc w:val="both"/>
        <w:rPr>
          <w:rFonts w:ascii="Arial" w:hAnsi="Arial" w:cs="Arial"/>
        </w:rPr>
      </w:pPr>
      <w:r w:rsidRPr="00AC061D">
        <w:rPr>
          <w:rFonts w:ascii="Arial" w:hAnsi="Arial" w:cs="Arial"/>
        </w:rPr>
        <w:t>Interest cover (financial stability).</w:t>
      </w:r>
    </w:p>
    <w:p w14:paraId="1BDB774D" w14:textId="14D13D32" w:rsidR="001E2935" w:rsidRPr="00AC061D" w:rsidRDefault="001E2935" w:rsidP="00AC061D">
      <w:pPr>
        <w:pStyle w:val="ListParagraph"/>
        <w:numPr>
          <w:ilvl w:val="0"/>
          <w:numId w:val="8"/>
        </w:numPr>
        <w:spacing w:line="360" w:lineRule="auto"/>
        <w:jc w:val="both"/>
        <w:rPr>
          <w:rFonts w:ascii="Arial" w:hAnsi="Arial" w:cs="Arial"/>
        </w:rPr>
      </w:pPr>
      <w:r w:rsidRPr="00AC061D">
        <w:rPr>
          <w:rFonts w:ascii="Arial" w:hAnsi="Arial" w:cs="Arial"/>
        </w:rPr>
        <w:t>Timely delivery/service level.</w:t>
      </w:r>
    </w:p>
    <w:p w14:paraId="1FE4D2E4" w14:textId="1EC3950C" w:rsidR="00231F44" w:rsidRPr="00AC061D" w:rsidRDefault="001E2935" w:rsidP="00AC061D">
      <w:pPr>
        <w:spacing w:line="360" w:lineRule="auto"/>
        <w:jc w:val="both"/>
        <w:rPr>
          <w:rFonts w:ascii="Arial" w:hAnsi="Arial" w:cs="Arial"/>
        </w:rPr>
      </w:pPr>
      <w:r w:rsidRPr="00AC061D">
        <w:rPr>
          <w:rFonts w:ascii="Arial" w:hAnsi="Arial" w:cs="Arial"/>
        </w:rPr>
        <w:t xml:space="preserve">A </w:t>
      </w:r>
      <w:r w:rsidR="00231F44" w:rsidRPr="00AC061D">
        <w:rPr>
          <w:rFonts w:ascii="Arial" w:hAnsi="Arial" w:cs="Arial"/>
        </w:rPr>
        <w:t>balanced</w:t>
      </w:r>
      <w:r w:rsidRPr="00AC061D">
        <w:rPr>
          <w:rFonts w:ascii="Arial" w:hAnsi="Arial" w:cs="Arial"/>
        </w:rPr>
        <w:t xml:space="preserve"> perspective mitigates single </w:t>
      </w:r>
      <w:r w:rsidR="00231F44" w:rsidRPr="00AC061D">
        <w:rPr>
          <w:rFonts w:ascii="Arial" w:hAnsi="Arial" w:cs="Arial"/>
        </w:rPr>
        <w:t>metric</w:t>
      </w:r>
      <w:r w:rsidRPr="00AC061D">
        <w:rPr>
          <w:rFonts w:ascii="Arial" w:hAnsi="Arial" w:cs="Arial"/>
        </w:rPr>
        <w:t xml:space="preserve"> failure, wherein managers</w:t>
      </w:r>
      <w:r w:rsidR="00231F44" w:rsidRPr="00AC061D">
        <w:rPr>
          <w:rFonts w:ascii="Arial" w:hAnsi="Arial" w:cs="Arial"/>
        </w:rPr>
        <w:t xml:space="preserve"> enhance one indicator at the expense of long-term success (Kaplan and Norton, 1996)</w:t>
      </w:r>
      <w:r w:rsidR="00AC061D">
        <w:rPr>
          <w:rFonts w:ascii="Arial" w:hAnsi="Arial" w:cs="Arial"/>
        </w:rPr>
        <w:t>.</w:t>
      </w:r>
    </w:p>
    <w:p w14:paraId="18B1BF68" w14:textId="1D2E19F0" w:rsidR="00231F44" w:rsidRPr="00AC061D" w:rsidRDefault="00231F44" w:rsidP="00AC061D">
      <w:pPr>
        <w:pStyle w:val="Heading1"/>
        <w:spacing w:line="360" w:lineRule="auto"/>
        <w:jc w:val="both"/>
        <w:rPr>
          <w:rFonts w:ascii="Arial" w:hAnsi="Arial" w:cs="Arial"/>
          <w:sz w:val="24"/>
          <w:szCs w:val="24"/>
        </w:rPr>
      </w:pPr>
      <w:bookmarkStart w:id="18" w:name="_Toc224845301"/>
      <w:r w:rsidRPr="00AC061D">
        <w:rPr>
          <w:rFonts w:ascii="Arial" w:hAnsi="Arial" w:cs="Arial"/>
          <w:sz w:val="24"/>
          <w:szCs w:val="24"/>
        </w:rPr>
        <w:lastRenderedPageBreak/>
        <w:t>6. A critical look at standard budgeting in circumstances that change quickly</w:t>
      </w:r>
      <w:bookmarkEnd w:id="18"/>
      <w:r w:rsidRPr="00AC061D">
        <w:rPr>
          <w:rFonts w:ascii="Arial" w:hAnsi="Arial" w:cs="Arial"/>
          <w:sz w:val="24"/>
          <w:szCs w:val="24"/>
        </w:rPr>
        <w:t xml:space="preserve"> </w:t>
      </w:r>
    </w:p>
    <w:p w14:paraId="52E0560F" w14:textId="77777777" w:rsidR="00231F44" w:rsidRPr="00AC061D" w:rsidRDefault="00231F44" w:rsidP="00AC061D">
      <w:pPr>
        <w:spacing w:line="360" w:lineRule="auto"/>
        <w:jc w:val="both"/>
        <w:rPr>
          <w:rFonts w:ascii="Arial" w:hAnsi="Arial" w:cs="Arial"/>
        </w:rPr>
      </w:pPr>
    </w:p>
    <w:p w14:paraId="0A1F241B" w14:textId="017721E5" w:rsidR="00231F44" w:rsidRPr="00AC061D" w:rsidRDefault="00231F44" w:rsidP="00AC061D">
      <w:pPr>
        <w:spacing w:line="360" w:lineRule="auto"/>
        <w:jc w:val="both"/>
        <w:rPr>
          <w:rFonts w:ascii="Arial" w:hAnsi="Arial" w:cs="Arial"/>
        </w:rPr>
      </w:pPr>
      <w:r w:rsidRPr="00AC061D">
        <w:rPr>
          <w:rFonts w:ascii="Arial" w:hAnsi="Arial" w:cs="Arial"/>
        </w:rPr>
        <w:t>There are well-known benefits to traditional annual budgeting: it makes you plan, set spending boundaries, and helps with coordination. It also has built-in problems when the market is unstable.</w:t>
      </w:r>
    </w:p>
    <w:p w14:paraId="3733C28A" w14:textId="3AA04DE4" w:rsidR="00231F44" w:rsidRPr="00AC061D" w:rsidRDefault="00231F44" w:rsidP="00AC061D">
      <w:pPr>
        <w:spacing w:line="360" w:lineRule="auto"/>
        <w:jc w:val="both"/>
        <w:rPr>
          <w:rFonts w:ascii="Arial" w:hAnsi="Arial" w:cs="Arial"/>
        </w:rPr>
      </w:pPr>
      <w:r w:rsidRPr="00AC061D">
        <w:rPr>
          <w:rFonts w:ascii="Arial" w:hAnsi="Arial" w:cs="Arial"/>
        </w:rPr>
        <w:t>First, yearly budgets keep assumptions in place for too long. When input costs, demand, or fashion cycles</w:t>
      </w:r>
      <w:r w:rsidR="001E3532" w:rsidRPr="00AC061D">
        <w:rPr>
          <w:rFonts w:ascii="Arial" w:hAnsi="Arial" w:cs="Arial"/>
        </w:rPr>
        <w:t xml:space="preserve"> change, the budget may no longer be useful. Instead of changing their activities, managers </w:t>
      </w:r>
      <w:r w:rsidR="00692762" w:rsidRPr="00AC061D">
        <w:rPr>
          <w:rFonts w:ascii="Arial" w:hAnsi="Arial" w:cs="Arial"/>
        </w:rPr>
        <w:t>must</w:t>
      </w:r>
      <w:r w:rsidR="001E3532" w:rsidRPr="00AC061D">
        <w:rPr>
          <w:rFonts w:ascii="Arial" w:hAnsi="Arial" w:cs="Arial"/>
        </w:rPr>
        <w:t xml:space="preserve"> spend time explaining the differences (Hope and Fraser, 2003).</w:t>
      </w:r>
    </w:p>
    <w:p w14:paraId="27D558B5" w14:textId="42D3D0AD" w:rsidR="002C5A89" w:rsidRPr="00AC061D" w:rsidRDefault="002C5A89" w:rsidP="00AC061D">
      <w:pPr>
        <w:spacing w:line="360" w:lineRule="auto"/>
        <w:jc w:val="both"/>
        <w:rPr>
          <w:rFonts w:ascii="Arial" w:hAnsi="Arial" w:cs="Arial"/>
        </w:rPr>
      </w:pPr>
      <w:r w:rsidRPr="00AC061D">
        <w:rPr>
          <w:rFonts w:ascii="Arial" w:hAnsi="Arial" w:cs="Arial"/>
        </w:rPr>
        <w:t>This problem is well established in the budgeting literature, which has long questioned whether annual budgets stay useful in volatile settings, especially when input prices move sharply (Bunce, Fraser and Woodcock, 1995; Hansen, Otley and Van der Stede, 2003; ONS, 2021).</w:t>
      </w:r>
    </w:p>
    <w:p w14:paraId="325CAB44" w14:textId="04DF99A3" w:rsidR="001E3532" w:rsidRPr="00AC061D" w:rsidRDefault="001E3532" w:rsidP="00AC061D">
      <w:pPr>
        <w:spacing w:line="360" w:lineRule="auto"/>
        <w:jc w:val="both"/>
        <w:rPr>
          <w:rFonts w:ascii="Arial" w:hAnsi="Arial" w:cs="Arial"/>
        </w:rPr>
      </w:pPr>
      <w:r w:rsidRPr="00AC061D">
        <w:rPr>
          <w:rFonts w:ascii="Arial" w:hAnsi="Arial" w:cs="Arial"/>
        </w:rPr>
        <w:t>Second, a yearly budget can lead to bad behaviour, such as sandbagging, and third, annual budgets might slow down decision-making by linking approvals to set categories instead of current value (Bogsnes, 2016).</w:t>
      </w:r>
    </w:p>
    <w:p w14:paraId="20CCFCB4" w14:textId="77777777" w:rsidR="001E3532" w:rsidRPr="00AC061D" w:rsidRDefault="001E3532" w:rsidP="00AC061D">
      <w:pPr>
        <w:spacing w:line="360" w:lineRule="auto"/>
        <w:jc w:val="both"/>
        <w:rPr>
          <w:rFonts w:ascii="Arial" w:hAnsi="Arial" w:cs="Arial"/>
        </w:rPr>
      </w:pPr>
    </w:p>
    <w:p w14:paraId="78CC9AEB" w14:textId="26C5623B" w:rsidR="001E3532" w:rsidRPr="00AC061D" w:rsidRDefault="001E3532" w:rsidP="00AC061D">
      <w:pPr>
        <w:spacing w:line="360" w:lineRule="auto"/>
        <w:jc w:val="both"/>
        <w:rPr>
          <w:rFonts w:ascii="Arial" w:hAnsi="Arial" w:cs="Arial"/>
        </w:rPr>
      </w:pPr>
      <w:r w:rsidRPr="00AC061D">
        <w:rPr>
          <w:rFonts w:ascii="Arial" w:hAnsi="Arial" w:cs="Arial"/>
        </w:rPr>
        <w:t>These weaknesses are important to Silver Stitch because the biggest risk is working capital, which changes quickly based on demand and buying decisions. If a fixed annual purchase budget leads to too much inventory, it might affect them.</w:t>
      </w:r>
    </w:p>
    <w:p w14:paraId="2434C4B1" w14:textId="6858ED67" w:rsidR="0008793C" w:rsidRPr="00AC061D" w:rsidRDefault="005B3934" w:rsidP="00AC061D">
      <w:pPr>
        <w:spacing w:line="360" w:lineRule="auto"/>
        <w:jc w:val="both"/>
        <w:rPr>
          <w:rFonts w:ascii="Arial" w:hAnsi="Arial" w:cs="Arial"/>
        </w:rPr>
      </w:pPr>
      <w:r w:rsidRPr="00AC061D">
        <w:rPr>
          <w:rFonts w:ascii="Arial" w:hAnsi="Arial" w:cs="Arial"/>
        </w:rPr>
        <w:t>Directors should practically use beyond budgeting. Small and medium-sized businesses nevertheless need to be careful with their money, especially when lenders want them to enhance their cash flow. The ideal way to do things is to use a mix of both: keep an annual budget for strategic planning and outside communication, but use rolling forecasts, scenario triggers, and flexible budgeting for internal control.</w:t>
      </w:r>
    </w:p>
    <w:p w14:paraId="419C59D4" w14:textId="262EDFB3" w:rsidR="002C5A89" w:rsidRPr="00AC061D" w:rsidRDefault="002C5A89" w:rsidP="00AC061D">
      <w:pPr>
        <w:spacing w:line="360" w:lineRule="auto"/>
        <w:jc w:val="both"/>
        <w:rPr>
          <w:rFonts w:ascii="Arial" w:hAnsi="Arial" w:cs="Arial"/>
        </w:rPr>
      </w:pPr>
      <w:r w:rsidRPr="00AC061D">
        <w:rPr>
          <w:rFonts w:ascii="Arial" w:hAnsi="Arial" w:cs="Arial"/>
        </w:rPr>
        <w:t xml:space="preserve"> </w:t>
      </w:r>
    </w:p>
    <w:p w14:paraId="127C476E" w14:textId="6F48AD04" w:rsidR="005B3934" w:rsidRPr="00AC061D" w:rsidRDefault="005B3934" w:rsidP="00AC061D">
      <w:pPr>
        <w:spacing w:line="360" w:lineRule="auto"/>
        <w:jc w:val="both"/>
        <w:rPr>
          <w:rFonts w:ascii="Arial" w:hAnsi="Arial" w:cs="Arial"/>
        </w:rPr>
      </w:pPr>
      <w:r w:rsidRPr="00AC061D">
        <w:rPr>
          <w:rFonts w:ascii="Arial" w:hAnsi="Arial" w:cs="Arial"/>
        </w:rPr>
        <w:t>Evidence indicates that numerous companies find it challenging to eliminate budgets, as budgets facilitate collaboration and serve as a framework for responsibility (Libby and Lindsay,</w:t>
      </w:r>
      <w:r w:rsidR="002C5A89" w:rsidRPr="00AC061D">
        <w:rPr>
          <w:rFonts w:ascii="Arial" w:hAnsi="Arial" w:cs="Arial"/>
        </w:rPr>
        <w:t xml:space="preserve"> </w:t>
      </w:r>
      <w:r w:rsidRPr="00AC061D">
        <w:rPr>
          <w:rFonts w:ascii="Arial" w:hAnsi="Arial" w:cs="Arial"/>
        </w:rPr>
        <w:t>2010).</w:t>
      </w:r>
    </w:p>
    <w:p w14:paraId="4F750B5C" w14:textId="13704F1D" w:rsidR="005B3934" w:rsidRPr="00AC061D" w:rsidRDefault="005B3934" w:rsidP="00AC061D">
      <w:pPr>
        <w:spacing w:line="360" w:lineRule="auto"/>
        <w:jc w:val="both"/>
        <w:rPr>
          <w:rFonts w:ascii="Arial" w:hAnsi="Arial" w:cs="Arial"/>
        </w:rPr>
      </w:pPr>
      <w:r w:rsidRPr="00AC061D">
        <w:rPr>
          <w:rFonts w:ascii="Arial" w:hAnsi="Arial" w:cs="Arial"/>
        </w:rPr>
        <w:lastRenderedPageBreak/>
        <w:t>For Silver Stitch</w:t>
      </w:r>
      <w:r w:rsidR="00955F72" w:rsidRPr="00AC061D">
        <w:rPr>
          <w:rFonts w:ascii="Arial" w:hAnsi="Arial" w:cs="Arial"/>
        </w:rPr>
        <w:t>, the realistic goal is not to get rid of budgets; it is to make the budgeting system better so that it helps people learn and stick to their budgets.</w:t>
      </w:r>
    </w:p>
    <w:p w14:paraId="5041F66E" w14:textId="03EE91B9" w:rsidR="004314FE" w:rsidRPr="00AC061D" w:rsidRDefault="004314FE" w:rsidP="00AC061D">
      <w:pPr>
        <w:spacing w:line="360" w:lineRule="auto"/>
        <w:jc w:val="both"/>
        <w:rPr>
          <w:rFonts w:ascii="Arial" w:hAnsi="Arial" w:cs="Arial"/>
        </w:rPr>
      </w:pPr>
    </w:p>
    <w:p w14:paraId="607A31E4" w14:textId="53540BE7" w:rsidR="004314FE" w:rsidRPr="00AC061D" w:rsidRDefault="004314FE" w:rsidP="00AC061D">
      <w:pPr>
        <w:pStyle w:val="Heading2"/>
        <w:spacing w:line="360" w:lineRule="auto"/>
        <w:jc w:val="both"/>
        <w:rPr>
          <w:rFonts w:ascii="Arial" w:hAnsi="Arial" w:cs="Arial"/>
          <w:sz w:val="24"/>
          <w:szCs w:val="24"/>
        </w:rPr>
      </w:pPr>
      <w:bookmarkStart w:id="19" w:name="_Toc224845302"/>
      <w:r w:rsidRPr="00AC061D">
        <w:rPr>
          <w:rFonts w:ascii="Arial" w:hAnsi="Arial" w:cs="Arial"/>
          <w:sz w:val="24"/>
          <w:szCs w:val="24"/>
        </w:rPr>
        <w:t>6.1 Problems and how to fix them</w:t>
      </w:r>
      <w:bookmarkEnd w:id="19"/>
    </w:p>
    <w:p w14:paraId="5A9632F4" w14:textId="77777777" w:rsidR="004314FE" w:rsidRPr="00AC061D" w:rsidRDefault="004314FE" w:rsidP="00AC061D">
      <w:pPr>
        <w:spacing w:line="360" w:lineRule="auto"/>
        <w:jc w:val="both"/>
        <w:rPr>
          <w:rFonts w:ascii="Arial" w:hAnsi="Arial" w:cs="Arial"/>
        </w:rPr>
      </w:pPr>
    </w:p>
    <w:p w14:paraId="264C3A54" w14:textId="2AA4333C" w:rsidR="004314FE" w:rsidRPr="00AC061D" w:rsidRDefault="004314FE" w:rsidP="00AC061D">
      <w:pPr>
        <w:spacing w:line="360" w:lineRule="auto"/>
        <w:jc w:val="both"/>
        <w:rPr>
          <w:rFonts w:ascii="Arial" w:hAnsi="Arial" w:cs="Arial"/>
        </w:rPr>
      </w:pPr>
      <w:r w:rsidRPr="00AC061D">
        <w:rPr>
          <w:rFonts w:ascii="Arial" w:hAnsi="Arial" w:cs="Arial"/>
        </w:rPr>
        <w:t>Incremental budgeting might cover any problems with the structure. If managers add a percentage to last year’s purchases, they can end up with the same inventory problem year after year. The budget’s stock build-up shows that the purchase plan may not be linked to sales in a systematic fashion. To fix this, directors should make it mandatory for managers to “zero-base” significant working capital decisions. This means that managers must explain why they need the stock they plan to carry instead of just assuming they need it (Bhimani,2006).</w:t>
      </w:r>
    </w:p>
    <w:p w14:paraId="01CE9756" w14:textId="0DEBD056" w:rsidR="0097426C" w:rsidRPr="00AC061D" w:rsidRDefault="0097426C" w:rsidP="00AC061D">
      <w:pPr>
        <w:spacing w:line="360" w:lineRule="auto"/>
        <w:jc w:val="both"/>
        <w:rPr>
          <w:rFonts w:ascii="Arial" w:hAnsi="Arial" w:cs="Arial"/>
        </w:rPr>
      </w:pPr>
      <w:r w:rsidRPr="00AC061D">
        <w:rPr>
          <w:rFonts w:ascii="Arial" w:hAnsi="Arial" w:cs="Arial"/>
        </w:rPr>
        <w:t>Budgeting can sometimes turn in on itself. Instead of optimising the whole firm, managers might only care about reaching departmental budgets. This is especially dangerous for working capital because what works for one department may not work for another. Cross-functional budgeting discussions and shared KPIs help to solve this silo problem (Kaplan and Norton,</w:t>
      </w:r>
      <w:r w:rsidR="002C5A89" w:rsidRPr="00AC061D">
        <w:rPr>
          <w:rFonts w:ascii="Arial" w:hAnsi="Arial" w:cs="Arial"/>
        </w:rPr>
        <w:t xml:space="preserve"> </w:t>
      </w:r>
      <w:r w:rsidRPr="00AC061D">
        <w:rPr>
          <w:rFonts w:ascii="Arial" w:hAnsi="Arial" w:cs="Arial"/>
        </w:rPr>
        <w:t>1996)</w:t>
      </w:r>
      <w:r w:rsidR="000854C7" w:rsidRPr="00AC061D">
        <w:rPr>
          <w:rFonts w:ascii="Arial" w:hAnsi="Arial" w:cs="Arial"/>
        </w:rPr>
        <w:t>.</w:t>
      </w:r>
    </w:p>
    <w:p w14:paraId="43A368FC" w14:textId="77777777" w:rsidR="000854C7" w:rsidRDefault="000854C7" w:rsidP="00AC061D">
      <w:pPr>
        <w:spacing w:line="360" w:lineRule="auto"/>
        <w:jc w:val="both"/>
        <w:rPr>
          <w:rFonts w:ascii="Arial" w:hAnsi="Arial" w:cs="Arial"/>
        </w:rPr>
      </w:pPr>
    </w:p>
    <w:p w14:paraId="5065A630" w14:textId="77777777" w:rsidR="00AC061D" w:rsidRDefault="00AC061D" w:rsidP="00AC061D">
      <w:pPr>
        <w:spacing w:line="360" w:lineRule="auto"/>
        <w:jc w:val="both"/>
        <w:rPr>
          <w:rFonts w:ascii="Arial" w:hAnsi="Arial" w:cs="Arial"/>
        </w:rPr>
      </w:pPr>
    </w:p>
    <w:p w14:paraId="6EB55D9A" w14:textId="77777777" w:rsidR="00AC061D" w:rsidRDefault="00AC061D" w:rsidP="00AC061D">
      <w:pPr>
        <w:spacing w:line="360" w:lineRule="auto"/>
        <w:jc w:val="both"/>
        <w:rPr>
          <w:rFonts w:ascii="Arial" w:hAnsi="Arial" w:cs="Arial"/>
        </w:rPr>
      </w:pPr>
    </w:p>
    <w:p w14:paraId="542C9E23" w14:textId="77777777" w:rsidR="00AC061D" w:rsidRDefault="00AC061D" w:rsidP="00AC061D">
      <w:pPr>
        <w:spacing w:line="360" w:lineRule="auto"/>
        <w:jc w:val="both"/>
        <w:rPr>
          <w:rFonts w:ascii="Arial" w:hAnsi="Arial" w:cs="Arial"/>
        </w:rPr>
      </w:pPr>
    </w:p>
    <w:p w14:paraId="376F4071" w14:textId="77777777" w:rsidR="00AC061D" w:rsidRDefault="00AC061D" w:rsidP="00AC061D">
      <w:pPr>
        <w:spacing w:line="360" w:lineRule="auto"/>
        <w:jc w:val="both"/>
        <w:rPr>
          <w:rFonts w:ascii="Arial" w:hAnsi="Arial" w:cs="Arial"/>
        </w:rPr>
      </w:pPr>
    </w:p>
    <w:p w14:paraId="7255C248" w14:textId="77777777" w:rsidR="00AC061D" w:rsidRDefault="00AC061D" w:rsidP="00AC061D">
      <w:pPr>
        <w:spacing w:line="360" w:lineRule="auto"/>
        <w:jc w:val="both"/>
        <w:rPr>
          <w:rFonts w:ascii="Arial" w:hAnsi="Arial" w:cs="Arial"/>
        </w:rPr>
      </w:pPr>
    </w:p>
    <w:p w14:paraId="18CF82CB" w14:textId="77777777" w:rsidR="00AC061D" w:rsidRDefault="00AC061D" w:rsidP="00AC061D">
      <w:pPr>
        <w:spacing w:line="360" w:lineRule="auto"/>
        <w:jc w:val="both"/>
        <w:rPr>
          <w:rFonts w:ascii="Arial" w:hAnsi="Arial" w:cs="Arial"/>
        </w:rPr>
      </w:pPr>
    </w:p>
    <w:p w14:paraId="066CF4C3" w14:textId="77777777" w:rsidR="00AC061D" w:rsidRDefault="00AC061D" w:rsidP="00AC061D">
      <w:pPr>
        <w:spacing w:line="360" w:lineRule="auto"/>
        <w:jc w:val="both"/>
        <w:rPr>
          <w:rFonts w:ascii="Arial" w:hAnsi="Arial" w:cs="Arial"/>
        </w:rPr>
      </w:pPr>
    </w:p>
    <w:p w14:paraId="2D813134" w14:textId="77777777" w:rsidR="00AC061D" w:rsidRPr="00AC061D" w:rsidRDefault="00AC061D" w:rsidP="00AC061D">
      <w:pPr>
        <w:spacing w:line="360" w:lineRule="auto"/>
        <w:jc w:val="both"/>
        <w:rPr>
          <w:rFonts w:ascii="Arial" w:hAnsi="Arial" w:cs="Arial"/>
        </w:rPr>
      </w:pPr>
    </w:p>
    <w:p w14:paraId="579C303B" w14:textId="407698A8" w:rsidR="000854C7" w:rsidRPr="00AC061D" w:rsidRDefault="000854C7" w:rsidP="00AC061D">
      <w:pPr>
        <w:pStyle w:val="Heading1"/>
        <w:spacing w:line="360" w:lineRule="auto"/>
        <w:jc w:val="both"/>
        <w:rPr>
          <w:rFonts w:ascii="Arial" w:hAnsi="Arial" w:cs="Arial"/>
          <w:sz w:val="24"/>
          <w:szCs w:val="24"/>
        </w:rPr>
      </w:pPr>
      <w:bookmarkStart w:id="20" w:name="_Toc224845303"/>
      <w:r w:rsidRPr="00AC061D">
        <w:rPr>
          <w:rFonts w:ascii="Arial" w:hAnsi="Arial" w:cs="Arial"/>
          <w:sz w:val="24"/>
          <w:szCs w:val="24"/>
        </w:rPr>
        <w:lastRenderedPageBreak/>
        <w:t>7. Recommendations</w:t>
      </w:r>
      <w:bookmarkEnd w:id="20"/>
      <w:r w:rsidRPr="00AC061D">
        <w:rPr>
          <w:rFonts w:ascii="Arial" w:hAnsi="Arial" w:cs="Arial"/>
          <w:sz w:val="24"/>
          <w:szCs w:val="24"/>
        </w:rPr>
        <w:t xml:space="preserve"> </w:t>
      </w:r>
    </w:p>
    <w:p w14:paraId="55A2C2C3" w14:textId="77777777" w:rsidR="000854C7" w:rsidRPr="00AC061D" w:rsidRDefault="000854C7" w:rsidP="00AC061D">
      <w:pPr>
        <w:spacing w:line="360" w:lineRule="auto"/>
        <w:jc w:val="both"/>
        <w:rPr>
          <w:rFonts w:ascii="Arial" w:hAnsi="Arial" w:cs="Arial"/>
        </w:rPr>
      </w:pPr>
    </w:p>
    <w:p w14:paraId="4EEAFF1E" w14:textId="6FF9EDC9" w:rsidR="000854C7" w:rsidRPr="00AC061D" w:rsidRDefault="000854C7" w:rsidP="00AC061D">
      <w:pPr>
        <w:spacing w:line="360" w:lineRule="auto"/>
        <w:jc w:val="both"/>
        <w:rPr>
          <w:rFonts w:ascii="Arial" w:hAnsi="Arial" w:cs="Arial"/>
        </w:rPr>
      </w:pPr>
      <w:r w:rsidRPr="00AC061D">
        <w:rPr>
          <w:rFonts w:ascii="Arial" w:hAnsi="Arial" w:cs="Arial"/>
        </w:rPr>
        <w:t>Based on the budgets and the analysis of behaviour, I suggest that directors:</w:t>
      </w:r>
    </w:p>
    <w:p w14:paraId="64877EB6" w14:textId="7581B71F" w:rsidR="000854C7" w:rsidRPr="00AC061D" w:rsidRDefault="000854C7" w:rsidP="00AC061D">
      <w:pPr>
        <w:pStyle w:val="ListParagraph"/>
        <w:numPr>
          <w:ilvl w:val="0"/>
          <w:numId w:val="9"/>
        </w:numPr>
        <w:spacing w:line="360" w:lineRule="auto"/>
        <w:jc w:val="both"/>
        <w:rPr>
          <w:rFonts w:ascii="Arial" w:hAnsi="Arial" w:cs="Arial"/>
        </w:rPr>
      </w:pPr>
      <w:r w:rsidRPr="00AC061D">
        <w:rPr>
          <w:rFonts w:ascii="Arial" w:hAnsi="Arial" w:cs="Arial"/>
        </w:rPr>
        <w:t xml:space="preserve">Make a clear inventory policy with a target stock turn and a closing-stock </w:t>
      </w:r>
      <w:r w:rsidR="0063508B" w:rsidRPr="00AC061D">
        <w:rPr>
          <w:rFonts w:ascii="Arial" w:hAnsi="Arial" w:cs="Arial"/>
        </w:rPr>
        <w:t>ceiling, and</w:t>
      </w:r>
      <w:r w:rsidRPr="00AC061D">
        <w:rPr>
          <w:rFonts w:ascii="Arial" w:hAnsi="Arial" w:cs="Arial"/>
        </w:rPr>
        <w:t xml:space="preserve"> make sure that purchases follow it.</w:t>
      </w:r>
    </w:p>
    <w:p w14:paraId="5B60F4FA" w14:textId="0C289BCD" w:rsidR="000854C7" w:rsidRPr="00AC061D" w:rsidRDefault="000854C7" w:rsidP="00AC061D">
      <w:pPr>
        <w:pStyle w:val="ListParagraph"/>
        <w:numPr>
          <w:ilvl w:val="0"/>
          <w:numId w:val="9"/>
        </w:numPr>
        <w:spacing w:line="360" w:lineRule="auto"/>
        <w:jc w:val="both"/>
        <w:rPr>
          <w:rFonts w:ascii="Arial" w:hAnsi="Arial" w:cs="Arial"/>
        </w:rPr>
      </w:pPr>
      <w:r w:rsidRPr="00AC061D">
        <w:rPr>
          <w:rFonts w:ascii="Arial" w:hAnsi="Arial" w:cs="Arial"/>
        </w:rPr>
        <w:t>Start a rolling cash forecast with scenario triggers that is looked at at least once a month and once a week during high-risk months.</w:t>
      </w:r>
    </w:p>
    <w:p w14:paraId="55695523" w14:textId="493B2C87" w:rsidR="00A3012F" w:rsidRPr="00AC061D" w:rsidRDefault="00A3012F" w:rsidP="00AC061D">
      <w:pPr>
        <w:pStyle w:val="ListParagraph"/>
        <w:numPr>
          <w:ilvl w:val="0"/>
          <w:numId w:val="9"/>
        </w:numPr>
        <w:spacing w:line="360" w:lineRule="auto"/>
        <w:jc w:val="both"/>
        <w:rPr>
          <w:rFonts w:ascii="Arial" w:hAnsi="Arial" w:cs="Arial"/>
        </w:rPr>
      </w:pPr>
      <w:r w:rsidRPr="00AC061D">
        <w:rPr>
          <w:rFonts w:ascii="Arial" w:hAnsi="Arial" w:cs="Arial"/>
        </w:rPr>
        <w:t>Spread out the money they spend on renovations to keep cash flow steady until the overdraft is paid off.</w:t>
      </w:r>
    </w:p>
    <w:p w14:paraId="60DD6E20" w14:textId="2E4726A6" w:rsidR="00A3012F" w:rsidRPr="00AC061D" w:rsidRDefault="00A3012F" w:rsidP="00AC061D">
      <w:pPr>
        <w:pStyle w:val="ListParagraph"/>
        <w:numPr>
          <w:ilvl w:val="0"/>
          <w:numId w:val="9"/>
        </w:numPr>
        <w:spacing w:line="360" w:lineRule="auto"/>
        <w:jc w:val="both"/>
        <w:rPr>
          <w:rFonts w:ascii="Arial" w:hAnsi="Arial" w:cs="Arial"/>
        </w:rPr>
      </w:pPr>
      <w:r w:rsidRPr="00AC061D">
        <w:rPr>
          <w:rFonts w:ascii="Arial" w:hAnsi="Arial" w:cs="Arial"/>
        </w:rPr>
        <w:t>Use flexible budgets and root-cause variance analysis to improve budget control.</w:t>
      </w:r>
    </w:p>
    <w:p w14:paraId="47119357" w14:textId="0BD20C94" w:rsidR="00A3012F" w:rsidRPr="00AC061D" w:rsidRDefault="00A3012F" w:rsidP="00AC061D">
      <w:pPr>
        <w:pStyle w:val="ListParagraph"/>
        <w:numPr>
          <w:ilvl w:val="0"/>
          <w:numId w:val="9"/>
        </w:numPr>
        <w:spacing w:line="360" w:lineRule="auto"/>
        <w:jc w:val="both"/>
        <w:rPr>
          <w:rFonts w:ascii="Arial" w:hAnsi="Arial" w:cs="Arial"/>
        </w:rPr>
      </w:pPr>
      <w:r w:rsidRPr="00AC061D">
        <w:rPr>
          <w:rFonts w:ascii="Arial" w:hAnsi="Arial" w:cs="Arial"/>
        </w:rPr>
        <w:t>Keep an eye on your profit quality, liquidity, and working capital with a simple KPI dashboard.</w:t>
      </w:r>
    </w:p>
    <w:p w14:paraId="73064428" w14:textId="4CA07750" w:rsidR="00A3012F" w:rsidRPr="00AC061D" w:rsidRDefault="00A3012F" w:rsidP="00AC061D">
      <w:pPr>
        <w:pStyle w:val="ListParagraph"/>
        <w:numPr>
          <w:ilvl w:val="0"/>
          <w:numId w:val="9"/>
        </w:numPr>
        <w:spacing w:line="360" w:lineRule="auto"/>
        <w:jc w:val="both"/>
        <w:rPr>
          <w:rFonts w:ascii="Arial" w:hAnsi="Arial" w:cs="Arial"/>
        </w:rPr>
      </w:pPr>
      <w:r w:rsidRPr="00AC061D">
        <w:rPr>
          <w:rFonts w:ascii="Arial" w:hAnsi="Arial" w:cs="Arial"/>
        </w:rPr>
        <w:t>Use a mix of budgeting methods: an annual budget for setting strategic goals and rolling projections, and adaptive controls for running the business daily.</w:t>
      </w:r>
    </w:p>
    <w:p w14:paraId="1FD720E8" w14:textId="77777777" w:rsidR="000A49BE" w:rsidRPr="00AC061D" w:rsidRDefault="000A49BE" w:rsidP="00AC061D">
      <w:pPr>
        <w:pStyle w:val="ListParagraph"/>
        <w:spacing w:line="360" w:lineRule="auto"/>
        <w:jc w:val="both"/>
        <w:rPr>
          <w:rFonts w:ascii="Arial" w:hAnsi="Arial" w:cs="Arial"/>
        </w:rPr>
      </w:pPr>
    </w:p>
    <w:p w14:paraId="3707B8A5" w14:textId="27D8AC4D" w:rsidR="000A49BE" w:rsidRPr="00AC061D" w:rsidRDefault="000A49BE" w:rsidP="00AC061D">
      <w:pPr>
        <w:spacing w:line="360" w:lineRule="auto"/>
        <w:jc w:val="both"/>
        <w:rPr>
          <w:rFonts w:ascii="Arial" w:hAnsi="Arial" w:cs="Arial"/>
        </w:rPr>
      </w:pPr>
      <w:r w:rsidRPr="00AC061D">
        <w:rPr>
          <w:rFonts w:ascii="Arial" w:hAnsi="Arial" w:cs="Arial"/>
        </w:rPr>
        <w:t>Directors should also utilise cost-volume-profit (CVP) analysis to see how changes in volume affect profits and cash flow. CVP begins with contribution (sales minus variable expenses) and shows how much sales are needed to meet fixed costs and interest payments. In a clothes business, variable expenses are things like the cost of sales, card fees, and some selling costs. Many administrative expenditures act as fixed costs in the short term (Drury, 2021).</w:t>
      </w:r>
    </w:p>
    <w:p w14:paraId="24765004" w14:textId="6DCE476B" w:rsidR="000A49BE" w:rsidRPr="00AC061D" w:rsidRDefault="000A49BE" w:rsidP="00AC061D">
      <w:pPr>
        <w:spacing w:line="360" w:lineRule="auto"/>
        <w:jc w:val="both"/>
        <w:rPr>
          <w:rFonts w:ascii="Arial" w:hAnsi="Arial" w:cs="Arial"/>
        </w:rPr>
      </w:pPr>
      <w:r w:rsidRPr="00AC061D">
        <w:rPr>
          <w:rFonts w:ascii="Arial" w:hAnsi="Arial" w:cs="Arial"/>
        </w:rPr>
        <w:t xml:space="preserve">A straightforward contribution model enables managers to evaluate </w:t>
      </w:r>
      <w:r w:rsidR="00F744BB" w:rsidRPr="00AC061D">
        <w:rPr>
          <w:rFonts w:ascii="Arial" w:hAnsi="Arial" w:cs="Arial"/>
        </w:rPr>
        <w:t>hypothetical</w:t>
      </w:r>
      <w:r w:rsidRPr="00AC061D">
        <w:rPr>
          <w:rFonts w:ascii="Arial" w:hAnsi="Arial" w:cs="Arial"/>
        </w:rPr>
        <w:t xml:space="preserve"> scenarios, such as the </w:t>
      </w:r>
      <w:r w:rsidR="00F744BB" w:rsidRPr="00AC061D">
        <w:rPr>
          <w:rFonts w:ascii="Arial" w:hAnsi="Arial" w:cs="Arial"/>
        </w:rPr>
        <w:t>extent</w:t>
      </w:r>
      <w:r w:rsidRPr="00AC061D">
        <w:rPr>
          <w:rFonts w:ascii="Arial" w:hAnsi="Arial" w:cs="Arial"/>
        </w:rPr>
        <w:t xml:space="preserve"> to which sales can decline before the company </w:t>
      </w:r>
      <w:r w:rsidR="00F744BB" w:rsidRPr="00AC061D">
        <w:rPr>
          <w:rFonts w:ascii="Arial" w:hAnsi="Arial" w:cs="Arial"/>
        </w:rPr>
        <w:t>reverts to overdraft status, or the magnitude of margin loss resulting from discounting.</w:t>
      </w:r>
    </w:p>
    <w:p w14:paraId="2BE2B4EB" w14:textId="34A5990F" w:rsidR="00F744BB" w:rsidRPr="00AC061D" w:rsidRDefault="00F744BB" w:rsidP="00AC061D">
      <w:pPr>
        <w:spacing w:line="360" w:lineRule="auto"/>
        <w:jc w:val="both"/>
        <w:rPr>
          <w:rFonts w:ascii="Arial" w:hAnsi="Arial" w:cs="Arial"/>
        </w:rPr>
      </w:pPr>
      <w:r w:rsidRPr="00AC061D">
        <w:rPr>
          <w:rFonts w:ascii="Arial" w:hAnsi="Arial" w:cs="Arial"/>
        </w:rPr>
        <w:t>CVP is not perfect because it implies that costs will always behave in a straight line and that the mix will stay the same, but it is still beneficial for short-term planning (Atrill and McLaney, 2021). It also helps keep prices in check by making payment costs and volume effects clear (Datar and Rajan, 2017).</w:t>
      </w:r>
    </w:p>
    <w:p w14:paraId="7B4D88F3" w14:textId="77777777" w:rsidR="00F744BB" w:rsidRPr="00AC061D" w:rsidRDefault="00F744BB" w:rsidP="00AC061D">
      <w:pPr>
        <w:spacing w:line="360" w:lineRule="auto"/>
        <w:jc w:val="both"/>
        <w:rPr>
          <w:rFonts w:ascii="Arial" w:hAnsi="Arial" w:cs="Arial"/>
        </w:rPr>
      </w:pPr>
    </w:p>
    <w:p w14:paraId="566CF1FC" w14:textId="706CE79E" w:rsidR="00F744BB" w:rsidRPr="00AC061D" w:rsidRDefault="00F744BB" w:rsidP="00AC061D">
      <w:pPr>
        <w:pStyle w:val="Heading1"/>
        <w:spacing w:line="360" w:lineRule="auto"/>
        <w:jc w:val="both"/>
        <w:rPr>
          <w:rFonts w:ascii="Arial" w:hAnsi="Arial" w:cs="Arial"/>
          <w:sz w:val="24"/>
          <w:szCs w:val="24"/>
        </w:rPr>
      </w:pPr>
      <w:bookmarkStart w:id="21" w:name="_Toc224845304"/>
      <w:r w:rsidRPr="00AC061D">
        <w:rPr>
          <w:rFonts w:ascii="Arial" w:hAnsi="Arial" w:cs="Arial"/>
          <w:sz w:val="24"/>
          <w:szCs w:val="24"/>
        </w:rPr>
        <w:lastRenderedPageBreak/>
        <w:t>8. Conclusion</w:t>
      </w:r>
      <w:bookmarkEnd w:id="21"/>
      <w:r w:rsidRPr="00AC061D">
        <w:rPr>
          <w:rFonts w:ascii="Arial" w:hAnsi="Arial" w:cs="Arial"/>
          <w:sz w:val="24"/>
          <w:szCs w:val="24"/>
        </w:rPr>
        <w:t xml:space="preserve"> </w:t>
      </w:r>
    </w:p>
    <w:p w14:paraId="24C51816" w14:textId="77777777" w:rsidR="00F744BB" w:rsidRPr="00AC061D" w:rsidRDefault="00F744BB" w:rsidP="00AC061D">
      <w:pPr>
        <w:spacing w:line="360" w:lineRule="auto"/>
        <w:jc w:val="both"/>
        <w:rPr>
          <w:rFonts w:ascii="Arial" w:hAnsi="Arial" w:cs="Arial"/>
        </w:rPr>
      </w:pPr>
    </w:p>
    <w:p w14:paraId="1E7BCC01" w14:textId="25EF120F" w:rsidR="00F744BB" w:rsidRPr="00AC061D" w:rsidRDefault="00F744BB" w:rsidP="00AC061D">
      <w:pPr>
        <w:spacing w:line="360" w:lineRule="auto"/>
        <w:jc w:val="both"/>
        <w:rPr>
          <w:rFonts w:ascii="Arial" w:hAnsi="Arial" w:cs="Arial"/>
        </w:rPr>
      </w:pPr>
      <w:r w:rsidRPr="00AC061D">
        <w:rPr>
          <w:rFonts w:ascii="Arial" w:hAnsi="Arial" w:cs="Arial"/>
        </w:rPr>
        <w:t xml:space="preserve">The budget shows that Silver Stitch can pay off the £30,000 overdraft by the end of December. However, they also show that the company has a lot of inventory that ties up funds in working capital and raises the risk </w:t>
      </w:r>
      <w:r w:rsidR="002C5A89" w:rsidRPr="00AC061D">
        <w:rPr>
          <w:rFonts w:ascii="Arial" w:hAnsi="Arial" w:cs="Arial"/>
        </w:rPr>
        <w:t>for</w:t>
      </w:r>
      <w:r w:rsidRPr="00AC061D">
        <w:rPr>
          <w:rFonts w:ascii="Arial" w:hAnsi="Arial" w:cs="Arial"/>
        </w:rPr>
        <w:t xml:space="preserve"> the firm.</w:t>
      </w:r>
    </w:p>
    <w:p w14:paraId="145DAA12" w14:textId="565D0B2B" w:rsidR="00593C5B" w:rsidRPr="00AC061D" w:rsidRDefault="00593C5B" w:rsidP="00AC061D">
      <w:pPr>
        <w:spacing w:line="360" w:lineRule="auto"/>
        <w:jc w:val="both"/>
        <w:rPr>
          <w:rFonts w:ascii="Arial" w:hAnsi="Arial" w:cs="Arial"/>
        </w:rPr>
      </w:pPr>
      <w:r w:rsidRPr="00AC061D">
        <w:rPr>
          <w:rFonts w:ascii="Arial" w:hAnsi="Arial" w:cs="Arial"/>
        </w:rPr>
        <w:t>Management needs to act immediately to make sure that purchases are more disciplined, that inventories don’t build up too much, and that cash is safe during the months when it is most vulnerable. A good budgeting and control system will include accountability, regular</w:t>
      </w:r>
      <w:r w:rsidR="00EC7406" w:rsidRPr="00AC061D">
        <w:rPr>
          <w:rFonts w:ascii="Arial" w:hAnsi="Arial" w:cs="Arial"/>
        </w:rPr>
        <w:t xml:space="preserve"> analysis of differences, and behavioural safeguards, all backed up by a short rolling cash forecast and a small set of linked KPIs.</w:t>
      </w:r>
    </w:p>
    <w:p w14:paraId="069FBDD0" w14:textId="536D9064" w:rsidR="00EC7406" w:rsidRPr="00AC061D" w:rsidRDefault="00EC7406" w:rsidP="00AC061D">
      <w:pPr>
        <w:spacing w:line="360" w:lineRule="auto"/>
        <w:jc w:val="both"/>
        <w:rPr>
          <w:rFonts w:ascii="Arial" w:hAnsi="Arial" w:cs="Arial"/>
        </w:rPr>
      </w:pPr>
      <w:r w:rsidRPr="00AC061D">
        <w:rPr>
          <w:rFonts w:ascii="Arial" w:hAnsi="Arial" w:cs="Arial"/>
        </w:rPr>
        <w:t>Finally, Silver Stitch should realise that standard annual planning doesn’t work well in a world that changes quickly and switch to more flexible budgeting methods so that control helps strategic change instead of getting in the way of it.</w:t>
      </w:r>
    </w:p>
    <w:p w14:paraId="2D34B7FE" w14:textId="77777777" w:rsidR="003A2B18" w:rsidRPr="00AC061D" w:rsidRDefault="003A2B18" w:rsidP="00AC061D">
      <w:pPr>
        <w:spacing w:line="360" w:lineRule="auto"/>
        <w:jc w:val="both"/>
        <w:rPr>
          <w:rFonts w:ascii="Arial" w:hAnsi="Arial" w:cs="Arial"/>
        </w:rPr>
      </w:pPr>
    </w:p>
    <w:p w14:paraId="7B105AA1" w14:textId="77777777" w:rsidR="003A2B18" w:rsidRPr="00AC061D" w:rsidRDefault="003A2B18" w:rsidP="00AC061D">
      <w:pPr>
        <w:spacing w:line="360" w:lineRule="auto"/>
        <w:jc w:val="both"/>
        <w:rPr>
          <w:rFonts w:ascii="Arial" w:hAnsi="Arial" w:cs="Arial"/>
        </w:rPr>
      </w:pPr>
    </w:p>
    <w:p w14:paraId="5333BC0B" w14:textId="77777777" w:rsidR="003A2B18" w:rsidRPr="00AC061D" w:rsidRDefault="003A2B18" w:rsidP="00AC061D">
      <w:pPr>
        <w:spacing w:line="360" w:lineRule="auto"/>
        <w:jc w:val="both"/>
        <w:rPr>
          <w:rFonts w:ascii="Arial" w:hAnsi="Arial" w:cs="Arial"/>
        </w:rPr>
      </w:pPr>
    </w:p>
    <w:p w14:paraId="61732E5E" w14:textId="77777777" w:rsidR="003A2B18" w:rsidRPr="00AC061D" w:rsidRDefault="003A2B18" w:rsidP="00AC061D">
      <w:pPr>
        <w:spacing w:line="360" w:lineRule="auto"/>
        <w:jc w:val="both"/>
        <w:rPr>
          <w:rFonts w:ascii="Arial" w:hAnsi="Arial" w:cs="Arial"/>
        </w:rPr>
      </w:pPr>
    </w:p>
    <w:p w14:paraId="53CC0D36" w14:textId="77777777" w:rsidR="003A2B18" w:rsidRPr="00AC061D" w:rsidRDefault="003A2B18" w:rsidP="00AC061D">
      <w:pPr>
        <w:spacing w:line="360" w:lineRule="auto"/>
        <w:jc w:val="both"/>
        <w:rPr>
          <w:rFonts w:ascii="Arial" w:hAnsi="Arial" w:cs="Arial"/>
        </w:rPr>
      </w:pPr>
    </w:p>
    <w:p w14:paraId="3246510E" w14:textId="77777777" w:rsidR="003A2B18" w:rsidRPr="00AC061D" w:rsidRDefault="003A2B18" w:rsidP="00AC061D">
      <w:pPr>
        <w:spacing w:line="360" w:lineRule="auto"/>
        <w:jc w:val="both"/>
        <w:rPr>
          <w:rFonts w:ascii="Arial" w:hAnsi="Arial" w:cs="Arial"/>
        </w:rPr>
      </w:pPr>
    </w:p>
    <w:p w14:paraId="781CE952" w14:textId="77777777" w:rsidR="003A2B18" w:rsidRPr="00AC061D" w:rsidRDefault="003A2B18" w:rsidP="00AC061D">
      <w:pPr>
        <w:spacing w:line="360" w:lineRule="auto"/>
        <w:jc w:val="both"/>
        <w:rPr>
          <w:rFonts w:ascii="Arial" w:hAnsi="Arial" w:cs="Arial"/>
        </w:rPr>
      </w:pPr>
    </w:p>
    <w:p w14:paraId="306F295A" w14:textId="77777777" w:rsidR="003A2B18" w:rsidRPr="00AC061D" w:rsidRDefault="003A2B18" w:rsidP="00AC061D">
      <w:pPr>
        <w:spacing w:line="360" w:lineRule="auto"/>
        <w:jc w:val="both"/>
        <w:rPr>
          <w:rFonts w:ascii="Arial" w:hAnsi="Arial" w:cs="Arial"/>
        </w:rPr>
      </w:pPr>
    </w:p>
    <w:p w14:paraId="0981C549" w14:textId="77777777" w:rsidR="003A2B18" w:rsidRPr="00AC061D" w:rsidRDefault="003A2B18" w:rsidP="00AC061D">
      <w:pPr>
        <w:spacing w:line="360" w:lineRule="auto"/>
        <w:jc w:val="both"/>
        <w:rPr>
          <w:rFonts w:ascii="Arial" w:hAnsi="Arial" w:cs="Arial"/>
        </w:rPr>
      </w:pPr>
    </w:p>
    <w:p w14:paraId="34FC900F" w14:textId="77777777" w:rsidR="003A2B18" w:rsidRPr="00AC061D" w:rsidRDefault="003A2B18" w:rsidP="00AC061D">
      <w:pPr>
        <w:spacing w:line="360" w:lineRule="auto"/>
        <w:jc w:val="both"/>
        <w:rPr>
          <w:rFonts w:ascii="Arial" w:hAnsi="Arial" w:cs="Arial"/>
        </w:rPr>
      </w:pPr>
    </w:p>
    <w:p w14:paraId="2E7F66B4" w14:textId="77777777" w:rsidR="003A2B18" w:rsidRPr="00AC061D" w:rsidRDefault="003A2B18" w:rsidP="00AC061D">
      <w:pPr>
        <w:spacing w:line="360" w:lineRule="auto"/>
        <w:jc w:val="both"/>
        <w:rPr>
          <w:rFonts w:ascii="Arial" w:hAnsi="Arial" w:cs="Arial"/>
        </w:rPr>
      </w:pPr>
    </w:p>
    <w:p w14:paraId="0826B4CC" w14:textId="77777777" w:rsidR="003A2B18" w:rsidRPr="00AC061D" w:rsidRDefault="003A2B18" w:rsidP="00AC061D">
      <w:pPr>
        <w:spacing w:line="360" w:lineRule="auto"/>
        <w:jc w:val="both"/>
        <w:rPr>
          <w:rFonts w:ascii="Arial" w:hAnsi="Arial" w:cs="Arial"/>
        </w:rPr>
      </w:pPr>
    </w:p>
    <w:p w14:paraId="2A0AA08E" w14:textId="77777777" w:rsidR="003A2B18" w:rsidRPr="00AC061D" w:rsidRDefault="003A2B18" w:rsidP="00AC061D">
      <w:pPr>
        <w:spacing w:line="360" w:lineRule="auto"/>
        <w:jc w:val="both"/>
        <w:rPr>
          <w:rFonts w:ascii="Arial" w:hAnsi="Arial" w:cs="Arial"/>
        </w:rPr>
      </w:pPr>
    </w:p>
    <w:p w14:paraId="31909265" w14:textId="77777777" w:rsidR="003A2B18" w:rsidRDefault="003A2B18" w:rsidP="00F744BB"/>
    <w:p w14:paraId="0FEE0C00" w14:textId="6B243A3C" w:rsidR="003A2B18" w:rsidRDefault="003A2B18" w:rsidP="003A2B18">
      <w:pPr>
        <w:pStyle w:val="Heading1"/>
      </w:pPr>
      <w:bookmarkStart w:id="22" w:name="_Toc224845305"/>
      <w:r>
        <w:lastRenderedPageBreak/>
        <w:t>References</w:t>
      </w:r>
      <w:bookmarkEnd w:id="22"/>
      <w:r>
        <w:t xml:space="preserve"> </w:t>
      </w:r>
    </w:p>
    <w:p w14:paraId="779F70AA" w14:textId="580AD736"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 xml:space="preserve">ACCA (2023) ‘Budgeting and forecasting pack’. Available at: </w:t>
      </w:r>
      <w:hyperlink r:id="rId11" w:history="1">
        <w:r w:rsidRPr="0053069B">
          <w:rPr>
            <w:rFonts w:asciiTheme="minorHAnsi" w:eastAsiaTheme="minorHAnsi" w:hAnsiTheme="minorHAnsi" w:cstheme="minorBidi"/>
            <w:color w:val="467886" w:themeColor="hyperlink"/>
            <w:u w:val="single"/>
          </w:rPr>
          <w:t>https://www.accaglobal.com/learning-and-events/acca-learning/budgeting-and-forecasting-5-course-pack.html</w:t>
        </w:r>
      </w:hyperlink>
      <w:r w:rsidRPr="0053069B">
        <w:rPr>
          <w:rFonts w:asciiTheme="minorHAnsi" w:eastAsiaTheme="minorHAnsi" w:hAnsiTheme="minorHAnsi" w:cstheme="minorBidi"/>
        </w:rPr>
        <w:t xml:space="preserve"> (Accessed: </w:t>
      </w:r>
      <w:r>
        <w:rPr>
          <w:rFonts w:asciiTheme="minorHAnsi" w:eastAsiaTheme="minorHAnsi" w:hAnsiTheme="minorHAnsi" w:cstheme="minorBidi"/>
        </w:rPr>
        <w:t>08</w:t>
      </w:r>
      <w:r w:rsidRPr="0053069B">
        <w:rPr>
          <w:rFonts w:asciiTheme="minorHAnsi" w:eastAsiaTheme="minorHAnsi" w:hAnsiTheme="minorHAnsi" w:cstheme="minorBidi"/>
        </w:rPr>
        <w:t xml:space="preserve"> March 2026).</w:t>
      </w:r>
    </w:p>
    <w:p w14:paraId="3AB22C82" w14:textId="77777777"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 xml:space="preserve">Anthony, R.N. and Govindarajan, V. (2007) </w:t>
      </w:r>
      <w:r w:rsidRPr="0053069B">
        <w:rPr>
          <w:rFonts w:asciiTheme="minorHAnsi" w:eastAsiaTheme="minorHAnsi" w:hAnsiTheme="minorHAnsi" w:cstheme="minorBidi"/>
          <w:i/>
        </w:rPr>
        <w:t>Management Control Systems</w:t>
      </w:r>
      <w:r w:rsidRPr="0053069B">
        <w:rPr>
          <w:rFonts w:asciiTheme="minorHAnsi" w:eastAsiaTheme="minorHAnsi" w:hAnsiTheme="minorHAnsi" w:cstheme="minorBidi"/>
        </w:rPr>
        <w:t>. 12th edn. Boston, MA: McGraw-Hill.</w:t>
      </w:r>
    </w:p>
    <w:p w14:paraId="60624FB7" w14:textId="77777777"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 xml:space="preserve">Atrill, P. and McLaney, E. (2018) </w:t>
      </w:r>
      <w:r w:rsidRPr="0053069B">
        <w:rPr>
          <w:rFonts w:asciiTheme="minorHAnsi" w:eastAsiaTheme="minorHAnsi" w:hAnsiTheme="minorHAnsi" w:cstheme="minorBidi"/>
          <w:i/>
        </w:rPr>
        <w:t>Accounting and Finance for Non-Specialists</w:t>
      </w:r>
      <w:r w:rsidRPr="0053069B">
        <w:rPr>
          <w:rFonts w:asciiTheme="minorHAnsi" w:eastAsiaTheme="minorHAnsi" w:hAnsiTheme="minorHAnsi" w:cstheme="minorBidi"/>
        </w:rPr>
        <w:t>. 11th edn. Harlow: Pearson.</w:t>
      </w:r>
    </w:p>
    <w:p w14:paraId="36990D2D" w14:textId="77777777"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 xml:space="preserve">Atrill, P. and McLaney, E. (2021) </w:t>
      </w:r>
      <w:r w:rsidRPr="0053069B">
        <w:rPr>
          <w:rFonts w:asciiTheme="minorHAnsi" w:eastAsiaTheme="minorHAnsi" w:hAnsiTheme="minorHAnsi" w:cstheme="minorBidi"/>
          <w:i/>
        </w:rPr>
        <w:t>Management Accounting for Decision Makers</w:t>
      </w:r>
      <w:r w:rsidRPr="0053069B">
        <w:rPr>
          <w:rFonts w:asciiTheme="minorHAnsi" w:eastAsiaTheme="minorHAnsi" w:hAnsiTheme="minorHAnsi" w:cstheme="minorBidi"/>
        </w:rPr>
        <w:t>. 10th edn. Harlow: Pearson.</w:t>
      </w:r>
    </w:p>
    <w:p w14:paraId="289B4E31" w14:textId="5CB7BFCF"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Bhimani, A. (2006)</w:t>
      </w:r>
      <w:r>
        <w:rPr>
          <w:rFonts w:asciiTheme="minorHAnsi" w:eastAsiaTheme="minorHAnsi" w:hAnsiTheme="minorHAnsi" w:cstheme="minorBidi"/>
        </w:rPr>
        <w:t>.</w:t>
      </w:r>
      <w:r w:rsidRPr="0053069B">
        <w:rPr>
          <w:rFonts w:asciiTheme="minorHAnsi" w:eastAsiaTheme="minorHAnsi" w:hAnsiTheme="minorHAnsi" w:cstheme="minorBidi"/>
        </w:rPr>
        <w:t xml:space="preserve"> </w:t>
      </w:r>
      <w:r w:rsidRPr="0053069B">
        <w:rPr>
          <w:rFonts w:asciiTheme="minorHAnsi" w:eastAsiaTheme="minorHAnsi" w:hAnsiTheme="minorHAnsi" w:cstheme="minorBidi"/>
          <w:i/>
        </w:rPr>
        <w:t>Contemporary Issues in Management Accounting</w:t>
      </w:r>
      <w:r w:rsidRPr="0053069B">
        <w:rPr>
          <w:rFonts w:asciiTheme="minorHAnsi" w:eastAsiaTheme="minorHAnsi" w:hAnsiTheme="minorHAnsi" w:cstheme="minorBidi"/>
        </w:rPr>
        <w:t>. Oxford: Oxford University Press.</w:t>
      </w:r>
    </w:p>
    <w:p w14:paraId="69137548" w14:textId="65CB6516"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Bogsnes, B. (2016)</w:t>
      </w:r>
      <w:r>
        <w:rPr>
          <w:rFonts w:asciiTheme="minorHAnsi" w:eastAsiaTheme="minorHAnsi" w:hAnsiTheme="minorHAnsi" w:cstheme="minorBidi"/>
        </w:rPr>
        <w:t>.</w:t>
      </w:r>
      <w:r w:rsidRPr="0053069B">
        <w:rPr>
          <w:rFonts w:asciiTheme="minorHAnsi" w:eastAsiaTheme="minorHAnsi" w:hAnsiTheme="minorHAnsi" w:cstheme="minorBidi"/>
        </w:rPr>
        <w:t xml:space="preserve"> </w:t>
      </w:r>
      <w:r w:rsidRPr="0053069B">
        <w:rPr>
          <w:rFonts w:asciiTheme="minorHAnsi" w:eastAsiaTheme="minorHAnsi" w:hAnsiTheme="minorHAnsi" w:cstheme="minorBidi"/>
          <w:i/>
        </w:rPr>
        <w:t>Implementing Beyond Budgeting: Unlocking the Performance Potential</w:t>
      </w:r>
      <w:r w:rsidRPr="0053069B">
        <w:rPr>
          <w:rFonts w:asciiTheme="minorHAnsi" w:eastAsiaTheme="minorHAnsi" w:hAnsiTheme="minorHAnsi" w:cstheme="minorBidi"/>
        </w:rPr>
        <w:t>. 2nd edn. Hoboken, NJ: Wiley.</w:t>
      </w:r>
    </w:p>
    <w:p w14:paraId="2A872FF0" w14:textId="1A01437F"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Bragg, S.M. (2020)</w:t>
      </w:r>
      <w:r>
        <w:rPr>
          <w:rFonts w:asciiTheme="minorHAnsi" w:eastAsiaTheme="minorHAnsi" w:hAnsiTheme="minorHAnsi" w:cstheme="minorBidi"/>
        </w:rPr>
        <w:t>.</w:t>
      </w:r>
      <w:r w:rsidRPr="0053069B">
        <w:rPr>
          <w:rFonts w:asciiTheme="minorHAnsi" w:eastAsiaTheme="minorHAnsi" w:hAnsiTheme="minorHAnsi" w:cstheme="minorBidi"/>
        </w:rPr>
        <w:t xml:space="preserve"> </w:t>
      </w:r>
      <w:r w:rsidRPr="0053069B">
        <w:rPr>
          <w:rFonts w:asciiTheme="minorHAnsi" w:eastAsiaTheme="minorHAnsi" w:hAnsiTheme="minorHAnsi" w:cstheme="minorBidi"/>
          <w:i/>
        </w:rPr>
        <w:t>Budgeting: A Comprehensive Guide</w:t>
      </w:r>
      <w:r w:rsidRPr="0053069B">
        <w:rPr>
          <w:rFonts w:asciiTheme="minorHAnsi" w:eastAsiaTheme="minorHAnsi" w:hAnsiTheme="minorHAnsi" w:cstheme="minorBidi"/>
        </w:rPr>
        <w:t>. 4th edn. Boston, MA: AccountingTools.</w:t>
      </w:r>
    </w:p>
    <w:p w14:paraId="1F46C96E" w14:textId="2AB726C6"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 xml:space="preserve">Bunce, P., Fraser, R. and Woodcock, L. (1995) ‘Advanced budgeting: a journey to advanced management systems’, </w:t>
      </w:r>
      <w:r w:rsidRPr="0053069B">
        <w:rPr>
          <w:rFonts w:asciiTheme="minorHAnsi" w:eastAsiaTheme="minorHAnsi" w:hAnsiTheme="minorHAnsi" w:cstheme="minorBidi"/>
          <w:i/>
        </w:rPr>
        <w:t>Management Accounting Research</w:t>
      </w:r>
      <w:r w:rsidRPr="0053069B">
        <w:rPr>
          <w:rFonts w:asciiTheme="minorHAnsi" w:eastAsiaTheme="minorHAnsi" w:hAnsiTheme="minorHAnsi" w:cstheme="minorBidi"/>
        </w:rPr>
        <w:t xml:space="preserve">, 6(3), pp. 253–265. Available at: </w:t>
      </w:r>
      <w:hyperlink r:id="rId12" w:history="1">
        <w:r w:rsidRPr="0053069B">
          <w:rPr>
            <w:rFonts w:asciiTheme="minorHAnsi" w:eastAsiaTheme="minorHAnsi" w:hAnsiTheme="minorHAnsi" w:cstheme="minorBidi"/>
            <w:color w:val="467886" w:themeColor="hyperlink"/>
            <w:u w:val="single"/>
          </w:rPr>
          <w:t>https://doi.org/10.1006/MARE.1995.1017</w:t>
        </w:r>
      </w:hyperlink>
      <w:r w:rsidRPr="0053069B">
        <w:rPr>
          <w:rFonts w:asciiTheme="minorHAnsi" w:eastAsiaTheme="minorHAnsi" w:hAnsiTheme="minorHAnsi" w:cstheme="minorBidi"/>
        </w:rPr>
        <w:t xml:space="preserve"> (Accessed: 1</w:t>
      </w:r>
      <w:r>
        <w:rPr>
          <w:rFonts w:asciiTheme="minorHAnsi" w:eastAsiaTheme="minorHAnsi" w:hAnsiTheme="minorHAnsi" w:cstheme="minorBidi"/>
        </w:rPr>
        <w:t>5</w:t>
      </w:r>
      <w:r w:rsidRPr="0053069B">
        <w:rPr>
          <w:rFonts w:asciiTheme="minorHAnsi" w:eastAsiaTheme="minorHAnsi" w:hAnsiTheme="minorHAnsi" w:cstheme="minorBidi"/>
        </w:rPr>
        <w:t xml:space="preserve"> March 2026).</w:t>
      </w:r>
    </w:p>
    <w:p w14:paraId="79AA401F" w14:textId="5D686A25"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Datar, S.M. and Rajan, M.V. (2017)</w:t>
      </w:r>
      <w:r>
        <w:rPr>
          <w:rFonts w:asciiTheme="minorHAnsi" w:eastAsiaTheme="minorHAnsi" w:hAnsiTheme="minorHAnsi" w:cstheme="minorBidi"/>
        </w:rPr>
        <w:t>.</w:t>
      </w:r>
      <w:r w:rsidRPr="0053069B">
        <w:rPr>
          <w:rFonts w:asciiTheme="minorHAnsi" w:eastAsiaTheme="minorHAnsi" w:hAnsiTheme="minorHAnsi" w:cstheme="minorBidi"/>
        </w:rPr>
        <w:t xml:space="preserve"> </w:t>
      </w:r>
      <w:r w:rsidRPr="0053069B">
        <w:rPr>
          <w:rFonts w:asciiTheme="minorHAnsi" w:eastAsiaTheme="minorHAnsi" w:hAnsiTheme="minorHAnsi" w:cstheme="minorBidi"/>
          <w:i/>
        </w:rPr>
        <w:t>Horngren’s Cost Accounting: A Managerial Emphasis</w:t>
      </w:r>
      <w:r w:rsidRPr="0053069B">
        <w:rPr>
          <w:rFonts w:asciiTheme="minorHAnsi" w:eastAsiaTheme="minorHAnsi" w:hAnsiTheme="minorHAnsi" w:cstheme="minorBidi"/>
        </w:rPr>
        <w:t>. Global edn. Harlow: Pearson.</w:t>
      </w:r>
    </w:p>
    <w:p w14:paraId="136AEA30" w14:textId="0F34392B"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Drury, C. (2021)</w:t>
      </w:r>
      <w:r>
        <w:rPr>
          <w:rFonts w:asciiTheme="minorHAnsi" w:eastAsiaTheme="minorHAnsi" w:hAnsiTheme="minorHAnsi" w:cstheme="minorBidi"/>
        </w:rPr>
        <w:t>.</w:t>
      </w:r>
      <w:r w:rsidRPr="0053069B">
        <w:rPr>
          <w:rFonts w:asciiTheme="minorHAnsi" w:eastAsiaTheme="minorHAnsi" w:hAnsiTheme="minorHAnsi" w:cstheme="minorBidi"/>
        </w:rPr>
        <w:t xml:space="preserve"> </w:t>
      </w:r>
      <w:r w:rsidRPr="0053069B">
        <w:rPr>
          <w:rFonts w:asciiTheme="minorHAnsi" w:eastAsiaTheme="minorHAnsi" w:hAnsiTheme="minorHAnsi" w:cstheme="minorBidi"/>
          <w:i/>
        </w:rPr>
        <w:t>Management and Cost Accounting</w:t>
      </w:r>
      <w:r w:rsidRPr="0053069B">
        <w:rPr>
          <w:rFonts w:asciiTheme="minorHAnsi" w:eastAsiaTheme="minorHAnsi" w:hAnsiTheme="minorHAnsi" w:cstheme="minorBidi"/>
        </w:rPr>
        <w:t>. 11th edn. Harlow: Pearson.</w:t>
      </w:r>
    </w:p>
    <w:p w14:paraId="07A6EFE9" w14:textId="0ECFC126"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Dyson, J.R. (2020)</w:t>
      </w:r>
      <w:r>
        <w:rPr>
          <w:rFonts w:asciiTheme="minorHAnsi" w:eastAsiaTheme="minorHAnsi" w:hAnsiTheme="minorHAnsi" w:cstheme="minorBidi"/>
        </w:rPr>
        <w:t>.</w:t>
      </w:r>
      <w:r w:rsidRPr="0053069B">
        <w:rPr>
          <w:rFonts w:asciiTheme="minorHAnsi" w:eastAsiaTheme="minorHAnsi" w:hAnsiTheme="minorHAnsi" w:cstheme="minorBidi"/>
        </w:rPr>
        <w:t xml:space="preserve"> </w:t>
      </w:r>
      <w:r w:rsidRPr="0053069B">
        <w:rPr>
          <w:rFonts w:asciiTheme="minorHAnsi" w:eastAsiaTheme="minorHAnsi" w:hAnsiTheme="minorHAnsi" w:cstheme="minorBidi"/>
          <w:i/>
        </w:rPr>
        <w:t>Accounting for Non-Accounting Students</w:t>
      </w:r>
      <w:r w:rsidRPr="0053069B">
        <w:rPr>
          <w:rFonts w:asciiTheme="minorHAnsi" w:eastAsiaTheme="minorHAnsi" w:hAnsiTheme="minorHAnsi" w:cstheme="minorBidi"/>
        </w:rPr>
        <w:t>. 7th edn. Harlow: Pearson.</w:t>
      </w:r>
    </w:p>
    <w:p w14:paraId="2A4E612A" w14:textId="2D6B7762"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 xml:space="preserve">Financial Reporting Council (FRC) (2024) ‘UK Corporate Governance Code 2024’. Available at: </w:t>
      </w:r>
      <w:hyperlink r:id="rId13" w:history="1">
        <w:r w:rsidRPr="0053069B">
          <w:rPr>
            <w:rFonts w:asciiTheme="minorHAnsi" w:eastAsiaTheme="minorHAnsi" w:hAnsiTheme="minorHAnsi" w:cstheme="minorBidi"/>
            <w:color w:val="467886" w:themeColor="hyperlink"/>
            <w:u w:val="single"/>
          </w:rPr>
          <w:t>https://www.frc.org.uk/library/standards-codes-policy/corporate-governance/uk-corporate-governance-code/</w:t>
        </w:r>
      </w:hyperlink>
      <w:r w:rsidRPr="0053069B">
        <w:rPr>
          <w:rFonts w:asciiTheme="minorHAnsi" w:eastAsiaTheme="minorHAnsi" w:hAnsiTheme="minorHAnsi" w:cstheme="minorBidi"/>
        </w:rPr>
        <w:t xml:space="preserve"> (Accessed: 1</w:t>
      </w:r>
      <w:r>
        <w:rPr>
          <w:rFonts w:asciiTheme="minorHAnsi" w:eastAsiaTheme="minorHAnsi" w:hAnsiTheme="minorHAnsi" w:cstheme="minorBidi"/>
        </w:rPr>
        <w:t>3</w:t>
      </w:r>
      <w:r w:rsidRPr="0053069B">
        <w:rPr>
          <w:rFonts w:asciiTheme="minorHAnsi" w:eastAsiaTheme="minorHAnsi" w:hAnsiTheme="minorHAnsi" w:cstheme="minorBidi"/>
        </w:rPr>
        <w:t xml:space="preserve"> March 2026).</w:t>
      </w:r>
    </w:p>
    <w:p w14:paraId="1BF23F7C" w14:textId="2CE1CBFD"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 xml:space="preserve">Frow, N., Marginson, D. and Ogden, S. (2010) ‘Continuous budgeting: reconciling budget flexibility with budgetary control’, </w:t>
      </w:r>
      <w:r w:rsidRPr="0053069B">
        <w:rPr>
          <w:rFonts w:asciiTheme="minorHAnsi" w:eastAsiaTheme="minorHAnsi" w:hAnsiTheme="minorHAnsi" w:cstheme="minorBidi"/>
          <w:i/>
        </w:rPr>
        <w:t>Accounting, Organizations and Society</w:t>
      </w:r>
      <w:r w:rsidRPr="0053069B">
        <w:rPr>
          <w:rFonts w:asciiTheme="minorHAnsi" w:eastAsiaTheme="minorHAnsi" w:hAnsiTheme="minorHAnsi" w:cstheme="minorBidi"/>
        </w:rPr>
        <w:t xml:space="preserve">, 35(4), pp. 444–461. Available at: </w:t>
      </w:r>
      <w:hyperlink r:id="rId14" w:history="1">
        <w:r w:rsidRPr="0053069B">
          <w:rPr>
            <w:rFonts w:asciiTheme="minorHAnsi" w:eastAsiaTheme="minorHAnsi" w:hAnsiTheme="minorHAnsi" w:cstheme="minorBidi"/>
            <w:color w:val="467886" w:themeColor="hyperlink"/>
            <w:u w:val="single"/>
          </w:rPr>
          <w:t>https://doi.org/10.1016/j.aos.2009.10.003</w:t>
        </w:r>
      </w:hyperlink>
      <w:r w:rsidRPr="0053069B">
        <w:rPr>
          <w:rFonts w:asciiTheme="minorHAnsi" w:eastAsiaTheme="minorHAnsi" w:hAnsiTheme="minorHAnsi" w:cstheme="minorBidi"/>
        </w:rPr>
        <w:t xml:space="preserve"> (Accessed: 1</w:t>
      </w:r>
      <w:r>
        <w:rPr>
          <w:rFonts w:asciiTheme="minorHAnsi" w:eastAsiaTheme="minorHAnsi" w:hAnsiTheme="minorHAnsi" w:cstheme="minorBidi"/>
        </w:rPr>
        <w:t>6</w:t>
      </w:r>
      <w:r w:rsidRPr="0053069B">
        <w:rPr>
          <w:rFonts w:asciiTheme="minorHAnsi" w:eastAsiaTheme="minorHAnsi" w:hAnsiTheme="minorHAnsi" w:cstheme="minorBidi"/>
        </w:rPr>
        <w:t xml:space="preserve"> March 2026).</w:t>
      </w:r>
    </w:p>
    <w:p w14:paraId="377A2681" w14:textId="033A07BE"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 xml:space="preserve">Hansen, S.C., Otley, D.T. and Van der Stede, W.A. (2003) ‘Practice developments in budgeting: an overview and research perspective’, </w:t>
      </w:r>
      <w:r w:rsidRPr="0053069B">
        <w:rPr>
          <w:rFonts w:asciiTheme="minorHAnsi" w:eastAsiaTheme="minorHAnsi" w:hAnsiTheme="minorHAnsi" w:cstheme="minorBidi"/>
          <w:i/>
        </w:rPr>
        <w:t>Journal of Management Accounting Research</w:t>
      </w:r>
      <w:r w:rsidRPr="0053069B">
        <w:rPr>
          <w:rFonts w:asciiTheme="minorHAnsi" w:eastAsiaTheme="minorHAnsi" w:hAnsiTheme="minorHAnsi" w:cstheme="minorBidi"/>
        </w:rPr>
        <w:t xml:space="preserve">, 15(1), pp. 95–116. Available at: </w:t>
      </w:r>
      <w:hyperlink r:id="rId15" w:history="1">
        <w:r w:rsidRPr="0053069B">
          <w:rPr>
            <w:rFonts w:asciiTheme="minorHAnsi" w:eastAsiaTheme="minorHAnsi" w:hAnsiTheme="minorHAnsi" w:cstheme="minorBidi"/>
            <w:color w:val="467886" w:themeColor="hyperlink"/>
            <w:u w:val="single"/>
          </w:rPr>
          <w:t>https://doi.org/10.2308/JMAR.2003.15.1.95</w:t>
        </w:r>
      </w:hyperlink>
      <w:r w:rsidRPr="0053069B">
        <w:rPr>
          <w:rFonts w:asciiTheme="minorHAnsi" w:eastAsiaTheme="minorHAnsi" w:hAnsiTheme="minorHAnsi" w:cstheme="minorBidi"/>
        </w:rPr>
        <w:t xml:space="preserve"> (Accessed: 1</w:t>
      </w:r>
      <w:r>
        <w:rPr>
          <w:rFonts w:asciiTheme="minorHAnsi" w:eastAsiaTheme="minorHAnsi" w:hAnsiTheme="minorHAnsi" w:cstheme="minorBidi"/>
        </w:rPr>
        <w:t>7</w:t>
      </w:r>
      <w:r w:rsidRPr="0053069B">
        <w:rPr>
          <w:rFonts w:asciiTheme="minorHAnsi" w:eastAsiaTheme="minorHAnsi" w:hAnsiTheme="minorHAnsi" w:cstheme="minorBidi"/>
        </w:rPr>
        <w:t xml:space="preserve"> March 2026).</w:t>
      </w:r>
    </w:p>
    <w:p w14:paraId="6423EE04" w14:textId="77777777"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lastRenderedPageBreak/>
        <w:t xml:space="preserve">Hope, J. and Fraser, R. (2003) </w:t>
      </w:r>
      <w:r w:rsidRPr="0053069B">
        <w:rPr>
          <w:rFonts w:asciiTheme="minorHAnsi" w:eastAsiaTheme="minorHAnsi" w:hAnsiTheme="minorHAnsi" w:cstheme="minorBidi"/>
          <w:i/>
        </w:rPr>
        <w:t>Beyond Budgeting: How Managers Can Break Free from the Annual Performance Trap</w:t>
      </w:r>
      <w:r w:rsidRPr="0053069B">
        <w:rPr>
          <w:rFonts w:asciiTheme="minorHAnsi" w:eastAsiaTheme="minorHAnsi" w:hAnsiTheme="minorHAnsi" w:cstheme="minorBidi"/>
        </w:rPr>
        <w:t>. Boston, MA: Harvard Business School Press.</w:t>
      </w:r>
    </w:p>
    <w:p w14:paraId="516EF069" w14:textId="37CD5717"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Horner, D. (2020)</w:t>
      </w:r>
      <w:r>
        <w:rPr>
          <w:rFonts w:asciiTheme="minorHAnsi" w:eastAsiaTheme="minorHAnsi" w:hAnsiTheme="minorHAnsi" w:cstheme="minorBidi"/>
        </w:rPr>
        <w:t>.</w:t>
      </w:r>
      <w:r w:rsidRPr="0053069B">
        <w:rPr>
          <w:rFonts w:asciiTheme="minorHAnsi" w:eastAsiaTheme="minorHAnsi" w:hAnsiTheme="minorHAnsi" w:cstheme="minorBidi"/>
        </w:rPr>
        <w:t xml:space="preserve"> </w:t>
      </w:r>
      <w:r w:rsidRPr="0053069B">
        <w:rPr>
          <w:rFonts w:asciiTheme="minorHAnsi" w:eastAsiaTheme="minorHAnsi" w:hAnsiTheme="minorHAnsi" w:cstheme="minorBidi"/>
          <w:i/>
        </w:rPr>
        <w:t>Accounting for Non-Accountants</w:t>
      </w:r>
      <w:r w:rsidRPr="0053069B">
        <w:rPr>
          <w:rFonts w:asciiTheme="minorHAnsi" w:eastAsiaTheme="minorHAnsi" w:hAnsiTheme="minorHAnsi" w:cstheme="minorBidi"/>
        </w:rPr>
        <w:t>. 12th edn. London: Kogan Page.</w:t>
      </w:r>
    </w:p>
    <w:p w14:paraId="2809C7A2" w14:textId="668B5A6B"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Horngren, C.T., Datar, S.M.</w:t>
      </w:r>
      <w:r>
        <w:rPr>
          <w:rFonts w:asciiTheme="minorHAnsi" w:eastAsiaTheme="minorHAnsi" w:hAnsiTheme="minorHAnsi" w:cstheme="minorBidi"/>
        </w:rPr>
        <w:t>,</w:t>
      </w:r>
      <w:r w:rsidRPr="0053069B">
        <w:rPr>
          <w:rFonts w:asciiTheme="minorHAnsi" w:eastAsiaTheme="minorHAnsi" w:hAnsiTheme="minorHAnsi" w:cstheme="minorBidi"/>
        </w:rPr>
        <w:t xml:space="preserve"> and Rajan, M.V. (2015)</w:t>
      </w:r>
      <w:r>
        <w:rPr>
          <w:rFonts w:asciiTheme="minorHAnsi" w:eastAsiaTheme="minorHAnsi" w:hAnsiTheme="minorHAnsi" w:cstheme="minorBidi"/>
        </w:rPr>
        <w:t>.</w:t>
      </w:r>
      <w:r w:rsidRPr="0053069B">
        <w:rPr>
          <w:rFonts w:asciiTheme="minorHAnsi" w:eastAsiaTheme="minorHAnsi" w:hAnsiTheme="minorHAnsi" w:cstheme="minorBidi"/>
        </w:rPr>
        <w:t xml:space="preserve"> </w:t>
      </w:r>
      <w:r w:rsidRPr="0053069B">
        <w:rPr>
          <w:rFonts w:asciiTheme="minorHAnsi" w:eastAsiaTheme="minorHAnsi" w:hAnsiTheme="minorHAnsi" w:cstheme="minorBidi"/>
          <w:i/>
        </w:rPr>
        <w:t>Cost Accounting: A Managerial Emphasis</w:t>
      </w:r>
      <w:r w:rsidRPr="0053069B">
        <w:rPr>
          <w:rFonts w:asciiTheme="minorHAnsi" w:eastAsiaTheme="minorHAnsi" w:hAnsiTheme="minorHAnsi" w:cstheme="minorBidi"/>
        </w:rPr>
        <w:t>. 15th edn. Harlow: Pearson.</w:t>
      </w:r>
    </w:p>
    <w:p w14:paraId="1A3C6360" w14:textId="2C5044B2"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 xml:space="preserve">ICAEW (n.d.) ‘Managing your cash flow’. Available at: </w:t>
      </w:r>
      <w:hyperlink r:id="rId16" w:history="1">
        <w:r w:rsidRPr="0053069B">
          <w:rPr>
            <w:rFonts w:asciiTheme="minorHAnsi" w:eastAsiaTheme="minorHAnsi" w:hAnsiTheme="minorHAnsi" w:cstheme="minorBidi"/>
            <w:color w:val="467886" w:themeColor="hyperlink"/>
            <w:u w:val="single"/>
          </w:rPr>
          <w:t>https://www.icaew.com/technical/corporate-finance/business-finance-guide/more-information/managing-your-cashflow</w:t>
        </w:r>
      </w:hyperlink>
      <w:r w:rsidRPr="0053069B">
        <w:rPr>
          <w:rFonts w:asciiTheme="minorHAnsi" w:eastAsiaTheme="minorHAnsi" w:hAnsiTheme="minorHAnsi" w:cstheme="minorBidi"/>
        </w:rPr>
        <w:t xml:space="preserve"> (Accessed: </w:t>
      </w:r>
      <w:r>
        <w:rPr>
          <w:rFonts w:asciiTheme="minorHAnsi" w:eastAsiaTheme="minorHAnsi" w:hAnsiTheme="minorHAnsi" w:cstheme="minorBidi"/>
        </w:rPr>
        <w:t>25 February</w:t>
      </w:r>
      <w:r w:rsidRPr="0053069B">
        <w:rPr>
          <w:rFonts w:asciiTheme="minorHAnsi" w:eastAsiaTheme="minorHAnsi" w:hAnsiTheme="minorHAnsi" w:cstheme="minorBidi"/>
        </w:rPr>
        <w:t xml:space="preserve"> 2026).</w:t>
      </w:r>
    </w:p>
    <w:p w14:paraId="19BD2555" w14:textId="3CD3DBAE"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 xml:space="preserve">Jensen, M.C. (2003) ‘Paying people to lie: the truth about the budgeting process’, </w:t>
      </w:r>
      <w:r w:rsidRPr="0053069B">
        <w:rPr>
          <w:rFonts w:asciiTheme="minorHAnsi" w:eastAsiaTheme="minorHAnsi" w:hAnsiTheme="minorHAnsi" w:cstheme="minorBidi"/>
          <w:i/>
        </w:rPr>
        <w:t>European Financial Management</w:t>
      </w:r>
      <w:r w:rsidRPr="0053069B">
        <w:rPr>
          <w:rFonts w:asciiTheme="minorHAnsi" w:eastAsiaTheme="minorHAnsi" w:hAnsiTheme="minorHAnsi" w:cstheme="minorBidi"/>
        </w:rPr>
        <w:t xml:space="preserve">, 9(3), pp. 379–406. Available at: </w:t>
      </w:r>
      <w:hyperlink r:id="rId17" w:history="1">
        <w:r w:rsidRPr="0053069B">
          <w:rPr>
            <w:rFonts w:asciiTheme="minorHAnsi" w:eastAsiaTheme="minorHAnsi" w:hAnsiTheme="minorHAnsi" w:cstheme="minorBidi"/>
            <w:color w:val="467886" w:themeColor="hyperlink"/>
            <w:u w:val="single"/>
          </w:rPr>
          <w:t>https://doi.org/10.1111/1468-036X.00226</w:t>
        </w:r>
      </w:hyperlink>
      <w:r w:rsidRPr="0053069B">
        <w:rPr>
          <w:rFonts w:asciiTheme="minorHAnsi" w:eastAsiaTheme="minorHAnsi" w:hAnsiTheme="minorHAnsi" w:cstheme="minorBidi"/>
        </w:rPr>
        <w:t xml:space="preserve"> (Accessed: 19</w:t>
      </w:r>
      <w:r>
        <w:rPr>
          <w:rFonts w:asciiTheme="minorHAnsi" w:eastAsiaTheme="minorHAnsi" w:hAnsiTheme="minorHAnsi" w:cstheme="minorBidi"/>
        </w:rPr>
        <w:t xml:space="preserve"> February</w:t>
      </w:r>
      <w:r w:rsidRPr="0053069B">
        <w:rPr>
          <w:rFonts w:asciiTheme="minorHAnsi" w:eastAsiaTheme="minorHAnsi" w:hAnsiTheme="minorHAnsi" w:cstheme="minorBidi"/>
        </w:rPr>
        <w:t xml:space="preserve"> 2026).</w:t>
      </w:r>
    </w:p>
    <w:p w14:paraId="084DDDFD" w14:textId="74CDE209"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Kaplan, R.S. and Norton, D.P. (1996)</w:t>
      </w:r>
      <w:r>
        <w:rPr>
          <w:rFonts w:asciiTheme="minorHAnsi" w:eastAsiaTheme="minorHAnsi" w:hAnsiTheme="minorHAnsi" w:cstheme="minorBidi"/>
        </w:rPr>
        <w:t>.</w:t>
      </w:r>
      <w:r w:rsidRPr="0053069B">
        <w:rPr>
          <w:rFonts w:asciiTheme="minorHAnsi" w:eastAsiaTheme="minorHAnsi" w:hAnsiTheme="minorHAnsi" w:cstheme="minorBidi"/>
        </w:rPr>
        <w:t xml:space="preserve"> </w:t>
      </w:r>
      <w:r w:rsidRPr="0053069B">
        <w:rPr>
          <w:rFonts w:asciiTheme="minorHAnsi" w:eastAsiaTheme="minorHAnsi" w:hAnsiTheme="minorHAnsi" w:cstheme="minorBidi"/>
          <w:i/>
        </w:rPr>
        <w:t>The Balanced Scorecard: Translating Strategy into Action</w:t>
      </w:r>
      <w:r w:rsidRPr="0053069B">
        <w:rPr>
          <w:rFonts w:asciiTheme="minorHAnsi" w:eastAsiaTheme="minorHAnsi" w:hAnsiTheme="minorHAnsi" w:cstheme="minorBidi"/>
        </w:rPr>
        <w:t>. Boston, MA: Harvard Business School Press.</w:t>
      </w:r>
    </w:p>
    <w:p w14:paraId="2E49D78D" w14:textId="6BED29DB"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Kotlitz, D. (2017)</w:t>
      </w:r>
      <w:r>
        <w:rPr>
          <w:rFonts w:asciiTheme="minorHAnsi" w:eastAsiaTheme="minorHAnsi" w:hAnsiTheme="minorHAnsi" w:cstheme="minorBidi"/>
        </w:rPr>
        <w:t>.</w:t>
      </w:r>
      <w:r w:rsidRPr="0053069B">
        <w:rPr>
          <w:rFonts w:asciiTheme="minorHAnsi" w:eastAsiaTheme="minorHAnsi" w:hAnsiTheme="minorHAnsi" w:cstheme="minorBidi"/>
        </w:rPr>
        <w:t xml:space="preserve"> </w:t>
      </w:r>
      <w:r w:rsidRPr="0053069B">
        <w:rPr>
          <w:rFonts w:asciiTheme="minorHAnsi" w:eastAsiaTheme="minorHAnsi" w:hAnsiTheme="minorHAnsi" w:cstheme="minorBidi"/>
          <w:i/>
        </w:rPr>
        <w:t>Financial Accounting: A Concepts-Based Introduction</w:t>
      </w:r>
      <w:r w:rsidRPr="0053069B">
        <w:rPr>
          <w:rFonts w:asciiTheme="minorHAnsi" w:eastAsiaTheme="minorHAnsi" w:hAnsiTheme="minorHAnsi" w:cstheme="minorBidi"/>
        </w:rPr>
        <w:t>. Abingdon: Routledge.</w:t>
      </w:r>
    </w:p>
    <w:p w14:paraId="61DF0F3E" w14:textId="18E5C8DC"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 xml:space="preserve">Libby, T. and Lindsay, R.M. (2010) ‘Beyond budgeting or budgeting reconsidered? A survey of North American budgeting practice, </w:t>
      </w:r>
      <w:r w:rsidRPr="0053069B">
        <w:rPr>
          <w:rFonts w:asciiTheme="minorHAnsi" w:eastAsiaTheme="minorHAnsi" w:hAnsiTheme="minorHAnsi" w:cstheme="minorBidi"/>
          <w:i/>
        </w:rPr>
        <w:t>Management Accounting Research</w:t>
      </w:r>
      <w:r w:rsidRPr="0053069B">
        <w:rPr>
          <w:rFonts w:asciiTheme="minorHAnsi" w:eastAsiaTheme="minorHAnsi" w:hAnsiTheme="minorHAnsi" w:cstheme="minorBidi"/>
        </w:rPr>
        <w:t xml:space="preserve">, 21(1), pp. 56–75. Available at: </w:t>
      </w:r>
      <w:hyperlink r:id="rId18" w:history="1">
        <w:r w:rsidRPr="0053069B">
          <w:rPr>
            <w:rFonts w:asciiTheme="minorHAnsi" w:eastAsiaTheme="minorHAnsi" w:hAnsiTheme="minorHAnsi" w:cstheme="minorBidi"/>
            <w:color w:val="467886" w:themeColor="hyperlink"/>
            <w:u w:val="single"/>
          </w:rPr>
          <w:t>https://doi.org/10.1016/j.mar.2009.10.003</w:t>
        </w:r>
      </w:hyperlink>
      <w:r w:rsidRPr="0053069B">
        <w:rPr>
          <w:rFonts w:asciiTheme="minorHAnsi" w:eastAsiaTheme="minorHAnsi" w:hAnsiTheme="minorHAnsi" w:cstheme="minorBidi"/>
        </w:rPr>
        <w:t xml:space="preserve"> (Accessed: 1</w:t>
      </w:r>
      <w:r>
        <w:rPr>
          <w:rFonts w:asciiTheme="minorHAnsi" w:eastAsiaTheme="minorHAnsi" w:hAnsiTheme="minorHAnsi" w:cstheme="minorBidi"/>
        </w:rPr>
        <w:t xml:space="preserve">2 </w:t>
      </w:r>
      <w:r w:rsidRPr="0053069B">
        <w:rPr>
          <w:rFonts w:asciiTheme="minorHAnsi" w:eastAsiaTheme="minorHAnsi" w:hAnsiTheme="minorHAnsi" w:cstheme="minorBidi"/>
        </w:rPr>
        <w:t>March 2026).</w:t>
      </w:r>
    </w:p>
    <w:p w14:paraId="4558A141" w14:textId="070450E8"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Marr, B. (2013)</w:t>
      </w:r>
      <w:r>
        <w:rPr>
          <w:rFonts w:asciiTheme="minorHAnsi" w:eastAsiaTheme="minorHAnsi" w:hAnsiTheme="minorHAnsi" w:cstheme="minorBidi"/>
        </w:rPr>
        <w:t>.</w:t>
      </w:r>
      <w:r w:rsidRPr="0053069B">
        <w:rPr>
          <w:rFonts w:asciiTheme="minorHAnsi" w:eastAsiaTheme="minorHAnsi" w:hAnsiTheme="minorHAnsi" w:cstheme="minorBidi"/>
        </w:rPr>
        <w:t xml:space="preserve"> </w:t>
      </w:r>
      <w:r w:rsidRPr="0053069B">
        <w:rPr>
          <w:rFonts w:asciiTheme="minorHAnsi" w:eastAsiaTheme="minorHAnsi" w:hAnsiTheme="minorHAnsi" w:cstheme="minorBidi"/>
          <w:i/>
        </w:rPr>
        <w:t>Key Performance Indicators (KPI): The 75 Measures Every Manager Needs to Know</w:t>
      </w:r>
      <w:r w:rsidRPr="0053069B">
        <w:rPr>
          <w:rFonts w:asciiTheme="minorHAnsi" w:eastAsiaTheme="minorHAnsi" w:hAnsiTheme="minorHAnsi" w:cstheme="minorBidi"/>
        </w:rPr>
        <w:t>. Harlow: Pearson.</w:t>
      </w:r>
    </w:p>
    <w:p w14:paraId="742F0B62" w14:textId="479E4C1B"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Merchant, K.A. and Van der Stede, W.A. (2017)</w:t>
      </w:r>
      <w:r>
        <w:rPr>
          <w:rFonts w:asciiTheme="minorHAnsi" w:eastAsiaTheme="minorHAnsi" w:hAnsiTheme="minorHAnsi" w:cstheme="minorBidi"/>
        </w:rPr>
        <w:t>.</w:t>
      </w:r>
      <w:r w:rsidRPr="0053069B">
        <w:rPr>
          <w:rFonts w:asciiTheme="minorHAnsi" w:eastAsiaTheme="minorHAnsi" w:hAnsiTheme="minorHAnsi" w:cstheme="minorBidi"/>
        </w:rPr>
        <w:t xml:space="preserve"> </w:t>
      </w:r>
      <w:r w:rsidRPr="0053069B">
        <w:rPr>
          <w:rFonts w:asciiTheme="minorHAnsi" w:eastAsiaTheme="minorHAnsi" w:hAnsiTheme="minorHAnsi" w:cstheme="minorBidi"/>
          <w:i/>
        </w:rPr>
        <w:t>Management Control Systems: Performance Measurement, Evaluation</w:t>
      </w:r>
      <w:r>
        <w:rPr>
          <w:rFonts w:asciiTheme="minorHAnsi" w:eastAsiaTheme="minorHAnsi" w:hAnsiTheme="minorHAnsi" w:cstheme="minorBidi"/>
          <w:i/>
        </w:rPr>
        <w:t>,</w:t>
      </w:r>
      <w:r w:rsidRPr="0053069B">
        <w:rPr>
          <w:rFonts w:asciiTheme="minorHAnsi" w:eastAsiaTheme="minorHAnsi" w:hAnsiTheme="minorHAnsi" w:cstheme="minorBidi"/>
          <w:i/>
        </w:rPr>
        <w:t xml:space="preserve"> and Incentives</w:t>
      </w:r>
      <w:r w:rsidRPr="0053069B">
        <w:rPr>
          <w:rFonts w:asciiTheme="minorHAnsi" w:eastAsiaTheme="minorHAnsi" w:hAnsiTheme="minorHAnsi" w:cstheme="minorBidi"/>
        </w:rPr>
        <w:t>. 4th edn. Harlow: Pearson.</w:t>
      </w:r>
    </w:p>
    <w:p w14:paraId="4BD4A776" w14:textId="710FA9B3"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 xml:space="preserve">Neely, A., Bourne, M. and Adams, C. (2003) ‘Better budgeting or beyond budgeting?’, </w:t>
      </w:r>
      <w:r w:rsidRPr="0053069B">
        <w:rPr>
          <w:rFonts w:asciiTheme="minorHAnsi" w:eastAsiaTheme="minorHAnsi" w:hAnsiTheme="minorHAnsi" w:cstheme="minorBidi"/>
          <w:i/>
        </w:rPr>
        <w:t>Measuring Business Excellence</w:t>
      </w:r>
      <w:r w:rsidRPr="0053069B">
        <w:rPr>
          <w:rFonts w:asciiTheme="minorHAnsi" w:eastAsiaTheme="minorHAnsi" w:hAnsiTheme="minorHAnsi" w:cstheme="minorBidi"/>
        </w:rPr>
        <w:t xml:space="preserve">, 7(3), pp. 22–28. Available at: </w:t>
      </w:r>
      <w:hyperlink r:id="rId19" w:history="1">
        <w:r w:rsidRPr="0053069B">
          <w:rPr>
            <w:rFonts w:asciiTheme="minorHAnsi" w:eastAsiaTheme="minorHAnsi" w:hAnsiTheme="minorHAnsi" w:cstheme="minorBidi"/>
            <w:color w:val="467886" w:themeColor="hyperlink"/>
            <w:u w:val="single"/>
          </w:rPr>
          <w:t>https://doi.org/10.1108/13683040310496471</w:t>
        </w:r>
      </w:hyperlink>
      <w:r w:rsidRPr="0053069B">
        <w:rPr>
          <w:rFonts w:asciiTheme="minorHAnsi" w:eastAsiaTheme="minorHAnsi" w:hAnsiTheme="minorHAnsi" w:cstheme="minorBidi"/>
        </w:rPr>
        <w:t xml:space="preserve"> (Accessed: 1</w:t>
      </w:r>
      <w:r>
        <w:rPr>
          <w:rFonts w:asciiTheme="minorHAnsi" w:eastAsiaTheme="minorHAnsi" w:hAnsiTheme="minorHAnsi" w:cstheme="minorBidi"/>
        </w:rPr>
        <w:t>0</w:t>
      </w:r>
      <w:r w:rsidRPr="0053069B">
        <w:rPr>
          <w:rFonts w:asciiTheme="minorHAnsi" w:eastAsiaTheme="minorHAnsi" w:hAnsiTheme="minorHAnsi" w:cstheme="minorBidi"/>
        </w:rPr>
        <w:t xml:space="preserve"> March 2026).</w:t>
      </w:r>
    </w:p>
    <w:p w14:paraId="38293342" w14:textId="16E17582"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 xml:space="preserve">Office for National Statistics (ONS) (2021) ‘Producer price inflation, UK: February 2021’. Available at: </w:t>
      </w:r>
      <w:hyperlink r:id="rId20" w:history="1">
        <w:r w:rsidRPr="0053069B">
          <w:rPr>
            <w:rFonts w:asciiTheme="minorHAnsi" w:eastAsiaTheme="minorHAnsi" w:hAnsiTheme="minorHAnsi" w:cstheme="minorBidi"/>
            <w:color w:val="467886" w:themeColor="hyperlink"/>
            <w:u w:val="single"/>
          </w:rPr>
          <w:t>https://www.ons.gov.uk/economy/inflationandpriceindices/bulletins/producerpriceinflation/february2021</w:t>
        </w:r>
      </w:hyperlink>
      <w:r w:rsidRPr="0053069B">
        <w:rPr>
          <w:rFonts w:asciiTheme="minorHAnsi" w:eastAsiaTheme="minorHAnsi" w:hAnsiTheme="minorHAnsi" w:cstheme="minorBidi"/>
        </w:rPr>
        <w:t xml:space="preserve"> (Accessed: </w:t>
      </w:r>
      <w:r>
        <w:rPr>
          <w:rFonts w:asciiTheme="minorHAnsi" w:eastAsiaTheme="minorHAnsi" w:hAnsiTheme="minorHAnsi" w:cstheme="minorBidi"/>
        </w:rPr>
        <w:t>24 February</w:t>
      </w:r>
      <w:r w:rsidRPr="0053069B">
        <w:rPr>
          <w:rFonts w:asciiTheme="minorHAnsi" w:eastAsiaTheme="minorHAnsi" w:hAnsiTheme="minorHAnsi" w:cstheme="minorBidi"/>
        </w:rPr>
        <w:t xml:space="preserve"> 2026).</w:t>
      </w:r>
    </w:p>
    <w:p w14:paraId="1FA03934" w14:textId="5DB021DD"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 xml:space="preserve">Otley, D. (1999) ‘Performance management: a framework for management control systems research’, </w:t>
      </w:r>
      <w:r w:rsidRPr="0053069B">
        <w:rPr>
          <w:rFonts w:asciiTheme="minorHAnsi" w:eastAsiaTheme="minorHAnsi" w:hAnsiTheme="minorHAnsi" w:cstheme="minorBidi"/>
          <w:i/>
        </w:rPr>
        <w:t>Management Accounting Research</w:t>
      </w:r>
      <w:r w:rsidRPr="0053069B">
        <w:rPr>
          <w:rFonts w:asciiTheme="minorHAnsi" w:eastAsiaTheme="minorHAnsi" w:hAnsiTheme="minorHAnsi" w:cstheme="minorBidi"/>
        </w:rPr>
        <w:t xml:space="preserve">, 10(4), pp. 363–382. Available at: </w:t>
      </w:r>
      <w:hyperlink r:id="rId21" w:history="1">
        <w:r w:rsidRPr="0053069B">
          <w:rPr>
            <w:rFonts w:asciiTheme="minorHAnsi" w:eastAsiaTheme="minorHAnsi" w:hAnsiTheme="minorHAnsi" w:cstheme="minorBidi"/>
            <w:color w:val="467886" w:themeColor="hyperlink"/>
            <w:u w:val="single"/>
          </w:rPr>
          <w:t>https://doi.org/10.1006/mare.1999.0115</w:t>
        </w:r>
      </w:hyperlink>
      <w:r w:rsidRPr="0053069B">
        <w:rPr>
          <w:rFonts w:asciiTheme="minorHAnsi" w:eastAsiaTheme="minorHAnsi" w:hAnsiTheme="minorHAnsi" w:cstheme="minorBidi"/>
        </w:rPr>
        <w:t xml:space="preserve"> (Accessed: 19 </w:t>
      </w:r>
      <w:r>
        <w:rPr>
          <w:rFonts w:asciiTheme="minorHAnsi" w:eastAsiaTheme="minorHAnsi" w:hAnsiTheme="minorHAnsi" w:cstheme="minorBidi"/>
        </w:rPr>
        <w:t>February</w:t>
      </w:r>
      <w:r w:rsidRPr="0053069B">
        <w:rPr>
          <w:rFonts w:asciiTheme="minorHAnsi" w:eastAsiaTheme="minorHAnsi" w:hAnsiTheme="minorHAnsi" w:cstheme="minorBidi"/>
        </w:rPr>
        <w:t xml:space="preserve"> 2026).</w:t>
      </w:r>
    </w:p>
    <w:p w14:paraId="60BF4BA4" w14:textId="0B5A0124"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lastRenderedPageBreak/>
        <w:t xml:space="preserve">Otley, D. (2016) ‘The contingency theory of management accounting and control: 1980–2014’, </w:t>
      </w:r>
      <w:r w:rsidRPr="0053069B">
        <w:rPr>
          <w:rFonts w:asciiTheme="minorHAnsi" w:eastAsiaTheme="minorHAnsi" w:hAnsiTheme="minorHAnsi" w:cstheme="minorBidi"/>
          <w:i/>
        </w:rPr>
        <w:t>Management Accounting Research</w:t>
      </w:r>
      <w:r w:rsidRPr="0053069B">
        <w:rPr>
          <w:rFonts w:asciiTheme="minorHAnsi" w:eastAsiaTheme="minorHAnsi" w:hAnsiTheme="minorHAnsi" w:cstheme="minorBidi"/>
        </w:rPr>
        <w:t xml:space="preserve">, 31, pp. 45–62. Available at: </w:t>
      </w:r>
      <w:hyperlink r:id="rId22" w:history="1">
        <w:r w:rsidRPr="0053069B">
          <w:rPr>
            <w:rFonts w:asciiTheme="minorHAnsi" w:eastAsiaTheme="minorHAnsi" w:hAnsiTheme="minorHAnsi" w:cstheme="minorBidi"/>
            <w:color w:val="467886" w:themeColor="hyperlink"/>
            <w:u w:val="single"/>
          </w:rPr>
          <w:t>https://doi.org/10.1016/j.mar.2016.02.001</w:t>
        </w:r>
      </w:hyperlink>
      <w:r w:rsidRPr="0053069B">
        <w:rPr>
          <w:rFonts w:asciiTheme="minorHAnsi" w:eastAsiaTheme="minorHAnsi" w:hAnsiTheme="minorHAnsi" w:cstheme="minorBidi"/>
        </w:rPr>
        <w:t xml:space="preserve"> (Accessed: </w:t>
      </w:r>
      <w:r>
        <w:rPr>
          <w:rFonts w:asciiTheme="minorHAnsi" w:eastAsiaTheme="minorHAnsi" w:hAnsiTheme="minorHAnsi" w:cstheme="minorBidi"/>
        </w:rPr>
        <w:t>2nd</w:t>
      </w:r>
      <w:r w:rsidRPr="0053069B">
        <w:rPr>
          <w:rFonts w:asciiTheme="minorHAnsi" w:eastAsiaTheme="minorHAnsi" w:hAnsiTheme="minorHAnsi" w:cstheme="minorBidi"/>
        </w:rPr>
        <w:t xml:space="preserve"> March 2026).</w:t>
      </w:r>
    </w:p>
    <w:p w14:paraId="25C5C4EC" w14:textId="344045A1"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Seal, W., Garrison, R.H.</w:t>
      </w:r>
      <w:r>
        <w:rPr>
          <w:rFonts w:asciiTheme="minorHAnsi" w:eastAsiaTheme="minorHAnsi" w:hAnsiTheme="minorHAnsi" w:cstheme="minorBidi"/>
        </w:rPr>
        <w:t>,</w:t>
      </w:r>
      <w:r w:rsidRPr="0053069B">
        <w:rPr>
          <w:rFonts w:asciiTheme="minorHAnsi" w:eastAsiaTheme="minorHAnsi" w:hAnsiTheme="minorHAnsi" w:cstheme="minorBidi"/>
        </w:rPr>
        <w:t xml:space="preserve"> and Noreen, E.W. (2018)</w:t>
      </w:r>
      <w:r>
        <w:rPr>
          <w:rFonts w:asciiTheme="minorHAnsi" w:eastAsiaTheme="minorHAnsi" w:hAnsiTheme="minorHAnsi" w:cstheme="minorBidi"/>
        </w:rPr>
        <w:t>.</w:t>
      </w:r>
      <w:r w:rsidRPr="0053069B">
        <w:rPr>
          <w:rFonts w:asciiTheme="minorHAnsi" w:eastAsiaTheme="minorHAnsi" w:hAnsiTheme="minorHAnsi" w:cstheme="minorBidi"/>
        </w:rPr>
        <w:t xml:space="preserve"> </w:t>
      </w:r>
      <w:r w:rsidRPr="0053069B">
        <w:rPr>
          <w:rFonts w:asciiTheme="minorHAnsi" w:eastAsiaTheme="minorHAnsi" w:hAnsiTheme="minorHAnsi" w:cstheme="minorBidi"/>
          <w:i/>
        </w:rPr>
        <w:t>Management Accounting</w:t>
      </w:r>
      <w:r w:rsidRPr="0053069B">
        <w:rPr>
          <w:rFonts w:asciiTheme="minorHAnsi" w:eastAsiaTheme="minorHAnsi" w:hAnsiTheme="minorHAnsi" w:cstheme="minorBidi"/>
        </w:rPr>
        <w:t>. 6th edn. Maidenhead: McGraw-Hill Education.</w:t>
      </w:r>
    </w:p>
    <w:p w14:paraId="2F204C41" w14:textId="77777777"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 xml:space="preserve">Simons, R. (1995) </w:t>
      </w:r>
      <w:r w:rsidRPr="0053069B">
        <w:rPr>
          <w:rFonts w:asciiTheme="minorHAnsi" w:eastAsiaTheme="minorHAnsi" w:hAnsiTheme="minorHAnsi" w:cstheme="minorBidi"/>
          <w:i/>
        </w:rPr>
        <w:t>Levers of Control: How Managers Use Innovative Control Systems to Drive Strategic Renewal</w:t>
      </w:r>
      <w:r w:rsidRPr="0053069B">
        <w:rPr>
          <w:rFonts w:asciiTheme="minorHAnsi" w:eastAsiaTheme="minorHAnsi" w:hAnsiTheme="minorHAnsi" w:cstheme="minorBidi"/>
        </w:rPr>
        <w:t>. Boston, MA: Harvard Business School Press.</w:t>
      </w:r>
    </w:p>
    <w:p w14:paraId="051A2E23" w14:textId="38D86FF2" w:rsidR="0053069B" w:rsidRPr="0053069B" w:rsidRDefault="0053069B" w:rsidP="0053069B">
      <w:pPr>
        <w:spacing w:line="278" w:lineRule="auto"/>
        <w:rPr>
          <w:rFonts w:asciiTheme="minorHAnsi" w:eastAsiaTheme="minorHAnsi" w:hAnsiTheme="minorHAnsi" w:cstheme="minorBidi"/>
        </w:rPr>
      </w:pPr>
      <w:r w:rsidRPr="0053069B">
        <w:rPr>
          <w:rFonts w:asciiTheme="minorHAnsi" w:eastAsiaTheme="minorHAnsi" w:hAnsiTheme="minorHAnsi" w:cstheme="minorBidi"/>
        </w:rPr>
        <w:t>Walsh, C. (2008)</w:t>
      </w:r>
      <w:r>
        <w:rPr>
          <w:rFonts w:asciiTheme="minorHAnsi" w:eastAsiaTheme="minorHAnsi" w:hAnsiTheme="minorHAnsi" w:cstheme="minorBidi"/>
        </w:rPr>
        <w:t>.</w:t>
      </w:r>
      <w:r w:rsidRPr="0053069B">
        <w:rPr>
          <w:rFonts w:asciiTheme="minorHAnsi" w:eastAsiaTheme="minorHAnsi" w:hAnsiTheme="minorHAnsi" w:cstheme="minorBidi"/>
        </w:rPr>
        <w:t xml:space="preserve"> </w:t>
      </w:r>
      <w:r w:rsidRPr="0053069B">
        <w:rPr>
          <w:rFonts w:asciiTheme="minorHAnsi" w:eastAsiaTheme="minorHAnsi" w:hAnsiTheme="minorHAnsi" w:cstheme="minorBidi"/>
          <w:i/>
        </w:rPr>
        <w:t>Key Management Ratios: The 100+ Ratios Every Manager Needs to Know</w:t>
      </w:r>
      <w:r w:rsidRPr="0053069B">
        <w:rPr>
          <w:rFonts w:asciiTheme="minorHAnsi" w:eastAsiaTheme="minorHAnsi" w:hAnsiTheme="minorHAnsi" w:cstheme="minorBidi"/>
        </w:rPr>
        <w:t>. 4th edn. Harlow: Prentice Hall.</w:t>
      </w:r>
    </w:p>
    <w:p w14:paraId="5868A3FE" w14:textId="0D5F908A" w:rsidR="0053069B" w:rsidRPr="0053069B" w:rsidRDefault="006B42EC" w:rsidP="0053069B">
      <w:pPr>
        <w:spacing w:line="278" w:lineRule="auto"/>
        <w:rPr>
          <w:rFonts w:asciiTheme="minorHAnsi" w:eastAsiaTheme="minorHAnsi" w:hAnsiTheme="minorHAnsi" w:cstheme="minorBidi"/>
        </w:rPr>
      </w:pPr>
      <w:r>
        <w:rPr>
          <w:rFonts w:asciiTheme="minorHAnsi" w:eastAsiaTheme="minorHAnsi" w:hAnsiTheme="minorHAnsi" w:cstheme="minorBidi"/>
        </w:rPr>
        <w:t xml:space="preserve">Weetman, P. (2019). </w:t>
      </w:r>
      <w:r w:rsidRPr="006B42EC">
        <w:rPr>
          <w:rFonts w:asciiTheme="minorHAnsi" w:eastAsiaTheme="minorHAnsi" w:hAnsiTheme="minorHAnsi" w:cstheme="minorBidi"/>
          <w:i/>
          <w:iCs/>
        </w:rPr>
        <w:t>Management Account</w:t>
      </w:r>
      <w:r>
        <w:rPr>
          <w:rFonts w:asciiTheme="minorHAnsi" w:eastAsiaTheme="minorHAnsi" w:hAnsiTheme="minorHAnsi" w:cstheme="minorBidi"/>
          <w:i/>
          <w:iCs/>
        </w:rPr>
        <w:t>ing</w:t>
      </w:r>
      <w:r>
        <w:rPr>
          <w:rFonts w:asciiTheme="minorHAnsi" w:eastAsiaTheme="minorHAnsi" w:hAnsiTheme="minorHAnsi" w:cstheme="minorBidi"/>
        </w:rPr>
        <w:t>. 3rd edn. Harlow: Person Education</w:t>
      </w:r>
    </w:p>
    <w:p w14:paraId="00067E44" w14:textId="584C1154" w:rsidR="0053069B" w:rsidRPr="0053069B" w:rsidRDefault="0053069B" w:rsidP="0053069B"/>
    <w:sectPr w:rsidR="0053069B" w:rsidRPr="005306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AF2035"/>
    <w:multiLevelType w:val="hybridMultilevel"/>
    <w:tmpl w:val="8E168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1F4807"/>
    <w:multiLevelType w:val="multilevel"/>
    <w:tmpl w:val="753E611A"/>
    <w:lvl w:ilvl="0">
      <w:start w:val="1"/>
      <w:numFmt w:val="decimal"/>
      <w:lvlText w:val="%1."/>
      <w:lvlJc w:val="left"/>
      <w:pPr>
        <w:ind w:left="744" w:hanging="384"/>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BC32E4D"/>
    <w:multiLevelType w:val="hybridMultilevel"/>
    <w:tmpl w:val="CD8AC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D448CE"/>
    <w:multiLevelType w:val="hybridMultilevel"/>
    <w:tmpl w:val="F10AB0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6D7961"/>
    <w:multiLevelType w:val="hybridMultilevel"/>
    <w:tmpl w:val="BF3E4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1B72BC"/>
    <w:multiLevelType w:val="hybridMultilevel"/>
    <w:tmpl w:val="EE4A2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7D646B"/>
    <w:multiLevelType w:val="hybridMultilevel"/>
    <w:tmpl w:val="61DCD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D8370F"/>
    <w:multiLevelType w:val="hybridMultilevel"/>
    <w:tmpl w:val="F094E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5A1133"/>
    <w:multiLevelType w:val="hybridMultilevel"/>
    <w:tmpl w:val="07E8A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7571938">
    <w:abstractNumId w:val="3"/>
  </w:num>
  <w:num w:numId="2" w16cid:durableId="1385640086">
    <w:abstractNumId w:val="1"/>
  </w:num>
  <w:num w:numId="3" w16cid:durableId="73404082">
    <w:abstractNumId w:val="7"/>
  </w:num>
  <w:num w:numId="4" w16cid:durableId="1552884997">
    <w:abstractNumId w:val="8"/>
  </w:num>
  <w:num w:numId="5" w16cid:durableId="839347341">
    <w:abstractNumId w:val="2"/>
  </w:num>
  <w:num w:numId="6" w16cid:durableId="1382483444">
    <w:abstractNumId w:val="0"/>
  </w:num>
  <w:num w:numId="7" w16cid:durableId="1744600754">
    <w:abstractNumId w:val="6"/>
  </w:num>
  <w:num w:numId="8" w16cid:durableId="247466662">
    <w:abstractNumId w:val="5"/>
  </w:num>
  <w:num w:numId="9" w16cid:durableId="72275284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2E2"/>
    <w:rsid w:val="00002AB4"/>
    <w:rsid w:val="00040084"/>
    <w:rsid w:val="000854C7"/>
    <w:rsid w:val="0008793C"/>
    <w:rsid w:val="000A0831"/>
    <w:rsid w:val="000A2928"/>
    <w:rsid w:val="000A49BE"/>
    <w:rsid w:val="0015659F"/>
    <w:rsid w:val="001933CE"/>
    <w:rsid w:val="001E2935"/>
    <w:rsid w:val="001E3532"/>
    <w:rsid w:val="001F7101"/>
    <w:rsid w:val="00221CE1"/>
    <w:rsid w:val="00231F44"/>
    <w:rsid w:val="002C5A89"/>
    <w:rsid w:val="002C6DDF"/>
    <w:rsid w:val="002F0B77"/>
    <w:rsid w:val="003654AD"/>
    <w:rsid w:val="00374799"/>
    <w:rsid w:val="003A2B18"/>
    <w:rsid w:val="0041180B"/>
    <w:rsid w:val="004314FE"/>
    <w:rsid w:val="004579A4"/>
    <w:rsid w:val="004864DF"/>
    <w:rsid w:val="004C1BDB"/>
    <w:rsid w:val="004E47FB"/>
    <w:rsid w:val="00520B16"/>
    <w:rsid w:val="0053069B"/>
    <w:rsid w:val="00567267"/>
    <w:rsid w:val="00593C5B"/>
    <w:rsid w:val="00596E75"/>
    <w:rsid w:val="005B3934"/>
    <w:rsid w:val="005F649D"/>
    <w:rsid w:val="006342E2"/>
    <w:rsid w:val="0063508B"/>
    <w:rsid w:val="006407F9"/>
    <w:rsid w:val="00692762"/>
    <w:rsid w:val="006946EF"/>
    <w:rsid w:val="006B42EC"/>
    <w:rsid w:val="006D244F"/>
    <w:rsid w:val="00732D4B"/>
    <w:rsid w:val="00751D06"/>
    <w:rsid w:val="008422F7"/>
    <w:rsid w:val="0089483E"/>
    <w:rsid w:val="008B0C14"/>
    <w:rsid w:val="008B4764"/>
    <w:rsid w:val="008C5AB7"/>
    <w:rsid w:val="00921E10"/>
    <w:rsid w:val="009239A7"/>
    <w:rsid w:val="00955F72"/>
    <w:rsid w:val="0097426C"/>
    <w:rsid w:val="009A3928"/>
    <w:rsid w:val="009E3C63"/>
    <w:rsid w:val="00A2058B"/>
    <w:rsid w:val="00A3012F"/>
    <w:rsid w:val="00A61862"/>
    <w:rsid w:val="00AC061D"/>
    <w:rsid w:val="00B100AF"/>
    <w:rsid w:val="00B3179D"/>
    <w:rsid w:val="00B47882"/>
    <w:rsid w:val="00BA11B1"/>
    <w:rsid w:val="00C2742D"/>
    <w:rsid w:val="00C34F1D"/>
    <w:rsid w:val="00C84219"/>
    <w:rsid w:val="00C931F8"/>
    <w:rsid w:val="00CB428B"/>
    <w:rsid w:val="00CD6A2B"/>
    <w:rsid w:val="00D153E7"/>
    <w:rsid w:val="00D738DF"/>
    <w:rsid w:val="00DD3C77"/>
    <w:rsid w:val="00DF59A6"/>
    <w:rsid w:val="00E65F93"/>
    <w:rsid w:val="00E73DD4"/>
    <w:rsid w:val="00E820EC"/>
    <w:rsid w:val="00EC7406"/>
    <w:rsid w:val="00ED0954"/>
    <w:rsid w:val="00F019A5"/>
    <w:rsid w:val="00F13284"/>
    <w:rsid w:val="00F744BB"/>
    <w:rsid w:val="00FF4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233FD"/>
  <w15:chartTrackingRefBased/>
  <w15:docId w15:val="{66C8342B-371D-46D5-925D-FB623DE54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CE1"/>
    <w:pPr>
      <w:spacing w:line="276" w:lineRule="auto"/>
    </w:pPr>
    <w:rPr>
      <w:rFonts w:ascii="Aptos" w:eastAsia="Aptos" w:hAnsi="Aptos" w:cs="Times New Roman"/>
    </w:rPr>
  </w:style>
  <w:style w:type="paragraph" w:styleId="Heading1">
    <w:name w:val="heading 1"/>
    <w:basedOn w:val="Normal"/>
    <w:next w:val="Normal"/>
    <w:link w:val="Heading1Char"/>
    <w:uiPriority w:val="9"/>
    <w:qFormat/>
    <w:rsid w:val="006342E2"/>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342E2"/>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42E2"/>
    <w:pPr>
      <w:keepNext/>
      <w:keepLines/>
      <w:spacing w:before="160" w:after="80" w:line="278" w:lineRule="auto"/>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42E2"/>
    <w:pPr>
      <w:keepNext/>
      <w:keepLines/>
      <w:spacing w:before="80" w:after="40" w:line="278" w:lineRule="auto"/>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342E2"/>
    <w:pPr>
      <w:keepNext/>
      <w:keepLines/>
      <w:spacing w:before="80" w:after="40" w:line="278" w:lineRule="auto"/>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342E2"/>
    <w:pPr>
      <w:keepNext/>
      <w:keepLines/>
      <w:spacing w:before="40" w:after="0" w:line="278" w:lineRule="auto"/>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342E2"/>
    <w:pPr>
      <w:keepNext/>
      <w:keepLines/>
      <w:spacing w:before="40" w:after="0" w:line="278" w:lineRule="auto"/>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342E2"/>
    <w:pPr>
      <w:keepNext/>
      <w:keepLines/>
      <w:spacing w:after="0" w:line="278" w:lineRule="auto"/>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342E2"/>
    <w:pPr>
      <w:keepNext/>
      <w:keepLines/>
      <w:spacing w:after="0" w:line="278" w:lineRule="auto"/>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42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342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42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42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42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42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42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42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42E2"/>
    <w:rPr>
      <w:rFonts w:eastAsiaTheme="majorEastAsia" w:cstheme="majorBidi"/>
      <w:color w:val="272727" w:themeColor="text1" w:themeTint="D8"/>
    </w:rPr>
  </w:style>
  <w:style w:type="paragraph" w:styleId="Title">
    <w:name w:val="Title"/>
    <w:basedOn w:val="Normal"/>
    <w:next w:val="Normal"/>
    <w:link w:val="TitleChar"/>
    <w:uiPriority w:val="10"/>
    <w:qFormat/>
    <w:rsid w:val="006342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42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42E2"/>
    <w:pPr>
      <w:numPr>
        <w:ilvl w:val="1"/>
      </w:numPr>
      <w:spacing w:line="278" w:lineRule="auto"/>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42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42E2"/>
    <w:pPr>
      <w:spacing w:before="160" w:line="278" w:lineRule="auto"/>
      <w:jc w:val="center"/>
    </w:pPr>
    <w:rPr>
      <w:rFonts w:asciiTheme="minorHAnsi" w:eastAsiaTheme="minorHAnsi" w:hAnsiTheme="minorHAnsi" w:cstheme="minorBidi"/>
      <w:i/>
      <w:iCs/>
      <w:color w:val="404040" w:themeColor="text1" w:themeTint="BF"/>
    </w:rPr>
  </w:style>
  <w:style w:type="character" w:customStyle="1" w:styleId="QuoteChar">
    <w:name w:val="Quote Char"/>
    <w:basedOn w:val="DefaultParagraphFont"/>
    <w:link w:val="Quote"/>
    <w:uiPriority w:val="29"/>
    <w:rsid w:val="006342E2"/>
    <w:rPr>
      <w:i/>
      <w:iCs/>
      <w:color w:val="404040" w:themeColor="text1" w:themeTint="BF"/>
    </w:rPr>
  </w:style>
  <w:style w:type="paragraph" w:styleId="ListParagraph">
    <w:name w:val="List Paragraph"/>
    <w:basedOn w:val="Normal"/>
    <w:uiPriority w:val="34"/>
    <w:qFormat/>
    <w:rsid w:val="006342E2"/>
    <w:pPr>
      <w:spacing w:line="278" w:lineRule="auto"/>
      <w:ind w:left="720"/>
      <w:contextualSpacing/>
    </w:pPr>
    <w:rPr>
      <w:rFonts w:asciiTheme="minorHAnsi" w:eastAsiaTheme="minorHAnsi" w:hAnsiTheme="minorHAnsi" w:cstheme="minorBidi"/>
    </w:rPr>
  </w:style>
  <w:style w:type="character" w:styleId="IntenseEmphasis">
    <w:name w:val="Intense Emphasis"/>
    <w:basedOn w:val="DefaultParagraphFont"/>
    <w:uiPriority w:val="21"/>
    <w:qFormat/>
    <w:rsid w:val="006342E2"/>
    <w:rPr>
      <w:i/>
      <w:iCs/>
      <w:color w:val="0F4761" w:themeColor="accent1" w:themeShade="BF"/>
    </w:rPr>
  </w:style>
  <w:style w:type="paragraph" w:styleId="IntenseQuote">
    <w:name w:val="Intense Quote"/>
    <w:basedOn w:val="Normal"/>
    <w:next w:val="Normal"/>
    <w:link w:val="IntenseQuoteChar"/>
    <w:uiPriority w:val="30"/>
    <w:qFormat/>
    <w:rsid w:val="006342E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rPr>
  </w:style>
  <w:style w:type="character" w:customStyle="1" w:styleId="IntenseQuoteChar">
    <w:name w:val="Intense Quote Char"/>
    <w:basedOn w:val="DefaultParagraphFont"/>
    <w:link w:val="IntenseQuote"/>
    <w:uiPriority w:val="30"/>
    <w:rsid w:val="006342E2"/>
    <w:rPr>
      <w:i/>
      <w:iCs/>
      <w:color w:val="0F4761" w:themeColor="accent1" w:themeShade="BF"/>
    </w:rPr>
  </w:style>
  <w:style w:type="character" w:styleId="IntenseReference">
    <w:name w:val="Intense Reference"/>
    <w:basedOn w:val="DefaultParagraphFont"/>
    <w:uiPriority w:val="32"/>
    <w:qFormat/>
    <w:rsid w:val="006342E2"/>
    <w:rPr>
      <w:b/>
      <w:bCs/>
      <w:smallCaps/>
      <w:color w:val="0F4761" w:themeColor="accent1" w:themeShade="BF"/>
      <w:spacing w:val="5"/>
    </w:rPr>
  </w:style>
  <w:style w:type="paragraph" w:styleId="TOCHeading">
    <w:name w:val="TOC Heading"/>
    <w:basedOn w:val="Heading1"/>
    <w:next w:val="Normal"/>
    <w:uiPriority w:val="39"/>
    <w:unhideWhenUsed/>
    <w:qFormat/>
    <w:rsid w:val="00732D4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931F8"/>
    <w:pPr>
      <w:spacing w:after="100"/>
    </w:pPr>
  </w:style>
  <w:style w:type="paragraph" w:styleId="TOC2">
    <w:name w:val="toc 2"/>
    <w:basedOn w:val="Normal"/>
    <w:next w:val="Normal"/>
    <w:autoRedefine/>
    <w:uiPriority w:val="39"/>
    <w:unhideWhenUsed/>
    <w:rsid w:val="00C931F8"/>
    <w:pPr>
      <w:spacing w:after="100"/>
      <w:ind w:left="240"/>
    </w:pPr>
  </w:style>
  <w:style w:type="character" w:styleId="Hyperlink">
    <w:name w:val="Hyperlink"/>
    <w:basedOn w:val="DefaultParagraphFont"/>
    <w:uiPriority w:val="99"/>
    <w:unhideWhenUsed/>
    <w:rsid w:val="00C931F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frc.org.uk/library/standards-codes-policy/corporate-governance/uk-corporate-governance-code/" TargetMode="External"/><Relationship Id="rId18" Type="http://schemas.openxmlformats.org/officeDocument/2006/relationships/hyperlink" Target="https://doi.org/10.1016/j.mar.2009.10.003" TargetMode="External"/><Relationship Id="rId3" Type="http://schemas.openxmlformats.org/officeDocument/2006/relationships/styles" Target="styles.xml"/><Relationship Id="rId21" Type="http://schemas.openxmlformats.org/officeDocument/2006/relationships/hyperlink" Target="https://doi.org/10.1006/mare.1999.0115" TargetMode="External"/><Relationship Id="rId7" Type="http://schemas.openxmlformats.org/officeDocument/2006/relationships/image" Target="media/image2.png"/><Relationship Id="rId12" Type="http://schemas.openxmlformats.org/officeDocument/2006/relationships/hyperlink" Target="https://doi.org/10.1006/MARE.1995.1017" TargetMode="External"/><Relationship Id="rId17" Type="http://schemas.openxmlformats.org/officeDocument/2006/relationships/hyperlink" Target="https://doi.org/10.1111/1468-036X.00226" TargetMode="External"/><Relationship Id="rId2" Type="http://schemas.openxmlformats.org/officeDocument/2006/relationships/numbering" Target="numbering.xml"/><Relationship Id="rId16" Type="http://schemas.openxmlformats.org/officeDocument/2006/relationships/hyperlink" Target="https://www.icaew.com/technical/corporate-finance/business-finance-guide/more-information/managing-your-cashflow" TargetMode="External"/><Relationship Id="rId20" Type="http://schemas.openxmlformats.org/officeDocument/2006/relationships/hyperlink" Target="https://www.ons.gov.uk/economy/inflationandpriceindices/bulletins/producerpriceinflation/february2021"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ccaglobal.com/learning-and-events/acca-learning/budgeting-and-forecasting-5-course-pack.htm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2308/JMAR.2003.15.1.95" TargetMode="External"/><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doi.org/10.1108/13683040310496471"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doi.org/10.1016/j.aos.2009.10.003" TargetMode="External"/><Relationship Id="rId22" Type="http://schemas.openxmlformats.org/officeDocument/2006/relationships/hyperlink" Target="https://doi.org/10.1016/j.mar.2016.02.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AD65FC-0C27-4024-8DF5-DE4271F94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7648</TotalTime>
  <Pages>1</Pages>
  <Words>4946</Words>
  <Characters>28195</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Andreea-Mihaela Tanasa (2332157)</dc:creator>
  <cp:keywords/>
  <dc:description/>
  <cp:lastModifiedBy>Andreea-Mihaela Tanasa (2332157)</cp:lastModifiedBy>
  <cp:revision>18</cp:revision>
  <dcterms:created xsi:type="dcterms:W3CDTF">2026-03-03T13:09:00Z</dcterms:created>
  <dcterms:modified xsi:type="dcterms:W3CDTF">2026-03-19T20:44:00Z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79a11610-a8e4-4c16-9ee2-3a1fbf98956f</vt:lpwstr>
  </property>
</Properties>
</file>