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B1F03" w14:textId="4CEFFD66" w:rsidR="00E34681" w:rsidRPr="00E34681" w:rsidRDefault="00E34681" w:rsidP="00E34681">
      <w:pPr>
        <w:spacing w:line="360" w:lineRule="auto"/>
        <w:rPr>
          <w:rFonts w:ascii="Arial" w:hAnsi="Arial" w:cs="Arial"/>
          <w:b/>
          <w:bCs/>
          <w:sz w:val="36"/>
          <w:szCs w:val="36"/>
        </w:rPr>
      </w:pPr>
      <w:r w:rsidRPr="00E34681">
        <w:rPr>
          <w:rFonts w:ascii="Arial" w:hAnsi="Arial" w:cs="Arial"/>
          <w:b/>
          <w:bCs/>
          <w:sz w:val="36"/>
          <w:szCs w:val="36"/>
        </w:rPr>
        <w:t>Managing Business Information</w:t>
      </w:r>
    </w:p>
    <w:p w14:paraId="3D8B5061" w14:textId="0D164372" w:rsidR="00E34681" w:rsidRPr="00E34681" w:rsidRDefault="00E34681" w:rsidP="00E34681">
      <w:pPr>
        <w:spacing w:before="100" w:beforeAutospacing="1" w:after="100" w:afterAutospacing="1"/>
        <w:rPr>
          <w:rFonts w:ascii="Arial" w:hAnsi="Arial" w:cs="Arial"/>
          <w:b/>
          <w:bCs/>
          <w:i/>
          <w:iCs/>
          <w:sz w:val="36"/>
          <w:szCs w:val="36"/>
        </w:rPr>
      </w:pPr>
      <w:r w:rsidRPr="00E34681">
        <w:rPr>
          <w:rFonts w:ascii="Arial" w:hAnsi="Arial" w:cs="Arial"/>
          <w:b/>
          <w:bCs/>
          <w:i/>
          <w:iCs/>
          <w:sz w:val="36"/>
          <w:szCs w:val="36"/>
        </w:rPr>
        <w:t xml:space="preserve">Business Case: </w:t>
      </w:r>
      <w:proofErr w:type="spellStart"/>
      <w:r w:rsidRPr="00E34681">
        <w:rPr>
          <w:rFonts w:ascii="Arial" w:hAnsi="Arial" w:cs="Arial"/>
          <w:b/>
          <w:bCs/>
          <w:i/>
          <w:iCs/>
          <w:sz w:val="36"/>
          <w:szCs w:val="36"/>
        </w:rPr>
        <w:t>AKPerog</w:t>
      </w:r>
      <w:proofErr w:type="spellEnd"/>
      <w:r w:rsidRPr="00E34681">
        <w:rPr>
          <w:rFonts w:ascii="Arial" w:hAnsi="Arial" w:cs="Arial"/>
          <w:b/>
          <w:bCs/>
          <w:i/>
          <w:iCs/>
          <w:sz w:val="36"/>
          <w:szCs w:val="36"/>
        </w:rPr>
        <w:t xml:space="preserve"> Ltd. – Overcoming Operational Challenges</w:t>
      </w:r>
    </w:p>
    <w:p w14:paraId="3D12EF97" w14:textId="0955588A" w:rsidR="00E34681" w:rsidRPr="00E34681" w:rsidRDefault="00E34681" w:rsidP="00E34681">
      <w:pPr>
        <w:spacing w:line="360" w:lineRule="auto"/>
        <w:rPr>
          <w:rFonts w:ascii="Arial" w:hAnsi="Arial" w:cs="Arial"/>
          <w:b/>
          <w:bCs/>
          <w:sz w:val="36"/>
          <w:szCs w:val="36"/>
        </w:rPr>
      </w:pPr>
      <w:r w:rsidRPr="00E34681">
        <w:rPr>
          <w:rFonts w:ascii="Arial" w:hAnsi="Arial" w:cs="Arial"/>
          <w:b/>
          <w:bCs/>
          <w:sz w:val="36"/>
          <w:szCs w:val="36"/>
        </w:rPr>
        <w:t xml:space="preserve">Cristian Petrus </w:t>
      </w:r>
      <w:proofErr w:type="gramStart"/>
      <w:r w:rsidRPr="00E34681">
        <w:rPr>
          <w:rFonts w:ascii="Arial" w:hAnsi="Arial" w:cs="Arial"/>
          <w:b/>
          <w:bCs/>
          <w:sz w:val="36"/>
          <w:szCs w:val="36"/>
        </w:rPr>
        <w:t>Dica  2332747</w:t>
      </w:r>
      <w:proofErr w:type="gramEnd"/>
    </w:p>
    <w:p w14:paraId="2393729B" w14:textId="5CC1C8A4" w:rsidR="00E34681" w:rsidRPr="00E34681" w:rsidRDefault="00E34681" w:rsidP="00E34681">
      <w:pPr>
        <w:spacing w:line="360" w:lineRule="auto"/>
        <w:rPr>
          <w:rFonts w:ascii="Arial" w:hAnsi="Arial" w:cs="Arial"/>
          <w:b/>
          <w:bCs/>
          <w:sz w:val="36"/>
          <w:szCs w:val="36"/>
        </w:rPr>
      </w:pPr>
      <w:r w:rsidRPr="00E34681">
        <w:rPr>
          <w:rFonts w:ascii="Arial" w:hAnsi="Arial" w:cs="Arial"/>
          <w:b/>
          <w:bCs/>
          <w:sz w:val="36"/>
          <w:szCs w:val="36"/>
        </w:rPr>
        <w:t xml:space="preserve">Lecturer: Chinomso </w:t>
      </w:r>
      <w:proofErr w:type="spellStart"/>
      <w:r w:rsidRPr="00E34681">
        <w:rPr>
          <w:rFonts w:ascii="Arial" w:hAnsi="Arial" w:cs="Arial"/>
          <w:b/>
          <w:bCs/>
          <w:sz w:val="36"/>
          <w:szCs w:val="36"/>
        </w:rPr>
        <w:t>Nwagboso</w:t>
      </w:r>
      <w:proofErr w:type="spellEnd"/>
    </w:p>
    <w:p w14:paraId="24770A24" w14:textId="77777777" w:rsidR="00E34681" w:rsidRDefault="00E34681" w:rsidP="00E34681">
      <w:pPr>
        <w:spacing w:line="360" w:lineRule="auto"/>
        <w:rPr>
          <w:rFonts w:ascii="Arial" w:hAnsi="Arial" w:cs="Arial"/>
        </w:rPr>
      </w:pPr>
    </w:p>
    <w:p w14:paraId="75D806C6" w14:textId="77777777" w:rsidR="00E34681" w:rsidRDefault="00E34681" w:rsidP="00E34681">
      <w:pPr>
        <w:spacing w:line="360" w:lineRule="auto"/>
        <w:rPr>
          <w:rFonts w:ascii="Arial" w:hAnsi="Arial" w:cs="Arial"/>
        </w:rPr>
      </w:pPr>
    </w:p>
    <w:p w14:paraId="4C16BCD2" w14:textId="77777777" w:rsidR="00E34681" w:rsidRDefault="00E34681" w:rsidP="00E34681">
      <w:pPr>
        <w:spacing w:line="360" w:lineRule="auto"/>
        <w:rPr>
          <w:rFonts w:ascii="Arial" w:hAnsi="Arial" w:cs="Arial"/>
        </w:rPr>
      </w:pPr>
    </w:p>
    <w:p w14:paraId="01BBF2CD" w14:textId="77777777" w:rsidR="00E34681" w:rsidRDefault="00E34681" w:rsidP="00E34681">
      <w:pPr>
        <w:spacing w:line="360" w:lineRule="auto"/>
        <w:rPr>
          <w:rFonts w:ascii="Arial" w:hAnsi="Arial" w:cs="Arial"/>
        </w:rPr>
      </w:pPr>
    </w:p>
    <w:p w14:paraId="0371C18F" w14:textId="7D908948" w:rsidR="00E34681" w:rsidRPr="00E34681" w:rsidRDefault="00E34681" w:rsidP="00E34681">
      <w:pPr>
        <w:spacing w:line="360" w:lineRule="auto"/>
        <w:jc w:val="center"/>
        <w:rPr>
          <w:rFonts w:ascii="Arial" w:hAnsi="Arial" w:cs="Arial"/>
          <w:b/>
          <w:bCs/>
          <w:sz w:val="36"/>
          <w:szCs w:val="36"/>
        </w:rPr>
      </w:pPr>
      <w:r w:rsidRPr="00E34681">
        <w:rPr>
          <w:rFonts w:ascii="Arial" w:hAnsi="Arial" w:cs="Arial"/>
          <w:b/>
          <w:bCs/>
          <w:sz w:val="36"/>
          <w:szCs w:val="36"/>
        </w:rPr>
        <w:t>Content</w:t>
      </w:r>
    </w:p>
    <w:p w14:paraId="7A730F96" w14:textId="41B94702" w:rsidR="00E34681" w:rsidRPr="00E34681" w:rsidRDefault="00E34681" w:rsidP="00E34681">
      <w:pPr>
        <w:spacing w:line="360" w:lineRule="auto"/>
        <w:jc w:val="center"/>
        <w:rPr>
          <w:rFonts w:ascii="Arial" w:hAnsi="Arial" w:cs="Arial"/>
          <w:b/>
          <w:bCs/>
          <w:sz w:val="36"/>
          <w:szCs w:val="36"/>
        </w:rPr>
      </w:pPr>
      <w:r w:rsidRPr="00E34681">
        <w:rPr>
          <w:rFonts w:ascii="Arial" w:hAnsi="Arial" w:cs="Arial"/>
          <w:b/>
          <w:bCs/>
          <w:sz w:val="36"/>
          <w:szCs w:val="36"/>
        </w:rPr>
        <w:t>1.Introduction</w:t>
      </w:r>
    </w:p>
    <w:p w14:paraId="1CD6FF5D" w14:textId="0B48E483" w:rsidR="00E34681" w:rsidRPr="00E34681" w:rsidRDefault="00E34681" w:rsidP="00E34681">
      <w:pPr>
        <w:spacing w:line="360" w:lineRule="auto"/>
        <w:jc w:val="center"/>
        <w:rPr>
          <w:rFonts w:ascii="Arial" w:hAnsi="Arial" w:cs="Arial"/>
          <w:b/>
          <w:bCs/>
          <w:sz w:val="36"/>
          <w:szCs w:val="36"/>
        </w:rPr>
      </w:pPr>
      <w:r w:rsidRPr="00E34681">
        <w:rPr>
          <w:rFonts w:ascii="Arial" w:hAnsi="Arial" w:cs="Arial"/>
          <w:b/>
          <w:bCs/>
          <w:sz w:val="36"/>
          <w:szCs w:val="36"/>
        </w:rPr>
        <w:t xml:space="preserve">2. </w:t>
      </w:r>
      <w:r w:rsidRPr="0054067B">
        <w:rPr>
          <w:rFonts w:ascii="Arial" w:hAnsi="Arial" w:cs="Arial"/>
          <w:b/>
          <w:bCs/>
          <w:sz w:val="36"/>
          <w:szCs w:val="36"/>
        </w:rPr>
        <w:t>Evaluation of Existing Systems</w:t>
      </w:r>
    </w:p>
    <w:p w14:paraId="7E7AFFE5" w14:textId="77777777" w:rsidR="00E34681" w:rsidRPr="0054067B" w:rsidRDefault="00E34681" w:rsidP="00E34681">
      <w:pPr>
        <w:spacing w:line="360" w:lineRule="auto"/>
        <w:jc w:val="center"/>
        <w:rPr>
          <w:rFonts w:ascii="Arial" w:hAnsi="Arial" w:cs="Arial"/>
          <w:b/>
          <w:bCs/>
          <w:sz w:val="36"/>
          <w:szCs w:val="36"/>
        </w:rPr>
      </w:pPr>
      <w:r w:rsidRPr="0054067B">
        <w:rPr>
          <w:rFonts w:ascii="Arial" w:hAnsi="Arial" w:cs="Arial"/>
          <w:b/>
          <w:bCs/>
          <w:sz w:val="36"/>
          <w:szCs w:val="36"/>
        </w:rPr>
        <w:t>3. Recommended Solution</w:t>
      </w:r>
    </w:p>
    <w:p w14:paraId="5D78ADCD" w14:textId="77777777" w:rsidR="00E34681" w:rsidRPr="0054067B" w:rsidRDefault="00E34681" w:rsidP="00E34681">
      <w:pPr>
        <w:spacing w:line="360" w:lineRule="auto"/>
        <w:jc w:val="center"/>
        <w:rPr>
          <w:rFonts w:ascii="Arial" w:hAnsi="Arial" w:cs="Arial"/>
          <w:b/>
          <w:bCs/>
          <w:sz w:val="36"/>
          <w:szCs w:val="36"/>
        </w:rPr>
      </w:pPr>
      <w:r w:rsidRPr="0054067B">
        <w:rPr>
          <w:rFonts w:ascii="Arial" w:hAnsi="Arial" w:cs="Arial"/>
          <w:b/>
          <w:bCs/>
          <w:sz w:val="36"/>
          <w:szCs w:val="36"/>
        </w:rPr>
        <w:t>4. Implementation Plan</w:t>
      </w:r>
    </w:p>
    <w:p w14:paraId="50B83969" w14:textId="77777777" w:rsidR="00E34681" w:rsidRPr="0054067B" w:rsidRDefault="00E34681" w:rsidP="00E34681">
      <w:pPr>
        <w:spacing w:line="360" w:lineRule="auto"/>
        <w:jc w:val="center"/>
        <w:rPr>
          <w:rFonts w:ascii="Arial" w:hAnsi="Arial" w:cs="Arial"/>
          <w:b/>
          <w:bCs/>
          <w:sz w:val="36"/>
          <w:szCs w:val="36"/>
        </w:rPr>
      </w:pPr>
      <w:r w:rsidRPr="0054067B">
        <w:rPr>
          <w:rFonts w:ascii="Arial" w:hAnsi="Arial" w:cs="Arial"/>
          <w:b/>
          <w:bCs/>
          <w:sz w:val="36"/>
          <w:szCs w:val="36"/>
        </w:rPr>
        <w:t>5. Conclusion</w:t>
      </w:r>
    </w:p>
    <w:p w14:paraId="076DD196" w14:textId="77777777" w:rsidR="00E34681" w:rsidRPr="0054067B" w:rsidRDefault="00E34681" w:rsidP="00E34681">
      <w:pPr>
        <w:spacing w:line="360" w:lineRule="auto"/>
        <w:jc w:val="center"/>
        <w:rPr>
          <w:rFonts w:ascii="Arial" w:hAnsi="Arial" w:cs="Arial"/>
          <w:b/>
          <w:bCs/>
          <w:sz w:val="36"/>
          <w:szCs w:val="36"/>
        </w:rPr>
      </w:pPr>
      <w:r w:rsidRPr="00E34681">
        <w:rPr>
          <w:rFonts w:ascii="Arial" w:hAnsi="Arial" w:cs="Arial"/>
          <w:b/>
          <w:bCs/>
          <w:sz w:val="36"/>
          <w:szCs w:val="36"/>
        </w:rPr>
        <w:t xml:space="preserve">6. </w:t>
      </w:r>
      <w:r w:rsidRPr="0054067B">
        <w:rPr>
          <w:rFonts w:ascii="Arial" w:hAnsi="Arial" w:cs="Arial"/>
          <w:b/>
          <w:bCs/>
          <w:sz w:val="36"/>
          <w:szCs w:val="36"/>
        </w:rPr>
        <w:t>References</w:t>
      </w:r>
    </w:p>
    <w:p w14:paraId="35259968" w14:textId="77777777" w:rsidR="00E34681" w:rsidRPr="0054067B" w:rsidRDefault="00E34681" w:rsidP="00E34681">
      <w:pPr>
        <w:spacing w:line="360" w:lineRule="auto"/>
        <w:rPr>
          <w:rFonts w:ascii="Arial" w:hAnsi="Arial" w:cs="Arial"/>
          <w:b/>
          <w:bCs/>
        </w:rPr>
      </w:pPr>
    </w:p>
    <w:p w14:paraId="3C54DD2C" w14:textId="7F0F5BFD" w:rsidR="00E34681" w:rsidRDefault="00E34681" w:rsidP="00E34681">
      <w:pPr>
        <w:spacing w:line="360" w:lineRule="auto"/>
        <w:rPr>
          <w:rFonts w:ascii="Arial" w:hAnsi="Arial" w:cs="Arial"/>
        </w:rPr>
      </w:pPr>
    </w:p>
    <w:p w14:paraId="1E22BCF6" w14:textId="77777777" w:rsidR="00E34681" w:rsidRDefault="00E34681" w:rsidP="00E34681">
      <w:pPr>
        <w:spacing w:line="360" w:lineRule="auto"/>
        <w:rPr>
          <w:rFonts w:ascii="Arial" w:hAnsi="Arial" w:cs="Arial"/>
        </w:rPr>
      </w:pPr>
    </w:p>
    <w:p w14:paraId="6CADF8F6" w14:textId="77777777" w:rsidR="00E34681" w:rsidRDefault="00E34681" w:rsidP="00E34681">
      <w:pPr>
        <w:spacing w:line="360" w:lineRule="auto"/>
        <w:rPr>
          <w:rFonts w:ascii="Arial" w:hAnsi="Arial" w:cs="Arial"/>
        </w:rPr>
      </w:pPr>
    </w:p>
    <w:p w14:paraId="2E6A830C" w14:textId="77777777" w:rsidR="00E34681" w:rsidRDefault="00E34681" w:rsidP="00E34681">
      <w:pPr>
        <w:spacing w:line="360" w:lineRule="auto"/>
        <w:rPr>
          <w:rFonts w:ascii="Arial" w:hAnsi="Arial" w:cs="Arial"/>
        </w:rPr>
      </w:pPr>
    </w:p>
    <w:p w14:paraId="57F40F1A" w14:textId="6934ECBA" w:rsidR="0054067B" w:rsidRPr="0054067B" w:rsidRDefault="0054067B" w:rsidP="00E34681">
      <w:pPr>
        <w:spacing w:line="360" w:lineRule="auto"/>
        <w:rPr>
          <w:rFonts w:ascii="Arial" w:hAnsi="Arial" w:cs="Arial"/>
        </w:rPr>
      </w:pPr>
      <w:r w:rsidRPr="0054067B">
        <w:rPr>
          <w:rFonts w:ascii="Arial" w:hAnsi="Arial" w:cs="Arial"/>
        </w:rPr>
        <w:lastRenderedPageBreak/>
        <w:t xml:space="preserve">Proposal: Modern Information System for </w:t>
      </w:r>
      <w:proofErr w:type="spellStart"/>
      <w:r w:rsidRPr="0054067B">
        <w:rPr>
          <w:rFonts w:ascii="Arial" w:hAnsi="Arial" w:cs="Arial"/>
        </w:rPr>
        <w:t>AKPerog</w:t>
      </w:r>
      <w:proofErr w:type="spellEnd"/>
      <w:r w:rsidRPr="0054067B">
        <w:rPr>
          <w:rFonts w:ascii="Arial" w:hAnsi="Arial" w:cs="Arial"/>
        </w:rPr>
        <w:t xml:space="preserve"> Ltd.</w:t>
      </w:r>
    </w:p>
    <w:p w14:paraId="48F43282" w14:textId="77777777" w:rsidR="0054067B" w:rsidRPr="0054067B" w:rsidRDefault="0054067B" w:rsidP="00E34681">
      <w:pPr>
        <w:spacing w:line="360" w:lineRule="auto"/>
        <w:rPr>
          <w:rFonts w:ascii="Arial" w:hAnsi="Arial" w:cs="Arial"/>
          <w:b/>
          <w:bCs/>
        </w:rPr>
      </w:pPr>
      <w:r w:rsidRPr="0054067B">
        <w:rPr>
          <w:rFonts w:ascii="Arial" w:hAnsi="Arial" w:cs="Arial"/>
          <w:b/>
          <w:bCs/>
        </w:rPr>
        <w:t>1. Introduction</w:t>
      </w:r>
    </w:p>
    <w:p w14:paraId="5D6A68DD" w14:textId="77777777" w:rsidR="003E75F2" w:rsidRPr="003E75F2" w:rsidRDefault="003E75F2" w:rsidP="003E75F2">
      <w:pPr>
        <w:spacing w:line="360" w:lineRule="auto"/>
        <w:rPr>
          <w:rFonts w:ascii="Arial" w:hAnsi="Arial" w:cs="Arial"/>
        </w:rPr>
      </w:pPr>
      <w:r w:rsidRPr="003E75F2">
        <w:rPr>
          <w:rFonts w:ascii="Arial" w:hAnsi="Arial" w:cs="Arial"/>
        </w:rPr>
        <w:t xml:space="preserve">With 30 physical locations across the UK and a quickly rising e-commerce network, </w:t>
      </w:r>
      <w:proofErr w:type="spellStart"/>
      <w:r w:rsidRPr="003E75F2">
        <w:rPr>
          <w:rFonts w:ascii="Arial" w:hAnsi="Arial" w:cs="Arial"/>
        </w:rPr>
        <w:t>AKPerog</w:t>
      </w:r>
      <w:proofErr w:type="spellEnd"/>
      <w:r w:rsidRPr="003E75F2">
        <w:rPr>
          <w:rFonts w:ascii="Arial" w:hAnsi="Arial" w:cs="Arial"/>
        </w:rPr>
        <w:t xml:space="preserve"> Ltd. is a rapidly growing consumer electronics shop. Over the past year, the organization's revenue has increased significantly, but internal business operations have not kept pace. Although the company's back-end technological environment is made up of antiquated and severely fragmented information systems, the front-end customer experience seems effective. Delays in fulfilment, inadequate inventory control, diminished client involvement, and a general lack of operational transparency are all consequences of these antiquated procedures.</w:t>
      </w:r>
    </w:p>
    <w:p w14:paraId="7CD94E35" w14:textId="77777777" w:rsidR="003E75F2" w:rsidRPr="003E75F2" w:rsidRDefault="003E75F2" w:rsidP="003E75F2">
      <w:pPr>
        <w:spacing w:line="360" w:lineRule="auto"/>
        <w:rPr>
          <w:rFonts w:ascii="Arial" w:hAnsi="Arial" w:cs="Arial"/>
        </w:rPr>
      </w:pPr>
      <w:r w:rsidRPr="003E75F2">
        <w:rPr>
          <w:rFonts w:ascii="Arial" w:hAnsi="Arial" w:cs="Arial"/>
        </w:rPr>
        <w:t xml:space="preserve">Growing retailers usually hit a structural "systems threshold," as noted by Laudon and Laudon (2022, p. 41), whereby current manual or semi-manual business processes start to break under higher transaction volumes. </w:t>
      </w:r>
      <w:proofErr w:type="gramStart"/>
      <w:r w:rsidRPr="003E75F2">
        <w:rPr>
          <w:rFonts w:ascii="Arial" w:hAnsi="Arial" w:cs="Arial"/>
        </w:rPr>
        <w:t>At the moment</w:t>
      </w:r>
      <w:proofErr w:type="gramEnd"/>
      <w:r w:rsidRPr="003E75F2">
        <w:rPr>
          <w:rFonts w:ascii="Arial" w:hAnsi="Arial" w:cs="Arial"/>
        </w:rPr>
        <w:t xml:space="preserve">, </w:t>
      </w:r>
      <w:proofErr w:type="spellStart"/>
      <w:r w:rsidRPr="003E75F2">
        <w:rPr>
          <w:rFonts w:ascii="Arial" w:hAnsi="Arial" w:cs="Arial"/>
        </w:rPr>
        <w:t>AKPerog</w:t>
      </w:r>
      <w:proofErr w:type="spellEnd"/>
      <w:r w:rsidRPr="003E75F2">
        <w:rPr>
          <w:rFonts w:ascii="Arial" w:hAnsi="Arial" w:cs="Arial"/>
        </w:rPr>
        <w:t xml:space="preserve"> Ltd. is in this stage of maturity. The company still uses spreadsheet-based inventory tracking, manual store-to-digital channel reconciliation, and separate departmental software programs that don't talk to each other. Human mistake, duplicate data entry, and lag in business information are the results of this.</w:t>
      </w:r>
    </w:p>
    <w:p w14:paraId="5FF42A86" w14:textId="77777777" w:rsidR="003E75F2" w:rsidRPr="003E75F2" w:rsidRDefault="003E75F2" w:rsidP="003E75F2">
      <w:pPr>
        <w:spacing w:line="360" w:lineRule="auto"/>
        <w:rPr>
          <w:rFonts w:ascii="Arial" w:hAnsi="Arial" w:cs="Arial"/>
        </w:rPr>
      </w:pPr>
      <w:r w:rsidRPr="003E75F2">
        <w:rPr>
          <w:rFonts w:ascii="Arial" w:hAnsi="Arial" w:cs="Arial"/>
        </w:rPr>
        <w:t xml:space="preserve">For stock management in particular, the situation is troublesome. Items that appear to be accessible digitally but are out of stock in-store can often be ordered online by customers. Order cancellations, processing fees for refunds, and harm to the brand's reputation follow from this. One of the biggest obstacles to omnichannel expansion for retailers, particularly those moving from a </w:t>
      </w:r>
      <w:proofErr w:type="gramStart"/>
      <w:r w:rsidRPr="003E75F2">
        <w:rPr>
          <w:rFonts w:ascii="Arial" w:hAnsi="Arial" w:cs="Arial"/>
        </w:rPr>
        <w:t>brick and mortar</w:t>
      </w:r>
      <w:proofErr w:type="gramEnd"/>
      <w:r w:rsidRPr="003E75F2">
        <w:rPr>
          <w:rFonts w:ascii="Arial" w:hAnsi="Arial" w:cs="Arial"/>
        </w:rPr>
        <w:t xml:space="preserve"> base to online fulfilment, is imprecise inventory visibility, according to Deloitte (2023).</w:t>
      </w:r>
    </w:p>
    <w:p w14:paraId="14306A20" w14:textId="77777777" w:rsidR="003E75F2" w:rsidRPr="003E75F2" w:rsidRDefault="003E75F2" w:rsidP="003E75F2">
      <w:pPr>
        <w:spacing w:line="360" w:lineRule="auto"/>
        <w:rPr>
          <w:rFonts w:ascii="Arial" w:hAnsi="Arial" w:cs="Arial"/>
        </w:rPr>
      </w:pPr>
      <w:r w:rsidRPr="003E75F2">
        <w:rPr>
          <w:rFonts w:ascii="Arial" w:hAnsi="Arial" w:cs="Arial"/>
        </w:rPr>
        <w:t>Similar fragmentation affects customer relationship management procedures. Records exist independently across marketing software, in-store point-of-sale systems, and customer care logs due to the lack of a single CRM platform. This hinders customisation and decreases retention opportunities by making it challenging to have a single perspective of the client journey. According to McKinsey (2022), companies that do not centralise CRM data perform worse than their digitally enabled rivals in terms of repurchase and loyalty rates.</w:t>
      </w:r>
    </w:p>
    <w:p w14:paraId="172FB361" w14:textId="77777777" w:rsidR="003E75F2" w:rsidRPr="003E75F2" w:rsidRDefault="003E75F2" w:rsidP="003E75F2">
      <w:pPr>
        <w:spacing w:line="360" w:lineRule="auto"/>
        <w:rPr>
          <w:rFonts w:ascii="Arial" w:hAnsi="Arial" w:cs="Arial"/>
        </w:rPr>
      </w:pPr>
      <w:r w:rsidRPr="003E75F2">
        <w:rPr>
          <w:rFonts w:ascii="Arial" w:hAnsi="Arial" w:cs="Arial"/>
        </w:rPr>
        <w:t xml:space="preserve">The business is exposed to compliance issues in addition to operational inefficiencies. </w:t>
      </w:r>
      <w:proofErr w:type="gramStart"/>
      <w:r w:rsidRPr="003E75F2">
        <w:rPr>
          <w:rFonts w:ascii="Arial" w:hAnsi="Arial" w:cs="Arial"/>
        </w:rPr>
        <w:t>In order to</w:t>
      </w:r>
      <w:proofErr w:type="gramEnd"/>
      <w:r w:rsidRPr="003E75F2">
        <w:rPr>
          <w:rFonts w:ascii="Arial" w:hAnsi="Arial" w:cs="Arial"/>
        </w:rPr>
        <w:t xml:space="preserve"> comply with GDPR, consumer data processing and storage must exhibit measurable accountability, including auditability, minimisation, and secure access restrictions (ICO, 2023). These protections are absent from </w:t>
      </w:r>
      <w:proofErr w:type="spellStart"/>
      <w:r w:rsidRPr="003E75F2">
        <w:rPr>
          <w:rFonts w:ascii="Arial" w:hAnsi="Arial" w:cs="Arial"/>
        </w:rPr>
        <w:t>AKPerog</w:t>
      </w:r>
      <w:proofErr w:type="spellEnd"/>
      <w:r w:rsidRPr="003E75F2">
        <w:rPr>
          <w:rFonts w:ascii="Arial" w:hAnsi="Arial" w:cs="Arial"/>
        </w:rPr>
        <w:t xml:space="preserve"> Ltd.'s present data environment.</w:t>
      </w:r>
    </w:p>
    <w:p w14:paraId="2A2C9956" w14:textId="77777777" w:rsidR="003E75F2" w:rsidRDefault="003E75F2" w:rsidP="003E75F2">
      <w:pPr>
        <w:spacing w:line="360" w:lineRule="auto"/>
        <w:rPr>
          <w:rFonts w:ascii="Arial" w:hAnsi="Arial" w:cs="Arial"/>
        </w:rPr>
      </w:pPr>
      <w:r w:rsidRPr="003E75F2">
        <w:rPr>
          <w:rFonts w:ascii="Arial" w:hAnsi="Arial" w:cs="Arial"/>
        </w:rPr>
        <w:lastRenderedPageBreak/>
        <w:t>This idea aims to provide a cutting-edge integrated information system that can overcome these obstacles and allow for long-term scalability. The deployment of a cloud-based Enterprise Resource Planning (ERP) platform with integrated CRM and Business Intelligence (BI) features is the suggested remedy. The foundation for operational effectiveness, compliance, and evidence-based decision-making will be provided by this system, which will serve as the only source of truth for inventory, finance, sales, and customer data.</w:t>
      </w:r>
    </w:p>
    <w:p w14:paraId="7B824FAD" w14:textId="77777777" w:rsidR="00742CFE" w:rsidRPr="003E75F2" w:rsidRDefault="00742CFE" w:rsidP="003E75F2">
      <w:pPr>
        <w:spacing w:line="360" w:lineRule="auto"/>
        <w:rPr>
          <w:rFonts w:ascii="Arial" w:hAnsi="Arial" w:cs="Arial"/>
        </w:rPr>
      </w:pPr>
    </w:p>
    <w:p w14:paraId="44B8AEF2" w14:textId="77777777" w:rsidR="0054067B" w:rsidRPr="0054067B" w:rsidRDefault="0054067B" w:rsidP="00E34681">
      <w:pPr>
        <w:spacing w:line="360" w:lineRule="auto"/>
        <w:rPr>
          <w:rFonts w:ascii="Arial" w:hAnsi="Arial" w:cs="Arial"/>
          <w:b/>
          <w:bCs/>
        </w:rPr>
      </w:pPr>
      <w:r w:rsidRPr="0054067B">
        <w:rPr>
          <w:rFonts w:ascii="Arial" w:hAnsi="Arial" w:cs="Arial"/>
          <w:b/>
          <w:bCs/>
        </w:rPr>
        <w:t>2. Evaluation of Existing Systems</w:t>
      </w:r>
    </w:p>
    <w:p w14:paraId="26819D4D" w14:textId="77777777" w:rsidR="00742CFE" w:rsidRPr="00742CFE" w:rsidRDefault="00742CFE" w:rsidP="00742CFE">
      <w:pPr>
        <w:spacing w:line="360" w:lineRule="auto"/>
        <w:rPr>
          <w:rFonts w:ascii="Arial" w:hAnsi="Arial" w:cs="Arial"/>
        </w:rPr>
      </w:pPr>
      <w:r w:rsidRPr="00742CFE">
        <w:rPr>
          <w:rFonts w:ascii="Arial" w:hAnsi="Arial" w:cs="Arial"/>
        </w:rPr>
        <w:t xml:space="preserve">The current state of </w:t>
      </w:r>
      <w:proofErr w:type="spellStart"/>
      <w:r w:rsidRPr="00742CFE">
        <w:rPr>
          <w:rFonts w:ascii="Arial" w:hAnsi="Arial" w:cs="Arial"/>
        </w:rPr>
        <w:t>AKPerog</w:t>
      </w:r>
      <w:proofErr w:type="spellEnd"/>
      <w:r w:rsidRPr="00742CFE">
        <w:rPr>
          <w:rFonts w:ascii="Arial" w:hAnsi="Arial" w:cs="Arial"/>
        </w:rPr>
        <w:t xml:space="preserve"> Ltd.'s information systems is typified by a disjointed, non-integrated architecture that mostly uses spreadsheet-based data management and manual processing. A company that manages several locations and real-time e-commerce transactions cannot use this historical environment, although it is adequate for localised or low-volume retail operations. Because each physical store keeps its own spreadsheet-based stock ledger and local store inventory does not automatically synchronise with the e-commerce product catalogue, the inventory management process offers the best illustration of operational breakdown. Consequently, the company frequently faces inconsistencies, delayed delivery, and supply anomalies that damage client confidence.</w:t>
      </w:r>
    </w:p>
    <w:p w14:paraId="6553C000" w14:textId="77777777" w:rsidR="00742CFE" w:rsidRPr="00742CFE" w:rsidRDefault="00742CFE" w:rsidP="00742CFE">
      <w:pPr>
        <w:spacing w:line="360" w:lineRule="auto"/>
        <w:rPr>
          <w:rFonts w:ascii="Arial" w:hAnsi="Arial" w:cs="Arial"/>
        </w:rPr>
      </w:pPr>
      <w:r w:rsidRPr="00742CFE">
        <w:rPr>
          <w:rFonts w:ascii="Arial" w:hAnsi="Arial" w:cs="Arial"/>
        </w:rPr>
        <w:t xml:space="preserve">This fragmentation has an impact on stock planning and cost control. The company cannot predict demand accurately without real-time inventory visibility, which could result in stockouts or overstocking. Retailers without integrated inventory management sometimes face a 3–8% revenue penalty </w:t>
      </w:r>
      <w:proofErr w:type="gramStart"/>
      <w:r w:rsidRPr="00742CFE">
        <w:rPr>
          <w:rFonts w:ascii="Arial" w:hAnsi="Arial" w:cs="Arial"/>
        </w:rPr>
        <w:t>as a result of</w:t>
      </w:r>
      <w:proofErr w:type="gramEnd"/>
      <w:r w:rsidRPr="00742CFE">
        <w:rPr>
          <w:rFonts w:ascii="Arial" w:hAnsi="Arial" w:cs="Arial"/>
        </w:rPr>
        <w:t xml:space="preserve"> lost sales opportunities, excessive holding costs, and consumer refunds, according to Deloitte (2023). Because employees must constantly reconcile shop inventory and website listings, manual processing additionally adds to the labour effort.</w:t>
      </w:r>
    </w:p>
    <w:p w14:paraId="135E0AD1" w14:textId="77777777" w:rsidR="00742CFE" w:rsidRPr="00742CFE" w:rsidRDefault="00742CFE" w:rsidP="00742CFE">
      <w:pPr>
        <w:spacing w:line="360" w:lineRule="auto"/>
        <w:rPr>
          <w:rFonts w:ascii="Arial" w:hAnsi="Arial" w:cs="Arial"/>
        </w:rPr>
      </w:pPr>
      <w:r w:rsidRPr="00742CFE">
        <w:rPr>
          <w:rFonts w:ascii="Arial" w:hAnsi="Arial" w:cs="Arial"/>
        </w:rPr>
        <w:t xml:space="preserve">Similar decentralisation applies to customer relationship management (CRM). Purchase histories, account details, and marketing data are stored across disparate applications by </w:t>
      </w:r>
      <w:proofErr w:type="spellStart"/>
      <w:r w:rsidRPr="00742CFE">
        <w:rPr>
          <w:rFonts w:ascii="Arial" w:hAnsi="Arial" w:cs="Arial"/>
        </w:rPr>
        <w:t>AKPerog</w:t>
      </w:r>
      <w:proofErr w:type="spellEnd"/>
      <w:r w:rsidRPr="00742CFE">
        <w:rPr>
          <w:rFonts w:ascii="Arial" w:hAnsi="Arial" w:cs="Arial"/>
        </w:rPr>
        <w:t xml:space="preserve"> Ltd. rather than in a centralised system that records the entire customer lifetime. As a result, the marketing team is unable to do behavioural segmentation or targeted promotions, and customer service agents are unable to quickly confirm previous transactions when responding to complaints or enquiries. McKinsey (2022) emphasises that the ability to use first-party consumer data, which is impossible in the current system configuration because of data silos and inadequate interoperability, greatly influences modern retail competitiveness.</w:t>
      </w:r>
    </w:p>
    <w:p w14:paraId="6994F33D" w14:textId="77777777" w:rsidR="00742CFE" w:rsidRPr="00742CFE" w:rsidRDefault="00742CFE" w:rsidP="00742CFE">
      <w:pPr>
        <w:spacing w:line="360" w:lineRule="auto"/>
        <w:rPr>
          <w:rFonts w:ascii="Arial" w:hAnsi="Arial" w:cs="Arial"/>
        </w:rPr>
      </w:pPr>
      <w:r w:rsidRPr="00742CFE">
        <w:rPr>
          <w:rFonts w:ascii="Arial" w:hAnsi="Arial" w:cs="Arial"/>
        </w:rPr>
        <w:lastRenderedPageBreak/>
        <w:t xml:space="preserve">Additionally inefficient is the financial reporting procedure. Manually exported spreadsheets are used for sales analysis and performance tracking, which slows down the creation of insights and raises the possibility of clerical errors. Spreadsheet reliance is intrinsically dangerous at scale, according to O'Brien and </w:t>
      </w:r>
      <w:proofErr w:type="spellStart"/>
      <w:r w:rsidRPr="00742CFE">
        <w:rPr>
          <w:rFonts w:ascii="Arial" w:hAnsi="Arial" w:cs="Arial"/>
        </w:rPr>
        <w:t>Marakas</w:t>
      </w:r>
      <w:proofErr w:type="spellEnd"/>
      <w:r w:rsidRPr="00742CFE">
        <w:rPr>
          <w:rFonts w:ascii="Arial" w:hAnsi="Arial" w:cs="Arial"/>
        </w:rPr>
        <w:t xml:space="preserve"> (2019, p. 114), since it impedes executive decision-making and delays timely analytics.</w:t>
      </w:r>
    </w:p>
    <w:p w14:paraId="6C7CC0E7" w14:textId="77777777" w:rsidR="00742CFE" w:rsidRPr="00742CFE" w:rsidRDefault="00742CFE" w:rsidP="00742CFE">
      <w:pPr>
        <w:spacing w:line="360" w:lineRule="auto"/>
        <w:rPr>
          <w:rFonts w:ascii="Arial" w:hAnsi="Arial" w:cs="Arial"/>
        </w:rPr>
      </w:pPr>
      <w:r w:rsidRPr="00742CFE">
        <w:rPr>
          <w:rFonts w:ascii="Arial" w:hAnsi="Arial" w:cs="Arial"/>
        </w:rPr>
        <w:t>The organisation is also exposed to compliance and cyber risk. For the handling of personal data, GDPR mandates traceability, accountability, and safe access control (ICO, 2023). Because of the current systems' absence of audit logs and layered permissions, regulatory due diligence cannot be proven.</w:t>
      </w:r>
    </w:p>
    <w:p w14:paraId="411C490A" w14:textId="77777777" w:rsidR="00742CFE" w:rsidRDefault="00742CFE" w:rsidP="00742CFE">
      <w:pPr>
        <w:spacing w:line="360" w:lineRule="auto"/>
        <w:rPr>
          <w:rFonts w:ascii="Arial" w:hAnsi="Arial" w:cs="Arial"/>
        </w:rPr>
      </w:pPr>
      <w:r w:rsidRPr="00742CFE">
        <w:rPr>
          <w:rFonts w:ascii="Arial" w:hAnsi="Arial" w:cs="Arial"/>
        </w:rPr>
        <w:t>Lastly, inconsistent records, redundant data entry, and needless administrative burden are the results of the lack of integration between inventory, CRM, finance, and operations. According to Gartner (2023), this is a major factor driving ERP adoption in growing shops and a structural barrier to digital maturity.</w:t>
      </w:r>
    </w:p>
    <w:p w14:paraId="27862FDE" w14:textId="77777777" w:rsidR="00742CFE" w:rsidRPr="00742CFE" w:rsidRDefault="00742CFE" w:rsidP="00742CFE">
      <w:pPr>
        <w:spacing w:line="360" w:lineRule="auto"/>
        <w:rPr>
          <w:rFonts w:ascii="Arial" w:hAnsi="Arial" w:cs="Arial"/>
        </w:rPr>
      </w:pPr>
    </w:p>
    <w:p w14:paraId="09E97AAB" w14:textId="77777777" w:rsidR="0054067B" w:rsidRPr="0054067B" w:rsidRDefault="0054067B" w:rsidP="00E34681">
      <w:pPr>
        <w:spacing w:line="360" w:lineRule="auto"/>
        <w:rPr>
          <w:rFonts w:ascii="Arial" w:hAnsi="Arial" w:cs="Arial"/>
          <w:b/>
          <w:bCs/>
        </w:rPr>
      </w:pPr>
      <w:r w:rsidRPr="0054067B">
        <w:rPr>
          <w:rFonts w:ascii="Arial" w:hAnsi="Arial" w:cs="Arial"/>
          <w:b/>
          <w:bCs/>
        </w:rPr>
        <w:t>3. Recommended Solution</w:t>
      </w:r>
    </w:p>
    <w:p w14:paraId="5D139EED" w14:textId="77777777" w:rsidR="0054067B" w:rsidRPr="0054067B" w:rsidRDefault="0054067B" w:rsidP="00E34681">
      <w:pPr>
        <w:spacing w:line="360" w:lineRule="auto"/>
        <w:rPr>
          <w:rFonts w:ascii="Arial" w:hAnsi="Arial" w:cs="Arial"/>
        </w:rPr>
      </w:pPr>
      <w:r w:rsidRPr="0054067B">
        <w:rPr>
          <w:rFonts w:ascii="Arial" w:hAnsi="Arial" w:cs="Arial"/>
        </w:rPr>
        <w:t xml:space="preserve">To address the operational, strategic and governance challenges currently impacting </w:t>
      </w:r>
      <w:proofErr w:type="spellStart"/>
      <w:r w:rsidRPr="0054067B">
        <w:rPr>
          <w:rFonts w:ascii="Arial" w:hAnsi="Arial" w:cs="Arial"/>
        </w:rPr>
        <w:t>AKPerog</w:t>
      </w:r>
      <w:proofErr w:type="spellEnd"/>
      <w:r w:rsidRPr="0054067B">
        <w:rPr>
          <w:rFonts w:ascii="Arial" w:hAnsi="Arial" w:cs="Arial"/>
        </w:rPr>
        <w:t xml:space="preserve"> Ltd., the most viable and future</w:t>
      </w:r>
      <w:r w:rsidRPr="0054067B">
        <w:rPr>
          <w:rFonts w:ascii="Arial" w:hAnsi="Arial" w:cs="Arial"/>
        </w:rPr>
        <w:noBreakHyphen/>
        <w:t>proof solution is the adoption of a fully integrated, cloud-based Enterprise Resource Planning (ERP) platform incorporating both Customer Relationship Management (CRM) and Business Intelligence (BI) capabilities. ERP architecture supports centralised data governance and ensures that internal business functions—inventory, finance, sales, marketing and customer service—operate from a shared, real</w:t>
      </w:r>
      <w:r w:rsidRPr="0054067B">
        <w:rPr>
          <w:rFonts w:ascii="Arial" w:hAnsi="Arial" w:cs="Arial"/>
        </w:rPr>
        <w:noBreakHyphen/>
        <w:t>time dataset. As Laudon and Laudon (2022, p. 216) emphasise, ERP consolidation enhances organisational transparency, process automation and data consistency, enabling firms to scale efficiently.</w:t>
      </w:r>
    </w:p>
    <w:p w14:paraId="54C4DBC3" w14:textId="77777777" w:rsidR="0054067B" w:rsidRPr="0054067B" w:rsidRDefault="0054067B" w:rsidP="00E34681">
      <w:pPr>
        <w:spacing w:line="360" w:lineRule="auto"/>
        <w:rPr>
          <w:rFonts w:ascii="Arial" w:hAnsi="Arial" w:cs="Arial"/>
          <w:i/>
          <w:iCs/>
        </w:rPr>
      </w:pPr>
      <w:r w:rsidRPr="0054067B">
        <w:rPr>
          <w:rFonts w:ascii="Arial" w:hAnsi="Arial" w:cs="Arial"/>
          <w:i/>
          <w:iCs/>
        </w:rPr>
        <w:t>3.1 Functional Capabilities of the Proposed System</w:t>
      </w:r>
    </w:p>
    <w:p w14:paraId="1F2FB6BC" w14:textId="77777777" w:rsidR="0054067B" w:rsidRPr="0054067B" w:rsidRDefault="0054067B" w:rsidP="00E34681">
      <w:pPr>
        <w:spacing w:line="360" w:lineRule="auto"/>
        <w:rPr>
          <w:rFonts w:ascii="Arial" w:hAnsi="Arial" w:cs="Arial"/>
        </w:rPr>
      </w:pPr>
      <w:r w:rsidRPr="0054067B">
        <w:rPr>
          <w:rFonts w:ascii="Arial" w:hAnsi="Arial" w:cs="Arial"/>
          <w:i/>
          <w:iCs/>
        </w:rPr>
        <w:t>3.1.1 Inventory Synchronisation and Smart Replenishment</w:t>
      </w:r>
      <w:r w:rsidRPr="0054067B">
        <w:rPr>
          <w:rFonts w:ascii="Arial" w:hAnsi="Arial" w:cs="Arial"/>
        </w:rPr>
        <w:t xml:space="preserve"> The system will unify inventory visibility across all stores and the online platform, eliminating mismatches between digital and physical stock. Real</w:t>
      </w:r>
      <w:r w:rsidRPr="0054067B">
        <w:rPr>
          <w:rFonts w:ascii="Arial" w:hAnsi="Arial" w:cs="Arial"/>
        </w:rPr>
        <w:noBreakHyphen/>
        <w:t>time dashboards will allow managers to monitor stock performance, detect low</w:t>
      </w:r>
      <w:r w:rsidRPr="0054067B">
        <w:rPr>
          <w:rFonts w:ascii="Arial" w:hAnsi="Arial" w:cs="Arial"/>
        </w:rPr>
        <w:noBreakHyphen/>
        <w:t>volume items and automate reorder triggers. Deloitte (2023) notes that accurate inventory data also supports supply</w:t>
      </w:r>
      <w:r w:rsidRPr="0054067B">
        <w:rPr>
          <w:rFonts w:ascii="Arial" w:hAnsi="Arial" w:cs="Arial"/>
        </w:rPr>
        <w:noBreakHyphen/>
        <w:t>chain resilience and reduces capital locked in unsold goods.</w:t>
      </w:r>
    </w:p>
    <w:p w14:paraId="04821D8C" w14:textId="77777777" w:rsidR="0054067B" w:rsidRPr="0054067B" w:rsidRDefault="0054067B" w:rsidP="00E34681">
      <w:pPr>
        <w:spacing w:line="360" w:lineRule="auto"/>
        <w:rPr>
          <w:rFonts w:ascii="Arial" w:hAnsi="Arial" w:cs="Arial"/>
        </w:rPr>
      </w:pPr>
      <w:r w:rsidRPr="0054067B">
        <w:rPr>
          <w:rFonts w:ascii="Arial" w:hAnsi="Arial" w:cs="Arial"/>
          <w:i/>
          <w:iCs/>
        </w:rPr>
        <w:t xml:space="preserve">3.1.2 Integrated CRM for Customer Lifetime Value (CLV) Optimisation A centralised CRM </w:t>
      </w:r>
      <w:r w:rsidRPr="0054067B">
        <w:rPr>
          <w:rFonts w:ascii="Arial" w:hAnsi="Arial" w:cs="Arial"/>
        </w:rPr>
        <w:t>database enables behavioural segmentation, automated follow</w:t>
      </w:r>
      <w:r w:rsidRPr="0054067B">
        <w:rPr>
          <w:rFonts w:ascii="Arial" w:hAnsi="Arial" w:cs="Arial"/>
        </w:rPr>
        <w:noBreakHyphen/>
        <w:t xml:space="preserve">up campaigns and loyalty </w:t>
      </w:r>
      <w:r w:rsidRPr="0054067B">
        <w:rPr>
          <w:rFonts w:ascii="Arial" w:hAnsi="Arial" w:cs="Arial"/>
        </w:rPr>
        <w:lastRenderedPageBreak/>
        <w:t>programme tracking. This promotes repeat purchases and improves service quality by providing agents with full interaction histories. McKinsey (2022) found that firms implementing personalised CRM strategies achieve significantly higher customer lifetime value.</w:t>
      </w:r>
    </w:p>
    <w:p w14:paraId="0EB42FC5" w14:textId="77777777" w:rsidR="0054067B" w:rsidRPr="0054067B" w:rsidRDefault="0054067B" w:rsidP="00E34681">
      <w:pPr>
        <w:spacing w:line="360" w:lineRule="auto"/>
        <w:rPr>
          <w:rFonts w:ascii="Arial" w:hAnsi="Arial" w:cs="Arial"/>
        </w:rPr>
      </w:pPr>
      <w:r w:rsidRPr="0054067B">
        <w:rPr>
          <w:rFonts w:ascii="Arial" w:hAnsi="Arial" w:cs="Arial"/>
          <w:i/>
          <w:iCs/>
        </w:rPr>
        <w:t>3.1.3 Business Intelligence and Predictive Analytics BI</w:t>
      </w:r>
      <w:r w:rsidRPr="0054067B">
        <w:rPr>
          <w:rFonts w:ascii="Arial" w:hAnsi="Arial" w:cs="Arial"/>
        </w:rPr>
        <w:t xml:space="preserve"> dashboards replace manual reporting by delivering live KPIs, trend forecasting and profitability analysis. This supports evidence</w:t>
      </w:r>
      <w:r w:rsidRPr="0054067B">
        <w:rPr>
          <w:rFonts w:ascii="Arial" w:hAnsi="Arial" w:cs="Arial"/>
        </w:rPr>
        <w:noBreakHyphen/>
        <w:t>based decision</w:t>
      </w:r>
      <w:r w:rsidRPr="0054067B">
        <w:rPr>
          <w:rFonts w:ascii="Arial" w:hAnsi="Arial" w:cs="Arial"/>
        </w:rPr>
        <w:noBreakHyphen/>
        <w:t xml:space="preserve">making and better demand planning. O’Brien and </w:t>
      </w:r>
      <w:proofErr w:type="spellStart"/>
      <w:r w:rsidRPr="0054067B">
        <w:rPr>
          <w:rFonts w:ascii="Arial" w:hAnsi="Arial" w:cs="Arial"/>
        </w:rPr>
        <w:t>Marakas</w:t>
      </w:r>
      <w:proofErr w:type="spellEnd"/>
      <w:r w:rsidRPr="0054067B">
        <w:rPr>
          <w:rFonts w:ascii="Arial" w:hAnsi="Arial" w:cs="Arial"/>
        </w:rPr>
        <w:t xml:space="preserve"> (2019, p. 219) highlight that BI adoption enables managerial responsiveness and operational agility.</w:t>
      </w:r>
    </w:p>
    <w:p w14:paraId="31995CFA" w14:textId="77777777" w:rsidR="0054067B" w:rsidRPr="0054067B" w:rsidRDefault="0054067B" w:rsidP="00E34681">
      <w:pPr>
        <w:spacing w:line="360" w:lineRule="auto"/>
        <w:rPr>
          <w:rFonts w:ascii="Arial" w:hAnsi="Arial" w:cs="Arial"/>
        </w:rPr>
      </w:pPr>
      <w:r w:rsidRPr="0054067B">
        <w:rPr>
          <w:rFonts w:ascii="Arial" w:hAnsi="Arial" w:cs="Arial"/>
          <w:i/>
          <w:iCs/>
        </w:rPr>
        <w:t xml:space="preserve">3.1.4 GDPR-Aligned Data Governance and Security </w:t>
      </w:r>
      <w:proofErr w:type="gramStart"/>
      <w:r w:rsidRPr="0054067B">
        <w:rPr>
          <w:rFonts w:ascii="Arial" w:hAnsi="Arial" w:cs="Arial"/>
          <w:i/>
          <w:iCs/>
        </w:rPr>
        <w:t>The</w:t>
      </w:r>
      <w:proofErr w:type="gramEnd"/>
      <w:r w:rsidRPr="0054067B">
        <w:rPr>
          <w:rFonts w:ascii="Arial" w:hAnsi="Arial" w:cs="Arial"/>
          <w:i/>
          <w:iCs/>
        </w:rPr>
        <w:t xml:space="preserve"> ERP</w:t>
      </w:r>
      <w:r w:rsidRPr="0054067B">
        <w:rPr>
          <w:rFonts w:ascii="Arial" w:hAnsi="Arial" w:cs="Arial"/>
        </w:rPr>
        <w:t xml:space="preserve"> introduces encryption, multi</w:t>
      </w:r>
      <w:r w:rsidRPr="0054067B">
        <w:rPr>
          <w:rFonts w:ascii="Arial" w:hAnsi="Arial" w:cs="Arial"/>
        </w:rPr>
        <w:noBreakHyphen/>
        <w:t>factor authentication and role</w:t>
      </w:r>
      <w:r w:rsidRPr="0054067B">
        <w:rPr>
          <w:rFonts w:ascii="Arial" w:hAnsi="Arial" w:cs="Arial"/>
        </w:rPr>
        <w:noBreakHyphen/>
        <w:t>based permissions. Audit logs ensure traceability of data access and modification, which aligns with accountability principles under UK GDPR (ICO, 2023).</w:t>
      </w:r>
    </w:p>
    <w:p w14:paraId="6390B670" w14:textId="77777777" w:rsidR="0054067B" w:rsidRPr="0054067B" w:rsidRDefault="0054067B" w:rsidP="00E34681">
      <w:pPr>
        <w:spacing w:line="360" w:lineRule="auto"/>
        <w:rPr>
          <w:rFonts w:ascii="Arial" w:hAnsi="Arial" w:cs="Arial"/>
          <w:i/>
          <w:iCs/>
        </w:rPr>
      </w:pPr>
      <w:r w:rsidRPr="0054067B">
        <w:rPr>
          <w:rFonts w:ascii="Arial" w:hAnsi="Arial" w:cs="Arial"/>
          <w:i/>
          <w:iCs/>
        </w:rPr>
        <w:t>3.2 Strategic and Financial Justification</w:t>
      </w:r>
    </w:p>
    <w:p w14:paraId="41B3DBCD" w14:textId="77777777" w:rsidR="0054067B" w:rsidRPr="0054067B" w:rsidRDefault="0054067B" w:rsidP="00E34681">
      <w:pPr>
        <w:spacing w:line="360" w:lineRule="auto"/>
        <w:rPr>
          <w:rFonts w:ascii="Arial" w:hAnsi="Arial" w:cs="Arial"/>
        </w:rPr>
      </w:pPr>
      <w:r w:rsidRPr="0054067B">
        <w:rPr>
          <w:rFonts w:ascii="Arial" w:hAnsi="Arial" w:cs="Arial"/>
        </w:rPr>
        <w:t>Implementing ERP delivers long</w:t>
      </w:r>
      <w:r w:rsidRPr="0054067B">
        <w:rPr>
          <w:rFonts w:ascii="Arial" w:hAnsi="Arial" w:cs="Arial"/>
        </w:rPr>
        <w:noBreakHyphen/>
        <w:t>term cost efficiency through automation and reduction of manual reconciliation. IDC (2022) reports that cloud</w:t>
      </w:r>
      <w:r w:rsidRPr="0054067B">
        <w:rPr>
          <w:rFonts w:ascii="Arial" w:hAnsi="Arial" w:cs="Arial"/>
        </w:rPr>
        <w:noBreakHyphen/>
        <w:t>based ERP deployments reduce IT infrastructure overhead and maintenance expenditure. In addition, real-time analytics improve forecasting accuracy, supporting more strategic procurement. These efficiencies deliver both immediate operational improvement and long</w:t>
      </w:r>
      <w:r w:rsidRPr="0054067B">
        <w:rPr>
          <w:rFonts w:ascii="Arial" w:hAnsi="Arial" w:cs="Arial"/>
        </w:rPr>
        <w:noBreakHyphen/>
        <w:t>term strategic ROI.</w:t>
      </w:r>
    </w:p>
    <w:p w14:paraId="2C041DA4" w14:textId="77777777" w:rsidR="0054067B" w:rsidRPr="0054067B" w:rsidRDefault="0054067B" w:rsidP="00E34681">
      <w:pPr>
        <w:spacing w:line="360" w:lineRule="auto"/>
        <w:rPr>
          <w:rFonts w:ascii="Arial" w:hAnsi="Arial" w:cs="Arial"/>
          <w:i/>
          <w:iCs/>
        </w:rPr>
      </w:pPr>
      <w:r w:rsidRPr="0054067B">
        <w:rPr>
          <w:rFonts w:ascii="Arial" w:hAnsi="Arial" w:cs="Arial"/>
          <w:i/>
          <w:iCs/>
        </w:rPr>
        <w:t xml:space="preserve">3.3 Cloud vs </w:t>
      </w:r>
      <w:proofErr w:type="gramStart"/>
      <w:r w:rsidRPr="0054067B">
        <w:rPr>
          <w:rFonts w:ascii="Arial" w:hAnsi="Arial" w:cs="Arial"/>
          <w:i/>
          <w:iCs/>
        </w:rPr>
        <w:t>On</w:t>
      </w:r>
      <w:proofErr w:type="gramEnd"/>
      <w:r w:rsidRPr="0054067B">
        <w:rPr>
          <w:rFonts w:ascii="Arial" w:hAnsi="Arial" w:cs="Arial"/>
          <w:i/>
          <w:iCs/>
        </w:rPr>
        <w:noBreakHyphen/>
        <w:t>Premise Rationale</w:t>
      </w:r>
    </w:p>
    <w:p w14:paraId="34F1F213" w14:textId="77777777" w:rsidR="0054067B" w:rsidRPr="0054067B" w:rsidRDefault="0054067B" w:rsidP="00E34681">
      <w:pPr>
        <w:spacing w:line="360" w:lineRule="auto"/>
        <w:rPr>
          <w:rFonts w:ascii="Arial" w:hAnsi="Arial" w:cs="Arial"/>
        </w:rPr>
      </w:pPr>
      <w:r w:rsidRPr="0054067B">
        <w:rPr>
          <w:rFonts w:ascii="Arial" w:hAnsi="Arial" w:cs="Arial"/>
        </w:rPr>
        <w:t>A cloud</w:t>
      </w:r>
      <w:r w:rsidRPr="0054067B">
        <w:rPr>
          <w:rFonts w:ascii="Arial" w:hAnsi="Arial" w:cs="Arial"/>
        </w:rPr>
        <w:noBreakHyphen/>
        <w:t>based ERP is recommended in preference to an on</w:t>
      </w:r>
      <w:r w:rsidRPr="0054067B">
        <w:rPr>
          <w:rFonts w:ascii="Arial" w:hAnsi="Arial" w:cs="Arial"/>
        </w:rPr>
        <w:noBreakHyphen/>
        <w:t>premise deployment due to lower capital expenditure, faster deployment cycles and built</w:t>
      </w:r>
      <w:r w:rsidRPr="0054067B">
        <w:rPr>
          <w:rFonts w:ascii="Arial" w:hAnsi="Arial" w:cs="Arial"/>
        </w:rPr>
        <w:noBreakHyphen/>
        <w:t>in cybersecurity features. According to Gartner (2023), SMEs and mid</w:t>
      </w:r>
      <w:r w:rsidRPr="0054067B">
        <w:rPr>
          <w:rFonts w:ascii="Arial" w:hAnsi="Arial" w:cs="Arial"/>
        </w:rPr>
        <w:noBreakHyphen/>
        <w:t>market retailers gain higher scalability and resilience from cloud deployments, which support rapid expansion without physical infrastructure upgrades.</w:t>
      </w:r>
    </w:p>
    <w:p w14:paraId="40E0800B" w14:textId="77777777" w:rsidR="0054067B" w:rsidRPr="0054067B" w:rsidRDefault="0054067B" w:rsidP="00E34681">
      <w:pPr>
        <w:spacing w:line="360" w:lineRule="auto"/>
        <w:rPr>
          <w:rFonts w:ascii="Arial" w:hAnsi="Arial" w:cs="Arial"/>
          <w:i/>
          <w:iCs/>
        </w:rPr>
      </w:pPr>
      <w:r w:rsidRPr="0054067B">
        <w:rPr>
          <w:rFonts w:ascii="Arial" w:hAnsi="Arial" w:cs="Arial"/>
          <w:i/>
          <w:iCs/>
        </w:rPr>
        <w:t>3.4 Future Scalability Potential</w:t>
      </w:r>
    </w:p>
    <w:p w14:paraId="7F9D0839" w14:textId="77777777" w:rsidR="0054067B" w:rsidRPr="0054067B" w:rsidRDefault="0054067B" w:rsidP="00E34681">
      <w:pPr>
        <w:spacing w:line="360" w:lineRule="auto"/>
        <w:rPr>
          <w:rFonts w:ascii="Arial" w:hAnsi="Arial" w:cs="Arial"/>
        </w:rPr>
      </w:pPr>
      <w:r w:rsidRPr="0054067B">
        <w:rPr>
          <w:rFonts w:ascii="Arial" w:hAnsi="Arial" w:cs="Arial"/>
        </w:rPr>
        <w:t>The proposed platform also provides extensibility for future business growth. API-based integration enables the company to add further modules (such as supplier relationship management or AI</w:t>
      </w:r>
      <w:r w:rsidRPr="0054067B">
        <w:rPr>
          <w:rFonts w:ascii="Arial" w:hAnsi="Arial" w:cs="Arial"/>
        </w:rPr>
        <w:noBreakHyphen/>
        <w:t>driven inventory optimisation) without re</w:t>
      </w:r>
      <w:r w:rsidRPr="0054067B">
        <w:rPr>
          <w:rFonts w:ascii="Arial" w:hAnsi="Arial" w:cs="Arial"/>
        </w:rPr>
        <w:noBreakHyphen/>
        <w:t>engineering the system. This future</w:t>
      </w:r>
      <w:r w:rsidRPr="0054067B">
        <w:rPr>
          <w:rFonts w:ascii="Arial" w:hAnsi="Arial" w:cs="Arial"/>
        </w:rPr>
        <w:noBreakHyphen/>
        <w:t>proofs the investment and supports multi</w:t>
      </w:r>
      <w:r w:rsidRPr="0054067B">
        <w:rPr>
          <w:rFonts w:ascii="Arial" w:hAnsi="Arial" w:cs="Arial"/>
        </w:rPr>
        <w:noBreakHyphen/>
        <w:t>channel expansion.</w:t>
      </w:r>
    </w:p>
    <w:p w14:paraId="465177EE" w14:textId="77777777" w:rsidR="0054067B" w:rsidRPr="0054067B" w:rsidRDefault="0054067B" w:rsidP="00E34681">
      <w:pPr>
        <w:spacing w:line="360" w:lineRule="auto"/>
        <w:rPr>
          <w:rFonts w:ascii="Arial" w:hAnsi="Arial" w:cs="Arial"/>
          <w:b/>
          <w:bCs/>
        </w:rPr>
      </w:pPr>
      <w:r w:rsidRPr="0054067B">
        <w:rPr>
          <w:rFonts w:ascii="Arial" w:hAnsi="Arial" w:cs="Arial"/>
          <w:b/>
          <w:bCs/>
        </w:rPr>
        <w:t>4. Implementation Plan</w:t>
      </w:r>
    </w:p>
    <w:p w14:paraId="3E72BDCD" w14:textId="77777777" w:rsidR="0054067B" w:rsidRPr="0054067B" w:rsidRDefault="0054067B" w:rsidP="00E34681">
      <w:pPr>
        <w:spacing w:line="360" w:lineRule="auto"/>
        <w:rPr>
          <w:rFonts w:ascii="Arial" w:hAnsi="Arial" w:cs="Arial"/>
        </w:rPr>
      </w:pPr>
      <w:r w:rsidRPr="0054067B">
        <w:rPr>
          <w:rFonts w:ascii="Arial" w:hAnsi="Arial" w:cs="Arial"/>
        </w:rPr>
        <w:t xml:space="preserve">The transition from fragmented legacy systems to an integrated ERP platform requires a structured change management approach that incorporates both technical deployment and </w:t>
      </w:r>
      <w:r w:rsidRPr="0054067B">
        <w:rPr>
          <w:rFonts w:ascii="Arial" w:hAnsi="Arial" w:cs="Arial"/>
        </w:rPr>
        <w:lastRenderedPageBreak/>
        <w:t>organisational adaptation. The implementation must ensure minimal disruption to business continuity while guiding staff through new workflows, compliance responsibilities and analytical capabilities.</w:t>
      </w:r>
    </w:p>
    <w:p w14:paraId="52E8413B" w14:textId="77777777" w:rsidR="0054067B" w:rsidRPr="0054067B" w:rsidRDefault="0054067B" w:rsidP="00E34681">
      <w:pPr>
        <w:spacing w:line="360" w:lineRule="auto"/>
        <w:rPr>
          <w:rFonts w:ascii="Arial" w:hAnsi="Arial" w:cs="Arial"/>
          <w:i/>
          <w:iCs/>
        </w:rPr>
      </w:pPr>
      <w:r w:rsidRPr="0054067B">
        <w:rPr>
          <w:rFonts w:ascii="Arial" w:hAnsi="Arial" w:cs="Arial"/>
          <w:i/>
          <w:iCs/>
        </w:rPr>
        <w:t>4.1 Phase 1: Requirements Engineering and Vendor Selection (4–6 weeks)</w:t>
      </w:r>
    </w:p>
    <w:p w14:paraId="331B5385" w14:textId="77777777" w:rsidR="0054067B" w:rsidRPr="0054067B" w:rsidRDefault="0054067B" w:rsidP="00E34681">
      <w:pPr>
        <w:spacing w:line="360" w:lineRule="auto"/>
        <w:rPr>
          <w:rFonts w:ascii="Arial" w:hAnsi="Arial" w:cs="Arial"/>
        </w:rPr>
      </w:pPr>
      <w:r w:rsidRPr="0054067B">
        <w:rPr>
          <w:rFonts w:ascii="Arial" w:hAnsi="Arial" w:cs="Arial"/>
        </w:rPr>
        <w:t>This phase entails a detailed analysis of business processes, data flows and system pain points across all departments. Workshops with departmental heads will identify mandatory functionality and integration requirements. Vendor evaluation should consider cloud resilience, API compatibility, GDPR controls, total cost of ownership and industry suitability. Gartner (2023) advises that retail vendors should be assessed not only on technical strength but on post-implementation support quality.</w:t>
      </w:r>
    </w:p>
    <w:p w14:paraId="3A5FDC0D" w14:textId="77777777" w:rsidR="0054067B" w:rsidRPr="0054067B" w:rsidRDefault="0054067B" w:rsidP="00E34681">
      <w:pPr>
        <w:spacing w:line="360" w:lineRule="auto"/>
        <w:rPr>
          <w:rFonts w:ascii="Arial" w:hAnsi="Arial" w:cs="Arial"/>
          <w:i/>
          <w:iCs/>
        </w:rPr>
      </w:pPr>
      <w:r w:rsidRPr="0054067B">
        <w:rPr>
          <w:rFonts w:ascii="Arial" w:hAnsi="Arial" w:cs="Arial"/>
          <w:i/>
          <w:iCs/>
        </w:rPr>
        <w:t>4.2 Phase 2: Data Preparation, Cleansing and Migration (6–8 weeks)</w:t>
      </w:r>
    </w:p>
    <w:p w14:paraId="0A89A42F" w14:textId="77777777" w:rsidR="0054067B" w:rsidRPr="0054067B" w:rsidRDefault="0054067B" w:rsidP="00E34681">
      <w:pPr>
        <w:spacing w:line="360" w:lineRule="auto"/>
        <w:rPr>
          <w:rFonts w:ascii="Arial" w:hAnsi="Arial" w:cs="Arial"/>
        </w:rPr>
      </w:pPr>
      <w:r w:rsidRPr="0054067B">
        <w:rPr>
          <w:rFonts w:ascii="Arial" w:hAnsi="Arial" w:cs="Arial"/>
        </w:rPr>
        <w:t xml:space="preserve">Legacy inventory, financial and CRM records must be standardised, deduplicated and validated. Data governance policies will be introduced at this stage, including data ownership assignment and retention rules. O’Brien and </w:t>
      </w:r>
      <w:proofErr w:type="spellStart"/>
      <w:r w:rsidRPr="0054067B">
        <w:rPr>
          <w:rFonts w:ascii="Arial" w:hAnsi="Arial" w:cs="Arial"/>
        </w:rPr>
        <w:t>Marakas</w:t>
      </w:r>
      <w:proofErr w:type="spellEnd"/>
      <w:r w:rsidRPr="0054067B">
        <w:rPr>
          <w:rFonts w:ascii="Arial" w:hAnsi="Arial" w:cs="Arial"/>
        </w:rPr>
        <w:t xml:space="preserve"> (2019, p. 231) emphasise that ERP projects often fail not at configuration, but at migration due to insufficient data hygiene.</w:t>
      </w:r>
    </w:p>
    <w:p w14:paraId="5D6C6129" w14:textId="77777777" w:rsidR="0054067B" w:rsidRPr="0054067B" w:rsidRDefault="0054067B" w:rsidP="00E34681">
      <w:pPr>
        <w:spacing w:line="360" w:lineRule="auto"/>
        <w:rPr>
          <w:rFonts w:ascii="Arial" w:hAnsi="Arial" w:cs="Arial"/>
          <w:i/>
          <w:iCs/>
        </w:rPr>
      </w:pPr>
      <w:r w:rsidRPr="0054067B">
        <w:rPr>
          <w:rFonts w:ascii="Arial" w:hAnsi="Arial" w:cs="Arial"/>
          <w:i/>
          <w:iCs/>
        </w:rPr>
        <w:t>4.3 Phase 3: Pilot Rollout and User Acceptance Testing (4 weeks)</w:t>
      </w:r>
    </w:p>
    <w:p w14:paraId="21D843AE" w14:textId="77777777" w:rsidR="0054067B" w:rsidRPr="0054067B" w:rsidRDefault="0054067B" w:rsidP="00E34681">
      <w:pPr>
        <w:spacing w:line="360" w:lineRule="auto"/>
        <w:rPr>
          <w:rFonts w:ascii="Arial" w:hAnsi="Arial" w:cs="Arial"/>
        </w:rPr>
      </w:pPr>
      <w:r w:rsidRPr="0054067B">
        <w:rPr>
          <w:rFonts w:ascii="Arial" w:hAnsi="Arial" w:cs="Arial"/>
        </w:rPr>
        <w:t>The pilot will be deployed in two or three representative stores to validate performance, user interaction and workflow alignment. Feedback loops will be established to fine-tune configurations. IDC (2022) notes that phased rollouts reduce organisational resistance and accelerate user confidence.</w:t>
      </w:r>
    </w:p>
    <w:p w14:paraId="00A91F44" w14:textId="77777777" w:rsidR="0054067B" w:rsidRPr="0054067B" w:rsidRDefault="0054067B" w:rsidP="00E34681">
      <w:pPr>
        <w:spacing w:line="360" w:lineRule="auto"/>
        <w:rPr>
          <w:rFonts w:ascii="Arial" w:hAnsi="Arial" w:cs="Arial"/>
          <w:i/>
          <w:iCs/>
        </w:rPr>
      </w:pPr>
      <w:r w:rsidRPr="0054067B">
        <w:rPr>
          <w:rFonts w:ascii="Arial" w:hAnsi="Arial" w:cs="Arial"/>
          <w:i/>
          <w:iCs/>
        </w:rPr>
        <w:t>4.4 Phase 4: Full Deployment and Systems Integration (8–12 weeks)</w:t>
      </w:r>
    </w:p>
    <w:p w14:paraId="732117E4" w14:textId="77777777" w:rsidR="0054067B" w:rsidRPr="0054067B" w:rsidRDefault="0054067B" w:rsidP="00E34681">
      <w:pPr>
        <w:spacing w:line="360" w:lineRule="auto"/>
        <w:rPr>
          <w:rFonts w:ascii="Arial" w:hAnsi="Arial" w:cs="Arial"/>
        </w:rPr>
      </w:pPr>
      <w:r w:rsidRPr="0054067B">
        <w:rPr>
          <w:rFonts w:ascii="Arial" w:hAnsi="Arial" w:cs="Arial"/>
        </w:rPr>
        <w:t>Following a successful pilot, the ERP will be deployed across all 30 stores and connected to the e-commerce platform. CRM and BI modules will be activated after stabilisation of inventory synchronisation. Full cutover will replace spreadsheets entirely.</w:t>
      </w:r>
    </w:p>
    <w:p w14:paraId="579E7BC4" w14:textId="77777777" w:rsidR="0054067B" w:rsidRPr="0054067B" w:rsidRDefault="0054067B" w:rsidP="00E34681">
      <w:pPr>
        <w:spacing w:line="360" w:lineRule="auto"/>
        <w:rPr>
          <w:rFonts w:ascii="Arial" w:hAnsi="Arial" w:cs="Arial"/>
          <w:i/>
          <w:iCs/>
        </w:rPr>
      </w:pPr>
      <w:r w:rsidRPr="0054067B">
        <w:rPr>
          <w:rFonts w:ascii="Arial" w:hAnsi="Arial" w:cs="Arial"/>
          <w:i/>
          <w:iCs/>
        </w:rPr>
        <w:t>4.5 Roles and Responsibilities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05"/>
        <w:gridCol w:w="4344"/>
      </w:tblGrid>
      <w:tr w:rsidR="0054067B" w:rsidRPr="0054067B" w14:paraId="5018E14A" w14:textId="77777777">
        <w:trPr>
          <w:tblCellSpacing w:w="15" w:type="dxa"/>
        </w:trPr>
        <w:tc>
          <w:tcPr>
            <w:tcW w:w="0" w:type="auto"/>
            <w:vAlign w:val="center"/>
            <w:hideMark/>
          </w:tcPr>
          <w:p w14:paraId="75FEEFD5" w14:textId="77777777" w:rsidR="0054067B" w:rsidRPr="0054067B" w:rsidRDefault="0054067B" w:rsidP="00E34681">
            <w:pPr>
              <w:spacing w:line="360" w:lineRule="auto"/>
              <w:rPr>
                <w:rFonts w:ascii="Arial" w:hAnsi="Arial" w:cs="Arial"/>
              </w:rPr>
            </w:pPr>
            <w:r w:rsidRPr="0054067B">
              <w:rPr>
                <w:rFonts w:ascii="Arial" w:hAnsi="Arial" w:cs="Arial"/>
              </w:rPr>
              <w:t>Role</w:t>
            </w:r>
          </w:p>
        </w:tc>
        <w:tc>
          <w:tcPr>
            <w:tcW w:w="0" w:type="auto"/>
            <w:vAlign w:val="center"/>
            <w:hideMark/>
          </w:tcPr>
          <w:p w14:paraId="5043B238" w14:textId="77777777" w:rsidR="0054067B" w:rsidRPr="0054067B" w:rsidRDefault="0054067B" w:rsidP="00E34681">
            <w:pPr>
              <w:spacing w:line="360" w:lineRule="auto"/>
              <w:rPr>
                <w:rFonts w:ascii="Arial" w:hAnsi="Arial" w:cs="Arial"/>
              </w:rPr>
            </w:pPr>
            <w:r w:rsidRPr="0054067B">
              <w:rPr>
                <w:rFonts w:ascii="Arial" w:hAnsi="Arial" w:cs="Arial"/>
              </w:rPr>
              <w:t>Responsibility</w:t>
            </w:r>
          </w:p>
        </w:tc>
      </w:tr>
      <w:tr w:rsidR="0054067B" w:rsidRPr="0054067B" w14:paraId="3F5EA9DD" w14:textId="77777777">
        <w:trPr>
          <w:tblCellSpacing w:w="15" w:type="dxa"/>
        </w:trPr>
        <w:tc>
          <w:tcPr>
            <w:tcW w:w="0" w:type="auto"/>
            <w:vAlign w:val="center"/>
            <w:hideMark/>
          </w:tcPr>
          <w:p w14:paraId="6587B0A4" w14:textId="77777777" w:rsidR="0054067B" w:rsidRPr="0054067B" w:rsidRDefault="0054067B" w:rsidP="00E34681">
            <w:pPr>
              <w:spacing w:line="360" w:lineRule="auto"/>
              <w:rPr>
                <w:rFonts w:ascii="Arial" w:hAnsi="Arial" w:cs="Arial"/>
              </w:rPr>
            </w:pPr>
            <w:r w:rsidRPr="0054067B">
              <w:rPr>
                <w:rFonts w:ascii="Arial" w:hAnsi="Arial" w:cs="Arial"/>
              </w:rPr>
              <w:t>Project Sponsor (CEO)</w:t>
            </w:r>
          </w:p>
        </w:tc>
        <w:tc>
          <w:tcPr>
            <w:tcW w:w="0" w:type="auto"/>
            <w:vAlign w:val="center"/>
            <w:hideMark/>
          </w:tcPr>
          <w:p w14:paraId="21907ED6" w14:textId="77777777" w:rsidR="0054067B" w:rsidRPr="0054067B" w:rsidRDefault="0054067B" w:rsidP="00E34681">
            <w:pPr>
              <w:spacing w:line="360" w:lineRule="auto"/>
              <w:rPr>
                <w:rFonts w:ascii="Arial" w:hAnsi="Arial" w:cs="Arial"/>
              </w:rPr>
            </w:pPr>
            <w:r w:rsidRPr="0054067B">
              <w:rPr>
                <w:rFonts w:ascii="Arial" w:hAnsi="Arial" w:cs="Arial"/>
              </w:rPr>
              <w:t>Strategic oversight and funding approval</w:t>
            </w:r>
          </w:p>
        </w:tc>
      </w:tr>
      <w:tr w:rsidR="0054067B" w:rsidRPr="0054067B" w14:paraId="13DDD6A1" w14:textId="77777777">
        <w:trPr>
          <w:tblCellSpacing w:w="15" w:type="dxa"/>
        </w:trPr>
        <w:tc>
          <w:tcPr>
            <w:tcW w:w="0" w:type="auto"/>
            <w:vAlign w:val="center"/>
            <w:hideMark/>
          </w:tcPr>
          <w:p w14:paraId="2DA7601F" w14:textId="77777777" w:rsidR="0054067B" w:rsidRPr="0054067B" w:rsidRDefault="0054067B" w:rsidP="00E34681">
            <w:pPr>
              <w:spacing w:line="360" w:lineRule="auto"/>
              <w:rPr>
                <w:rFonts w:ascii="Arial" w:hAnsi="Arial" w:cs="Arial"/>
              </w:rPr>
            </w:pPr>
            <w:r w:rsidRPr="0054067B">
              <w:rPr>
                <w:rFonts w:ascii="Arial" w:hAnsi="Arial" w:cs="Arial"/>
              </w:rPr>
              <w:t>Implementation Lead</w:t>
            </w:r>
          </w:p>
        </w:tc>
        <w:tc>
          <w:tcPr>
            <w:tcW w:w="0" w:type="auto"/>
            <w:vAlign w:val="center"/>
            <w:hideMark/>
          </w:tcPr>
          <w:p w14:paraId="091F6121" w14:textId="77777777" w:rsidR="0054067B" w:rsidRPr="0054067B" w:rsidRDefault="0054067B" w:rsidP="00E34681">
            <w:pPr>
              <w:spacing w:line="360" w:lineRule="auto"/>
              <w:rPr>
                <w:rFonts w:ascii="Arial" w:hAnsi="Arial" w:cs="Arial"/>
              </w:rPr>
            </w:pPr>
            <w:r w:rsidRPr="0054067B">
              <w:rPr>
                <w:rFonts w:ascii="Arial" w:hAnsi="Arial" w:cs="Arial"/>
              </w:rPr>
              <w:t>Coordinates vendor and internal workflows</w:t>
            </w:r>
          </w:p>
        </w:tc>
      </w:tr>
      <w:tr w:rsidR="0054067B" w:rsidRPr="0054067B" w14:paraId="456B1FE3" w14:textId="77777777">
        <w:trPr>
          <w:tblCellSpacing w:w="15" w:type="dxa"/>
        </w:trPr>
        <w:tc>
          <w:tcPr>
            <w:tcW w:w="0" w:type="auto"/>
            <w:vAlign w:val="center"/>
            <w:hideMark/>
          </w:tcPr>
          <w:p w14:paraId="407F9556" w14:textId="77777777" w:rsidR="0054067B" w:rsidRPr="0054067B" w:rsidRDefault="0054067B" w:rsidP="00E34681">
            <w:pPr>
              <w:spacing w:line="360" w:lineRule="auto"/>
              <w:rPr>
                <w:rFonts w:ascii="Arial" w:hAnsi="Arial" w:cs="Arial"/>
              </w:rPr>
            </w:pPr>
            <w:r w:rsidRPr="0054067B">
              <w:rPr>
                <w:rFonts w:ascii="Arial" w:hAnsi="Arial" w:cs="Arial"/>
              </w:rPr>
              <w:t>Data Governance Officer</w:t>
            </w:r>
          </w:p>
        </w:tc>
        <w:tc>
          <w:tcPr>
            <w:tcW w:w="0" w:type="auto"/>
            <w:vAlign w:val="center"/>
            <w:hideMark/>
          </w:tcPr>
          <w:p w14:paraId="7990DC94" w14:textId="77777777" w:rsidR="0054067B" w:rsidRPr="0054067B" w:rsidRDefault="0054067B" w:rsidP="00E34681">
            <w:pPr>
              <w:spacing w:line="360" w:lineRule="auto"/>
              <w:rPr>
                <w:rFonts w:ascii="Arial" w:hAnsi="Arial" w:cs="Arial"/>
              </w:rPr>
            </w:pPr>
            <w:r w:rsidRPr="0054067B">
              <w:rPr>
                <w:rFonts w:ascii="Arial" w:hAnsi="Arial" w:cs="Arial"/>
              </w:rPr>
              <w:t>Ensures GDPR alignment and data hygiene</w:t>
            </w:r>
          </w:p>
        </w:tc>
      </w:tr>
      <w:tr w:rsidR="0054067B" w:rsidRPr="0054067B" w14:paraId="4610113E" w14:textId="77777777">
        <w:trPr>
          <w:tblCellSpacing w:w="15" w:type="dxa"/>
        </w:trPr>
        <w:tc>
          <w:tcPr>
            <w:tcW w:w="0" w:type="auto"/>
            <w:vAlign w:val="center"/>
            <w:hideMark/>
          </w:tcPr>
          <w:p w14:paraId="39B326B3" w14:textId="77777777" w:rsidR="0054067B" w:rsidRPr="0054067B" w:rsidRDefault="0054067B" w:rsidP="00E34681">
            <w:pPr>
              <w:spacing w:line="360" w:lineRule="auto"/>
              <w:rPr>
                <w:rFonts w:ascii="Arial" w:hAnsi="Arial" w:cs="Arial"/>
              </w:rPr>
            </w:pPr>
            <w:r w:rsidRPr="0054067B">
              <w:rPr>
                <w:rFonts w:ascii="Arial" w:hAnsi="Arial" w:cs="Arial"/>
              </w:rPr>
              <w:lastRenderedPageBreak/>
              <w:t>Store Managers</w:t>
            </w:r>
          </w:p>
        </w:tc>
        <w:tc>
          <w:tcPr>
            <w:tcW w:w="0" w:type="auto"/>
            <w:vAlign w:val="center"/>
            <w:hideMark/>
          </w:tcPr>
          <w:p w14:paraId="28E075B3" w14:textId="77777777" w:rsidR="0054067B" w:rsidRPr="0054067B" w:rsidRDefault="0054067B" w:rsidP="00E34681">
            <w:pPr>
              <w:spacing w:line="360" w:lineRule="auto"/>
              <w:rPr>
                <w:rFonts w:ascii="Arial" w:hAnsi="Arial" w:cs="Arial"/>
              </w:rPr>
            </w:pPr>
            <w:r w:rsidRPr="0054067B">
              <w:rPr>
                <w:rFonts w:ascii="Arial" w:hAnsi="Arial" w:cs="Arial"/>
              </w:rPr>
              <w:t>Local adoption and feedback collection</w:t>
            </w:r>
          </w:p>
        </w:tc>
      </w:tr>
      <w:tr w:rsidR="0054067B" w:rsidRPr="0054067B" w14:paraId="226DE38E" w14:textId="77777777">
        <w:trPr>
          <w:tblCellSpacing w:w="15" w:type="dxa"/>
        </w:trPr>
        <w:tc>
          <w:tcPr>
            <w:tcW w:w="0" w:type="auto"/>
            <w:vAlign w:val="center"/>
            <w:hideMark/>
          </w:tcPr>
          <w:p w14:paraId="717260B8" w14:textId="77777777" w:rsidR="0054067B" w:rsidRPr="0054067B" w:rsidRDefault="0054067B" w:rsidP="00E34681">
            <w:pPr>
              <w:spacing w:line="360" w:lineRule="auto"/>
              <w:rPr>
                <w:rFonts w:ascii="Arial" w:hAnsi="Arial" w:cs="Arial"/>
              </w:rPr>
            </w:pPr>
            <w:r w:rsidRPr="0054067B">
              <w:rPr>
                <w:rFonts w:ascii="Arial" w:hAnsi="Arial" w:cs="Arial"/>
              </w:rPr>
              <w:t>IT Support Team</w:t>
            </w:r>
          </w:p>
        </w:tc>
        <w:tc>
          <w:tcPr>
            <w:tcW w:w="0" w:type="auto"/>
            <w:vAlign w:val="center"/>
            <w:hideMark/>
          </w:tcPr>
          <w:p w14:paraId="4BF573F2" w14:textId="77777777" w:rsidR="0054067B" w:rsidRPr="0054067B" w:rsidRDefault="0054067B" w:rsidP="00E34681">
            <w:pPr>
              <w:spacing w:line="360" w:lineRule="auto"/>
              <w:rPr>
                <w:rFonts w:ascii="Arial" w:hAnsi="Arial" w:cs="Arial"/>
              </w:rPr>
            </w:pPr>
            <w:r w:rsidRPr="0054067B">
              <w:rPr>
                <w:rFonts w:ascii="Arial" w:hAnsi="Arial" w:cs="Arial"/>
              </w:rPr>
              <w:t>Technical maintenance and troubleshooting</w:t>
            </w:r>
          </w:p>
        </w:tc>
      </w:tr>
      <w:tr w:rsidR="00E34681" w:rsidRPr="0054067B" w14:paraId="1510FD77" w14:textId="77777777">
        <w:trPr>
          <w:tblCellSpacing w:w="15" w:type="dxa"/>
        </w:trPr>
        <w:tc>
          <w:tcPr>
            <w:tcW w:w="0" w:type="auto"/>
            <w:vAlign w:val="center"/>
          </w:tcPr>
          <w:p w14:paraId="35EC26AE" w14:textId="77777777" w:rsidR="00E34681" w:rsidRDefault="00E34681" w:rsidP="00E34681">
            <w:pPr>
              <w:spacing w:line="360" w:lineRule="auto"/>
              <w:rPr>
                <w:rFonts w:ascii="Arial" w:hAnsi="Arial" w:cs="Arial"/>
              </w:rPr>
            </w:pPr>
          </w:p>
          <w:p w14:paraId="5D16E180" w14:textId="77777777" w:rsidR="00E34681" w:rsidRPr="0054067B" w:rsidRDefault="00E34681" w:rsidP="00E34681">
            <w:pPr>
              <w:spacing w:line="360" w:lineRule="auto"/>
              <w:rPr>
                <w:rFonts w:ascii="Arial" w:hAnsi="Arial" w:cs="Arial"/>
              </w:rPr>
            </w:pPr>
          </w:p>
        </w:tc>
        <w:tc>
          <w:tcPr>
            <w:tcW w:w="0" w:type="auto"/>
            <w:vAlign w:val="center"/>
          </w:tcPr>
          <w:p w14:paraId="51D5E076" w14:textId="77777777" w:rsidR="00E34681" w:rsidRPr="0054067B" w:rsidRDefault="00E34681" w:rsidP="00E34681">
            <w:pPr>
              <w:spacing w:line="360" w:lineRule="auto"/>
              <w:rPr>
                <w:rFonts w:ascii="Arial" w:hAnsi="Arial" w:cs="Arial"/>
              </w:rPr>
            </w:pPr>
          </w:p>
        </w:tc>
      </w:tr>
    </w:tbl>
    <w:p w14:paraId="6CBF93DA" w14:textId="77777777" w:rsidR="0054067B" w:rsidRPr="0054067B" w:rsidRDefault="0054067B" w:rsidP="00E34681">
      <w:pPr>
        <w:spacing w:line="360" w:lineRule="auto"/>
        <w:rPr>
          <w:rFonts w:ascii="Arial" w:hAnsi="Arial" w:cs="Arial"/>
          <w:i/>
          <w:iCs/>
        </w:rPr>
      </w:pPr>
      <w:r w:rsidRPr="0054067B">
        <w:rPr>
          <w:rFonts w:ascii="Arial" w:hAnsi="Arial" w:cs="Arial"/>
          <w:i/>
          <w:iCs/>
        </w:rPr>
        <w:t>4.6 Change Management Strategy</w:t>
      </w:r>
    </w:p>
    <w:p w14:paraId="0C980729" w14:textId="77777777" w:rsidR="0054067B" w:rsidRPr="0054067B" w:rsidRDefault="0054067B" w:rsidP="00E34681">
      <w:pPr>
        <w:spacing w:line="360" w:lineRule="auto"/>
        <w:rPr>
          <w:rFonts w:ascii="Arial" w:hAnsi="Arial" w:cs="Arial"/>
        </w:rPr>
      </w:pPr>
      <w:r w:rsidRPr="0054067B">
        <w:rPr>
          <w:rFonts w:ascii="Arial" w:hAnsi="Arial" w:cs="Arial"/>
        </w:rPr>
        <w:t>A structured change model such as ADKAR will guide user adoption by addressing Awareness, Desire, Knowledge, Ability and Reinforcement. Training will be delivered through workshops and on-site coaching. Accenture (2022) stresses that ERP transformation success depends on preparing staff for new ways of working rather than software installation alone.</w:t>
      </w:r>
    </w:p>
    <w:p w14:paraId="3F577833" w14:textId="77777777" w:rsidR="0054067B" w:rsidRPr="0054067B" w:rsidRDefault="0054067B" w:rsidP="00E34681">
      <w:pPr>
        <w:spacing w:line="360" w:lineRule="auto"/>
        <w:rPr>
          <w:rFonts w:ascii="Arial" w:hAnsi="Arial" w:cs="Arial"/>
          <w:i/>
          <w:iCs/>
        </w:rPr>
      </w:pPr>
      <w:r w:rsidRPr="0054067B">
        <w:rPr>
          <w:rFonts w:ascii="Arial" w:hAnsi="Arial" w:cs="Arial"/>
          <w:i/>
          <w:iCs/>
        </w:rPr>
        <w:t>4.7 Cybersecurity and Compliance Controls</w:t>
      </w:r>
    </w:p>
    <w:p w14:paraId="19AB213C" w14:textId="77777777" w:rsidR="0054067B" w:rsidRPr="0054067B" w:rsidRDefault="0054067B" w:rsidP="00E34681">
      <w:pPr>
        <w:spacing w:line="360" w:lineRule="auto"/>
        <w:rPr>
          <w:rFonts w:ascii="Arial" w:hAnsi="Arial" w:cs="Arial"/>
        </w:rPr>
      </w:pPr>
      <w:r w:rsidRPr="0054067B">
        <w:rPr>
          <w:rFonts w:ascii="Arial" w:hAnsi="Arial" w:cs="Arial"/>
        </w:rPr>
        <w:t>System configuration will introduce encryption-at-rest, MFA, audit trails and permission-based access. These controls align with UK GDPR accountability requirements (ICO, 2023) and reduce legal exposure.</w:t>
      </w:r>
    </w:p>
    <w:p w14:paraId="5526B311" w14:textId="77777777" w:rsidR="0054067B" w:rsidRPr="0054067B" w:rsidRDefault="0054067B" w:rsidP="00E34681">
      <w:pPr>
        <w:spacing w:line="360" w:lineRule="auto"/>
        <w:rPr>
          <w:rFonts w:ascii="Arial" w:hAnsi="Arial" w:cs="Arial"/>
          <w:i/>
          <w:iCs/>
        </w:rPr>
      </w:pPr>
      <w:r w:rsidRPr="0054067B">
        <w:rPr>
          <w:rFonts w:ascii="Arial" w:hAnsi="Arial" w:cs="Arial"/>
          <w:i/>
          <w:iCs/>
        </w:rPr>
        <w:t xml:space="preserve">4.8 </w:t>
      </w:r>
      <w:proofErr w:type="gramStart"/>
      <w:r w:rsidRPr="0054067B">
        <w:rPr>
          <w:rFonts w:ascii="Arial" w:hAnsi="Arial" w:cs="Arial"/>
          <w:i/>
          <w:iCs/>
        </w:rPr>
        <w:t>Post-Implementation</w:t>
      </w:r>
      <w:proofErr w:type="gramEnd"/>
      <w:r w:rsidRPr="0054067B">
        <w:rPr>
          <w:rFonts w:ascii="Arial" w:hAnsi="Arial" w:cs="Arial"/>
          <w:i/>
          <w:iCs/>
        </w:rPr>
        <w:t xml:space="preserve"> KPIs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21"/>
        <w:gridCol w:w="4706"/>
      </w:tblGrid>
      <w:tr w:rsidR="0054067B" w:rsidRPr="0054067B" w14:paraId="76DB5FF1" w14:textId="77777777">
        <w:trPr>
          <w:tblCellSpacing w:w="15" w:type="dxa"/>
        </w:trPr>
        <w:tc>
          <w:tcPr>
            <w:tcW w:w="0" w:type="auto"/>
            <w:vAlign w:val="center"/>
            <w:hideMark/>
          </w:tcPr>
          <w:p w14:paraId="48B07CD3" w14:textId="77777777" w:rsidR="0054067B" w:rsidRPr="0054067B" w:rsidRDefault="0054067B" w:rsidP="00E34681">
            <w:pPr>
              <w:spacing w:line="360" w:lineRule="auto"/>
              <w:rPr>
                <w:rFonts w:ascii="Arial" w:hAnsi="Arial" w:cs="Arial"/>
              </w:rPr>
            </w:pPr>
            <w:r w:rsidRPr="0054067B">
              <w:rPr>
                <w:rFonts w:ascii="Arial" w:hAnsi="Arial" w:cs="Arial"/>
              </w:rPr>
              <w:t>KPI</w:t>
            </w:r>
          </w:p>
        </w:tc>
        <w:tc>
          <w:tcPr>
            <w:tcW w:w="0" w:type="auto"/>
            <w:vAlign w:val="center"/>
            <w:hideMark/>
          </w:tcPr>
          <w:p w14:paraId="35B188D7" w14:textId="77777777" w:rsidR="0054067B" w:rsidRPr="0054067B" w:rsidRDefault="0054067B" w:rsidP="00E34681">
            <w:pPr>
              <w:spacing w:line="360" w:lineRule="auto"/>
              <w:rPr>
                <w:rFonts w:ascii="Arial" w:hAnsi="Arial" w:cs="Arial"/>
              </w:rPr>
            </w:pPr>
            <w:r w:rsidRPr="0054067B">
              <w:rPr>
                <w:rFonts w:ascii="Arial" w:hAnsi="Arial" w:cs="Arial"/>
              </w:rPr>
              <w:t>Measurement</w:t>
            </w:r>
          </w:p>
        </w:tc>
      </w:tr>
      <w:tr w:rsidR="0054067B" w:rsidRPr="0054067B" w14:paraId="01C3D6D7" w14:textId="77777777">
        <w:trPr>
          <w:tblCellSpacing w:w="15" w:type="dxa"/>
        </w:trPr>
        <w:tc>
          <w:tcPr>
            <w:tcW w:w="0" w:type="auto"/>
            <w:vAlign w:val="center"/>
            <w:hideMark/>
          </w:tcPr>
          <w:p w14:paraId="58FC9776" w14:textId="77777777" w:rsidR="0054067B" w:rsidRPr="0054067B" w:rsidRDefault="0054067B" w:rsidP="00E34681">
            <w:pPr>
              <w:spacing w:line="360" w:lineRule="auto"/>
              <w:rPr>
                <w:rFonts w:ascii="Arial" w:hAnsi="Arial" w:cs="Arial"/>
              </w:rPr>
            </w:pPr>
            <w:r w:rsidRPr="0054067B">
              <w:rPr>
                <w:rFonts w:ascii="Arial" w:hAnsi="Arial" w:cs="Arial"/>
              </w:rPr>
              <w:t>Order fulfilment accuracy</w:t>
            </w:r>
          </w:p>
        </w:tc>
        <w:tc>
          <w:tcPr>
            <w:tcW w:w="0" w:type="auto"/>
            <w:vAlign w:val="center"/>
            <w:hideMark/>
          </w:tcPr>
          <w:p w14:paraId="6D4B6DE5" w14:textId="77777777" w:rsidR="0054067B" w:rsidRPr="0054067B" w:rsidRDefault="0054067B" w:rsidP="00E34681">
            <w:pPr>
              <w:spacing w:line="360" w:lineRule="auto"/>
              <w:rPr>
                <w:rFonts w:ascii="Arial" w:hAnsi="Arial" w:cs="Arial"/>
              </w:rPr>
            </w:pPr>
            <w:r w:rsidRPr="0054067B">
              <w:rPr>
                <w:rFonts w:ascii="Arial" w:hAnsi="Arial" w:cs="Arial"/>
              </w:rPr>
              <w:t>Difference between reported and physical stock</w:t>
            </w:r>
          </w:p>
        </w:tc>
      </w:tr>
      <w:tr w:rsidR="0054067B" w:rsidRPr="0054067B" w14:paraId="5B1DDD6F" w14:textId="77777777">
        <w:trPr>
          <w:tblCellSpacing w:w="15" w:type="dxa"/>
        </w:trPr>
        <w:tc>
          <w:tcPr>
            <w:tcW w:w="0" w:type="auto"/>
            <w:vAlign w:val="center"/>
            <w:hideMark/>
          </w:tcPr>
          <w:p w14:paraId="5115B844" w14:textId="77777777" w:rsidR="0054067B" w:rsidRPr="0054067B" w:rsidRDefault="0054067B" w:rsidP="00E34681">
            <w:pPr>
              <w:spacing w:line="360" w:lineRule="auto"/>
              <w:rPr>
                <w:rFonts w:ascii="Arial" w:hAnsi="Arial" w:cs="Arial"/>
              </w:rPr>
            </w:pPr>
            <w:r w:rsidRPr="0054067B">
              <w:rPr>
                <w:rFonts w:ascii="Arial" w:hAnsi="Arial" w:cs="Arial"/>
              </w:rPr>
              <w:t>Inventory turnover rate</w:t>
            </w:r>
          </w:p>
        </w:tc>
        <w:tc>
          <w:tcPr>
            <w:tcW w:w="0" w:type="auto"/>
            <w:vAlign w:val="center"/>
            <w:hideMark/>
          </w:tcPr>
          <w:p w14:paraId="494AF174" w14:textId="77777777" w:rsidR="0054067B" w:rsidRPr="0054067B" w:rsidRDefault="0054067B" w:rsidP="00E34681">
            <w:pPr>
              <w:spacing w:line="360" w:lineRule="auto"/>
              <w:rPr>
                <w:rFonts w:ascii="Arial" w:hAnsi="Arial" w:cs="Arial"/>
              </w:rPr>
            </w:pPr>
            <w:r w:rsidRPr="0054067B">
              <w:rPr>
                <w:rFonts w:ascii="Arial" w:hAnsi="Arial" w:cs="Arial"/>
              </w:rPr>
              <w:t>Stock rotation efficiency</w:t>
            </w:r>
          </w:p>
        </w:tc>
      </w:tr>
      <w:tr w:rsidR="0054067B" w:rsidRPr="0054067B" w14:paraId="5208C7DB" w14:textId="77777777">
        <w:trPr>
          <w:tblCellSpacing w:w="15" w:type="dxa"/>
        </w:trPr>
        <w:tc>
          <w:tcPr>
            <w:tcW w:w="0" w:type="auto"/>
            <w:vAlign w:val="center"/>
            <w:hideMark/>
          </w:tcPr>
          <w:p w14:paraId="23C4D38D" w14:textId="77777777" w:rsidR="0054067B" w:rsidRPr="0054067B" w:rsidRDefault="0054067B" w:rsidP="00E34681">
            <w:pPr>
              <w:spacing w:line="360" w:lineRule="auto"/>
              <w:rPr>
                <w:rFonts w:ascii="Arial" w:hAnsi="Arial" w:cs="Arial"/>
              </w:rPr>
            </w:pPr>
            <w:r w:rsidRPr="0054067B">
              <w:rPr>
                <w:rFonts w:ascii="Arial" w:hAnsi="Arial" w:cs="Arial"/>
              </w:rPr>
              <w:t>Customer retention uplift</w:t>
            </w:r>
          </w:p>
        </w:tc>
        <w:tc>
          <w:tcPr>
            <w:tcW w:w="0" w:type="auto"/>
            <w:vAlign w:val="center"/>
            <w:hideMark/>
          </w:tcPr>
          <w:p w14:paraId="50F49519" w14:textId="77777777" w:rsidR="0054067B" w:rsidRPr="0054067B" w:rsidRDefault="0054067B" w:rsidP="00E34681">
            <w:pPr>
              <w:spacing w:line="360" w:lineRule="auto"/>
              <w:rPr>
                <w:rFonts w:ascii="Arial" w:hAnsi="Arial" w:cs="Arial"/>
              </w:rPr>
            </w:pPr>
            <w:r w:rsidRPr="0054067B">
              <w:rPr>
                <w:rFonts w:ascii="Arial" w:hAnsi="Arial" w:cs="Arial"/>
              </w:rPr>
              <w:t>Repeat purchase frequency</w:t>
            </w:r>
          </w:p>
        </w:tc>
      </w:tr>
      <w:tr w:rsidR="0054067B" w:rsidRPr="0054067B" w14:paraId="748F82EC" w14:textId="77777777">
        <w:trPr>
          <w:tblCellSpacing w:w="15" w:type="dxa"/>
        </w:trPr>
        <w:tc>
          <w:tcPr>
            <w:tcW w:w="0" w:type="auto"/>
            <w:vAlign w:val="center"/>
            <w:hideMark/>
          </w:tcPr>
          <w:p w14:paraId="35E80C5A" w14:textId="77777777" w:rsidR="0054067B" w:rsidRPr="0054067B" w:rsidRDefault="0054067B" w:rsidP="00E34681">
            <w:pPr>
              <w:spacing w:line="360" w:lineRule="auto"/>
              <w:rPr>
                <w:rFonts w:ascii="Arial" w:hAnsi="Arial" w:cs="Arial"/>
              </w:rPr>
            </w:pPr>
            <w:r w:rsidRPr="0054067B">
              <w:rPr>
                <w:rFonts w:ascii="Arial" w:hAnsi="Arial" w:cs="Arial"/>
              </w:rPr>
              <w:t>Data error reduction</w:t>
            </w:r>
          </w:p>
        </w:tc>
        <w:tc>
          <w:tcPr>
            <w:tcW w:w="0" w:type="auto"/>
            <w:vAlign w:val="center"/>
            <w:hideMark/>
          </w:tcPr>
          <w:p w14:paraId="222EB2D6" w14:textId="77777777" w:rsidR="0054067B" w:rsidRPr="0054067B" w:rsidRDefault="0054067B" w:rsidP="00E34681">
            <w:pPr>
              <w:spacing w:line="360" w:lineRule="auto"/>
              <w:rPr>
                <w:rFonts w:ascii="Arial" w:hAnsi="Arial" w:cs="Arial"/>
              </w:rPr>
            </w:pPr>
            <w:r w:rsidRPr="0054067B">
              <w:rPr>
                <w:rFonts w:ascii="Arial" w:hAnsi="Arial" w:cs="Arial"/>
              </w:rPr>
              <w:t>Frequency of manual corrections</w:t>
            </w:r>
          </w:p>
        </w:tc>
      </w:tr>
      <w:tr w:rsidR="0054067B" w:rsidRPr="0054067B" w14:paraId="5A6F6CE4" w14:textId="77777777">
        <w:trPr>
          <w:tblCellSpacing w:w="15" w:type="dxa"/>
        </w:trPr>
        <w:tc>
          <w:tcPr>
            <w:tcW w:w="0" w:type="auto"/>
            <w:vAlign w:val="center"/>
            <w:hideMark/>
          </w:tcPr>
          <w:p w14:paraId="409E8701" w14:textId="77777777" w:rsidR="0054067B" w:rsidRPr="0054067B" w:rsidRDefault="0054067B" w:rsidP="00E34681">
            <w:pPr>
              <w:spacing w:line="360" w:lineRule="auto"/>
              <w:rPr>
                <w:rFonts w:ascii="Arial" w:hAnsi="Arial" w:cs="Arial"/>
              </w:rPr>
            </w:pPr>
            <w:r w:rsidRPr="0054067B">
              <w:rPr>
                <w:rFonts w:ascii="Arial" w:hAnsi="Arial" w:cs="Arial"/>
              </w:rPr>
              <w:t>Reporting latency</w:t>
            </w:r>
          </w:p>
        </w:tc>
        <w:tc>
          <w:tcPr>
            <w:tcW w:w="0" w:type="auto"/>
            <w:vAlign w:val="center"/>
            <w:hideMark/>
          </w:tcPr>
          <w:p w14:paraId="1CAE012A" w14:textId="77777777" w:rsidR="0054067B" w:rsidRPr="0054067B" w:rsidRDefault="0054067B" w:rsidP="00E34681">
            <w:pPr>
              <w:spacing w:line="360" w:lineRule="auto"/>
              <w:rPr>
                <w:rFonts w:ascii="Arial" w:hAnsi="Arial" w:cs="Arial"/>
              </w:rPr>
            </w:pPr>
            <w:r w:rsidRPr="0054067B">
              <w:rPr>
                <w:rFonts w:ascii="Arial" w:hAnsi="Arial" w:cs="Arial"/>
              </w:rPr>
              <w:t>Time from data capture to insight generation</w:t>
            </w:r>
          </w:p>
        </w:tc>
      </w:tr>
    </w:tbl>
    <w:p w14:paraId="7FB14F59" w14:textId="77777777" w:rsidR="0054067B" w:rsidRDefault="0054067B" w:rsidP="00E34681">
      <w:pPr>
        <w:spacing w:line="360" w:lineRule="auto"/>
        <w:rPr>
          <w:rFonts w:ascii="Arial" w:hAnsi="Arial" w:cs="Arial"/>
        </w:rPr>
      </w:pPr>
      <w:r w:rsidRPr="0054067B">
        <w:rPr>
          <w:rFonts w:ascii="Arial" w:hAnsi="Arial" w:cs="Arial"/>
        </w:rPr>
        <w:t xml:space="preserve">This structured plan ensures both technical success and organisational readiness, positioning </w:t>
      </w:r>
      <w:proofErr w:type="spellStart"/>
      <w:r w:rsidRPr="0054067B">
        <w:rPr>
          <w:rFonts w:ascii="Arial" w:hAnsi="Arial" w:cs="Arial"/>
        </w:rPr>
        <w:t>AKPerog</w:t>
      </w:r>
      <w:proofErr w:type="spellEnd"/>
      <w:r w:rsidRPr="0054067B">
        <w:rPr>
          <w:rFonts w:ascii="Arial" w:hAnsi="Arial" w:cs="Arial"/>
        </w:rPr>
        <w:t xml:space="preserve"> Ltd. for sustained operational improvement.</w:t>
      </w:r>
    </w:p>
    <w:p w14:paraId="2B4ADFDF" w14:textId="77777777" w:rsidR="003E75F2" w:rsidRDefault="003E75F2" w:rsidP="00E34681">
      <w:pPr>
        <w:spacing w:line="360" w:lineRule="auto"/>
        <w:rPr>
          <w:rFonts w:ascii="Arial" w:hAnsi="Arial" w:cs="Arial"/>
        </w:rPr>
      </w:pPr>
    </w:p>
    <w:p w14:paraId="7B2A8E46" w14:textId="77777777" w:rsidR="003E75F2" w:rsidRDefault="003E75F2" w:rsidP="00E34681">
      <w:pPr>
        <w:spacing w:line="360" w:lineRule="auto"/>
        <w:rPr>
          <w:rFonts w:ascii="Arial" w:hAnsi="Arial" w:cs="Arial"/>
        </w:rPr>
      </w:pPr>
    </w:p>
    <w:p w14:paraId="7FDFC694" w14:textId="77777777" w:rsidR="003E75F2" w:rsidRDefault="003E75F2" w:rsidP="00E34681">
      <w:pPr>
        <w:spacing w:line="360" w:lineRule="auto"/>
        <w:rPr>
          <w:rFonts w:ascii="Arial" w:hAnsi="Arial" w:cs="Arial"/>
        </w:rPr>
      </w:pPr>
    </w:p>
    <w:p w14:paraId="055CACB6" w14:textId="77777777" w:rsidR="003E75F2" w:rsidRDefault="003E75F2" w:rsidP="00E34681">
      <w:pPr>
        <w:spacing w:line="360" w:lineRule="auto"/>
        <w:rPr>
          <w:rFonts w:ascii="Arial" w:hAnsi="Arial" w:cs="Arial"/>
        </w:rPr>
      </w:pPr>
    </w:p>
    <w:p w14:paraId="5A10D467" w14:textId="77777777" w:rsidR="003E75F2" w:rsidRDefault="003E75F2" w:rsidP="00E34681">
      <w:pPr>
        <w:spacing w:line="360" w:lineRule="auto"/>
        <w:rPr>
          <w:rFonts w:ascii="Arial" w:hAnsi="Arial" w:cs="Arial"/>
        </w:rPr>
      </w:pPr>
    </w:p>
    <w:p w14:paraId="76FC0E00" w14:textId="77777777" w:rsidR="003E75F2" w:rsidRDefault="003E75F2" w:rsidP="00E34681">
      <w:pPr>
        <w:spacing w:line="360" w:lineRule="auto"/>
        <w:rPr>
          <w:rFonts w:ascii="Arial" w:hAnsi="Arial" w:cs="Arial"/>
        </w:rPr>
      </w:pPr>
    </w:p>
    <w:p w14:paraId="4DE2DF0D" w14:textId="77777777" w:rsidR="003E75F2" w:rsidRPr="0054067B" w:rsidRDefault="003E75F2" w:rsidP="00E34681">
      <w:pPr>
        <w:spacing w:line="360" w:lineRule="auto"/>
        <w:rPr>
          <w:rFonts w:ascii="Arial" w:hAnsi="Arial" w:cs="Arial"/>
        </w:rPr>
      </w:pPr>
    </w:p>
    <w:p w14:paraId="503E1872" w14:textId="1D409BD6" w:rsidR="0054067B" w:rsidRPr="0054067B" w:rsidRDefault="0054067B" w:rsidP="00E34681">
      <w:pPr>
        <w:spacing w:line="360" w:lineRule="auto"/>
        <w:rPr>
          <w:rFonts w:ascii="Arial" w:hAnsi="Arial" w:cs="Arial"/>
          <w:b/>
          <w:bCs/>
        </w:rPr>
      </w:pPr>
      <w:r w:rsidRPr="0054067B">
        <w:rPr>
          <w:rFonts w:ascii="Arial" w:hAnsi="Arial" w:cs="Arial"/>
          <w:b/>
          <w:bCs/>
        </w:rPr>
        <w:t>5. Conclusion</w:t>
      </w:r>
    </w:p>
    <w:p w14:paraId="268D3E6D" w14:textId="77777777" w:rsidR="0054067B" w:rsidRPr="0054067B" w:rsidRDefault="0054067B" w:rsidP="00E34681">
      <w:pPr>
        <w:spacing w:line="360" w:lineRule="auto"/>
        <w:rPr>
          <w:rFonts w:ascii="Arial" w:hAnsi="Arial" w:cs="Arial"/>
        </w:rPr>
      </w:pPr>
      <w:r w:rsidRPr="0054067B">
        <w:rPr>
          <w:rFonts w:ascii="Arial" w:hAnsi="Arial" w:cs="Arial"/>
        </w:rPr>
        <w:t xml:space="preserve">The evaluation of </w:t>
      </w:r>
      <w:proofErr w:type="spellStart"/>
      <w:r w:rsidRPr="0054067B">
        <w:rPr>
          <w:rFonts w:ascii="Arial" w:hAnsi="Arial" w:cs="Arial"/>
        </w:rPr>
        <w:t>AKPerog</w:t>
      </w:r>
      <w:proofErr w:type="spellEnd"/>
      <w:r w:rsidRPr="0054067B">
        <w:rPr>
          <w:rFonts w:ascii="Arial" w:hAnsi="Arial" w:cs="Arial"/>
        </w:rPr>
        <w:t xml:space="preserve"> Ltd.’s existing information systems demonstrates that the organisation’s operational challenges stem from fragmented, manual and non-integrated processes which are no longer suitable for a multi-store, omnichannel retail environment. The lack of centralised inventory visibility has resulted in fulfilment errors and declining customer satisfaction, while decentralised CRM data inhibits targeted engagement and loyalty-building. Reliance on spreadsheet-based reporting further restricts managerial insight and delays critical decision-making.</w:t>
      </w:r>
    </w:p>
    <w:p w14:paraId="13A09F90" w14:textId="77777777" w:rsidR="0054067B" w:rsidRPr="0054067B" w:rsidRDefault="0054067B" w:rsidP="00E34681">
      <w:pPr>
        <w:spacing w:line="360" w:lineRule="auto"/>
        <w:rPr>
          <w:rFonts w:ascii="Arial" w:hAnsi="Arial" w:cs="Arial"/>
        </w:rPr>
      </w:pPr>
      <w:r w:rsidRPr="0054067B">
        <w:rPr>
          <w:rFonts w:ascii="Arial" w:hAnsi="Arial" w:cs="Arial"/>
        </w:rPr>
        <w:t>The proposed cloud-based ERP solution with integrated CRM and Business Intelligence capabilities directly addresses these limitations by consolidating key processes into a unified architecture. The solution enables real-time inventory synchronisation, centralises customer data for improved engagement, automates reporting and strengthens compliance posture under GDPR. As highlighted throughout the analysis, ERP adoption is not merely a technical upgrade but a strategic enabler of digital maturity, agility and long-term scalability.</w:t>
      </w:r>
    </w:p>
    <w:p w14:paraId="14160120" w14:textId="77777777" w:rsidR="0054067B" w:rsidRDefault="0054067B" w:rsidP="00E34681">
      <w:pPr>
        <w:spacing w:line="360" w:lineRule="auto"/>
        <w:rPr>
          <w:rFonts w:ascii="Arial" w:hAnsi="Arial" w:cs="Arial"/>
        </w:rPr>
      </w:pPr>
      <w:r w:rsidRPr="0054067B">
        <w:rPr>
          <w:rFonts w:ascii="Arial" w:hAnsi="Arial" w:cs="Arial"/>
        </w:rPr>
        <w:t xml:space="preserve">The phased implementation plan ensures operational continuity, emphasises data quality, and supports cultural adoption through structured training. By aligning technology with business strategy, </w:t>
      </w:r>
      <w:proofErr w:type="spellStart"/>
      <w:r w:rsidRPr="0054067B">
        <w:rPr>
          <w:rFonts w:ascii="Arial" w:hAnsi="Arial" w:cs="Arial"/>
        </w:rPr>
        <w:t>AKPerog</w:t>
      </w:r>
      <w:proofErr w:type="spellEnd"/>
      <w:r w:rsidRPr="0054067B">
        <w:rPr>
          <w:rFonts w:ascii="Arial" w:hAnsi="Arial" w:cs="Arial"/>
        </w:rPr>
        <w:t xml:space="preserve"> Ltd. will be able to operate more efficiently, adapt more quickly to changing market conditions and provide a more seamless experience to both in-store and online customers. In the long term, this transformation will enhance competitiveness, protect brand reputation and enable data-driven strategic growth.</w:t>
      </w:r>
    </w:p>
    <w:p w14:paraId="2BA5156C" w14:textId="77777777" w:rsidR="003E75F2" w:rsidRDefault="003E75F2" w:rsidP="00E34681">
      <w:pPr>
        <w:spacing w:line="360" w:lineRule="auto"/>
        <w:rPr>
          <w:rFonts w:ascii="Arial" w:hAnsi="Arial" w:cs="Arial"/>
        </w:rPr>
      </w:pPr>
    </w:p>
    <w:p w14:paraId="10E2F12D" w14:textId="77777777" w:rsidR="003E75F2" w:rsidRDefault="003E75F2" w:rsidP="00E34681">
      <w:pPr>
        <w:spacing w:line="360" w:lineRule="auto"/>
        <w:rPr>
          <w:rFonts w:ascii="Arial" w:hAnsi="Arial" w:cs="Arial"/>
        </w:rPr>
      </w:pPr>
    </w:p>
    <w:p w14:paraId="735D9C75" w14:textId="77777777" w:rsidR="003E75F2" w:rsidRDefault="003E75F2" w:rsidP="00E34681">
      <w:pPr>
        <w:spacing w:line="360" w:lineRule="auto"/>
        <w:rPr>
          <w:rFonts w:ascii="Arial" w:hAnsi="Arial" w:cs="Arial"/>
        </w:rPr>
      </w:pPr>
    </w:p>
    <w:p w14:paraId="0F467618" w14:textId="77777777" w:rsidR="003E75F2" w:rsidRDefault="003E75F2" w:rsidP="00E34681">
      <w:pPr>
        <w:spacing w:line="360" w:lineRule="auto"/>
        <w:rPr>
          <w:rFonts w:ascii="Arial" w:hAnsi="Arial" w:cs="Arial"/>
        </w:rPr>
      </w:pPr>
    </w:p>
    <w:p w14:paraId="6A1A21ED" w14:textId="77777777" w:rsidR="003E75F2" w:rsidRDefault="003E75F2" w:rsidP="00E34681">
      <w:pPr>
        <w:spacing w:line="360" w:lineRule="auto"/>
        <w:rPr>
          <w:rFonts w:ascii="Arial" w:hAnsi="Arial" w:cs="Arial"/>
        </w:rPr>
      </w:pPr>
    </w:p>
    <w:p w14:paraId="65E6A784" w14:textId="77777777" w:rsidR="003E75F2" w:rsidRDefault="003E75F2" w:rsidP="00E34681">
      <w:pPr>
        <w:spacing w:line="360" w:lineRule="auto"/>
        <w:rPr>
          <w:rFonts w:ascii="Arial" w:hAnsi="Arial" w:cs="Arial"/>
        </w:rPr>
      </w:pPr>
    </w:p>
    <w:p w14:paraId="3446E2C9" w14:textId="77777777" w:rsidR="003E75F2" w:rsidRDefault="003E75F2" w:rsidP="00E34681">
      <w:pPr>
        <w:spacing w:line="360" w:lineRule="auto"/>
        <w:rPr>
          <w:rFonts w:ascii="Arial" w:hAnsi="Arial" w:cs="Arial"/>
        </w:rPr>
      </w:pPr>
    </w:p>
    <w:p w14:paraId="5A32270C" w14:textId="77777777" w:rsidR="003E75F2" w:rsidRDefault="003E75F2" w:rsidP="00E34681">
      <w:pPr>
        <w:spacing w:line="360" w:lineRule="auto"/>
        <w:rPr>
          <w:rFonts w:ascii="Arial" w:hAnsi="Arial" w:cs="Arial"/>
        </w:rPr>
      </w:pPr>
    </w:p>
    <w:p w14:paraId="107ADD92" w14:textId="77777777" w:rsidR="003E75F2" w:rsidRDefault="003E75F2" w:rsidP="00E34681">
      <w:pPr>
        <w:spacing w:line="360" w:lineRule="auto"/>
        <w:rPr>
          <w:rFonts w:ascii="Arial" w:hAnsi="Arial" w:cs="Arial"/>
        </w:rPr>
      </w:pPr>
    </w:p>
    <w:p w14:paraId="1FB9549B" w14:textId="77777777" w:rsidR="003E75F2" w:rsidRDefault="003E75F2" w:rsidP="00E34681">
      <w:pPr>
        <w:spacing w:line="360" w:lineRule="auto"/>
        <w:rPr>
          <w:rFonts w:ascii="Arial" w:hAnsi="Arial" w:cs="Arial"/>
        </w:rPr>
      </w:pPr>
    </w:p>
    <w:p w14:paraId="337722FF" w14:textId="77777777" w:rsidR="003E75F2" w:rsidRPr="0054067B" w:rsidRDefault="003E75F2" w:rsidP="00E34681">
      <w:pPr>
        <w:spacing w:line="360" w:lineRule="auto"/>
        <w:rPr>
          <w:rFonts w:ascii="Arial" w:hAnsi="Arial" w:cs="Arial"/>
        </w:rPr>
      </w:pPr>
    </w:p>
    <w:p w14:paraId="2B35E9BD" w14:textId="0ED7550C" w:rsidR="0054067B" w:rsidRPr="0054067B" w:rsidRDefault="00E34681" w:rsidP="00E34681">
      <w:pPr>
        <w:spacing w:line="360" w:lineRule="auto"/>
        <w:rPr>
          <w:rFonts w:ascii="Arial" w:hAnsi="Arial" w:cs="Arial"/>
          <w:b/>
          <w:bCs/>
        </w:rPr>
      </w:pPr>
      <w:r>
        <w:rPr>
          <w:rFonts w:ascii="Arial" w:hAnsi="Arial" w:cs="Arial"/>
          <w:b/>
          <w:bCs/>
        </w:rPr>
        <w:t xml:space="preserve">6. </w:t>
      </w:r>
      <w:r w:rsidR="0054067B" w:rsidRPr="0054067B">
        <w:rPr>
          <w:rFonts w:ascii="Arial" w:hAnsi="Arial" w:cs="Arial"/>
          <w:b/>
          <w:bCs/>
        </w:rPr>
        <w:t>References</w:t>
      </w:r>
    </w:p>
    <w:p w14:paraId="4E54CB94" w14:textId="77777777" w:rsidR="0054067B" w:rsidRPr="0054067B" w:rsidRDefault="0054067B" w:rsidP="00E34681">
      <w:pPr>
        <w:spacing w:line="360" w:lineRule="auto"/>
        <w:rPr>
          <w:rFonts w:ascii="Arial" w:hAnsi="Arial" w:cs="Arial"/>
        </w:rPr>
      </w:pPr>
      <w:r w:rsidRPr="0054067B">
        <w:rPr>
          <w:rFonts w:ascii="Arial" w:hAnsi="Arial" w:cs="Arial"/>
        </w:rPr>
        <w:t xml:space="preserve">Accenture (2022) </w:t>
      </w:r>
      <w:r w:rsidRPr="0054067B">
        <w:rPr>
          <w:rFonts w:ascii="Arial" w:hAnsi="Arial" w:cs="Arial"/>
          <w:i/>
          <w:iCs/>
        </w:rPr>
        <w:t>Retail Systems Transformation Report</w:t>
      </w:r>
      <w:r w:rsidRPr="0054067B">
        <w:rPr>
          <w:rFonts w:ascii="Arial" w:hAnsi="Arial" w:cs="Arial"/>
        </w:rPr>
        <w:t>. Accenture. Available at: https://www.accenture.com (Accessed: 25 October 2025).</w:t>
      </w:r>
    </w:p>
    <w:p w14:paraId="2612D764" w14:textId="77777777" w:rsidR="0054067B" w:rsidRPr="0054067B" w:rsidRDefault="0054067B" w:rsidP="00E34681">
      <w:pPr>
        <w:spacing w:line="360" w:lineRule="auto"/>
        <w:rPr>
          <w:rFonts w:ascii="Arial" w:hAnsi="Arial" w:cs="Arial"/>
        </w:rPr>
      </w:pPr>
      <w:r w:rsidRPr="0054067B">
        <w:rPr>
          <w:rFonts w:ascii="Arial" w:hAnsi="Arial" w:cs="Arial"/>
        </w:rPr>
        <w:t xml:space="preserve">Deloitte (2023) </w:t>
      </w:r>
      <w:r w:rsidRPr="0054067B">
        <w:rPr>
          <w:rFonts w:ascii="Arial" w:hAnsi="Arial" w:cs="Arial"/>
          <w:i/>
          <w:iCs/>
        </w:rPr>
        <w:t>Retail Industry Digitalisation Study</w:t>
      </w:r>
      <w:r w:rsidRPr="0054067B">
        <w:rPr>
          <w:rFonts w:ascii="Arial" w:hAnsi="Arial" w:cs="Arial"/>
        </w:rPr>
        <w:t>. Deloitte. Available at: https://www2.deloitte.com (Accessed: 25 October 2025).</w:t>
      </w:r>
    </w:p>
    <w:p w14:paraId="3BDDDD03" w14:textId="77777777" w:rsidR="0054067B" w:rsidRPr="0054067B" w:rsidRDefault="0054067B" w:rsidP="00E34681">
      <w:pPr>
        <w:spacing w:line="360" w:lineRule="auto"/>
        <w:rPr>
          <w:rFonts w:ascii="Arial" w:hAnsi="Arial" w:cs="Arial"/>
        </w:rPr>
      </w:pPr>
      <w:r w:rsidRPr="0054067B">
        <w:rPr>
          <w:rFonts w:ascii="Arial" w:hAnsi="Arial" w:cs="Arial"/>
        </w:rPr>
        <w:t xml:space="preserve">European Commission (2023) </w:t>
      </w:r>
      <w:r w:rsidRPr="0054067B">
        <w:rPr>
          <w:rFonts w:ascii="Arial" w:hAnsi="Arial" w:cs="Arial"/>
          <w:i/>
          <w:iCs/>
        </w:rPr>
        <w:t>EU General Data Protection Regulation (GDPR): Official Legal Text</w:t>
      </w:r>
      <w:r w:rsidRPr="0054067B">
        <w:rPr>
          <w:rFonts w:ascii="Arial" w:hAnsi="Arial" w:cs="Arial"/>
        </w:rPr>
        <w:t>. Available at: https://gdpr.eu (Accessed: 25 October 2025).</w:t>
      </w:r>
    </w:p>
    <w:p w14:paraId="49749315" w14:textId="77777777" w:rsidR="0054067B" w:rsidRPr="0054067B" w:rsidRDefault="0054067B" w:rsidP="00E34681">
      <w:pPr>
        <w:spacing w:line="360" w:lineRule="auto"/>
        <w:rPr>
          <w:rFonts w:ascii="Arial" w:hAnsi="Arial" w:cs="Arial"/>
        </w:rPr>
      </w:pPr>
      <w:r w:rsidRPr="0054067B">
        <w:rPr>
          <w:rFonts w:ascii="Arial" w:hAnsi="Arial" w:cs="Arial"/>
        </w:rPr>
        <w:t xml:space="preserve">Gartner (2023) </w:t>
      </w:r>
      <w:r w:rsidRPr="0054067B">
        <w:rPr>
          <w:rFonts w:ascii="Arial" w:hAnsi="Arial" w:cs="Arial"/>
          <w:i/>
          <w:iCs/>
        </w:rPr>
        <w:t>ERP Market Guide for Mid-Sized Enterprises</w:t>
      </w:r>
      <w:r w:rsidRPr="0054067B">
        <w:rPr>
          <w:rFonts w:ascii="Arial" w:hAnsi="Arial" w:cs="Arial"/>
        </w:rPr>
        <w:t>. Gartner Inc. Available at: https://www.gartner.com (Accessed: 25 October 2025).</w:t>
      </w:r>
    </w:p>
    <w:p w14:paraId="183B620D" w14:textId="77777777" w:rsidR="0054067B" w:rsidRPr="0054067B" w:rsidRDefault="0054067B" w:rsidP="00E34681">
      <w:pPr>
        <w:spacing w:line="360" w:lineRule="auto"/>
        <w:rPr>
          <w:rFonts w:ascii="Arial" w:hAnsi="Arial" w:cs="Arial"/>
        </w:rPr>
      </w:pPr>
      <w:r w:rsidRPr="0054067B">
        <w:rPr>
          <w:rFonts w:ascii="Arial" w:hAnsi="Arial" w:cs="Arial"/>
        </w:rPr>
        <w:t xml:space="preserve">ICO (2023) </w:t>
      </w:r>
      <w:r w:rsidRPr="0054067B">
        <w:rPr>
          <w:rFonts w:ascii="Arial" w:hAnsi="Arial" w:cs="Arial"/>
          <w:i/>
          <w:iCs/>
        </w:rPr>
        <w:t>Guide to the UK GDPR</w:t>
      </w:r>
      <w:r w:rsidRPr="0054067B">
        <w:rPr>
          <w:rFonts w:ascii="Arial" w:hAnsi="Arial" w:cs="Arial"/>
        </w:rPr>
        <w:t>. Information Commissioner’s Office. Available at: https://ico.org.uk/for-organisations/uk-gdpr-guidance/ (Accessed: 25 October 2025).</w:t>
      </w:r>
    </w:p>
    <w:p w14:paraId="392D42E6" w14:textId="77777777" w:rsidR="0054067B" w:rsidRPr="0054067B" w:rsidRDefault="0054067B" w:rsidP="00E34681">
      <w:pPr>
        <w:spacing w:line="360" w:lineRule="auto"/>
        <w:rPr>
          <w:rFonts w:ascii="Arial" w:hAnsi="Arial" w:cs="Arial"/>
        </w:rPr>
      </w:pPr>
      <w:r w:rsidRPr="0054067B">
        <w:rPr>
          <w:rFonts w:ascii="Arial" w:hAnsi="Arial" w:cs="Arial"/>
        </w:rPr>
        <w:t xml:space="preserve">IDC (2022) </w:t>
      </w:r>
      <w:r w:rsidRPr="0054067B">
        <w:rPr>
          <w:rFonts w:ascii="Arial" w:hAnsi="Arial" w:cs="Arial"/>
          <w:i/>
          <w:iCs/>
        </w:rPr>
        <w:t>Cloud ERP Adoption Trends 2022</w:t>
      </w:r>
      <w:r w:rsidRPr="0054067B">
        <w:rPr>
          <w:rFonts w:ascii="Arial" w:hAnsi="Arial" w:cs="Arial"/>
        </w:rPr>
        <w:t xml:space="preserve">. IDC </w:t>
      </w:r>
      <w:proofErr w:type="spellStart"/>
      <w:r w:rsidRPr="0054067B">
        <w:rPr>
          <w:rFonts w:ascii="Arial" w:hAnsi="Arial" w:cs="Arial"/>
        </w:rPr>
        <w:t>MarketScape</w:t>
      </w:r>
      <w:proofErr w:type="spellEnd"/>
      <w:r w:rsidRPr="0054067B">
        <w:rPr>
          <w:rFonts w:ascii="Arial" w:hAnsi="Arial" w:cs="Arial"/>
        </w:rPr>
        <w:t>. Available at: https://www.idc.com (Accessed: 25 October 2025).</w:t>
      </w:r>
    </w:p>
    <w:p w14:paraId="186C318C" w14:textId="77777777" w:rsidR="0054067B" w:rsidRPr="0054067B" w:rsidRDefault="0054067B" w:rsidP="00E34681">
      <w:pPr>
        <w:spacing w:line="360" w:lineRule="auto"/>
        <w:rPr>
          <w:rFonts w:ascii="Arial" w:hAnsi="Arial" w:cs="Arial"/>
        </w:rPr>
      </w:pPr>
      <w:r w:rsidRPr="0054067B">
        <w:rPr>
          <w:rFonts w:ascii="Arial" w:hAnsi="Arial" w:cs="Arial"/>
        </w:rPr>
        <w:t xml:space="preserve">Laudon, K.C. and Laudon, J.P. (2022) </w:t>
      </w:r>
      <w:r w:rsidRPr="0054067B">
        <w:rPr>
          <w:rFonts w:ascii="Arial" w:hAnsi="Arial" w:cs="Arial"/>
          <w:i/>
          <w:iCs/>
        </w:rPr>
        <w:t>Management Information Systems: Managing the Digital Firm</w:t>
      </w:r>
      <w:r w:rsidRPr="0054067B">
        <w:rPr>
          <w:rFonts w:ascii="Arial" w:hAnsi="Arial" w:cs="Arial"/>
        </w:rPr>
        <w:t xml:space="preserve">. 17th </w:t>
      </w:r>
      <w:proofErr w:type="spellStart"/>
      <w:r w:rsidRPr="0054067B">
        <w:rPr>
          <w:rFonts w:ascii="Arial" w:hAnsi="Arial" w:cs="Arial"/>
        </w:rPr>
        <w:t>edn</w:t>
      </w:r>
      <w:proofErr w:type="spellEnd"/>
      <w:r w:rsidRPr="0054067B">
        <w:rPr>
          <w:rFonts w:ascii="Arial" w:hAnsi="Arial" w:cs="Arial"/>
        </w:rPr>
        <w:t>. Harlow: Pearson.</w:t>
      </w:r>
    </w:p>
    <w:p w14:paraId="09B57FFC" w14:textId="77777777" w:rsidR="0054067B" w:rsidRPr="0054067B" w:rsidRDefault="0054067B" w:rsidP="00E34681">
      <w:pPr>
        <w:spacing w:line="360" w:lineRule="auto"/>
        <w:rPr>
          <w:rFonts w:ascii="Arial" w:hAnsi="Arial" w:cs="Arial"/>
        </w:rPr>
      </w:pPr>
      <w:r w:rsidRPr="0054067B">
        <w:rPr>
          <w:rFonts w:ascii="Arial" w:hAnsi="Arial" w:cs="Arial"/>
        </w:rPr>
        <w:t xml:space="preserve">McKinsey (2022) </w:t>
      </w:r>
      <w:r w:rsidRPr="0054067B">
        <w:rPr>
          <w:rFonts w:ascii="Arial" w:hAnsi="Arial" w:cs="Arial"/>
          <w:i/>
          <w:iCs/>
        </w:rPr>
        <w:t>Personalisation in Retail: ROI and Retention Analysis</w:t>
      </w:r>
      <w:r w:rsidRPr="0054067B">
        <w:rPr>
          <w:rFonts w:ascii="Arial" w:hAnsi="Arial" w:cs="Arial"/>
        </w:rPr>
        <w:t>. McKinsey &amp; Company. Available at: https://www.mckinsey.com (Accessed: 25 October 2025).</w:t>
      </w:r>
    </w:p>
    <w:p w14:paraId="12FB9BE6" w14:textId="77777777" w:rsidR="0054067B" w:rsidRPr="0054067B" w:rsidRDefault="0054067B" w:rsidP="00E34681">
      <w:pPr>
        <w:spacing w:line="360" w:lineRule="auto"/>
        <w:rPr>
          <w:rFonts w:ascii="Arial" w:hAnsi="Arial" w:cs="Arial"/>
        </w:rPr>
      </w:pPr>
      <w:r w:rsidRPr="0054067B">
        <w:rPr>
          <w:rFonts w:ascii="Arial" w:hAnsi="Arial" w:cs="Arial"/>
        </w:rPr>
        <w:t xml:space="preserve">O’Brien, J.A. and </w:t>
      </w:r>
      <w:proofErr w:type="spellStart"/>
      <w:r w:rsidRPr="0054067B">
        <w:rPr>
          <w:rFonts w:ascii="Arial" w:hAnsi="Arial" w:cs="Arial"/>
        </w:rPr>
        <w:t>Marakas</w:t>
      </w:r>
      <w:proofErr w:type="spellEnd"/>
      <w:r w:rsidRPr="0054067B">
        <w:rPr>
          <w:rFonts w:ascii="Arial" w:hAnsi="Arial" w:cs="Arial"/>
        </w:rPr>
        <w:t xml:space="preserve">, G.M. (2019) </w:t>
      </w:r>
      <w:r w:rsidRPr="0054067B">
        <w:rPr>
          <w:rFonts w:ascii="Arial" w:hAnsi="Arial" w:cs="Arial"/>
          <w:i/>
          <w:iCs/>
        </w:rPr>
        <w:t>Introduction to Information Systems</w:t>
      </w:r>
      <w:r w:rsidRPr="0054067B">
        <w:rPr>
          <w:rFonts w:ascii="Arial" w:hAnsi="Arial" w:cs="Arial"/>
        </w:rPr>
        <w:t xml:space="preserve">. 17th </w:t>
      </w:r>
      <w:proofErr w:type="spellStart"/>
      <w:r w:rsidRPr="0054067B">
        <w:rPr>
          <w:rFonts w:ascii="Arial" w:hAnsi="Arial" w:cs="Arial"/>
        </w:rPr>
        <w:t>edn</w:t>
      </w:r>
      <w:proofErr w:type="spellEnd"/>
      <w:r w:rsidRPr="0054067B">
        <w:rPr>
          <w:rFonts w:ascii="Arial" w:hAnsi="Arial" w:cs="Arial"/>
        </w:rPr>
        <w:t>. New York: McGraw-Hill Education.</w:t>
      </w:r>
    </w:p>
    <w:p w14:paraId="5998869E" w14:textId="77777777" w:rsidR="0054067B" w:rsidRPr="0054067B" w:rsidRDefault="0054067B" w:rsidP="00E34681">
      <w:pPr>
        <w:spacing w:line="360" w:lineRule="auto"/>
        <w:rPr>
          <w:rFonts w:ascii="Arial" w:hAnsi="Arial" w:cs="Arial"/>
        </w:rPr>
      </w:pPr>
      <w:r w:rsidRPr="0054067B">
        <w:rPr>
          <w:rFonts w:ascii="Arial" w:hAnsi="Arial" w:cs="Arial"/>
        </w:rPr>
        <w:t xml:space="preserve">PwC (2023) </w:t>
      </w:r>
      <w:r w:rsidRPr="0054067B">
        <w:rPr>
          <w:rFonts w:ascii="Arial" w:hAnsi="Arial" w:cs="Arial"/>
          <w:i/>
          <w:iCs/>
        </w:rPr>
        <w:t>Global Retail Outlook 2023</w:t>
      </w:r>
      <w:r w:rsidRPr="0054067B">
        <w:rPr>
          <w:rFonts w:ascii="Arial" w:hAnsi="Arial" w:cs="Arial"/>
        </w:rPr>
        <w:t>. PwC. Available at: https://www.pwc.com (Accessed: 25 October 2025).</w:t>
      </w:r>
    </w:p>
    <w:p w14:paraId="4DD76B89" w14:textId="77777777" w:rsidR="005F5EE3" w:rsidRPr="00E34681" w:rsidRDefault="005F5EE3" w:rsidP="00E34681">
      <w:pPr>
        <w:spacing w:line="360" w:lineRule="auto"/>
        <w:rPr>
          <w:rFonts w:ascii="Arial" w:hAnsi="Arial" w:cs="Arial"/>
        </w:rPr>
      </w:pPr>
    </w:p>
    <w:sectPr w:rsidR="005F5EE3" w:rsidRPr="00E346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A2A"/>
    <w:rsid w:val="001839D6"/>
    <w:rsid w:val="003E75F2"/>
    <w:rsid w:val="00446A2A"/>
    <w:rsid w:val="0054067B"/>
    <w:rsid w:val="005F5EE3"/>
    <w:rsid w:val="00742CFE"/>
    <w:rsid w:val="00B7258C"/>
    <w:rsid w:val="00D25087"/>
    <w:rsid w:val="00E34681"/>
    <w:rsid w:val="00EC1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B492D"/>
  <w15:chartTrackingRefBased/>
  <w15:docId w15:val="{3CDD4CC9-AE3C-4A90-8CF8-A22A9B224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A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6A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6A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A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6A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6A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A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A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A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A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6A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6A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6A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6A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6A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A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A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A2A"/>
    <w:rPr>
      <w:rFonts w:eastAsiaTheme="majorEastAsia" w:cstheme="majorBidi"/>
      <w:color w:val="272727" w:themeColor="text1" w:themeTint="D8"/>
    </w:rPr>
  </w:style>
  <w:style w:type="paragraph" w:styleId="Title">
    <w:name w:val="Title"/>
    <w:basedOn w:val="Normal"/>
    <w:next w:val="Normal"/>
    <w:link w:val="TitleChar"/>
    <w:uiPriority w:val="10"/>
    <w:qFormat/>
    <w:rsid w:val="00446A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A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A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A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A2A"/>
    <w:pPr>
      <w:spacing w:before="160"/>
      <w:jc w:val="center"/>
    </w:pPr>
    <w:rPr>
      <w:i/>
      <w:iCs/>
      <w:color w:val="404040" w:themeColor="text1" w:themeTint="BF"/>
    </w:rPr>
  </w:style>
  <w:style w:type="character" w:customStyle="1" w:styleId="QuoteChar">
    <w:name w:val="Quote Char"/>
    <w:basedOn w:val="DefaultParagraphFont"/>
    <w:link w:val="Quote"/>
    <w:uiPriority w:val="29"/>
    <w:rsid w:val="00446A2A"/>
    <w:rPr>
      <w:i/>
      <w:iCs/>
      <w:color w:val="404040" w:themeColor="text1" w:themeTint="BF"/>
    </w:rPr>
  </w:style>
  <w:style w:type="paragraph" w:styleId="ListParagraph">
    <w:name w:val="List Paragraph"/>
    <w:basedOn w:val="Normal"/>
    <w:uiPriority w:val="34"/>
    <w:qFormat/>
    <w:rsid w:val="00446A2A"/>
    <w:pPr>
      <w:ind w:left="720"/>
      <w:contextualSpacing/>
    </w:pPr>
  </w:style>
  <w:style w:type="character" w:styleId="IntenseEmphasis">
    <w:name w:val="Intense Emphasis"/>
    <w:basedOn w:val="DefaultParagraphFont"/>
    <w:uiPriority w:val="21"/>
    <w:qFormat/>
    <w:rsid w:val="00446A2A"/>
    <w:rPr>
      <w:i/>
      <w:iCs/>
      <w:color w:val="0F4761" w:themeColor="accent1" w:themeShade="BF"/>
    </w:rPr>
  </w:style>
  <w:style w:type="paragraph" w:styleId="IntenseQuote">
    <w:name w:val="Intense Quote"/>
    <w:basedOn w:val="Normal"/>
    <w:next w:val="Normal"/>
    <w:link w:val="IntenseQuoteChar"/>
    <w:uiPriority w:val="30"/>
    <w:qFormat/>
    <w:rsid w:val="00446A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A2A"/>
    <w:rPr>
      <w:i/>
      <w:iCs/>
      <w:color w:val="0F4761" w:themeColor="accent1" w:themeShade="BF"/>
    </w:rPr>
  </w:style>
  <w:style w:type="character" w:styleId="IntenseReference">
    <w:name w:val="Intense Reference"/>
    <w:basedOn w:val="DefaultParagraphFont"/>
    <w:uiPriority w:val="32"/>
    <w:qFormat/>
    <w:rsid w:val="00446A2A"/>
    <w:rPr>
      <w:b/>
      <w:bCs/>
      <w:smallCaps/>
      <w:color w:val="0F4761" w:themeColor="accent1" w:themeShade="BF"/>
      <w:spacing w:val="5"/>
    </w:rPr>
  </w:style>
  <w:style w:type="character" w:styleId="Hyperlink">
    <w:name w:val="Hyperlink"/>
    <w:basedOn w:val="DefaultParagraphFont"/>
    <w:uiPriority w:val="99"/>
    <w:unhideWhenUsed/>
    <w:rsid w:val="0054067B"/>
    <w:rPr>
      <w:color w:val="467886" w:themeColor="hyperlink"/>
      <w:u w:val="single"/>
    </w:rPr>
  </w:style>
  <w:style w:type="character" w:styleId="UnresolvedMention">
    <w:name w:val="Unresolved Mention"/>
    <w:basedOn w:val="DefaultParagraphFont"/>
    <w:uiPriority w:val="99"/>
    <w:semiHidden/>
    <w:unhideWhenUsed/>
    <w:rsid w:val="005406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9</Pages>
  <Words>2488</Words>
  <Characters>14186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Dica Cristian</dc:creator>
  <cp:keywords/>
  <dc:description/>
  <cp:lastModifiedBy>Dica Cristian</cp:lastModifiedBy>
  <cp:revision>1</cp:revision>
  <dcterms:created xsi:type="dcterms:W3CDTF">2025-10-26T09:55:00Z</dcterms:created>
  <dcterms:modified xsi:type="dcterms:W3CDTF">2025-11-08T09:10:00Z</dcterms:modified>
</cp:coreProperties>
</file>