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39D06A">
      <w:pPr>
        <w:jc w:val="center"/>
        <w:rPr>
          <w:b/>
          <w:bCs/>
          <w:sz w:val="32"/>
          <w:szCs w:val="32"/>
          <w:lang w:val="en-GB"/>
        </w:rPr>
      </w:pPr>
    </w:p>
    <w:p w14:paraId="24FD5231">
      <w:pPr>
        <w:jc w:val="center"/>
        <w:rPr>
          <w:b/>
          <w:bCs/>
          <w:sz w:val="32"/>
          <w:szCs w:val="32"/>
          <w:lang w:val="en-GB"/>
        </w:rPr>
      </w:pPr>
    </w:p>
    <w:p w14:paraId="2546F9EB">
      <w:pPr>
        <w:jc w:val="center"/>
        <w:rPr>
          <w:b/>
          <w:bCs/>
          <w:sz w:val="32"/>
          <w:szCs w:val="32"/>
          <w:lang w:val="en-GB"/>
        </w:rPr>
      </w:pPr>
    </w:p>
    <w:p w14:paraId="2EEE773A">
      <w:pPr>
        <w:jc w:val="center"/>
        <w:rPr>
          <w:b/>
          <w:bCs/>
          <w:sz w:val="32"/>
          <w:szCs w:val="32"/>
          <w:lang w:val="en-GB"/>
        </w:rPr>
      </w:pPr>
    </w:p>
    <w:p w14:paraId="0D60B128">
      <w:pPr>
        <w:jc w:val="center"/>
        <w:rPr>
          <w:b/>
          <w:bCs/>
          <w:sz w:val="32"/>
          <w:szCs w:val="32"/>
          <w:lang w:val="en-GB"/>
        </w:rPr>
      </w:pPr>
    </w:p>
    <w:p w14:paraId="51791124">
      <w:pPr>
        <w:jc w:val="center"/>
        <w:rPr>
          <w:b/>
          <w:bCs/>
          <w:sz w:val="32"/>
          <w:szCs w:val="32"/>
          <w:lang w:val="en-GB"/>
        </w:rPr>
      </w:pPr>
    </w:p>
    <w:p w14:paraId="2C93621A">
      <w:pPr>
        <w:jc w:val="center"/>
        <w:rPr>
          <w:b/>
          <w:bCs/>
          <w:sz w:val="32"/>
          <w:szCs w:val="32"/>
          <w:lang w:val="en-GB"/>
        </w:rPr>
      </w:pPr>
    </w:p>
    <w:p w14:paraId="2D2758FC">
      <w:pPr>
        <w:jc w:val="center"/>
        <w:rPr>
          <w:b/>
          <w:bCs/>
          <w:sz w:val="32"/>
          <w:szCs w:val="32"/>
          <w:lang w:val="en-GB"/>
        </w:rPr>
      </w:pPr>
    </w:p>
    <w:p w14:paraId="598D97B5">
      <w:pPr>
        <w:jc w:val="center"/>
        <w:rPr>
          <w:b/>
          <w:bCs/>
          <w:sz w:val="32"/>
          <w:szCs w:val="32"/>
          <w:lang w:val="en-GB"/>
        </w:rPr>
      </w:pPr>
    </w:p>
    <w:p w14:paraId="2801E4A1">
      <w:pPr>
        <w:jc w:val="center"/>
        <w:rPr>
          <w:b/>
          <w:bCs/>
          <w:sz w:val="32"/>
          <w:szCs w:val="32"/>
          <w:lang w:val="en-GB"/>
        </w:rPr>
      </w:pPr>
      <w:r>
        <w:rPr>
          <w:b/>
          <w:bCs/>
          <w:sz w:val="32"/>
          <w:szCs w:val="32"/>
          <w:lang w:val="en-GB"/>
        </w:rPr>
        <w:t>Programme: Certificate of Higher Education Skills for the Workplace (Health &amp; Social Care)</w:t>
      </w:r>
    </w:p>
    <w:p w14:paraId="0FE20E74">
      <w:pPr>
        <w:jc w:val="center"/>
        <w:rPr>
          <w:b/>
          <w:bCs/>
          <w:sz w:val="32"/>
          <w:szCs w:val="32"/>
          <w:lang w:val="en-GB"/>
        </w:rPr>
      </w:pPr>
    </w:p>
    <w:p w14:paraId="6BACC136">
      <w:pPr>
        <w:jc w:val="center"/>
        <w:rPr>
          <w:b/>
          <w:bCs/>
          <w:sz w:val="32"/>
          <w:szCs w:val="32"/>
          <w:lang w:val="en-GB"/>
        </w:rPr>
      </w:pPr>
      <w:r>
        <w:rPr>
          <w:b/>
          <w:bCs/>
          <w:sz w:val="32"/>
          <w:szCs w:val="32"/>
          <w:lang w:val="en-GB"/>
        </w:rPr>
        <w:t>Module: Psychology in Health and Social Care</w:t>
      </w:r>
    </w:p>
    <w:p w14:paraId="6F0DC578">
      <w:pPr>
        <w:jc w:val="center"/>
        <w:rPr>
          <w:b/>
          <w:bCs/>
          <w:sz w:val="32"/>
          <w:szCs w:val="32"/>
          <w:lang w:val="en-GB"/>
        </w:rPr>
      </w:pPr>
    </w:p>
    <w:p w14:paraId="5D7D34D1">
      <w:pPr>
        <w:jc w:val="center"/>
        <w:rPr>
          <w:b/>
          <w:bCs/>
          <w:sz w:val="32"/>
          <w:szCs w:val="32"/>
          <w:lang w:val="en-GB"/>
        </w:rPr>
      </w:pPr>
      <w:r>
        <w:rPr>
          <w:b/>
          <w:bCs/>
          <w:sz w:val="32"/>
          <w:szCs w:val="32"/>
          <w:lang w:val="en-GB"/>
        </w:rPr>
        <w:t xml:space="preserve">Module code: LCHS4010 </w:t>
      </w:r>
    </w:p>
    <w:p w14:paraId="49B82912">
      <w:pPr>
        <w:jc w:val="center"/>
        <w:rPr>
          <w:b/>
          <w:bCs/>
          <w:sz w:val="32"/>
          <w:szCs w:val="32"/>
          <w:lang w:val="en-GB"/>
        </w:rPr>
      </w:pPr>
    </w:p>
    <w:p w14:paraId="27602E0A">
      <w:pPr>
        <w:jc w:val="center"/>
        <w:rPr>
          <w:b/>
          <w:bCs/>
          <w:sz w:val="32"/>
          <w:szCs w:val="32"/>
          <w:lang w:val="en-GB"/>
        </w:rPr>
      </w:pPr>
      <w:r>
        <w:rPr>
          <w:b/>
          <w:bCs/>
          <w:sz w:val="32"/>
          <w:szCs w:val="32"/>
          <w:lang w:val="en-GB"/>
        </w:rPr>
        <w:t>Module Lead: Jolly Nwanko</w:t>
      </w:r>
    </w:p>
    <w:p w14:paraId="2FD2EFA1">
      <w:pPr>
        <w:jc w:val="center"/>
        <w:rPr>
          <w:b/>
          <w:bCs/>
          <w:sz w:val="32"/>
          <w:szCs w:val="32"/>
          <w:lang w:val="en-GB"/>
        </w:rPr>
      </w:pPr>
      <w:r>
        <w:rPr>
          <w:b/>
          <w:bCs/>
          <w:sz w:val="32"/>
          <w:szCs w:val="32"/>
          <w:lang w:val="en-GB"/>
        </w:rPr>
        <w:t>Assignment Title: Assignment 2: Written Task Booklet</w:t>
      </w:r>
    </w:p>
    <w:p w14:paraId="2140F2EF">
      <w:pPr>
        <w:jc w:val="center"/>
        <w:rPr>
          <w:b/>
          <w:bCs/>
          <w:sz w:val="32"/>
          <w:szCs w:val="32"/>
          <w:lang w:val="en-GB"/>
        </w:rPr>
      </w:pPr>
    </w:p>
    <w:p w14:paraId="2BE04338">
      <w:pPr>
        <w:spacing w:line="360" w:lineRule="auto"/>
        <w:jc w:val="center"/>
        <w:rPr>
          <w:b/>
          <w:color w:val="000000" w:themeColor="text1"/>
          <w:sz w:val="32"/>
          <w:szCs w:val="32"/>
          <w14:textFill>
            <w14:solidFill>
              <w14:schemeClr w14:val="tx1"/>
            </w14:solidFill>
          </w14:textFill>
        </w:rPr>
      </w:pPr>
      <w:r>
        <w:rPr>
          <w:rFonts w:hint="default"/>
          <w:b/>
          <w:color w:val="000000" w:themeColor="text1"/>
          <w:sz w:val="32"/>
          <w:szCs w:val="32"/>
          <w14:textFill>
            <w14:solidFill>
              <w14:schemeClr w14:val="tx1"/>
            </w14:solidFill>
          </w14:textFill>
        </w:rPr>
        <w:t>Student ID - 2328060</w:t>
      </w:r>
    </w:p>
    <w:p w14:paraId="2151951A">
      <w:pPr>
        <w:jc w:val="center"/>
        <w:rPr>
          <w:rFonts w:hint="default"/>
          <w:b/>
          <w:color w:val="000000" w:themeColor="text1"/>
          <w:sz w:val="32"/>
          <w:szCs w:val="32"/>
          <w:lang w:val="en-GB"/>
          <w14:textFill>
            <w14:solidFill>
              <w14:schemeClr w14:val="tx1"/>
            </w14:solidFill>
          </w14:textFill>
        </w:rPr>
      </w:pPr>
      <w:r>
        <w:rPr>
          <w:b/>
          <w:color w:val="000000" w:themeColor="text1"/>
          <w:sz w:val="32"/>
          <w:szCs w:val="32"/>
          <w14:textFill>
            <w14:solidFill>
              <w14:schemeClr w14:val="tx1"/>
            </w14:solidFill>
          </w14:textFill>
        </w:rPr>
        <w:t>Student Name: Mihaela</w:t>
      </w:r>
      <w:r>
        <w:rPr>
          <w:rFonts w:hint="default"/>
          <w:b/>
          <w:color w:val="000000" w:themeColor="text1"/>
          <w:sz w:val="32"/>
          <w:szCs w:val="32"/>
          <w:lang w:val="en-GB"/>
          <w14:textFill>
            <w14:solidFill>
              <w14:schemeClr w14:val="tx1"/>
            </w14:solidFill>
          </w14:textFill>
        </w:rPr>
        <w:t xml:space="preserve"> Biro</w:t>
      </w:r>
    </w:p>
    <w:p w14:paraId="42916A5F">
      <w:pPr>
        <w:jc w:val="center"/>
        <w:rPr>
          <w:rFonts w:hint="default"/>
          <w:b/>
          <w:color w:val="000000" w:themeColor="text1"/>
          <w:sz w:val="32"/>
          <w:szCs w:val="32"/>
          <w:lang w:val="en-GB"/>
          <w14:textFill>
            <w14:solidFill>
              <w14:schemeClr w14:val="tx1"/>
            </w14:solidFill>
          </w14:textFill>
        </w:rPr>
      </w:pPr>
    </w:p>
    <w:p w14:paraId="4A3FBD98">
      <w:pPr>
        <w:jc w:val="center"/>
        <w:rPr>
          <w:b/>
          <w:bCs/>
          <w:sz w:val="32"/>
          <w:szCs w:val="32"/>
          <w:lang w:val="en-GB"/>
        </w:rPr>
      </w:pPr>
      <w:r>
        <w:rPr>
          <w:b/>
          <w:bCs/>
          <w:sz w:val="32"/>
          <w:szCs w:val="32"/>
          <w:lang w:val="en-GB"/>
        </w:rPr>
        <w:t>Words: 1520</w:t>
      </w:r>
    </w:p>
    <w:p w14:paraId="0A593C59">
      <w:pPr>
        <w:jc w:val="center"/>
        <w:rPr>
          <w:b/>
          <w:bCs/>
          <w:sz w:val="32"/>
          <w:szCs w:val="32"/>
          <w:lang w:val="en-GB"/>
        </w:rPr>
      </w:pPr>
    </w:p>
    <w:p w14:paraId="1C6CEACA">
      <w:pPr>
        <w:jc w:val="center"/>
        <w:rPr>
          <w:b/>
          <w:bCs/>
          <w:sz w:val="32"/>
          <w:szCs w:val="32"/>
          <w:lang w:val="en-GB"/>
        </w:rPr>
      </w:pPr>
    </w:p>
    <w:p w14:paraId="197813AA">
      <w:pPr>
        <w:jc w:val="center"/>
        <w:rPr>
          <w:b/>
          <w:bCs/>
          <w:sz w:val="32"/>
          <w:szCs w:val="32"/>
          <w:lang w:val="en-GB"/>
        </w:rPr>
      </w:pPr>
    </w:p>
    <w:p w14:paraId="2E9710CA">
      <w:pPr>
        <w:jc w:val="center"/>
        <w:rPr>
          <w:b/>
          <w:bCs/>
          <w:sz w:val="32"/>
          <w:szCs w:val="32"/>
          <w:lang w:val="en-GB"/>
        </w:rPr>
      </w:pPr>
    </w:p>
    <w:p w14:paraId="746BD96A">
      <w:pPr>
        <w:jc w:val="center"/>
        <w:rPr>
          <w:b/>
          <w:bCs/>
          <w:sz w:val="32"/>
          <w:szCs w:val="32"/>
          <w:lang w:val="en-GB"/>
        </w:rPr>
      </w:pPr>
    </w:p>
    <w:p w14:paraId="6880B503">
      <w:pPr>
        <w:jc w:val="center"/>
        <w:rPr>
          <w:b/>
          <w:bCs/>
          <w:sz w:val="32"/>
          <w:szCs w:val="32"/>
          <w:lang w:val="en-GB"/>
        </w:rPr>
      </w:pPr>
    </w:p>
    <w:p w14:paraId="2CAD1785">
      <w:pPr>
        <w:jc w:val="center"/>
        <w:rPr>
          <w:b/>
          <w:bCs/>
          <w:sz w:val="32"/>
          <w:szCs w:val="32"/>
          <w:lang w:val="en-GB"/>
        </w:rPr>
      </w:pPr>
    </w:p>
    <w:p w14:paraId="076C2495">
      <w:pPr>
        <w:jc w:val="center"/>
        <w:rPr>
          <w:b/>
          <w:bCs/>
          <w:sz w:val="32"/>
          <w:szCs w:val="32"/>
          <w:lang w:val="en-GB"/>
        </w:rPr>
      </w:pPr>
    </w:p>
    <w:p w14:paraId="5AC424BF">
      <w:pPr>
        <w:rPr>
          <w:lang w:val="en-GB"/>
        </w:rPr>
      </w:pPr>
      <w:bookmarkStart w:id="0" w:name="_heading=h.xhrhucf0rqk3" w:colFirst="0" w:colLast="0"/>
      <w:bookmarkEnd w:id="0"/>
    </w:p>
    <w:p w14:paraId="31C28B34">
      <w:pPr>
        <w:jc w:val="center"/>
        <w:rPr>
          <w:b/>
          <w:bCs/>
          <w:lang w:val="en-GB"/>
        </w:rPr>
      </w:pPr>
      <w:r>
        <w:rPr>
          <w:b/>
          <w:bCs/>
          <w:lang w:val="en-GB"/>
        </w:rPr>
        <w:t>Table of Contents</w:t>
      </w:r>
    </w:p>
    <w:sdt>
      <w:sdtPr>
        <w:rPr>
          <w:lang w:val="en-GB"/>
        </w:rPr>
        <w:id w:val="-806345360"/>
        <w:docPartObj>
          <w:docPartGallery w:val="Table of Contents"/>
          <w:docPartUnique/>
        </w:docPartObj>
      </w:sdtPr>
      <w:sdtEndPr>
        <w:rPr>
          <w:lang w:val="en-GB"/>
        </w:rPr>
      </w:sdtEndPr>
      <w:sdtContent>
        <w:p w14:paraId="2403D4A8">
          <w:pPr>
            <w:pStyle w:val="15"/>
            <w:tabs>
              <w:tab w:val="right" w:leader="dot" w:pos="9019"/>
            </w:tabs>
            <w:rPr>
              <w:rFonts w:asciiTheme="minorHAnsi" w:hAnsiTheme="minorHAnsi" w:eastAsiaTheme="minorEastAsia" w:cstheme="minorBidi"/>
              <w:kern w:val="2"/>
              <w:sz w:val="24"/>
              <w:szCs w:val="24"/>
              <w:lang w:val="en-GB"/>
              <w14:ligatures w14:val="standardContextual"/>
            </w:rPr>
          </w:pPr>
          <w:r>
            <w:rPr>
              <w:lang w:val="en-GB"/>
            </w:rPr>
            <w:fldChar w:fldCharType="begin"/>
          </w:r>
          <w:r>
            <w:rPr>
              <w:lang w:val="en-GB"/>
            </w:rPr>
            <w:instrText xml:space="preserve"> TOC \h \u \z \t "Heading 1,1,Heading 2,2,Heading 3,3,"</w:instrText>
          </w:r>
          <w:r>
            <w:rPr>
              <w:lang w:val="en-GB"/>
            </w:rPr>
            <w:fldChar w:fldCharType="separate"/>
          </w:r>
          <w:r>
            <w:fldChar w:fldCharType="begin"/>
          </w:r>
          <w:r>
            <w:instrText xml:space="preserve"> HYPERLINK \l "_Toc215597358" </w:instrText>
          </w:r>
          <w:r>
            <w:fldChar w:fldCharType="separate"/>
          </w:r>
          <w:r>
            <w:rPr>
              <w:rStyle w:val="12"/>
              <w:lang w:val="en-GB"/>
            </w:rPr>
            <w:t>Introduction</w:t>
          </w:r>
          <w:r>
            <w:rPr>
              <w:lang w:val="en-GB"/>
            </w:rPr>
            <w:tab/>
          </w:r>
          <w:r>
            <w:rPr>
              <w:lang w:val="en-GB"/>
            </w:rPr>
            <w:fldChar w:fldCharType="begin"/>
          </w:r>
          <w:r>
            <w:rPr>
              <w:lang w:val="en-GB"/>
            </w:rPr>
            <w:instrText xml:space="preserve"> PAGEREF _Toc215597358 \h </w:instrText>
          </w:r>
          <w:r>
            <w:rPr>
              <w:lang w:val="en-GB"/>
            </w:rPr>
            <w:fldChar w:fldCharType="separate"/>
          </w:r>
          <w:r>
            <w:rPr>
              <w:lang w:val="en-GB"/>
            </w:rPr>
            <w:t>2</w:t>
          </w:r>
          <w:r>
            <w:rPr>
              <w:lang w:val="en-GB"/>
            </w:rPr>
            <w:fldChar w:fldCharType="end"/>
          </w:r>
          <w:r>
            <w:rPr>
              <w:lang w:val="en-GB"/>
            </w:rPr>
            <w:fldChar w:fldCharType="end"/>
          </w:r>
        </w:p>
        <w:p w14:paraId="4201F6B7">
          <w:pPr>
            <w:pStyle w:val="15"/>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"_Toc215597359" </w:instrText>
          </w:r>
          <w:r>
            <w:fldChar w:fldCharType="separate"/>
          </w:r>
          <w:r>
            <w:rPr>
              <w:rStyle w:val="12"/>
              <w:lang w:val="en-GB"/>
            </w:rPr>
            <w:t>Discussion of nature and nurture</w:t>
          </w:r>
          <w:r>
            <w:rPr>
              <w:lang w:val="en-GB"/>
            </w:rPr>
            <w:tab/>
          </w:r>
          <w:r>
            <w:rPr>
              <w:lang w:val="en-GB"/>
            </w:rPr>
            <w:fldChar w:fldCharType="begin"/>
          </w:r>
          <w:r>
            <w:rPr>
              <w:lang w:val="en-GB"/>
            </w:rPr>
            <w:instrText xml:space="preserve"> PAGEREF _Toc215597359 \h </w:instrText>
          </w:r>
          <w:r>
            <w:rPr>
              <w:lang w:val="en-GB"/>
            </w:rPr>
            <w:fldChar w:fldCharType="separate"/>
          </w:r>
          <w:r>
            <w:rPr>
              <w:lang w:val="en-GB"/>
            </w:rPr>
            <w:t>2</w:t>
          </w:r>
          <w:r>
            <w:rPr>
              <w:lang w:val="en-GB"/>
            </w:rPr>
            <w:fldChar w:fldCharType="end"/>
          </w:r>
          <w:r>
            <w:rPr>
              <w:lang w:val="en-GB"/>
            </w:rPr>
            <w:fldChar w:fldCharType="end"/>
          </w:r>
        </w:p>
        <w:p w14:paraId="6062A178">
          <w:pPr>
            <w:pStyle w:val="16"/>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"_Toc215597360" </w:instrText>
          </w:r>
          <w:r>
            <w:fldChar w:fldCharType="separate"/>
          </w:r>
          <w:r>
            <w:rPr>
              <w:rStyle w:val="12"/>
              <w:lang w:val="en-GB"/>
            </w:rPr>
            <w:t>Analysis of the interaction and impact of environmental and biological factors on the psychological development</w:t>
          </w:r>
          <w:r>
            <w:rPr>
              <w:lang w:val="en-GB"/>
            </w:rPr>
            <w:tab/>
          </w:r>
          <w:r>
            <w:rPr>
              <w:lang w:val="en-GB"/>
            </w:rPr>
            <w:fldChar w:fldCharType="begin"/>
          </w:r>
          <w:r>
            <w:rPr>
              <w:lang w:val="en-GB"/>
            </w:rPr>
            <w:instrText xml:space="preserve"> PAGEREF _Toc215597360 \h </w:instrText>
          </w:r>
          <w:r>
            <w:rPr>
              <w:lang w:val="en-GB"/>
            </w:rPr>
            <w:fldChar w:fldCharType="separate"/>
          </w:r>
          <w:r>
            <w:rPr>
              <w:lang w:val="en-GB"/>
            </w:rPr>
            <w:t>2</w:t>
          </w:r>
          <w:r>
            <w:rPr>
              <w:lang w:val="en-GB"/>
            </w:rPr>
            <w:fldChar w:fldCharType="end"/>
          </w:r>
          <w:r>
            <w:rPr>
              <w:lang w:val="en-GB"/>
            </w:rPr>
            <w:fldChar w:fldCharType="end"/>
          </w:r>
        </w:p>
        <w:p w14:paraId="42D97460">
          <w:pPr>
            <w:pStyle w:val="16"/>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"_Toc215597361" </w:instrText>
          </w:r>
          <w:r>
            <w:fldChar w:fldCharType="separate"/>
          </w:r>
          <w:r>
            <w:rPr>
              <w:rStyle w:val="12"/>
              <w:lang w:val="en-GB"/>
            </w:rPr>
            <w:t>Analysis of the chosen life stage</w:t>
          </w:r>
          <w:r>
            <w:rPr>
              <w:lang w:val="en-GB"/>
            </w:rPr>
            <w:tab/>
          </w:r>
          <w:r>
            <w:rPr>
              <w:lang w:val="en-GB"/>
            </w:rPr>
            <w:fldChar w:fldCharType="begin"/>
          </w:r>
          <w:r>
            <w:rPr>
              <w:lang w:val="en-GB"/>
            </w:rPr>
            <w:instrText xml:space="preserve"> PAGEREF _Toc215597361 \h </w:instrText>
          </w:r>
          <w:r>
            <w:rPr>
              <w:lang w:val="en-GB"/>
            </w:rPr>
            <w:fldChar w:fldCharType="separate"/>
          </w:r>
          <w:r>
            <w:rPr>
              <w:lang w:val="en-GB"/>
            </w:rPr>
            <w:t>3</w:t>
          </w:r>
          <w:r>
            <w:rPr>
              <w:lang w:val="en-GB"/>
            </w:rPr>
            <w:fldChar w:fldCharType="end"/>
          </w:r>
          <w:r>
            <w:rPr>
              <w:lang w:val="en-GB"/>
            </w:rPr>
            <w:fldChar w:fldCharType="end"/>
          </w:r>
        </w:p>
        <w:p w14:paraId="2B52636A">
          <w:pPr>
            <w:pStyle w:val="15"/>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"_Toc215597362" </w:instrText>
          </w:r>
          <w:r>
            <w:fldChar w:fldCharType="separate"/>
          </w:r>
          <w:r>
            <w:rPr>
              <w:rStyle w:val="12"/>
              <w:lang w:val="en-GB"/>
            </w:rPr>
            <w:t>Detailed analysis of two theories</w:t>
          </w:r>
          <w:r>
            <w:rPr>
              <w:lang w:val="en-GB"/>
            </w:rPr>
            <w:tab/>
          </w:r>
          <w:r>
            <w:rPr>
              <w:lang w:val="en-GB"/>
            </w:rPr>
            <w:fldChar w:fldCharType="begin"/>
          </w:r>
          <w:r>
            <w:rPr>
              <w:lang w:val="en-GB"/>
            </w:rPr>
            <w:instrText xml:space="preserve"> PAGEREF _Toc215597362 \h </w:instrText>
          </w:r>
          <w:r>
            <w:rPr>
              <w:lang w:val="en-GB"/>
            </w:rPr>
            <w:fldChar w:fldCharType="separate"/>
          </w:r>
          <w:r>
            <w:rPr>
              <w:lang w:val="en-GB"/>
            </w:rPr>
            <w:t>3</w:t>
          </w:r>
          <w:r>
            <w:rPr>
              <w:lang w:val="en-GB"/>
            </w:rPr>
            <w:fldChar w:fldCharType="end"/>
          </w:r>
          <w:r>
            <w:rPr>
              <w:lang w:val="en-GB"/>
            </w:rPr>
            <w:fldChar w:fldCharType="end"/>
          </w:r>
        </w:p>
        <w:p w14:paraId="12BC9980">
          <w:pPr>
            <w:pStyle w:val="16"/>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"_Toc215597363" </w:instrText>
          </w:r>
          <w:r>
            <w:fldChar w:fldCharType="separate"/>
          </w:r>
          <w:r>
            <w:rPr>
              <w:rStyle w:val="12"/>
              <w:lang w:val="en-GB"/>
            </w:rPr>
            <w:t>Analysis of the theories related to the selected life stage</w:t>
          </w:r>
          <w:r>
            <w:rPr>
              <w:lang w:val="en-GB"/>
            </w:rPr>
            <w:tab/>
          </w:r>
          <w:r>
            <w:rPr>
              <w:lang w:val="en-GB"/>
            </w:rPr>
            <w:fldChar w:fldCharType="begin"/>
          </w:r>
          <w:r>
            <w:rPr>
              <w:lang w:val="en-GB"/>
            </w:rPr>
            <w:instrText xml:space="preserve"> PAGEREF _Toc215597363 \h </w:instrText>
          </w:r>
          <w:r>
            <w:rPr>
              <w:lang w:val="en-GB"/>
            </w:rPr>
            <w:fldChar w:fldCharType="separate"/>
          </w:r>
          <w:r>
            <w:rPr>
              <w:lang w:val="en-GB"/>
            </w:rPr>
            <w:t>3</w:t>
          </w:r>
          <w:r>
            <w:rPr>
              <w:lang w:val="en-GB"/>
            </w:rPr>
            <w:fldChar w:fldCharType="end"/>
          </w:r>
          <w:r>
            <w:rPr>
              <w:lang w:val="en-GB"/>
            </w:rPr>
            <w:fldChar w:fldCharType="end"/>
          </w:r>
        </w:p>
        <w:p w14:paraId="68597B9F">
          <w:pPr>
            <w:pStyle w:val="15"/>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"_Toc215597364" </w:instrText>
          </w:r>
          <w:r>
            <w:fldChar w:fldCharType="separate"/>
          </w:r>
          <w:r>
            <w:rPr>
              <w:rStyle w:val="12"/>
              <w:lang w:val="en-GB"/>
            </w:rPr>
            <w:t>Application in social and health care aspects</w:t>
          </w:r>
          <w:r>
            <w:rPr>
              <w:lang w:val="en-GB"/>
            </w:rPr>
            <w:tab/>
          </w:r>
          <w:r>
            <w:rPr>
              <w:lang w:val="en-GB"/>
            </w:rPr>
            <w:fldChar w:fldCharType="begin"/>
          </w:r>
          <w:r>
            <w:rPr>
              <w:lang w:val="en-GB"/>
            </w:rPr>
            <w:instrText xml:space="preserve"> PAGEREF _Toc215597364 \h </w:instrText>
          </w:r>
          <w:r>
            <w:rPr>
              <w:lang w:val="en-GB"/>
            </w:rPr>
            <w:fldChar w:fldCharType="separate"/>
          </w:r>
          <w:r>
            <w:rPr>
              <w:lang w:val="en-GB"/>
            </w:rPr>
            <w:t>5</w:t>
          </w:r>
          <w:r>
            <w:rPr>
              <w:lang w:val="en-GB"/>
            </w:rPr>
            <w:fldChar w:fldCharType="end"/>
          </w:r>
          <w:r>
            <w:rPr>
              <w:lang w:val="en-GB"/>
            </w:rPr>
            <w:fldChar w:fldCharType="end"/>
          </w:r>
        </w:p>
        <w:p w14:paraId="4BE85E79">
          <w:pPr>
            <w:pStyle w:val="16"/>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"_Toc215597365" </w:instrText>
          </w:r>
          <w:r>
            <w:fldChar w:fldCharType="separate"/>
          </w:r>
          <w:r>
            <w:rPr>
              <w:rStyle w:val="12"/>
              <w:lang w:val="en-GB"/>
            </w:rPr>
            <w:t>Critical evaluation of each theory and application to the chosen life stage</w:t>
          </w:r>
          <w:r>
            <w:rPr>
              <w:lang w:val="en-GB"/>
            </w:rPr>
            <w:tab/>
          </w:r>
          <w:r>
            <w:rPr>
              <w:lang w:val="en-GB"/>
            </w:rPr>
            <w:fldChar w:fldCharType="begin"/>
          </w:r>
          <w:r>
            <w:rPr>
              <w:lang w:val="en-GB"/>
            </w:rPr>
            <w:instrText xml:space="preserve"> PAGEREF _Toc215597365 \h </w:instrText>
          </w:r>
          <w:r>
            <w:rPr>
              <w:lang w:val="en-GB"/>
            </w:rPr>
            <w:fldChar w:fldCharType="separate"/>
          </w:r>
          <w:r>
            <w:rPr>
              <w:lang w:val="en-GB"/>
            </w:rPr>
            <w:t>5</w:t>
          </w:r>
          <w:r>
            <w:rPr>
              <w:lang w:val="en-GB"/>
            </w:rPr>
            <w:fldChar w:fldCharType="end"/>
          </w:r>
          <w:r>
            <w:rPr>
              <w:lang w:val="en-GB"/>
            </w:rPr>
            <w:fldChar w:fldCharType="end"/>
          </w:r>
        </w:p>
        <w:p w14:paraId="2C7D2E63">
          <w:pPr>
            <w:pStyle w:val="16"/>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"_Toc215597366" </w:instrText>
          </w:r>
          <w:r>
            <w:fldChar w:fldCharType="separate"/>
          </w:r>
          <w:r>
            <w:rPr>
              <w:rStyle w:val="12"/>
              <w:lang w:val="en-GB"/>
            </w:rPr>
            <w:t>Practical examples of case studies related to healthcare</w:t>
          </w:r>
          <w:r>
            <w:rPr>
              <w:lang w:val="en-GB"/>
            </w:rPr>
            <w:tab/>
          </w:r>
          <w:r>
            <w:rPr>
              <w:lang w:val="en-GB"/>
            </w:rPr>
            <w:fldChar w:fldCharType="begin"/>
          </w:r>
          <w:r>
            <w:rPr>
              <w:lang w:val="en-GB"/>
            </w:rPr>
            <w:instrText xml:space="preserve"> PAGEREF _Toc215597366 \h </w:instrText>
          </w:r>
          <w:r>
            <w:rPr>
              <w:lang w:val="en-GB"/>
            </w:rPr>
            <w:fldChar w:fldCharType="separate"/>
          </w:r>
          <w:r>
            <w:rPr>
              <w:lang w:val="en-GB"/>
            </w:rPr>
            <w:t>5</w:t>
          </w:r>
          <w:r>
            <w:rPr>
              <w:lang w:val="en-GB"/>
            </w:rPr>
            <w:fldChar w:fldCharType="end"/>
          </w:r>
          <w:r>
            <w:rPr>
              <w:lang w:val="en-GB"/>
            </w:rPr>
            <w:fldChar w:fldCharType="end"/>
          </w:r>
        </w:p>
        <w:p w14:paraId="59694B0E">
          <w:pPr>
            <w:pStyle w:val="15"/>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"_Toc215597367" </w:instrText>
          </w:r>
          <w:r>
            <w:fldChar w:fldCharType="separate"/>
          </w:r>
          <w:r>
            <w:rPr>
              <w:rStyle w:val="12"/>
              <w:lang w:val="en-GB"/>
            </w:rPr>
            <w:t>Conclusion</w:t>
          </w:r>
          <w:r>
            <w:rPr>
              <w:lang w:val="en-GB"/>
            </w:rPr>
            <w:tab/>
          </w:r>
          <w:r>
            <w:rPr>
              <w:lang w:val="en-GB"/>
            </w:rPr>
            <w:fldChar w:fldCharType="begin"/>
          </w:r>
          <w:r>
            <w:rPr>
              <w:lang w:val="en-GB"/>
            </w:rPr>
            <w:instrText xml:space="preserve"> PAGEREF _Toc215597367 \h </w:instrText>
          </w:r>
          <w:r>
            <w:rPr>
              <w:lang w:val="en-GB"/>
            </w:rPr>
            <w:fldChar w:fldCharType="separate"/>
          </w:r>
          <w:r>
            <w:rPr>
              <w:lang w:val="en-GB"/>
            </w:rPr>
            <w:t>6</w:t>
          </w:r>
          <w:r>
            <w:rPr>
              <w:lang w:val="en-GB"/>
            </w:rPr>
            <w:fldChar w:fldCharType="end"/>
          </w:r>
          <w:r>
            <w:rPr>
              <w:lang w:val="en-GB"/>
            </w:rPr>
            <w:fldChar w:fldCharType="end"/>
          </w:r>
        </w:p>
        <w:p w14:paraId="37712FAE">
          <w:pPr>
            <w:pStyle w:val="15"/>
            <w:tabs>
              <w:tab w:val="right" w:leader="dot" w:pos="9019"/>
            </w:tabs>
            <w:rPr>
              <w:rFonts w:asciiTheme="minorHAnsi" w:hAnsiTheme="minorHAnsi" w:eastAsiaTheme="minorEastAsia" w:cstheme="minorBidi"/>
              <w:kern w:val="2"/>
              <w:sz w:val="24"/>
              <w:szCs w:val="24"/>
              <w:lang w:val="en-GB"/>
              <w14:ligatures w14:val="standardContextual"/>
            </w:rPr>
          </w:pPr>
          <w:r>
            <w:fldChar w:fldCharType="begin"/>
          </w:r>
          <w:r>
            <w:instrText xml:space="preserve"> HYPERLINK \l "_Toc215597368" </w:instrText>
          </w:r>
          <w:r>
            <w:fldChar w:fldCharType="separate"/>
          </w:r>
          <w:r>
            <w:rPr>
              <w:rStyle w:val="12"/>
              <w:lang w:val="en-GB"/>
            </w:rPr>
            <w:t>References</w:t>
          </w:r>
          <w:r>
            <w:rPr>
              <w:lang w:val="en-GB"/>
            </w:rPr>
            <w:tab/>
          </w:r>
          <w:r>
            <w:rPr>
              <w:lang w:val="en-GB"/>
            </w:rPr>
            <w:fldChar w:fldCharType="begin"/>
          </w:r>
          <w:r>
            <w:rPr>
              <w:lang w:val="en-GB"/>
            </w:rPr>
            <w:instrText xml:space="preserve"> PAGEREF _Toc215597368 \h </w:instrText>
          </w:r>
          <w:r>
            <w:rPr>
              <w:lang w:val="en-GB"/>
            </w:rPr>
            <w:fldChar w:fldCharType="separate"/>
          </w:r>
          <w:r>
            <w:rPr>
              <w:lang w:val="en-GB"/>
            </w:rPr>
            <w:t>7</w:t>
          </w:r>
          <w:r>
            <w:rPr>
              <w:lang w:val="en-GB"/>
            </w:rPr>
            <w:fldChar w:fldCharType="end"/>
          </w:r>
          <w:r>
            <w:rPr>
              <w:lang w:val="en-GB"/>
            </w:rPr>
            <w:fldChar w:fldCharType="end"/>
          </w:r>
        </w:p>
        <w:p w14:paraId="6698893B">
          <w:pPr>
            <w:rPr>
              <w:lang w:val="en-GB"/>
            </w:rPr>
          </w:pPr>
          <w:r>
            <w:rPr>
              <w:lang w:val="en-GB"/>
            </w:rPr>
            <w:fldChar w:fldCharType="end"/>
          </w:r>
        </w:p>
      </w:sdtContent>
    </w:sdt>
    <w:p w14:paraId="04D58B1B">
      <w:pPr>
        <w:rPr>
          <w:lang w:val="en-GB"/>
        </w:rPr>
      </w:pPr>
    </w:p>
    <w:p w14:paraId="0F464927">
      <w:pPr>
        <w:pStyle w:val="2"/>
        <w:rPr>
          <w:lang w:val="en-GB"/>
        </w:rPr>
      </w:pPr>
      <w:r>
        <w:rPr>
          <w:lang w:val="en-GB"/>
        </w:rPr>
        <w:br w:type="page"/>
      </w:r>
    </w:p>
    <w:p w14:paraId="16711571">
      <w:pPr>
        <w:pStyle w:val="2"/>
        <w:rPr>
          <w:lang w:val="en-GB"/>
        </w:rPr>
      </w:pPr>
      <w:bookmarkStart w:id="1" w:name="_Toc215597358"/>
      <w:r>
        <w:rPr>
          <w:lang w:val="en-GB"/>
        </w:rPr>
        <w:t>Introduction</w:t>
      </w:r>
      <w:bookmarkEnd w:id="1"/>
      <w:r>
        <w:rPr>
          <w:lang w:val="en-GB"/>
        </w:rPr>
        <w:t xml:space="preserve"> </w:t>
      </w:r>
    </w:p>
    <w:p w14:paraId="0B505357">
      <w:pPr>
        <w:rPr>
          <w:lang w:val="en-GB"/>
        </w:rPr>
      </w:pPr>
      <w:r>
        <w:rPr>
          <w:lang w:val="en-GB"/>
        </w:rPr>
        <w:t xml:space="preserve">Personality psychology aims to study the individual differences that exist in feelings, behaviours, and thoughts, which can persist over time. Aspects such as motivation, abilities, skills, and narrative identity can influence an individual's personality (Roberts and Yoon, 2022). The booklet provides a clear analysis based on the impact of environmental and biological factors on the psychological development of individuals. The life stage of young people and children chosen for this study is "childhood". Two significant developmental psychology theories are </w:t>
      </w:r>
      <w:r>
        <w:rPr>
          <w:b/>
          <w:bCs/>
          <w:i/>
          <w:iCs/>
          <w:lang w:val="en-GB"/>
        </w:rPr>
        <w:t>cognitive development theory</w:t>
      </w:r>
      <w:r>
        <w:rPr>
          <w:lang w:val="en-GB"/>
        </w:rPr>
        <w:t xml:space="preserve"> and </w:t>
      </w:r>
      <w:r>
        <w:rPr>
          <w:b/>
          <w:bCs/>
          <w:i/>
          <w:iCs/>
          <w:lang w:val="en-GB"/>
        </w:rPr>
        <w:t>social learning theory</w:t>
      </w:r>
      <w:r>
        <w:rPr>
          <w:lang w:val="en-GB"/>
        </w:rPr>
        <w:t xml:space="preserve">. The theories are evaluated in the booklet based on their application in social care and health settings while working with young people and children in the childhood life stage. Practical case study examples are considered for this analysis. </w:t>
      </w:r>
    </w:p>
    <w:p w14:paraId="2399E86E">
      <w:pPr>
        <w:pStyle w:val="2"/>
        <w:rPr>
          <w:lang w:val="en-GB"/>
        </w:rPr>
      </w:pPr>
      <w:bookmarkStart w:id="2" w:name="_Toc215597359"/>
      <w:r>
        <w:rPr>
          <w:lang w:val="en-GB"/>
        </w:rPr>
        <w:t>Discussion of nature and nurture</w:t>
      </w:r>
      <w:bookmarkEnd w:id="2"/>
      <w:r>
        <w:rPr>
          <w:lang w:val="en-GB"/>
        </w:rPr>
        <w:t xml:space="preserve"> </w:t>
      </w:r>
    </w:p>
    <w:p w14:paraId="627683CC">
      <w:pPr>
        <w:pStyle w:val="3"/>
        <w:rPr>
          <w:lang w:val="en-GB"/>
        </w:rPr>
      </w:pPr>
      <w:bookmarkStart w:id="3" w:name="_Toc215597360"/>
      <w:r>
        <w:rPr>
          <w:lang w:val="en-GB"/>
        </w:rPr>
        <w:t>Analysis of the interaction and impact of environmental and biological factors on the psychological development</w:t>
      </w:r>
      <w:bookmarkEnd w:id="3"/>
    </w:p>
    <w:p w14:paraId="77AB2004">
      <w:pPr>
        <w:rPr>
          <w:lang w:val="en-GB"/>
        </w:rPr>
      </w:pPr>
      <w:r>
        <w:rPr>
          <w:lang w:val="en-GB"/>
        </w:rPr>
        <w:t xml:space="preserve">Public interest in adolescents and child development is hugely driven by the social concerns related to citizenship. The focus is mainly provided towards supporting the children so that they can become productive, moral and healthy citizens. The limits faced by individuals related to the potential for development can have significant implications for young people and children (Rochat and Redingeri, 2021). The psychological, biological, environmental and social influences can provide significant levels of contributions towards the increasing levels of risks and resilience. The mental health or psychological health of individuals is affected differently at different life stages. </w:t>
      </w:r>
    </w:p>
    <w:p w14:paraId="7AF843C4">
      <w:pPr>
        <w:jc w:val="center"/>
        <w:rPr>
          <w:lang w:val="en-GB"/>
        </w:rPr>
      </w:pPr>
      <w:r>
        <w:rPr>
          <w:lang w:val="en-GB"/>
        </w:rPr>
        <w:drawing>
          <wp:inline distT="114300" distB="114300" distL="114300" distR="114300">
            <wp:extent cx="3557270" cy="207518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8"/>
                    <a:srcRect/>
                    <a:stretch>
                      <a:fillRect/>
                    </a:stretch>
                  </pic:blipFill>
                  <pic:spPr>
                    <a:xfrm>
                      <a:off x="0" y="0"/>
                      <a:ext cx="3557588" cy="2075259"/>
                    </a:xfrm>
                    <a:prstGeom prst="rect">
                      <a:avLst/>
                    </a:prstGeom>
                  </pic:spPr>
                </pic:pic>
              </a:graphicData>
            </a:graphic>
          </wp:inline>
        </w:drawing>
      </w:r>
    </w:p>
    <w:p w14:paraId="214CC265">
      <w:pPr>
        <w:jc w:val="center"/>
        <w:rPr>
          <w:lang w:val="en-GB"/>
        </w:rPr>
      </w:pPr>
      <w:r>
        <w:rPr>
          <w:b/>
          <w:bCs/>
          <w:lang w:val="en-GB"/>
        </w:rPr>
        <w:t>Figure 1: Mental health influences across various life stages</w:t>
      </w:r>
      <w:r>
        <w:rPr>
          <w:lang w:val="en-GB"/>
        </w:rPr>
        <w:t xml:space="preserve"> </w:t>
      </w:r>
    </w:p>
    <w:p w14:paraId="18CA70D7">
      <w:pPr>
        <w:jc w:val="center"/>
        <w:rPr>
          <w:lang w:val="en-GB"/>
        </w:rPr>
      </w:pPr>
      <w:r>
        <w:rPr>
          <w:lang w:val="en-GB"/>
        </w:rPr>
        <w:t>(Source: Rochat and Redingeri, 2021)</w:t>
      </w:r>
    </w:p>
    <w:p w14:paraId="29579AE9">
      <w:pPr>
        <w:rPr>
          <w:lang w:val="en-GB"/>
        </w:rPr>
      </w:pPr>
      <w:r>
        <w:rPr>
          <w:lang w:val="en-GB"/>
        </w:rPr>
        <w:t xml:space="preserve">Stress in the environment is also a significant factor that can influence the development of the mental health levels of children. The sustained exposure of individuals towards stress, inequality and poverty leads to toxic stress and influences the levels of children's development hugely. As discussed by Virolainen </w:t>
      </w:r>
      <w:r>
        <w:rPr>
          <w:i/>
          <w:iCs/>
          <w:lang w:val="en-GB"/>
        </w:rPr>
        <w:t>et al.</w:t>
      </w:r>
      <w:r>
        <w:rPr>
          <w:lang w:val="en-GB"/>
        </w:rPr>
        <w:t xml:space="preserve"> (2023), the environmental and genetic factors can have a significant influence on the increasing levels of risk faced by individuals related to diseases. The psychological development of individuals is also affected hugely by the genetic interactions and the environment in which they grow. Xu </w:t>
      </w:r>
      <w:r>
        <w:rPr>
          <w:i/>
          <w:iCs/>
          <w:lang w:val="en-GB"/>
        </w:rPr>
        <w:t>et al.</w:t>
      </w:r>
      <w:r>
        <w:rPr>
          <w:lang w:val="en-GB"/>
        </w:rPr>
        <w:t xml:space="preserve"> (2023) stated that individuals living in urban areas are exposed to various environmental factors, which can have a combined interaction to influence mental health. The real exposure of individuals to individuals living in a city can be related to the aspects of their mental health. </w:t>
      </w:r>
    </w:p>
    <w:p w14:paraId="20DE95F8">
      <w:pPr>
        <w:pStyle w:val="3"/>
        <w:rPr>
          <w:lang w:val="en-GB"/>
        </w:rPr>
      </w:pPr>
      <w:bookmarkStart w:id="4" w:name="_Toc215597361"/>
      <w:r>
        <w:rPr>
          <w:lang w:val="en-GB"/>
        </w:rPr>
        <w:t>Analysis of the chosen life stage</w:t>
      </w:r>
      <w:bookmarkEnd w:id="4"/>
      <w:r>
        <w:rPr>
          <w:lang w:val="en-GB"/>
        </w:rPr>
        <w:t xml:space="preserve"> </w:t>
      </w:r>
    </w:p>
    <w:p w14:paraId="162BFCD9">
      <w:pPr>
        <w:rPr>
          <w:lang w:val="en-GB"/>
        </w:rPr>
      </w:pPr>
      <w:r>
        <w:rPr>
          <w:lang w:val="en-GB"/>
        </w:rPr>
        <w:t xml:space="preserve">The life stage chosen for the analysis of the psychological development of young people and children is “childhood”. An effective environment within families plays a vital role in the psychological and physical growth of children. The environment related to early family nurturing can have a significant influence on the social and emotional development of children (Wang, 2023). The analysis of environmental factors can be supported effectively by understanding the concerns faced by individuals who are currently in the childhood stage of life. </w:t>
      </w:r>
    </w:p>
    <w:p w14:paraId="308FDBB0">
      <w:pPr>
        <w:pStyle w:val="2"/>
        <w:rPr>
          <w:lang w:val="en-GB"/>
        </w:rPr>
      </w:pPr>
      <w:bookmarkStart w:id="5" w:name="_Toc215597362"/>
      <w:r>
        <w:rPr>
          <w:lang w:val="en-GB"/>
        </w:rPr>
        <w:t>Detailed analysis of two theories</w:t>
      </w:r>
      <w:bookmarkEnd w:id="5"/>
      <w:r>
        <w:rPr>
          <w:lang w:val="en-GB"/>
        </w:rPr>
        <w:t xml:space="preserve"> </w:t>
      </w:r>
    </w:p>
    <w:p w14:paraId="19EBB406">
      <w:pPr>
        <w:pStyle w:val="3"/>
        <w:rPr>
          <w:lang w:val="en-GB"/>
        </w:rPr>
      </w:pPr>
      <w:bookmarkStart w:id="6" w:name="_Toc215597363"/>
      <w:r>
        <w:rPr>
          <w:lang w:val="en-GB"/>
        </w:rPr>
        <w:t>Analysis of the theories related to the selected life stage</w:t>
      </w:r>
      <w:bookmarkEnd w:id="6"/>
    </w:p>
    <w:p w14:paraId="02660FCB">
      <w:pPr>
        <w:rPr>
          <w:lang w:val="en-GB"/>
        </w:rPr>
      </w:pPr>
      <w:r>
        <w:rPr>
          <w:lang w:val="en-GB"/>
        </w:rPr>
        <w:t xml:space="preserve">Cognitive development theory - Cognitive development theory developed by Piaget is based on the four fundamental elements, such as maturation, experience, social transmission and equilibrium. The different stages of cognitive development include the sensori-motor stage, the pre-operational stage (2 to 7 years), the concrete operational stage (7 to 11 years) and the formal operational stage (11 and above) (Pakpahan and Saragih, 2022). The theory was applied to activities related to learning and teaching, and it is influential in the formation of educational policies. The various stages explained as part of the cognitive development theory can be linked with the psychological development levels of individuals during the childhood life stage. The children belonging to this life stage can be influenced by the pre-operational and concrete operational levels explained in the cognitive development theory. The major aspects considered during the pre-operational stage include semantic function, egocentrism, decentering, animism, seriation and conservation. Completion of this stage can have a significant impact on the psychological development levels depicted by individuals in the childhood stage. Moreover, the concrete operational stage helps in enhanced stability within the cognitive systems of individuals. The development of rational thinking and appropriate classification of concrete objects is vital for individuals during their childhood to ensure that their psychological development is maintained properly. </w:t>
      </w:r>
    </w:p>
    <w:p w14:paraId="20788869">
      <w:pPr>
        <w:rPr>
          <w:lang w:val="en-GB"/>
        </w:rPr>
      </w:pPr>
      <w:r>
        <w:rPr>
          <w:lang w:val="en-GB"/>
        </w:rPr>
        <w:drawing>
          <wp:inline distT="114300" distB="114300" distL="114300" distR="114300">
            <wp:extent cx="5438775" cy="43624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9"/>
                    <a:srcRect/>
                    <a:stretch>
                      <a:fillRect/>
                    </a:stretch>
                  </pic:blipFill>
                  <pic:spPr>
                    <a:xfrm>
                      <a:off x="0" y="0"/>
                      <a:ext cx="5438775" cy="4362450"/>
                    </a:xfrm>
                    <a:prstGeom prst="rect">
                      <a:avLst/>
                    </a:prstGeom>
                  </pic:spPr>
                </pic:pic>
              </a:graphicData>
            </a:graphic>
          </wp:inline>
        </w:drawing>
      </w:r>
    </w:p>
    <w:p w14:paraId="4B15D753">
      <w:pPr>
        <w:jc w:val="center"/>
        <w:rPr>
          <w:b/>
          <w:bCs/>
          <w:lang w:val="en-GB"/>
        </w:rPr>
      </w:pPr>
      <w:r>
        <w:rPr>
          <w:b/>
          <w:bCs/>
          <w:lang w:val="en-GB"/>
        </w:rPr>
        <w:t>Figure 2: Stages of cognitive development theory</w:t>
      </w:r>
    </w:p>
    <w:p w14:paraId="1FF257F5">
      <w:pPr>
        <w:rPr>
          <w:lang w:val="en-GB"/>
        </w:rPr>
      </w:pPr>
    </w:p>
    <w:p w14:paraId="2F250C73">
      <w:pPr>
        <w:rPr>
          <w:lang w:val="en-GB"/>
        </w:rPr>
      </w:pPr>
      <w:r>
        <w:rPr>
          <w:lang w:val="en-GB"/>
        </w:rPr>
        <w:t xml:space="preserve">Social learning theory - Social learning theory is based on developmental psychology, which is focused on the learning activities of people by observing or imitating others based on the modelling influences (Koutroubas and Galanakis, 2022). Cognition was later integrated into this theory to consider the mental abilities of individuals. The theory is related to the ways people can be motivated and the ways they can motivate others. The implementation of this theory also helps in understanding the impact that various learning processes have on the performance of individuals and their activities related to gaining new skills. The social learning theory can be linked with the learning and psychological development of individuals belonging to the childhood stage of life. The learning and knowledge acquired by individuals through imitation and observation can affect their mental abilities and appropriate levels of development. Self-efficacy is also a factor linked by social learning theory to the belief that individuals have regarding their ability to produce the required results.  </w:t>
      </w:r>
    </w:p>
    <w:p w14:paraId="3B5B6554">
      <w:pPr>
        <w:pStyle w:val="2"/>
        <w:rPr>
          <w:lang w:val="en-GB"/>
        </w:rPr>
      </w:pPr>
      <w:bookmarkStart w:id="7" w:name="_Toc215597364"/>
      <w:r>
        <w:rPr>
          <w:lang w:val="en-GB"/>
        </w:rPr>
        <w:t>Application in social and health care aspects</w:t>
      </w:r>
      <w:bookmarkEnd w:id="7"/>
      <w:r>
        <w:rPr>
          <w:lang w:val="en-GB"/>
        </w:rPr>
        <w:t xml:space="preserve"> </w:t>
      </w:r>
    </w:p>
    <w:p w14:paraId="3C4B2148">
      <w:pPr>
        <w:pStyle w:val="3"/>
        <w:rPr>
          <w:lang w:val="en-GB"/>
        </w:rPr>
      </w:pPr>
      <w:bookmarkStart w:id="8" w:name="_Toc215597365"/>
      <w:r>
        <w:rPr>
          <w:lang w:val="en-GB"/>
        </w:rPr>
        <w:t>Critical evaluation of each theory and application to the chosen life stage</w:t>
      </w:r>
      <w:bookmarkEnd w:id="8"/>
    </w:p>
    <w:p w14:paraId="294891DD">
      <w:pPr>
        <w:rPr>
          <w:lang w:val="en-GB"/>
        </w:rPr>
      </w:pPr>
      <w:r>
        <w:rPr>
          <w:lang w:val="en-GB"/>
        </w:rPr>
        <w:t xml:space="preserve">Cognitive development - Childhood is the time related to tremendous levels of psychological development. The cognitive capabilities, emotions and personalities of individuals can expand, and they lead to appropriate transformation from infants to adolescents. The stages of cognitive development are quite vital during the childhood of individuals. The preoperational stage of the model is related to the development of various cognitive world-related representations based on various language, pictures or illustrations (Nsuworks Nova Edu, 2025). The mental development of children and the ways they can represent various objects are hugely influenced by the cognitive development factors. Children start remembering and recognising various objects during the early childhood stage, which can affect their mental development in the childhood stage. The factors like memory and attention are also significant aspects that are influenced by the information acquired by individuals during the childhood life stage. As argued by Lanjekar </w:t>
      </w:r>
      <w:r>
        <w:rPr>
          <w:i/>
          <w:iCs/>
          <w:lang w:val="en-GB"/>
        </w:rPr>
        <w:t xml:space="preserve">et al. </w:t>
      </w:r>
      <w:r>
        <w:rPr>
          <w:lang w:val="en-GB"/>
        </w:rPr>
        <w:t xml:space="preserve">(2022), good parenting can be considered as a process which is used by parents to meet the needs of children based on the cultural standards. The physical and mental stimuli, like language and cognitive development, can affect the motor skills of children. Parenting offers appropriate care and support in the development of a self-sufficient nature in children. </w:t>
      </w:r>
    </w:p>
    <w:p w14:paraId="6010826E">
      <w:pPr>
        <w:rPr>
          <w:lang w:val="en-GB"/>
        </w:rPr>
      </w:pPr>
      <w:r>
        <w:rPr>
          <w:lang w:val="en-GB"/>
        </w:rPr>
        <w:t xml:space="preserve">Social learning theory - Social constructivist learning theory has become a dominant perspective which flourishes a learner-based pedagogical model related to education. The constructivist approach towards learning is focused on levels of attention provided by individuals (Mishra, 2023). Social learning is based on the creation of opportunities for the students in determining, challenging, changing or adding to the existing understandings and beliefs. The learning activities of individuals during their childhood are hugely affected by the social learning levels. The programs related to social constructivism can offer an effective way of using the techniques and ideas of learners in a classroom. As discussed by Saracho (2023), developmental theories can implement the research strategies for the formation of philosophies related to child development. Child development is based on the levels of growth depicted by children and the influence of the knowledge acquired by them. </w:t>
      </w:r>
    </w:p>
    <w:p w14:paraId="7468AA2C">
      <w:pPr>
        <w:pStyle w:val="3"/>
        <w:rPr>
          <w:lang w:val="en-GB"/>
        </w:rPr>
      </w:pPr>
      <w:bookmarkStart w:id="9" w:name="_Toc215597366"/>
      <w:r>
        <w:rPr>
          <w:lang w:val="en-GB"/>
        </w:rPr>
        <w:t>Practical examples of case studies related to healthcare</w:t>
      </w:r>
      <w:bookmarkEnd w:id="9"/>
    </w:p>
    <w:p w14:paraId="6E554F9F">
      <w:pPr>
        <w:spacing w:before="240" w:after="240"/>
        <w:rPr>
          <w:lang w:val="en-GB"/>
        </w:rPr>
      </w:pPr>
      <w:r>
        <w:rPr>
          <w:lang w:val="en-GB"/>
        </w:rPr>
        <w:t xml:space="preserve">Child development is related to the ways a child can grow and change over time. Cognitive development is a significant aspect of the skills which revolve around the thinking abilities of children and the ways of solving their problems. The emotional and social abilities of individuals during their childhood can be affected by their reactions towards behaviours and emotions  (Cleveland Clinic, 2025). Cleveland Clinic is an example of a healthcare organisation that has implemented various child development approaches to improve the abilities of children. The abilities of children to socialise and handle the issues related to separation are significant factors considered by the Cleveland Clinic. Mental health and children's development are influenced by factors like the environments in which they are raised. Child development is hugely related to the social, behavioural and cognitive well-being of children belonging to the childhood life stage. NSPCC learning is a UK-based organisation which supports families and children facing significant risks (NSPCC Learning, n.d.). Child development and attachment are significant factors which affect the fulfilment of their needs. </w:t>
      </w:r>
    </w:p>
    <w:p w14:paraId="59DC677E">
      <w:pPr>
        <w:pStyle w:val="2"/>
        <w:rPr>
          <w:lang w:val="en-GB"/>
        </w:rPr>
      </w:pPr>
      <w:bookmarkStart w:id="10" w:name="_Toc215597367"/>
      <w:r>
        <w:rPr>
          <w:lang w:val="en-GB"/>
        </w:rPr>
        <w:t>Conclusion</w:t>
      </w:r>
      <w:bookmarkEnd w:id="10"/>
      <w:r>
        <w:rPr>
          <w:lang w:val="en-GB"/>
        </w:rPr>
        <w:t xml:space="preserve"> </w:t>
      </w:r>
    </w:p>
    <w:p w14:paraId="777B39CB">
      <w:pPr>
        <w:rPr>
          <w:lang w:val="en-GB"/>
        </w:rPr>
      </w:pPr>
      <w:r>
        <w:rPr>
          <w:lang w:val="en-GB"/>
        </w:rPr>
        <w:t xml:space="preserve">The booklet can be concluded by stating that the environmental and biological factors have a significant influence on the psychological development of individuals. The childhood life stage of young people and children is affected by the interactions of children with the environment.  The two theories of developmental psychology, like cognitive development theory and social learning theory, have helped in understanding the significance of the psychological development of individuals. The examples of healthcare organisations helped in understanding the importance of social learning and the development of children and young people through their childhood activities. </w:t>
      </w:r>
    </w:p>
    <w:p w14:paraId="4D650599">
      <w:pPr>
        <w:pStyle w:val="2"/>
        <w:rPr>
          <w:lang w:val="en-GB"/>
        </w:rPr>
      </w:pPr>
      <w:bookmarkStart w:id="11" w:name="_heading=h.ud8gf735eg7j" w:colFirst="0" w:colLast="0"/>
      <w:bookmarkEnd w:id="11"/>
      <w:r>
        <w:rPr>
          <w:lang w:val="en-GB"/>
        </w:rPr>
        <w:br w:type="page"/>
      </w:r>
    </w:p>
    <w:p w14:paraId="3794AB4E">
      <w:pPr>
        <w:pStyle w:val="2"/>
        <w:rPr>
          <w:lang w:val="en-GB"/>
        </w:rPr>
      </w:pPr>
      <w:bookmarkStart w:id="12" w:name="_Toc215597368"/>
      <w:r>
        <w:rPr>
          <w:lang w:val="en-GB"/>
        </w:rPr>
        <w:t>References</w:t>
      </w:r>
      <w:bookmarkEnd w:id="12"/>
      <w:r>
        <w:rPr>
          <w:lang w:val="en-GB"/>
        </w:rPr>
        <w:t xml:space="preserve"> </w:t>
      </w:r>
    </w:p>
    <w:p w14:paraId="5D7C9851">
      <w:pPr>
        <w:spacing w:before="240" w:after="240"/>
        <w:jc w:val="left"/>
        <w:rPr>
          <w:lang w:val="en-GB"/>
        </w:rPr>
      </w:pPr>
      <w:bookmarkStart w:id="13" w:name="_GoBack"/>
      <w:r>
        <w:rPr>
          <w:lang w:val="en-GB"/>
        </w:rPr>
        <w:t xml:space="preserve">Cleveland Clinic (2025) </w:t>
      </w:r>
      <w:r>
        <w:rPr>
          <w:i/>
          <w:iCs/>
          <w:lang w:val="en-GB"/>
        </w:rPr>
        <w:t>Child development: Guidelines to growth</w:t>
      </w:r>
      <w:r>
        <w:rPr>
          <w:lang w:val="en-GB"/>
        </w:rPr>
        <w:t xml:space="preserve">, </w:t>
      </w:r>
      <w:r>
        <w:rPr>
          <w:i/>
          <w:iCs/>
          <w:lang w:val="en-GB"/>
        </w:rPr>
        <w:t>Cleveland Clinic</w:t>
      </w:r>
      <w:r>
        <w:rPr>
          <w:lang w:val="en-GB"/>
        </w:rPr>
        <w:t xml:space="preserve">. Available at: </w:t>
      </w:r>
      <w:r>
        <w:fldChar w:fldCharType="begin"/>
      </w:r>
      <w:r>
        <w:instrText xml:space="preserve"> HYPERLINK "https://my.clevelandclinic.org/health/articles/21559-child-development" \h </w:instrText>
      </w:r>
      <w:r>
        <w:fldChar w:fldCharType="separate"/>
      </w:r>
      <w:r>
        <w:rPr>
          <w:color w:val="1155CC"/>
          <w:u w:val="single"/>
          <w:lang w:val="en-GB"/>
        </w:rPr>
        <w:t>https://my.clevelandclinic.org/health/articles/21559-child-development</w:t>
      </w:r>
      <w:r>
        <w:rPr>
          <w:color w:val="1155CC"/>
          <w:u w:val="single"/>
          <w:lang w:val="en-GB"/>
        </w:rPr>
        <w:fldChar w:fldCharType="end"/>
      </w:r>
      <w:r>
        <w:rPr>
          <w:lang w:val="en-GB"/>
        </w:rPr>
        <w:t xml:space="preserve"> (Accessed: 01 December 2025). </w:t>
      </w:r>
    </w:p>
    <w:p w14:paraId="0FEC321F">
      <w:pPr>
        <w:jc w:val="left"/>
        <w:rPr>
          <w:lang w:val="en-GB"/>
        </w:rPr>
      </w:pPr>
      <w:r>
        <w:rPr>
          <w:lang w:val="en-GB"/>
        </w:rPr>
        <w:t xml:space="preserve">Koutroubas, V. and Galanakis, M. (2022) ‘Bandura’s social learning theory and its importance in the organizational psychology context’, </w:t>
      </w:r>
      <w:r>
        <w:rPr>
          <w:i/>
          <w:iCs/>
          <w:lang w:val="en-GB"/>
        </w:rPr>
        <w:t>Psychology,</w:t>
      </w:r>
      <w:r>
        <w:rPr>
          <w:lang w:val="en-GB"/>
        </w:rPr>
        <w:t xml:space="preserve"> 12(6), pp.315-322. </w:t>
      </w:r>
    </w:p>
    <w:p w14:paraId="734B88CE">
      <w:pPr>
        <w:spacing w:before="240" w:after="240"/>
        <w:jc w:val="left"/>
        <w:rPr>
          <w:lang w:val="en-GB"/>
        </w:rPr>
      </w:pPr>
      <w:r>
        <w:rPr>
          <w:lang w:val="en-GB"/>
        </w:rPr>
        <w:t xml:space="preserve">Lanjekar, P.D., Joshi, S.H., Lanjekar, P.D., Wagh, V. and WAGH, V. (2022) ‘The effect of parenting and the parent-child relationship on a child's cognitive development: A literature review’, </w:t>
      </w:r>
      <w:r>
        <w:rPr>
          <w:i/>
          <w:iCs/>
          <w:lang w:val="en-GB"/>
        </w:rPr>
        <w:t>Cureus,</w:t>
      </w:r>
      <w:r>
        <w:rPr>
          <w:lang w:val="en-GB"/>
        </w:rPr>
        <w:t xml:space="preserve"> 14(10). </w:t>
      </w:r>
    </w:p>
    <w:p w14:paraId="33CC33DC">
      <w:pPr>
        <w:spacing w:before="240" w:after="240"/>
        <w:jc w:val="left"/>
        <w:rPr>
          <w:lang w:val="en-GB"/>
        </w:rPr>
      </w:pPr>
      <w:r>
        <w:rPr>
          <w:lang w:val="en-GB"/>
        </w:rPr>
        <w:t xml:space="preserve">Mishra, N.R. (2023) ‘Constructivist approach to learning: An analysis of pedagogical models of social constructivist learning theory’, </w:t>
      </w:r>
      <w:r>
        <w:rPr>
          <w:i/>
          <w:iCs/>
          <w:lang w:val="en-GB"/>
        </w:rPr>
        <w:t>Journal of research and development,</w:t>
      </w:r>
      <w:r>
        <w:rPr>
          <w:lang w:val="en-GB"/>
        </w:rPr>
        <w:t xml:space="preserve"> 6(01), pp.22-29. </w:t>
      </w:r>
    </w:p>
    <w:p w14:paraId="3BEE3D7D">
      <w:pPr>
        <w:spacing w:before="240" w:after="240"/>
        <w:jc w:val="left"/>
        <w:rPr>
          <w:lang w:val="en-GB"/>
        </w:rPr>
      </w:pPr>
      <w:r>
        <w:rPr>
          <w:lang w:val="en-GB"/>
        </w:rPr>
        <w:t xml:space="preserve">NSPCC Learning (n.d.) </w:t>
      </w:r>
      <w:r>
        <w:rPr>
          <w:i/>
          <w:iCs/>
          <w:lang w:val="en-GB"/>
        </w:rPr>
        <w:t>Child health and development</w:t>
      </w:r>
      <w:r>
        <w:rPr>
          <w:lang w:val="en-GB"/>
        </w:rPr>
        <w:t xml:space="preserve">, </w:t>
      </w:r>
      <w:r>
        <w:rPr>
          <w:i/>
          <w:iCs/>
          <w:lang w:val="en-GB"/>
        </w:rPr>
        <w:t>NSPCC Learning</w:t>
      </w:r>
      <w:r>
        <w:rPr>
          <w:lang w:val="en-GB"/>
        </w:rPr>
        <w:t xml:space="preserve">. Available at: </w:t>
      </w:r>
      <w:r>
        <w:fldChar w:fldCharType="begin"/>
      </w:r>
      <w:r>
        <w:instrText xml:space="preserve"> HYPERLINK "https://learning.nspcc.org.uk/child-health-development" \h </w:instrText>
      </w:r>
      <w:r>
        <w:fldChar w:fldCharType="separate"/>
      </w:r>
      <w:r>
        <w:rPr>
          <w:color w:val="1155CC"/>
          <w:u w:val="single"/>
          <w:lang w:val="en-GB"/>
        </w:rPr>
        <w:t>https://learning.nspcc.org.uk/child-health-development</w:t>
      </w:r>
      <w:r>
        <w:rPr>
          <w:color w:val="1155CC"/>
          <w:u w:val="single"/>
          <w:lang w:val="en-GB"/>
        </w:rPr>
        <w:fldChar w:fldCharType="end"/>
      </w:r>
      <w:r>
        <w:rPr>
          <w:lang w:val="en-GB"/>
        </w:rPr>
        <w:t xml:space="preserve"> (Accessed: 02 December 2025). </w:t>
      </w:r>
    </w:p>
    <w:p w14:paraId="3DB9B196">
      <w:pPr>
        <w:jc w:val="left"/>
        <w:rPr>
          <w:lang w:val="en-GB"/>
        </w:rPr>
      </w:pPr>
      <w:r>
        <w:rPr>
          <w:lang w:val="en-GB"/>
        </w:rPr>
        <w:t xml:space="preserve">Nsuworks Nova Edu (2025) </w:t>
      </w:r>
      <w:r>
        <w:rPr>
          <w:i/>
          <w:iCs/>
          <w:lang w:val="en-GB"/>
        </w:rPr>
        <w:t>Nova</w:t>
      </w:r>
      <w:r>
        <w:rPr>
          <w:lang w:val="en-GB"/>
        </w:rPr>
        <w:t xml:space="preserve">. Available at: </w:t>
      </w:r>
      <w:r>
        <w:fldChar w:fldCharType="begin"/>
      </w:r>
      <w:r>
        <w:instrText xml:space="preserve"> HYPERLINK "https://nsuworks.nova.edu/cgi/viewcontent.cgi?article=1214&amp;context=edp" \h </w:instrText>
      </w:r>
      <w:r>
        <w:fldChar w:fldCharType="separate"/>
      </w:r>
      <w:r>
        <w:rPr>
          <w:color w:val="1155CC"/>
          <w:u w:val="single"/>
          <w:lang w:val="en-GB"/>
        </w:rPr>
        <w:t>https://nsuworks.nova.edu/cgi/viewcontent.cgi?article=1214&amp;context=edp</w:t>
      </w:r>
      <w:r>
        <w:rPr>
          <w:color w:val="1155CC"/>
          <w:u w:val="single"/>
          <w:lang w:val="en-GB"/>
        </w:rPr>
        <w:fldChar w:fldCharType="end"/>
      </w:r>
      <w:r>
        <w:rPr>
          <w:lang w:val="en-GB"/>
        </w:rPr>
        <w:t xml:space="preserve"> (Accessed: 01 December 2025). </w:t>
      </w:r>
    </w:p>
    <w:p w14:paraId="17DEA4C8">
      <w:pPr>
        <w:jc w:val="left"/>
        <w:rPr>
          <w:lang w:val="en-GB"/>
        </w:rPr>
      </w:pPr>
      <w:r>
        <w:rPr>
          <w:lang w:val="en-GB"/>
        </w:rPr>
        <w:t xml:space="preserve">Pakpahan, F.H. and Saragih, M. (2022) ‘Theory of cognitive development by Jean Piaget’, </w:t>
      </w:r>
      <w:r>
        <w:rPr>
          <w:i/>
          <w:iCs/>
          <w:lang w:val="en-GB"/>
        </w:rPr>
        <w:t>Journal of Applied Linguistics,</w:t>
      </w:r>
      <w:r>
        <w:rPr>
          <w:lang w:val="en-GB"/>
        </w:rPr>
        <w:t xml:space="preserve"> 2(1), pp.55-60. </w:t>
      </w:r>
    </w:p>
    <w:p w14:paraId="5364459A">
      <w:pPr>
        <w:jc w:val="left"/>
        <w:rPr>
          <w:lang w:val="en-GB"/>
        </w:rPr>
      </w:pPr>
      <w:r>
        <w:rPr>
          <w:lang w:val="en-GB"/>
        </w:rPr>
        <w:t xml:space="preserve">Roberts, B.W. and Yoon, H.J. (2022) ‘Personality psychology’, </w:t>
      </w:r>
      <w:r>
        <w:rPr>
          <w:i/>
          <w:iCs/>
          <w:lang w:val="en-GB"/>
        </w:rPr>
        <w:t xml:space="preserve">Annual review of psychology, </w:t>
      </w:r>
      <w:r>
        <w:rPr>
          <w:lang w:val="en-GB"/>
        </w:rPr>
        <w:t xml:space="preserve">73(1), pp.489-516. </w:t>
      </w:r>
    </w:p>
    <w:p w14:paraId="48CF0095">
      <w:pPr>
        <w:jc w:val="left"/>
        <w:rPr>
          <w:lang w:val="en-GB"/>
        </w:rPr>
      </w:pPr>
      <w:r>
        <w:rPr>
          <w:lang w:val="en-GB"/>
        </w:rPr>
        <w:t xml:space="preserve">Rochat, T. and Redingeri, S. (2021) ‘A life-course perspective on the biological, psychological and social development of child mental health’, </w:t>
      </w:r>
      <w:r>
        <w:rPr>
          <w:i/>
          <w:iCs/>
          <w:lang w:val="en-GB"/>
        </w:rPr>
        <w:t>Childhood,</w:t>
      </w:r>
      <w:r>
        <w:rPr>
          <w:lang w:val="en-GB"/>
        </w:rPr>
        <w:t xml:space="preserve"> 6, p.10. </w:t>
      </w:r>
    </w:p>
    <w:p w14:paraId="48563396">
      <w:pPr>
        <w:spacing w:before="240" w:after="240"/>
        <w:jc w:val="left"/>
        <w:rPr>
          <w:lang w:val="en-GB"/>
        </w:rPr>
      </w:pPr>
      <w:r>
        <w:rPr>
          <w:lang w:val="en-GB"/>
        </w:rPr>
        <w:t xml:space="preserve">Saracho, O.N. (2023) ‘Theories of child development and their impact on early childhood education and care’, </w:t>
      </w:r>
      <w:r>
        <w:rPr>
          <w:i/>
          <w:iCs/>
          <w:lang w:val="en-GB"/>
        </w:rPr>
        <w:t>Early Childhood Education Journal,</w:t>
      </w:r>
      <w:r>
        <w:rPr>
          <w:lang w:val="en-GB"/>
        </w:rPr>
        <w:t xml:space="preserve"> 51(1), pp.15-30. </w:t>
      </w:r>
    </w:p>
    <w:p w14:paraId="2E05EB11">
      <w:pPr>
        <w:jc w:val="left"/>
        <w:rPr>
          <w:lang w:val="en-GB"/>
        </w:rPr>
      </w:pPr>
      <w:r>
        <w:rPr>
          <w:lang w:val="en-GB"/>
        </w:rPr>
        <w:t xml:space="preserve">Virolainen, S.J., VonHandorf, A., Viel, K.C., Weirauch, M.T. and Kottyan, L.C. (2023) ‘Gene–environment interactions and their impact on human health’, </w:t>
      </w:r>
      <w:r>
        <w:rPr>
          <w:i/>
          <w:iCs/>
          <w:lang w:val="en-GB"/>
        </w:rPr>
        <w:t xml:space="preserve">Genes &amp; Immunity, </w:t>
      </w:r>
      <w:r>
        <w:rPr>
          <w:lang w:val="en-GB"/>
        </w:rPr>
        <w:t xml:space="preserve">24(1), pp.1-11. </w:t>
      </w:r>
    </w:p>
    <w:p w14:paraId="3417C265">
      <w:pPr>
        <w:jc w:val="left"/>
        <w:rPr>
          <w:lang w:val="en-GB"/>
        </w:rPr>
      </w:pPr>
      <w:r>
        <w:rPr>
          <w:lang w:val="en-GB"/>
        </w:rPr>
        <w:t xml:space="preserve">Wang, Y. (2023) ‘Influence of Early Family Nurturing Environment on Children’s Psychological and Emotional Social Development’, </w:t>
      </w:r>
      <w:r>
        <w:rPr>
          <w:i/>
          <w:iCs/>
          <w:lang w:val="en-GB"/>
        </w:rPr>
        <w:t>Iranian Journal of Public Health,</w:t>
      </w:r>
      <w:r>
        <w:rPr>
          <w:lang w:val="en-GB"/>
        </w:rPr>
        <w:t xml:space="preserve"> 52(10), p.2138. </w:t>
      </w:r>
    </w:p>
    <w:p w14:paraId="0E8960A8">
      <w:pPr>
        <w:jc w:val="left"/>
        <w:rPr>
          <w:lang w:val="en-GB"/>
        </w:rPr>
      </w:pPr>
      <w:r>
        <w:rPr>
          <w:lang w:val="en-GB"/>
        </w:rPr>
        <w:t xml:space="preserve">Xu, J., Liu, N., Polemiti, E., Garcia-Mondragon, L., Tang, J., Liu, X., Lett, T., Yu, L., Nöthen, M.M., Feng, J. and Yu, C. (2023) ‘Effects of urban living environments on mental health in adults’, </w:t>
      </w:r>
      <w:r>
        <w:rPr>
          <w:i/>
          <w:iCs/>
          <w:lang w:val="en-GB"/>
        </w:rPr>
        <w:t>Nature medicine,</w:t>
      </w:r>
      <w:r>
        <w:rPr>
          <w:lang w:val="en-GB"/>
        </w:rPr>
        <w:t xml:space="preserve"> 29(6), pp.1456-1467. </w:t>
      </w:r>
    </w:p>
    <w:p w14:paraId="474DB6D7">
      <w:pPr>
        <w:jc w:val="left"/>
        <w:rPr>
          <w:b/>
          <w:bCs/>
          <w:sz w:val="32"/>
          <w:szCs w:val="32"/>
          <w:lang w:val="en-GB"/>
        </w:rPr>
      </w:pPr>
    </w:p>
    <w:bookmarkEnd w:id="13"/>
    <w:sectPr>
      <w:headerReference r:id="rId5" w:type="first"/>
      <w:footerReference r:id="rId6" w:type="default"/>
      <w:pgSz w:w="11909" w:h="16834"/>
      <w:pgMar w:top="1440" w:right="1440" w:bottom="1440" w:left="1440" w:header="720" w:footer="720" w:gutter="0"/>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D08F7A3E-FC3D-40D8-87CE-E3DFBB3D5BCE}"/>
  </w:font>
  <w:font w:name="Arial">
    <w:panose1 w:val="020B0604020202020204"/>
    <w:charset w:val="86"/>
    <w:family w:val="swiss"/>
    <w:pitch w:val="default"/>
    <w:sig w:usb0="E0002EFF" w:usb1="C000785B" w:usb2="00000009" w:usb3="00000000" w:csb0="400001FF" w:csb1="FFFF0000"/>
    <w:embedRegular r:id="rId2" w:fontKey="{79C11E6D-15CD-4F6C-A5B2-97B6C5FA4AB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7C35507B-5275-466F-A8C9-D79B2C3A2A13}"/>
  </w:font>
  <w:font w:name="Wingdings">
    <w:panose1 w:val="05000000000000000000"/>
    <w:charset w:val="02"/>
    <w:family w:val="auto"/>
    <w:pitch w:val="default"/>
    <w:sig w:usb0="00000000" w:usb1="00000000" w:usb2="00000000" w:usb3="00000000" w:csb0="80000000" w:csb1="00000000"/>
    <w:embedRegular r:id="rId4" w:fontKey="{246AE1A4-046B-493A-B769-2E9839D93A19}"/>
  </w:font>
  <w:font w:name="Calibri">
    <w:panose1 w:val="020F0502020204030204"/>
    <w:charset w:val="00"/>
    <w:family w:val="swiss"/>
    <w:pitch w:val="default"/>
    <w:sig w:usb0="E4002EFF" w:usb1="C200247B" w:usb2="00000009" w:usb3="00000000" w:csb0="200001FF" w:csb1="00000000"/>
    <w:embedRegular r:id="rId5" w:fontKey="{D3199C68-5131-4CF7-B222-BDF222375797}"/>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9575F039-D991-42C5-9D62-365B2F05531C}"/>
  </w:font>
  <w:font w:name="Arial">
    <w:panose1 w:val="020B0604020202020204"/>
    <w:charset w:val="00"/>
    <w:family w:val="swiss"/>
    <w:pitch w:val="default"/>
    <w:sig w:usb0="E0002EFF" w:usb1="C000785B" w:usb2="00000009" w:usb3="00000000" w:csb0="400001FF" w:csb1="FFFF0000"/>
    <w:embedRegular r:id="rId7" w:fontKey="{A77A22EF-07B9-40C8-B239-D1224A02CA4C}"/>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FE5DF9B">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fldChar w:fldCharType="begin"/>
    </w:r>
    <w:r>
      <w:rPr>
        <w:rFonts w:ascii="Times New Roman" w:hAnsi="Times New Roman" w:eastAsia="Times New Roman" w:cs="Times New Roman"/>
        <w:color w:val="000000"/>
        <w:sz w:val="24"/>
        <w:szCs w:val="24"/>
      </w:rPr>
      <w:instrText xml:space="preserve">PAGE</w:instrText>
    </w:r>
    <w:r>
      <w:rPr>
        <w:rFonts w:ascii="Times New Roman" w:hAnsi="Times New Roman" w:eastAsia="Times New Roman" w:cs="Times New Roman"/>
        <w:color w:val="000000"/>
        <w:sz w:val="24"/>
        <w:szCs w:val="24"/>
      </w:rPr>
      <w:fldChar w:fldCharType="separate"/>
    </w:r>
    <w:r>
      <w:rPr>
        <w:rFonts w:ascii="Times New Roman" w:hAnsi="Times New Roman" w:eastAsia="Times New Roman" w:cs="Times New Roman"/>
        <w:color w:val="000000"/>
        <w:sz w:val="24"/>
        <w:szCs w:val="24"/>
      </w:rPr>
      <w:t>1</w:t>
    </w:r>
    <w:r>
      <w:rPr>
        <w:rFonts w:ascii="Times New Roman" w:hAnsi="Times New Roman" w:eastAsia="Times New Roman" w:cs="Times New Roman"/>
        <w:color w:val="000000"/>
        <w:sz w:val="24"/>
        <w:szCs w:val="24"/>
      </w:rPr>
      <w:fldChar w:fldCharType="end"/>
    </w:r>
  </w:p>
  <w:p w14:paraId="00BFFCA1">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rPr>
        <w:rFonts w:ascii="Times New Roman" w:hAnsi="Times New Roman" w:eastAsia="Times New Roman" w:cs="Times New Roman"/>
        <w:color w:val="000000"/>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3B95A6B">
    <w:r>
      <w:drawing>
        <wp:inline distT="114300" distB="114300" distL="114300" distR="114300">
          <wp:extent cx="1809750" cy="60007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1"/>
                  <a:srcRect/>
                  <a:stretch>
                    <a:fillRect/>
                  </a:stretch>
                </pic:blipFill>
                <pic:spPr>
                  <a:xfrm>
                    <a:off x="0" y="0"/>
                    <a:ext cx="180975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415"/>
    <w:rsid w:val="002F08B5"/>
    <w:rsid w:val="0034182E"/>
    <w:rsid w:val="00552354"/>
    <w:rsid w:val="006E4415"/>
    <w:rsid w:val="00835455"/>
    <w:rsid w:val="00AC5733"/>
    <w:rsid w:val="00B00155"/>
    <w:rsid w:val="00DA106B"/>
    <w:rsid w:val="48595DC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2"/>
      <w:szCs w:val="22"/>
      <w:lang w:val="zh-CN" w:eastAsia="en-IN" w:bidi="ar-SA"/>
    </w:rPr>
  </w:style>
  <w:style w:type="paragraph" w:styleId="2">
    <w:name w:val="heading 1"/>
    <w:basedOn w:val="1"/>
    <w:next w:val="1"/>
    <w:qFormat/>
    <w:uiPriority w:val="9"/>
    <w:pPr>
      <w:keepNext/>
      <w:keepLines/>
      <w:spacing w:before="400" w:after="120"/>
      <w:outlineLvl w:val="0"/>
    </w:pPr>
    <w:rPr>
      <w:b/>
      <w:bCs/>
    </w:rPr>
  </w:style>
  <w:style w:type="paragraph" w:styleId="3">
    <w:name w:val="heading 2"/>
    <w:basedOn w:val="1"/>
    <w:next w:val="1"/>
    <w:unhideWhenUsed/>
    <w:qFormat/>
    <w:uiPriority w:val="9"/>
    <w:pPr>
      <w:keepNext/>
      <w:keepLines/>
      <w:spacing w:before="360" w:after="120"/>
      <w:outlineLvl w:val="1"/>
    </w:pPr>
    <w:rPr>
      <w:b/>
      <w:bCs/>
      <w:i/>
      <w:iCs/>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20"/>
    <w:unhideWhenUsed/>
    <w:uiPriority w:val="99"/>
    <w:pPr>
      <w:tabs>
        <w:tab w:val="center" w:pos="4513"/>
        <w:tab w:val="right" w:pos="9026"/>
      </w:tabs>
      <w:spacing w:line="240" w:lineRule="auto"/>
    </w:pPr>
  </w:style>
  <w:style w:type="paragraph" w:styleId="11">
    <w:name w:val="header"/>
    <w:basedOn w:val="1"/>
    <w:link w:val="19"/>
    <w:unhideWhenUsed/>
    <w:uiPriority w:val="99"/>
    <w:pPr>
      <w:tabs>
        <w:tab w:val="center" w:pos="4513"/>
        <w:tab w:val="right" w:pos="9026"/>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paragraph" w:styleId="16">
    <w:name w:val="toc 2"/>
    <w:basedOn w:val="1"/>
    <w:next w:val="1"/>
    <w:autoRedefine/>
    <w:unhideWhenUsed/>
    <w:uiPriority w:val="39"/>
    <w:pPr>
      <w:spacing w:after="100"/>
      <w:ind w:left="240"/>
    </w:pPr>
  </w:style>
  <w:style w:type="table" w:customStyle="1" w:styleId="17">
    <w:name w:val="TableNormal"/>
    <w:uiPriority w:val="0"/>
    <w:tblPr>
      <w:tblCellMar>
        <w:top w:w="100" w:type="dxa"/>
        <w:left w:w="100" w:type="dxa"/>
        <w:bottom w:w="100" w:type="dxa"/>
        <w:right w:w="100" w:type="dxa"/>
      </w:tblCellMar>
    </w:tblPr>
  </w:style>
  <w:style w:type="paragraph" w:customStyle="1" w:styleId="18">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rPr>
  </w:style>
  <w:style w:type="character" w:customStyle="1" w:styleId="19">
    <w:name w:val="Header Char"/>
    <w:basedOn w:val="8"/>
    <w:link w:val="11"/>
    <w:uiPriority w:val="99"/>
  </w:style>
  <w:style w:type="character" w:customStyle="1" w:styleId="20">
    <w:name w:val="Footer Char"/>
    <w:basedOn w:val="8"/>
    <w:link w:val="10"/>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8fOBtnp+rkZsEqkFI8ChWrU/Hg==">CgMxLjAyDmgueGhyaHVjZjBycWszMg5oLnk2a3JsbHNnc3BycjIOaC5la3UybmJreGVjdXEyDmgudm4yMG56dDAyejB4Mg5oLjdkZTdzcDZhbzNtcjIOaC5sd25saTdkeWNkemsyDmguamoxcXVoNjJjZmtzMg5oLjY0dG4wejVsYjE2bTIOaC55bzRvOGE0cGFkdnMyDmgudWg1NWJnNHJpNXJxMg5oLnhyYzQ3bGR0aWMyNzIOaC51ZDhnZjczNWVnN2oyDmguYnV1NXVoMzJkdDlyOAByITFlZHR6b0NhSmhKdjlnMkVzR1E0NTRvbG54YWI1TV80Uw==</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2180</Words>
  <Characters>12428</Characters>
  <DocSecurity>0</DocSecurity>
  <Lines>103</Lines>
  <Paragraphs>29</Paragraphs>
  <ScaleCrop>false</ScaleCrop>
  <LinksUpToDate>false</LinksUpToDate>
  <CharactersWithSpaces>14579</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2025-12-02T10:16:00Z</dcterms:created>
  <dcterms:modified xsi:type="dcterms:W3CDTF">2025-12-08T18:29:43Z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4c103ff7-65d3-4385-b52a-1414ef36c26d</vt:lpwstr>
  </property>
  <property fmtid="{D5CDD505-2E9C-101B-9397-08002B2CF9AE}" pid="3" name="KSOProductBuildVer">
    <vt:lpwstr>2057-12.2.0.23155</vt:lpwstr>
  </property>
  <property fmtid="{D5CDD505-2E9C-101B-9397-08002B2CF9AE}" pid="4" name="ICV">
    <vt:lpwstr>CAB8A00DC8BC4E93BBD8A5442088E162_12</vt:lpwstr>
  </property>
</Properties>
</file>