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CED29" w14:textId="2FE3296F" w:rsidR="006E63F5" w:rsidRDefault="006E63F5">
      <w:pPr>
        <w:rPr>
          <w:rFonts w:ascii="Arial" w:hAnsi="Arial" w:cs="Arial"/>
          <w:sz w:val="96"/>
          <w:szCs w:val="96"/>
        </w:rPr>
      </w:pPr>
    </w:p>
    <w:p w14:paraId="38B95540" w14:textId="39084E7E" w:rsidR="00DB48E4" w:rsidRDefault="00DB48E4">
      <w:pPr>
        <w:rPr>
          <w:rFonts w:ascii="Arial" w:hAnsi="Arial" w:cs="Arial"/>
          <w:sz w:val="96"/>
          <w:szCs w:val="96"/>
        </w:rPr>
      </w:pPr>
    </w:p>
    <w:p w14:paraId="03A9EE0A" w14:textId="0C389470" w:rsidR="00BC17B2" w:rsidRDefault="00DB48E4" w:rsidP="00BC17B2">
      <w:pPr>
        <w:jc w:val="center"/>
        <w:rPr>
          <w:rFonts w:ascii="Arial" w:hAnsi="Arial" w:cs="Arial"/>
          <w:sz w:val="72"/>
          <w:szCs w:val="72"/>
        </w:rPr>
      </w:pPr>
      <w:r w:rsidRPr="00BC17B2">
        <w:rPr>
          <w:rFonts w:ascii="Arial" w:hAnsi="Arial" w:cs="Arial"/>
          <w:sz w:val="72"/>
          <w:szCs w:val="72"/>
        </w:rPr>
        <w:t>Property Law –</w:t>
      </w:r>
      <w:r>
        <w:rPr>
          <w:rFonts w:ascii="Arial" w:hAnsi="Arial" w:cs="Arial"/>
          <w:b/>
          <w:bCs/>
          <w:sz w:val="72"/>
          <w:szCs w:val="72"/>
        </w:rPr>
        <w:t xml:space="preserve"> Assignment 2: </w:t>
      </w:r>
      <w:r w:rsidR="00BC17B2" w:rsidRPr="00BC17B2">
        <w:rPr>
          <w:rFonts w:ascii="Arial" w:hAnsi="Arial" w:cs="Arial"/>
          <w:sz w:val="72"/>
          <w:szCs w:val="72"/>
        </w:rPr>
        <w:t>Critically analyse when an easement may have been created by prescription</w:t>
      </w:r>
    </w:p>
    <w:p w14:paraId="71A3519E" w14:textId="217F1ECD" w:rsidR="00BC17B2" w:rsidRDefault="00BC17B2" w:rsidP="00BC17B2">
      <w:pPr>
        <w:rPr>
          <w:rFonts w:ascii="Arial" w:hAnsi="Arial" w:cs="Arial"/>
          <w:sz w:val="72"/>
          <w:szCs w:val="72"/>
        </w:rPr>
      </w:pPr>
    </w:p>
    <w:p w14:paraId="24CD5074" w14:textId="45DD946E" w:rsidR="00BC17B2" w:rsidRDefault="00BC17B2" w:rsidP="00BC17B2">
      <w:pPr>
        <w:jc w:val="center"/>
        <w:rPr>
          <w:rFonts w:ascii="Arial" w:hAnsi="Arial" w:cs="Arial"/>
          <w:sz w:val="40"/>
          <w:szCs w:val="40"/>
        </w:rPr>
      </w:pPr>
      <w:r>
        <w:rPr>
          <w:rFonts w:ascii="Arial" w:hAnsi="Arial" w:cs="Arial"/>
          <w:sz w:val="40"/>
          <w:szCs w:val="40"/>
        </w:rPr>
        <w:t>By George Lovering</w:t>
      </w:r>
    </w:p>
    <w:p w14:paraId="60941CCC" w14:textId="77777777" w:rsidR="00BC17B2" w:rsidRDefault="00BC17B2">
      <w:pPr>
        <w:spacing w:after="160" w:line="259" w:lineRule="auto"/>
        <w:rPr>
          <w:rFonts w:ascii="Arial" w:hAnsi="Arial" w:cs="Arial"/>
          <w:sz w:val="40"/>
          <w:szCs w:val="40"/>
        </w:rPr>
      </w:pPr>
      <w:r>
        <w:rPr>
          <w:rFonts w:ascii="Arial" w:hAnsi="Arial" w:cs="Arial"/>
          <w:sz w:val="40"/>
          <w:szCs w:val="40"/>
        </w:rPr>
        <w:br w:type="page"/>
      </w:r>
    </w:p>
    <w:p w14:paraId="72CD37AB" w14:textId="26907261" w:rsidR="00BC17B2" w:rsidRDefault="00556658" w:rsidP="00BC17B2">
      <w:pPr>
        <w:rPr>
          <w:rFonts w:ascii="Arial" w:hAnsi="Arial" w:cs="Arial"/>
          <w:sz w:val="24"/>
          <w:szCs w:val="24"/>
        </w:rPr>
      </w:pPr>
      <w:r>
        <w:rPr>
          <w:rFonts w:ascii="Arial" w:hAnsi="Arial" w:cs="Arial"/>
          <w:sz w:val="24"/>
          <w:szCs w:val="24"/>
        </w:rPr>
        <w:lastRenderedPageBreak/>
        <w:t>During this discussion</w:t>
      </w:r>
      <w:r w:rsidR="003F54D6">
        <w:rPr>
          <w:rFonts w:ascii="Arial" w:hAnsi="Arial" w:cs="Arial"/>
          <w:sz w:val="24"/>
          <w:szCs w:val="24"/>
        </w:rPr>
        <w:t>,</w:t>
      </w:r>
      <w:r>
        <w:rPr>
          <w:rFonts w:ascii="Arial" w:hAnsi="Arial" w:cs="Arial"/>
          <w:sz w:val="24"/>
          <w:szCs w:val="24"/>
        </w:rPr>
        <w:t xml:space="preserve"> easements and how easements are developed/created in property la</w:t>
      </w:r>
      <w:r w:rsidR="003F54D6">
        <w:rPr>
          <w:rFonts w:ascii="Arial" w:hAnsi="Arial" w:cs="Arial"/>
          <w:sz w:val="24"/>
          <w:szCs w:val="24"/>
        </w:rPr>
        <w:t>w will be a significant focus</w:t>
      </w:r>
      <w:r w:rsidR="00431331">
        <w:rPr>
          <w:rFonts w:ascii="Arial" w:hAnsi="Arial" w:cs="Arial"/>
          <w:sz w:val="24"/>
          <w:szCs w:val="24"/>
        </w:rPr>
        <w:t>.</w:t>
      </w:r>
      <w:r w:rsidR="003F54D6">
        <w:rPr>
          <w:rFonts w:ascii="Arial" w:hAnsi="Arial" w:cs="Arial"/>
          <w:sz w:val="24"/>
          <w:szCs w:val="24"/>
        </w:rPr>
        <w:t xml:space="preserve"> </w:t>
      </w:r>
      <w:r w:rsidR="00673ED6">
        <w:rPr>
          <w:rFonts w:ascii="Arial" w:hAnsi="Arial" w:cs="Arial"/>
          <w:sz w:val="24"/>
          <w:szCs w:val="24"/>
        </w:rPr>
        <w:t xml:space="preserve">Specifically, the creation of easements by prescription. </w:t>
      </w:r>
      <w:r w:rsidR="00431331">
        <w:rPr>
          <w:rFonts w:ascii="Arial" w:hAnsi="Arial" w:cs="Arial"/>
          <w:sz w:val="24"/>
          <w:szCs w:val="24"/>
        </w:rPr>
        <w:t>T</w:t>
      </w:r>
      <w:r>
        <w:rPr>
          <w:rFonts w:ascii="Arial" w:hAnsi="Arial" w:cs="Arial"/>
          <w:sz w:val="24"/>
          <w:szCs w:val="24"/>
        </w:rPr>
        <w:t xml:space="preserve">he objectives </w:t>
      </w:r>
      <w:r w:rsidR="003F54D6">
        <w:rPr>
          <w:rFonts w:ascii="Arial" w:hAnsi="Arial" w:cs="Arial"/>
          <w:sz w:val="24"/>
          <w:szCs w:val="24"/>
        </w:rPr>
        <w:t>to keep in mind in order to critically analyse this topic in property law are making sure</w:t>
      </w:r>
      <w:r w:rsidR="00431331">
        <w:rPr>
          <w:rFonts w:ascii="Arial" w:hAnsi="Arial" w:cs="Arial"/>
          <w:sz w:val="24"/>
          <w:szCs w:val="24"/>
        </w:rPr>
        <w:t xml:space="preserve"> key</w:t>
      </w:r>
      <w:r w:rsidR="003F54D6">
        <w:rPr>
          <w:rFonts w:ascii="Arial" w:hAnsi="Arial" w:cs="Arial"/>
          <w:sz w:val="24"/>
          <w:szCs w:val="24"/>
        </w:rPr>
        <w:t xml:space="preserve"> terms are clearly defined and that the relevant case law, statutes and common law examples are clearly outlined and understood, whilst </w:t>
      </w:r>
      <w:r w:rsidR="00431331">
        <w:rPr>
          <w:rFonts w:ascii="Arial" w:hAnsi="Arial" w:cs="Arial"/>
          <w:sz w:val="24"/>
          <w:szCs w:val="24"/>
        </w:rPr>
        <w:t>expanding on them with relevant observations, arguments,</w:t>
      </w:r>
      <w:r w:rsidR="00597038">
        <w:rPr>
          <w:rFonts w:ascii="Arial" w:hAnsi="Arial" w:cs="Arial"/>
          <w:sz w:val="24"/>
          <w:szCs w:val="24"/>
        </w:rPr>
        <w:t xml:space="preserve"> considerations</w:t>
      </w:r>
      <w:r w:rsidR="00431331">
        <w:rPr>
          <w:rFonts w:ascii="Arial" w:hAnsi="Arial" w:cs="Arial"/>
          <w:sz w:val="24"/>
          <w:szCs w:val="24"/>
        </w:rPr>
        <w:t xml:space="preserve"> </w:t>
      </w:r>
      <w:r w:rsidR="00350DB3">
        <w:rPr>
          <w:rFonts w:ascii="Arial" w:hAnsi="Arial" w:cs="Arial"/>
          <w:sz w:val="24"/>
          <w:szCs w:val="24"/>
        </w:rPr>
        <w:t>from</w:t>
      </w:r>
      <w:r w:rsidR="00431331">
        <w:rPr>
          <w:rFonts w:ascii="Arial" w:hAnsi="Arial" w:cs="Arial"/>
          <w:sz w:val="24"/>
          <w:szCs w:val="24"/>
        </w:rPr>
        <w:t xml:space="preserve"> </w:t>
      </w:r>
      <w:r w:rsidR="0078085B">
        <w:rPr>
          <w:rFonts w:ascii="Arial" w:hAnsi="Arial" w:cs="Arial"/>
          <w:sz w:val="24"/>
          <w:szCs w:val="24"/>
        </w:rPr>
        <w:t>academic</w:t>
      </w:r>
      <w:r w:rsidR="00431331">
        <w:rPr>
          <w:rFonts w:ascii="Arial" w:hAnsi="Arial" w:cs="Arial"/>
          <w:sz w:val="24"/>
          <w:szCs w:val="24"/>
        </w:rPr>
        <w:t xml:space="preserve"> sources.</w:t>
      </w:r>
      <w:r w:rsidR="005E6E41">
        <w:rPr>
          <w:rFonts w:ascii="Arial" w:hAnsi="Arial" w:cs="Arial"/>
          <w:sz w:val="24"/>
          <w:szCs w:val="24"/>
        </w:rPr>
        <w:t xml:space="preserve"> </w:t>
      </w:r>
      <w:r w:rsidR="009C02F7">
        <w:rPr>
          <w:rFonts w:ascii="Arial" w:hAnsi="Arial" w:cs="Arial"/>
          <w:sz w:val="24"/>
          <w:szCs w:val="24"/>
        </w:rPr>
        <w:t>The main goal is to explore if any improvements need to be made to the existing law surrounding easements by experts in the field, especially the idea of reform on existing statutes and any recommendations that have been presented in order to achieve thi</w:t>
      </w:r>
      <w:r w:rsidR="00A30D08">
        <w:rPr>
          <w:rFonts w:ascii="Arial" w:hAnsi="Arial" w:cs="Arial"/>
          <w:sz w:val="24"/>
          <w:szCs w:val="24"/>
        </w:rPr>
        <w:t>s as a means to aid in the critical analysis of these issues.</w:t>
      </w:r>
    </w:p>
    <w:p w14:paraId="3E887EED" w14:textId="157A2FC7" w:rsidR="009D49D7" w:rsidRPr="003C7310" w:rsidRDefault="009D49D7" w:rsidP="00BC17B2">
      <w:pPr>
        <w:rPr>
          <w:rFonts w:ascii="Arial" w:hAnsi="Arial" w:cs="Arial"/>
          <w:sz w:val="24"/>
          <w:szCs w:val="24"/>
        </w:rPr>
      </w:pPr>
    </w:p>
    <w:p w14:paraId="3B2BA41C" w14:textId="62BCD426" w:rsidR="00A50B2D" w:rsidRDefault="00C57E15">
      <w:pPr>
        <w:rPr>
          <w:rFonts w:ascii="Arial" w:hAnsi="Arial" w:cs="Arial"/>
          <w:sz w:val="24"/>
          <w:szCs w:val="24"/>
          <w:shd w:val="clear" w:color="auto" w:fill="FFFFFF"/>
        </w:rPr>
      </w:pPr>
      <w:r w:rsidRPr="003C7310">
        <w:rPr>
          <w:rFonts w:ascii="Arial" w:hAnsi="Arial" w:cs="Arial"/>
          <w:sz w:val="24"/>
          <w:szCs w:val="24"/>
        </w:rPr>
        <w:t>Firstly,</w:t>
      </w:r>
      <w:r w:rsidR="00B67F4B" w:rsidRPr="003C7310">
        <w:rPr>
          <w:rFonts w:ascii="Arial" w:hAnsi="Arial" w:cs="Arial"/>
          <w:sz w:val="24"/>
          <w:szCs w:val="24"/>
        </w:rPr>
        <w:t xml:space="preserve"> citing Davies and Taggart</w:t>
      </w:r>
      <w:r w:rsidR="00237494">
        <w:rPr>
          <w:rFonts w:ascii="Arial" w:hAnsi="Arial" w:cs="Arial"/>
          <w:sz w:val="24"/>
          <w:szCs w:val="24"/>
        </w:rPr>
        <w:t xml:space="preserve"> </w:t>
      </w:r>
      <w:r w:rsidR="00A34971" w:rsidRPr="003C7310">
        <w:rPr>
          <w:rFonts w:ascii="Arial" w:hAnsi="Arial" w:cs="Arial"/>
          <w:sz w:val="24"/>
          <w:szCs w:val="24"/>
        </w:rPr>
        <w:t>(</w:t>
      </w:r>
      <w:r w:rsidR="00B67F4B" w:rsidRPr="003C7310">
        <w:rPr>
          <w:rFonts w:ascii="Arial" w:hAnsi="Arial" w:cs="Arial"/>
          <w:sz w:val="24"/>
          <w:szCs w:val="24"/>
        </w:rPr>
        <w:t>2021)</w:t>
      </w:r>
      <w:r w:rsidR="00237494">
        <w:rPr>
          <w:rFonts w:ascii="Arial" w:hAnsi="Arial" w:cs="Arial"/>
          <w:sz w:val="24"/>
          <w:szCs w:val="24"/>
        </w:rPr>
        <w:t>,</w:t>
      </w:r>
      <w:r w:rsidRPr="003C7310">
        <w:rPr>
          <w:rFonts w:ascii="Arial" w:hAnsi="Arial" w:cs="Arial"/>
          <w:sz w:val="24"/>
          <w:szCs w:val="24"/>
        </w:rPr>
        <w:t xml:space="preserve"> an easement can be defined </w:t>
      </w:r>
      <w:r w:rsidR="00BD5686" w:rsidRPr="003C7310">
        <w:rPr>
          <w:rFonts w:ascii="Arial" w:hAnsi="Arial" w:cs="Arial"/>
          <w:sz w:val="24"/>
          <w:szCs w:val="24"/>
        </w:rPr>
        <w:t>as “</w:t>
      </w:r>
      <w:r w:rsidR="00BD5686" w:rsidRPr="003C7310">
        <w:rPr>
          <w:rFonts w:ascii="Arial" w:hAnsi="Arial" w:cs="Arial"/>
          <w:sz w:val="24"/>
          <w:szCs w:val="24"/>
          <w:shd w:val="clear" w:color="auto" w:fill="FFFFFF"/>
        </w:rPr>
        <w:t xml:space="preserve">a right benefiting a piece of land (known as the dominant tenement) that is enjoyed over land owned by a third party, often the neighbouring land (known as the servient tenement).” </w:t>
      </w:r>
      <w:r w:rsidR="003C7310">
        <w:rPr>
          <w:rFonts w:ascii="Arial" w:hAnsi="Arial" w:cs="Arial"/>
          <w:sz w:val="24"/>
          <w:szCs w:val="24"/>
          <w:shd w:val="clear" w:color="auto" w:fill="FFFFFF"/>
        </w:rPr>
        <w:t xml:space="preserve">Common examples </w:t>
      </w:r>
      <w:r w:rsidR="009D36CE" w:rsidRPr="003C7310">
        <w:rPr>
          <w:rFonts w:ascii="Arial" w:hAnsi="Arial" w:cs="Arial"/>
          <w:sz w:val="24"/>
          <w:szCs w:val="24"/>
          <w:shd w:val="clear" w:color="auto" w:fill="FFFFFF"/>
        </w:rPr>
        <w:t xml:space="preserve">of easements </w:t>
      </w:r>
      <w:r w:rsidR="00C74AD6" w:rsidRPr="003C7310">
        <w:rPr>
          <w:rFonts w:ascii="Arial" w:hAnsi="Arial" w:cs="Arial"/>
          <w:sz w:val="24"/>
          <w:szCs w:val="24"/>
          <w:shd w:val="clear" w:color="auto" w:fill="FFFFFF"/>
        </w:rPr>
        <w:t xml:space="preserve">that can be seen in the everyday world </w:t>
      </w:r>
      <w:r w:rsidR="009D36CE" w:rsidRPr="003C7310">
        <w:rPr>
          <w:rFonts w:ascii="Arial" w:hAnsi="Arial" w:cs="Arial"/>
          <w:sz w:val="24"/>
          <w:szCs w:val="24"/>
          <w:shd w:val="clear" w:color="auto" w:fill="FFFFFF"/>
        </w:rPr>
        <w:t>from the definition stated here are things such as</w:t>
      </w:r>
      <w:r w:rsidR="00646460" w:rsidRPr="003C7310">
        <w:rPr>
          <w:rFonts w:ascii="Arial" w:hAnsi="Arial" w:cs="Arial"/>
          <w:sz w:val="24"/>
          <w:szCs w:val="24"/>
          <w:shd w:val="clear" w:color="auto" w:fill="FFFFFF"/>
        </w:rPr>
        <w:t xml:space="preserve"> a</w:t>
      </w:r>
      <w:r w:rsidR="009D36CE" w:rsidRPr="003C7310">
        <w:rPr>
          <w:rFonts w:ascii="Arial" w:hAnsi="Arial" w:cs="Arial"/>
          <w:sz w:val="24"/>
          <w:szCs w:val="24"/>
          <w:shd w:val="clear" w:color="auto" w:fill="FFFFFF"/>
        </w:rPr>
        <w:t xml:space="preserve"> right of way or sewage/water pipes passing under or going through someone else’s property. </w:t>
      </w:r>
      <w:r w:rsidR="00EC6305">
        <w:rPr>
          <w:rFonts w:ascii="Arial" w:hAnsi="Arial" w:cs="Arial"/>
          <w:sz w:val="24"/>
          <w:szCs w:val="24"/>
          <w:shd w:val="clear" w:color="auto" w:fill="FFFFFF"/>
        </w:rPr>
        <w:t>Another example would be a right to park, i</w:t>
      </w:r>
      <w:r w:rsidR="002A50CD">
        <w:rPr>
          <w:rFonts w:ascii="Arial" w:hAnsi="Arial" w:cs="Arial"/>
          <w:sz w:val="24"/>
          <w:szCs w:val="24"/>
          <w:shd w:val="clear" w:color="auto" w:fill="FFFFFF"/>
        </w:rPr>
        <w:t xml:space="preserve">n </w:t>
      </w:r>
      <w:r w:rsidR="002A50CD">
        <w:rPr>
          <w:rFonts w:ascii="Arial" w:hAnsi="Arial" w:cs="Arial"/>
          <w:i/>
          <w:iCs/>
          <w:sz w:val="24"/>
          <w:szCs w:val="24"/>
          <w:shd w:val="clear" w:color="auto" w:fill="FFFFFF"/>
        </w:rPr>
        <w:t>Moncrieff v Jamieson (2007)</w:t>
      </w:r>
      <w:r w:rsidR="002A50CD">
        <w:rPr>
          <w:rFonts w:ascii="Arial" w:hAnsi="Arial" w:cs="Arial"/>
          <w:sz w:val="24"/>
          <w:szCs w:val="24"/>
          <w:shd w:val="clear" w:color="auto" w:fill="FFFFFF"/>
        </w:rPr>
        <w:t xml:space="preserve">, the right to park was a key issue, </w:t>
      </w:r>
      <w:r w:rsidR="00745CF0">
        <w:rPr>
          <w:rFonts w:ascii="Arial" w:hAnsi="Arial" w:cs="Arial"/>
          <w:sz w:val="24"/>
          <w:szCs w:val="24"/>
          <w:shd w:val="clear" w:color="auto" w:fill="FFFFFF"/>
        </w:rPr>
        <w:t xml:space="preserve">Goymour (2008) states “The case raised two separate issues: whether a right to park is a legally recognised property right; </w:t>
      </w:r>
      <w:r w:rsidR="00EC6305">
        <w:rPr>
          <w:rFonts w:ascii="Arial" w:hAnsi="Arial" w:cs="Arial"/>
          <w:sz w:val="24"/>
          <w:szCs w:val="24"/>
          <w:shd w:val="clear" w:color="auto" w:fill="FFFFFF"/>
        </w:rPr>
        <w:t xml:space="preserve">and, if so, whether such a right had arisen on the facts.”  </w:t>
      </w:r>
      <w:r w:rsidR="00ED19C9" w:rsidRPr="003C7310">
        <w:rPr>
          <w:rFonts w:ascii="Arial" w:hAnsi="Arial" w:cs="Arial"/>
          <w:sz w:val="24"/>
          <w:szCs w:val="24"/>
          <w:shd w:val="clear" w:color="auto" w:fill="FFFFFF"/>
        </w:rPr>
        <w:t xml:space="preserve">Additionally, for an easement to be legal, </w:t>
      </w:r>
      <w:r w:rsidR="008E3C9A" w:rsidRPr="003C7310">
        <w:rPr>
          <w:rFonts w:ascii="Arial" w:hAnsi="Arial" w:cs="Arial"/>
          <w:sz w:val="24"/>
          <w:szCs w:val="24"/>
          <w:shd w:val="clear" w:color="auto" w:fill="FFFFFF"/>
        </w:rPr>
        <w:t xml:space="preserve">section 1 of </w:t>
      </w:r>
      <w:r w:rsidR="00ED19C9" w:rsidRPr="003C7310">
        <w:rPr>
          <w:rFonts w:ascii="Arial" w:hAnsi="Arial" w:cs="Arial"/>
          <w:sz w:val="24"/>
          <w:szCs w:val="24"/>
          <w:shd w:val="clear" w:color="auto" w:fill="FFFFFF"/>
        </w:rPr>
        <w:t xml:space="preserve">the Law of Property Act 1925 (LPA) plays a key role in determining this by outlining the conditions needed for an easement, especially section 1(2)(a) and </w:t>
      </w:r>
      <w:r w:rsidR="001450F3">
        <w:rPr>
          <w:rFonts w:ascii="Arial" w:hAnsi="Arial" w:cs="Arial"/>
          <w:sz w:val="24"/>
          <w:szCs w:val="24"/>
          <w:shd w:val="clear" w:color="auto" w:fill="FFFFFF"/>
        </w:rPr>
        <w:t xml:space="preserve">section </w:t>
      </w:r>
      <w:r w:rsidR="00ED19C9" w:rsidRPr="003C7310">
        <w:rPr>
          <w:rFonts w:ascii="Arial" w:hAnsi="Arial" w:cs="Arial"/>
          <w:sz w:val="24"/>
          <w:szCs w:val="24"/>
          <w:shd w:val="clear" w:color="auto" w:fill="FFFFFF"/>
        </w:rPr>
        <w:t xml:space="preserve">1(3) </w:t>
      </w:r>
      <w:r w:rsidR="00727DCF" w:rsidRPr="003C7310">
        <w:rPr>
          <w:rFonts w:ascii="Arial" w:hAnsi="Arial" w:cs="Arial"/>
          <w:sz w:val="24"/>
          <w:szCs w:val="24"/>
          <w:shd w:val="clear" w:color="auto" w:fill="FFFFFF"/>
        </w:rPr>
        <w:t>LPA.</w:t>
      </w:r>
      <w:r w:rsidR="00681E64" w:rsidRPr="003C7310">
        <w:rPr>
          <w:rFonts w:ascii="Arial" w:hAnsi="Arial" w:cs="Arial"/>
          <w:sz w:val="24"/>
          <w:szCs w:val="24"/>
          <w:shd w:val="clear" w:color="auto" w:fill="FFFFFF"/>
        </w:rPr>
        <w:t xml:space="preserve"> </w:t>
      </w:r>
      <w:r w:rsidR="00F27EC0">
        <w:rPr>
          <w:rFonts w:ascii="Arial" w:hAnsi="Arial" w:cs="Arial"/>
          <w:sz w:val="24"/>
          <w:szCs w:val="24"/>
          <w:shd w:val="clear" w:color="auto" w:fill="FFFFFF"/>
        </w:rPr>
        <w:t>As far as recognising an easement, the</w:t>
      </w:r>
      <w:r w:rsidR="00767056">
        <w:rPr>
          <w:rFonts w:ascii="Arial" w:hAnsi="Arial" w:cs="Arial"/>
          <w:sz w:val="24"/>
          <w:szCs w:val="24"/>
          <w:shd w:val="clear" w:color="auto" w:fill="FFFFFF"/>
        </w:rPr>
        <w:t xml:space="preserve"> established</w:t>
      </w:r>
      <w:r w:rsidR="00F27EC0">
        <w:rPr>
          <w:rFonts w:ascii="Arial" w:hAnsi="Arial" w:cs="Arial"/>
          <w:sz w:val="24"/>
          <w:szCs w:val="24"/>
          <w:shd w:val="clear" w:color="auto" w:fill="FFFFFF"/>
        </w:rPr>
        <w:t xml:space="preserve"> characteristics of easements can be seen in case law, </w:t>
      </w:r>
      <w:r w:rsidR="00610BC2">
        <w:rPr>
          <w:rFonts w:ascii="Arial" w:hAnsi="Arial" w:cs="Arial"/>
          <w:sz w:val="24"/>
          <w:szCs w:val="24"/>
          <w:shd w:val="clear" w:color="auto" w:fill="FFFFFF"/>
        </w:rPr>
        <w:t xml:space="preserve">a key case is </w:t>
      </w:r>
      <w:r w:rsidR="00610BC2">
        <w:rPr>
          <w:rFonts w:ascii="Arial" w:hAnsi="Arial" w:cs="Arial"/>
          <w:i/>
          <w:iCs/>
          <w:sz w:val="24"/>
          <w:szCs w:val="24"/>
          <w:shd w:val="clear" w:color="auto" w:fill="FFFFFF"/>
        </w:rPr>
        <w:t>Re v Ellenborough Park (1956)</w:t>
      </w:r>
      <w:r w:rsidR="00610BC2">
        <w:rPr>
          <w:rFonts w:ascii="Arial" w:hAnsi="Arial" w:cs="Arial"/>
          <w:sz w:val="24"/>
          <w:szCs w:val="24"/>
          <w:shd w:val="clear" w:color="auto" w:fill="FFFFFF"/>
        </w:rPr>
        <w:t xml:space="preserve">, where it was found that the right to use a park was an easement. </w:t>
      </w:r>
      <w:r w:rsidR="0011104E">
        <w:rPr>
          <w:rFonts w:ascii="Arial" w:hAnsi="Arial" w:cs="Arial"/>
          <w:sz w:val="24"/>
          <w:szCs w:val="24"/>
          <w:shd w:val="clear" w:color="auto" w:fill="FFFFFF"/>
        </w:rPr>
        <w:t xml:space="preserve">Lord Evershed MR </w:t>
      </w:r>
      <w:r w:rsidR="00EB779C">
        <w:rPr>
          <w:rFonts w:ascii="Arial" w:hAnsi="Arial" w:cs="Arial"/>
          <w:sz w:val="24"/>
          <w:szCs w:val="24"/>
          <w:shd w:val="clear" w:color="auto" w:fill="FFFFFF"/>
        </w:rPr>
        <w:t xml:space="preserve">stated that the four requirements needed for there to be a valid easement </w:t>
      </w:r>
      <w:r w:rsidR="00717CC9">
        <w:rPr>
          <w:rFonts w:ascii="Arial" w:hAnsi="Arial" w:cs="Arial"/>
          <w:sz w:val="24"/>
          <w:szCs w:val="24"/>
          <w:shd w:val="clear" w:color="auto" w:fill="FFFFFF"/>
        </w:rPr>
        <w:t>to be “There must be a dominant and servient tenement, an easement must “accommodate” the dominant tenement, dominant and servient owners must be different persons, the right is capable of forming the subject-matter of a grant”</w:t>
      </w:r>
      <w:r w:rsidR="00603D86">
        <w:rPr>
          <w:rFonts w:ascii="Arial" w:hAnsi="Arial" w:cs="Arial"/>
          <w:sz w:val="24"/>
          <w:szCs w:val="24"/>
          <w:shd w:val="clear" w:color="auto" w:fill="FFFFFF"/>
        </w:rPr>
        <w:t xml:space="preserve">. </w:t>
      </w:r>
      <w:r w:rsidR="00FB5642">
        <w:rPr>
          <w:rFonts w:ascii="Arial" w:hAnsi="Arial" w:cs="Arial"/>
          <w:sz w:val="24"/>
          <w:szCs w:val="24"/>
          <w:shd w:val="clear" w:color="auto" w:fill="FFFFFF"/>
        </w:rPr>
        <w:t xml:space="preserve">These characteristics established in Re v Ellenborough park were </w:t>
      </w:r>
      <w:r w:rsidR="007E4DAF">
        <w:rPr>
          <w:rFonts w:ascii="Arial" w:hAnsi="Arial" w:cs="Arial"/>
          <w:sz w:val="24"/>
          <w:szCs w:val="24"/>
          <w:shd w:val="clear" w:color="auto" w:fill="FFFFFF"/>
        </w:rPr>
        <w:t>significant in providing a framework going forward in property law</w:t>
      </w:r>
      <w:r w:rsidR="008E27B8">
        <w:rPr>
          <w:rFonts w:ascii="Arial" w:hAnsi="Arial" w:cs="Arial"/>
          <w:sz w:val="24"/>
          <w:szCs w:val="24"/>
          <w:shd w:val="clear" w:color="auto" w:fill="FFFFFF"/>
        </w:rPr>
        <w:t xml:space="preserve"> as they also presented</w:t>
      </w:r>
      <w:r w:rsidR="00034C46">
        <w:rPr>
          <w:rFonts w:ascii="Arial" w:hAnsi="Arial" w:cs="Arial"/>
          <w:sz w:val="24"/>
          <w:szCs w:val="24"/>
          <w:shd w:val="clear" w:color="auto" w:fill="FFFFFF"/>
        </w:rPr>
        <w:t xml:space="preserve"> </w:t>
      </w:r>
      <w:r w:rsidR="001B6A36">
        <w:rPr>
          <w:rFonts w:ascii="Arial" w:hAnsi="Arial" w:cs="Arial"/>
          <w:sz w:val="24"/>
          <w:szCs w:val="24"/>
          <w:shd w:val="clear" w:color="auto" w:fill="FFFFFF"/>
        </w:rPr>
        <w:t xml:space="preserve">the concerns around the </w:t>
      </w:r>
      <w:r w:rsidR="00034C46">
        <w:rPr>
          <w:rFonts w:ascii="Arial" w:hAnsi="Arial" w:cs="Arial"/>
          <w:sz w:val="24"/>
          <w:szCs w:val="24"/>
          <w:shd w:val="clear" w:color="auto" w:fill="FFFFFF"/>
        </w:rPr>
        <w:t xml:space="preserve">conditions </w:t>
      </w:r>
      <w:r w:rsidR="001B6A36">
        <w:rPr>
          <w:rFonts w:ascii="Arial" w:hAnsi="Arial" w:cs="Arial"/>
          <w:sz w:val="24"/>
          <w:szCs w:val="24"/>
          <w:shd w:val="clear" w:color="auto" w:fill="FFFFFF"/>
        </w:rPr>
        <w:t>needed for</w:t>
      </w:r>
      <w:r w:rsidR="00034C46">
        <w:rPr>
          <w:rFonts w:ascii="Arial" w:hAnsi="Arial" w:cs="Arial"/>
          <w:sz w:val="24"/>
          <w:szCs w:val="24"/>
          <w:shd w:val="clear" w:color="auto" w:fill="FFFFFF"/>
        </w:rPr>
        <w:t xml:space="preserve"> </w:t>
      </w:r>
      <w:r w:rsidR="002D3517">
        <w:rPr>
          <w:rFonts w:ascii="Arial" w:hAnsi="Arial" w:cs="Arial"/>
          <w:sz w:val="24"/>
          <w:szCs w:val="24"/>
          <w:shd w:val="clear" w:color="auto" w:fill="FFFFFF"/>
        </w:rPr>
        <w:t xml:space="preserve">subject-matter </w:t>
      </w:r>
      <w:r w:rsidR="001B6A36">
        <w:rPr>
          <w:rFonts w:ascii="Arial" w:hAnsi="Arial" w:cs="Arial"/>
          <w:sz w:val="24"/>
          <w:szCs w:val="24"/>
          <w:shd w:val="clear" w:color="auto" w:fill="FFFFFF"/>
        </w:rPr>
        <w:t>to</w:t>
      </w:r>
      <w:r w:rsidR="002D3517">
        <w:rPr>
          <w:rFonts w:ascii="Arial" w:hAnsi="Arial" w:cs="Arial"/>
          <w:sz w:val="24"/>
          <w:szCs w:val="24"/>
          <w:shd w:val="clear" w:color="auto" w:fill="FFFFFF"/>
        </w:rPr>
        <w:t xml:space="preserve"> be capable of being a grant. </w:t>
      </w:r>
    </w:p>
    <w:p w14:paraId="7FBAB7A4" w14:textId="77777777" w:rsidR="00A50B2D" w:rsidRDefault="00A50B2D">
      <w:pPr>
        <w:rPr>
          <w:rFonts w:ascii="Arial" w:hAnsi="Arial" w:cs="Arial"/>
          <w:sz w:val="24"/>
          <w:szCs w:val="24"/>
          <w:shd w:val="clear" w:color="auto" w:fill="FFFFFF"/>
        </w:rPr>
      </w:pPr>
    </w:p>
    <w:p w14:paraId="58AB7C59" w14:textId="4C876AE0" w:rsidR="00CE5AC1" w:rsidRPr="00A41068" w:rsidRDefault="00EC0A95">
      <w:pPr>
        <w:rPr>
          <w:rFonts w:ascii="Arial" w:hAnsi="Arial" w:cs="Arial"/>
          <w:sz w:val="24"/>
          <w:szCs w:val="24"/>
          <w:shd w:val="clear" w:color="auto" w:fill="FFFFFF"/>
        </w:rPr>
      </w:pPr>
      <w:r>
        <w:rPr>
          <w:rFonts w:ascii="Arial" w:hAnsi="Arial" w:cs="Arial"/>
          <w:sz w:val="24"/>
          <w:szCs w:val="24"/>
          <w:shd w:val="clear" w:color="auto" w:fill="FFFFFF"/>
        </w:rPr>
        <w:t xml:space="preserve">In terms of easements being created by prescription, </w:t>
      </w:r>
      <w:r w:rsidR="0039060D">
        <w:rPr>
          <w:rFonts w:ascii="Arial" w:hAnsi="Arial" w:cs="Arial"/>
          <w:sz w:val="24"/>
          <w:szCs w:val="24"/>
          <w:shd w:val="clear" w:color="auto" w:fill="FFFFFF"/>
        </w:rPr>
        <w:t xml:space="preserve">HM Land Registry (2021) outlines the three ways in which easements can be acquired by prescription, at common law, </w:t>
      </w:r>
      <w:r w:rsidR="00274509">
        <w:rPr>
          <w:rFonts w:ascii="Arial" w:hAnsi="Arial" w:cs="Arial"/>
          <w:sz w:val="24"/>
          <w:szCs w:val="24"/>
          <w:shd w:val="clear" w:color="auto" w:fill="FFFFFF"/>
        </w:rPr>
        <w:t>lost</w:t>
      </w:r>
      <w:r w:rsidR="0039060D">
        <w:rPr>
          <w:rFonts w:ascii="Arial" w:hAnsi="Arial" w:cs="Arial"/>
          <w:sz w:val="24"/>
          <w:szCs w:val="24"/>
          <w:shd w:val="clear" w:color="auto" w:fill="FFFFFF"/>
        </w:rPr>
        <w:t xml:space="preserve"> modern grant and/or under the Prescription Act 1832. </w:t>
      </w:r>
      <w:r w:rsidR="00C65B09">
        <w:rPr>
          <w:rFonts w:ascii="Arial" w:hAnsi="Arial" w:cs="Arial"/>
          <w:sz w:val="24"/>
          <w:szCs w:val="24"/>
          <w:shd w:val="clear" w:color="auto" w:fill="FFFFFF"/>
        </w:rPr>
        <w:t>Section 62 LPA provides clarity in the acquisition of easement as it provides</w:t>
      </w:r>
      <w:r w:rsidR="00A50B2D">
        <w:rPr>
          <w:rFonts w:ascii="Arial" w:hAnsi="Arial" w:cs="Arial"/>
          <w:sz w:val="24"/>
          <w:szCs w:val="24"/>
          <w:shd w:val="clear" w:color="auto" w:fill="FFFFFF"/>
        </w:rPr>
        <w:t xml:space="preserve"> the guidelines for conveyance of land and can present arguments for a right as opposed to a permission.</w:t>
      </w:r>
      <w:r w:rsidR="00C65B09">
        <w:rPr>
          <w:rFonts w:ascii="Arial" w:hAnsi="Arial" w:cs="Arial"/>
          <w:sz w:val="24"/>
          <w:szCs w:val="24"/>
          <w:shd w:val="clear" w:color="auto" w:fill="FFFFFF"/>
        </w:rPr>
        <w:t xml:space="preserve"> </w:t>
      </w:r>
      <w:r w:rsidR="005112C6">
        <w:rPr>
          <w:rFonts w:ascii="Arial" w:hAnsi="Arial" w:cs="Arial"/>
          <w:sz w:val="24"/>
          <w:szCs w:val="24"/>
          <w:shd w:val="clear" w:color="auto" w:fill="FFFFFF"/>
        </w:rPr>
        <w:t>There are cases where these three ways are used as primary arguments by claimants when trying to acquire easement by prescription. There are arguments within the rulings of case law that show to what extent these</w:t>
      </w:r>
      <w:r w:rsidR="008B2CE2">
        <w:rPr>
          <w:rFonts w:ascii="Arial" w:hAnsi="Arial" w:cs="Arial"/>
          <w:sz w:val="24"/>
          <w:szCs w:val="24"/>
          <w:shd w:val="clear" w:color="auto" w:fill="FFFFFF"/>
        </w:rPr>
        <w:t xml:space="preserve"> methods</w:t>
      </w:r>
      <w:r w:rsidR="005112C6">
        <w:rPr>
          <w:rFonts w:ascii="Arial" w:hAnsi="Arial" w:cs="Arial"/>
          <w:sz w:val="24"/>
          <w:szCs w:val="24"/>
          <w:shd w:val="clear" w:color="auto" w:fill="FFFFFF"/>
        </w:rPr>
        <w:t xml:space="preserve"> are valid when trying to acquire easement, in </w:t>
      </w:r>
      <w:r w:rsidR="005112C6">
        <w:rPr>
          <w:rFonts w:ascii="Arial" w:hAnsi="Arial" w:cs="Arial"/>
          <w:i/>
          <w:iCs/>
          <w:sz w:val="24"/>
          <w:szCs w:val="24"/>
          <w:shd w:val="clear" w:color="auto" w:fill="FFFFFF"/>
        </w:rPr>
        <w:t>Bakewell Managements Ltd. v Brandwood (2004)</w:t>
      </w:r>
      <w:r w:rsidR="005112C6">
        <w:rPr>
          <w:rFonts w:ascii="Arial" w:hAnsi="Arial" w:cs="Arial"/>
          <w:sz w:val="24"/>
          <w:szCs w:val="24"/>
          <w:shd w:val="clear" w:color="auto" w:fill="FFFFFF"/>
        </w:rPr>
        <w:t xml:space="preserve">, </w:t>
      </w:r>
      <w:r w:rsidR="00DA6977">
        <w:rPr>
          <w:rFonts w:ascii="Arial" w:hAnsi="Arial" w:cs="Arial"/>
          <w:sz w:val="24"/>
          <w:szCs w:val="24"/>
          <w:shd w:val="clear" w:color="auto" w:fill="FFFFFF"/>
        </w:rPr>
        <w:t xml:space="preserve">it was determined that a </w:t>
      </w:r>
      <w:r w:rsidR="00E00D8F">
        <w:rPr>
          <w:rFonts w:ascii="Arial" w:hAnsi="Arial" w:cs="Arial"/>
          <w:sz w:val="24"/>
          <w:szCs w:val="24"/>
          <w:shd w:val="clear" w:color="auto" w:fill="FFFFFF"/>
        </w:rPr>
        <w:t xml:space="preserve">lost modern grant couldn’t be presumed </w:t>
      </w:r>
      <w:r w:rsidR="008B7515">
        <w:rPr>
          <w:rFonts w:ascii="Arial" w:hAnsi="Arial" w:cs="Arial"/>
          <w:sz w:val="24"/>
          <w:szCs w:val="24"/>
          <w:shd w:val="clear" w:color="auto" w:fill="FFFFFF"/>
        </w:rPr>
        <w:t xml:space="preserve">where a grant obtained by a landowner was unlawful. However, this case developed property law as it deemed the ruling in </w:t>
      </w:r>
      <w:bookmarkStart w:id="0" w:name="_Hlk118819341"/>
      <w:r w:rsidR="008B7515">
        <w:rPr>
          <w:rFonts w:ascii="Arial" w:hAnsi="Arial" w:cs="Arial"/>
          <w:i/>
          <w:iCs/>
          <w:sz w:val="24"/>
          <w:szCs w:val="24"/>
          <w:shd w:val="clear" w:color="auto" w:fill="FFFFFF"/>
        </w:rPr>
        <w:t>Hanning v Top Deck Travel Group Ltd. (1993</w:t>
      </w:r>
      <w:bookmarkEnd w:id="0"/>
      <w:r w:rsidR="008B7515">
        <w:rPr>
          <w:rFonts w:ascii="Arial" w:hAnsi="Arial" w:cs="Arial"/>
          <w:i/>
          <w:iCs/>
          <w:sz w:val="24"/>
          <w:szCs w:val="24"/>
          <w:shd w:val="clear" w:color="auto" w:fill="FFFFFF"/>
        </w:rPr>
        <w:t>)</w:t>
      </w:r>
      <w:r w:rsidR="007F6B55">
        <w:rPr>
          <w:rFonts w:ascii="Arial" w:hAnsi="Arial" w:cs="Arial"/>
          <w:sz w:val="24"/>
          <w:szCs w:val="24"/>
          <w:shd w:val="clear" w:color="auto" w:fill="FFFFFF"/>
        </w:rPr>
        <w:t xml:space="preserve"> to be incorrect, therefore deeming an easement to be created by prescription to be acceptable if only tortious trespass occurs and not criminal trespass. </w:t>
      </w:r>
      <w:r w:rsidR="00BC7227">
        <w:rPr>
          <w:rFonts w:ascii="Arial" w:hAnsi="Arial" w:cs="Arial"/>
          <w:sz w:val="24"/>
          <w:szCs w:val="24"/>
          <w:shd w:val="clear" w:color="auto" w:fill="FFFFFF"/>
        </w:rPr>
        <w:t xml:space="preserve">When looking </w:t>
      </w:r>
      <w:r w:rsidR="00BC7227">
        <w:rPr>
          <w:rFonts w:ascii="Arial" w:hAnsi="Arial" w:cs="Arial"/>
          <w:sz w:val="24"/>
          <w:szCs w:val="24"/>
          <w:shd w:val="clear" w:color="auto" w:fill="FFFFFF"/>
        </w:rPr>
        <w:lastRenderedPageBreak/>
        <w:t xml:space="preserve">at </w:t>
      </w:r>
      <w:r w:rsidR="00D62BFE">
        <w:rPr>
          <w:rFonts w:ascii="Arial" w:hAnsi="Arial" w:cs="Arial"/>
          <w:sz w:val="24"/>
          <w:szCs w:val="24"/>
          <w:shd w:val="clear" w:color="auto" w:fill="FFFFFF"/>
        </w:rPr>
        <w:t>acquiring easements by common law, Ireland (2013) states “</w:t>
      </w:r>
      <w:r w:rsidR="00D62BFE" w:rsidRPr="00D62BFE">
        <w:rPr>
          <w:rFonts w:ascii="Arial" w:hAnsi="Arial" w:cs="Arial"/>
          <w:sz w:val="24"/>
          <w:szCs w:val="24"/>
        </w:rPr>
        <w:t>This method is of little practical use nowadays given the introduction of the other two methods of obtaining easements by prescription and the ease by which it can be shown that use has not been enjoyed since 1189.</w:t>
      </w:r>
      <w:r w:rsidR="00C07914">
        <w:rPr>
          <w:rFonts w:ascii="Arial" w:hAnsi="Arial" w:cs="Arial"/>
          <w:sz w:val="24"/>
          <w:szCs w:val="24"/>
        </w:rPr>
        <w:t xml:space="preserve">” </w:t>
      </w:r>
      <w:r w:rsidR="004772A8">
        <w:rPr>
          <w:rFonts w:ascii="Arial" w:hAnsi="Arial" w:cs="Arial"/>
          <w:sz w:val="24"/>
          <w:szCs w:val="24"/>
        </w:rPr>
        <w:t xml:space="preserve">With 1189 being used as the year of legal memory </w:t>
      </w:r>
      <w:r w:rsidR="007C011C">
        <w:rPr>
          <w:rFonts w:ascii="Arial" w:hAnsi="Arial" w:cs="Arial"/>
          <w:sz w:val="24"/>
          <w:szCs w:val="24"/>
        </w:rPr>
        <w:t>which was declared by King Richard I and is known as “time immemorial”</w:t>
      </w:r>
      <w:r w:rsidR="00DE10FD">
        <w:rPr>
          <w:rFonts w:ascii="Arial" w:hAnsi="Arial" w:cs="Arial"/>
          <w:sz w:val="24"/>
          <w:szCs w:val="24"/>
        </w:rPr>
        <w:t xml:space="preserve">, given the nature of the modern world and record keeping, Ireland points out that this method is outdated and inferior to the other two methods of easement by prescription. </w:t>
      </w:r>
      <w:r w:rsidR="00452600">
        <w:rPr>
          <w:rFonts w:ascii="Arial" w:hAnsi="Arial" w:cs="Arial"/>
          <w:sz w:val="24"/>
          <w:szCs w:val="24"/>
        </w:rPr>
        <w:t xml:space="preserve">In </w:t>
      </w:r>
      <w:r w:rsidR="00452600">
        <w:rPr>
          <w:rFonts w:ascii="Arial" w:hAnsi="Arial" w:cs="Arial"/>
          <w:i/>
          <w:iCs/>
          <w:sz w:val="24"/>
          <w:szCs w:val="24"/>
        </w:rPr>
        <w:t>Gardener v Hodgson’s Kingston’s Brewery (1903),</w:t>
      </w:r>
      <w:r w:rsidR="00BF65C2">
        <w:rPr>
          <w:rFonts w:ascii="Arial" w:hAnsi="Arial" w:cs="Arial"/>
          <w:i/>
          <w:iCs/>
          <w:sz w:val="24"/>
          <w:szCs w:val="24"/>
        </w:rPr>
        <w:t xml:space="preserve"> </w:t>
      </w:r>
      <w:r w:rsidR="003E78C8">
        <w:rPr>
          <w:rFonts w:ascii="Arial" w:hAnsi="Arial" w:cs="Arial"/>
          <w:sz w:val="24"/>
          <w:szCs w:val="24"/>
        </w:rPr>
        <w:t xml:space="preserve">it was found that the landowner granted easement by permission previously and that </w:t>
      </w:r>
      <w:r w:rsidR="00510848">
        <w:rPr>
          <w:rFonts w:ascii="Arial" w:hAnsi="Arial" w:cs="Arial"/>
          <w:sz w:val="24"/>
          <w:szCs w:val="24"/>
        </w:rPr>
        <w:t>the claimant</w:t>
      </w:r>
      <w:r w:rsidR="003E78C8">
        <w:rPr>
          <w:rFonts w:ascii="Arial" w:hAnsi="Arial" w:cs="Arial"/>
          <w:sz w:val="24"/>
          <w:szCs w:val="24"/>
        </w:rPr>
        <w:t xml:space="preserve"> couldn’t </w:t>
      </w:r>
      <w:r w:rsidR="00510848">
        <w:rPr>
          <w:rFonts w:ascii="Arial" w:hAnsi="Arial" w:cs="Arial"/>
          <w:sz w:val="24"/>
          <w:szCs w:val="24"/>
        </w:rPr>
        <w:t>be</w:t>
      </w:r>
      <w:r w:rsidR="003718D3">
        <w:rPr>
          <w:rFonts w:ascii="Arial" w:hAnsi="Arial" w:cs="Arial"/>
          <w:sz w:val="24"/>
          <w:szCs w:val="24"/>
        </w:rPr>
        <w:t xml:space="preserve"> a user as of right, Colby (2020) explains, </w:t>
      </w:r>
      <w:r w:rsidR="003718D3" w:rsidRPr="003718D3">
        <w:rPr>
          <w:rFonts w:ascii="Arial" w:hAnsi="Arial" w:cs="Arial"/>
          <w:sz w:val="24"/>
          <w:szCs w:val="24"/>
        </w:rPr>
        <w:t>“</w:t>
      </w:r>
      <w:r w:rsidR="003718D3" w:rsidRPr="003718D3">
        <w:rPr>
          <w:rFonts w:ascii="Arial" w:hAnsi="Arial" w:cs="Arial"/>
          <w:sz w:val="24"/>
          <w:szCs w:val="24"/>
          <w:shd w:val="clear" w:color="auto" w:fill="FFFFFF"/>
        </w:rPr>
        <w:t>this legal fiction cannot be applied where there is another reasonably possible explanation for such use. Therefore, if the user in question could have had another lawful origin, it is not "user as of right".</w:t>
      </w:r>
      <w:r w:rsidR="003718D3">
        <w:rPr>
          <w:rFonts w:ascii="Arial" w:hAnsi="Arial" w:cs="Arial"/>
          <w:sz w:val="24"/>
          <w:szCs w:val="24"/>
          <w:shd w:val="clear" w:color="auto" w:fill="FFFFFF"/>
        </w:rPr>
        <w:t xml:space="preserve">” </w:t>
      </w:r>
    </w:p>
    <w:p w14:paraId="17E9677D" w14:textId="77777777" w:rsidR="00CE5AC1" w:rsidRDefault="00CE5AC1">
      <w:pPr>
        <w:rPr>
          <w:rFonts w:ascii="Arial" w:hAnsi="Arial" w:cs="Arial"/>
          <w:sz w:val="24"/>
          <w:szCs w:val="24"/>
          <w:shd w:val="clear" w:color="auto" w:fill="FFFFFF"/>
        </w:rPr>
      </w:pPr>
    </w:p>
    <w:p w14:paraId="0EB8143D" w14:textId="4450F733" w:rsidR="00DB48E4" w:rsidRDefault="00C147FD">
      <w:pPr>
        <w:rPr>
          <w:rFonts w:ascii="Arial" w:hAnsi="Arial" w:cs="Arial"/>
          <w:sz w:val="24"/>
          <w:szCs w:val="24"/>
          <w:shd w:val="clear" w:color="auto" w:fill="FEFDFF"/>
        </w:rPr>
      </w:pPr>
      <w:r>
        <w:rPr>
          <w:rFonts w:ascii="Arial" w:hAnsi="Arial" w:cs="Arial"/>
          <w:sz w:val="24"/>
          <w:szCs w:val="24"/>
          <w:shd w:val="clear" w:color="auto" w:fill="FFFFFF"/>
        </w:rPr>
        <w:t>There are examples that show</w:t>
      </w:r>
      <w:r w:rsidR="006B1170">
        <w:rPr>
          <w:rFonts w:ascii="Arial" w:hAnsi="Arial" w:cs="Arial"/>
          <w:sz w:val="24"/>
          <w:szCs w:val="24"/>
          <w:shd w:val="clear" w:color="auto" w:fill="FFFFFF"/>
        </w:rPr>
        <w:t xml:space="preserve"> section 62</w:t>
      </w:r>
      <w:r>
        <w:rPr>
          <w:rFonts w:ascii="Arial" w:hAnsi="Arial" w:cs="Arial"/>
          <w:sz w:val="24"/>
          <w:szCs w:val="24"/>
          <w:shd w:val="clear" w:color="auto" w:fill="FFFFFF"/>
        </w:rPr>
        <w:t xml:space="preserve"> of LPA provides arguments for rights in cases regarding easements,</w:t>
      </w:r>
      <w:r w:rsidR="001B6A36">
        <w:rPr>
          <w:rFonts w:ascii="Arial" w:hAnsi="Arial" w:cs="Arial"/>
          <w:sz w:val="24"/>
          <w:szCs w:val="24"/>
          <w:shd w:val="clear" w:color="auto" w:fill="FFFFFF"/>
        </w:rPr>
        <w:t xml:space="preserve"> t</w:t>
      </w:r>
      <w:r w:rsidR="002D3517">
        <w:rPr>
          <w:rFonts w:ascii="Arial" w:hAnsi="Arial" w:cs="Arial"/>
          <w:sz w:val="24"/>
          <w:szCs w:val="24"/>
          <w:shd w:val="clear" w:color="auto" w:fill="FFFFFF"/>
        </w:rPr>
        <w:t xml:space="preserve">his can be seen in </w:t>
      </w:r>
      <w:r w:rsidR="00D12DB7" w:rsidRPr="00D12DB7">
        <w:rPr>
          <w:rFonts w:ascii="Arial" w:hAnsi="Arial" w:cs="Arial"/>
          <w:sz w:val="24"/>
          <w:szCs w:val="24"/>
        </w:rPr>
        <w:t>In </w:t>
      </w:r>
      <w:r w:rsidR="00D12DB7" w:rsidRPr="00D12DB7">
        <w:rPr>
          <w:rStyle w:val="Emphasis"/>
          <w:rFonts w:ascii="Arial" w:hAnsi="Arial" w:cs="Arial"/>
          <w:sz w:val="24"/>
          <w:szCs w:val="24"/>
        </w:rPr>
        <w:t>Regency Villas Title Ltd v Diamond Resorts (Europe) Ltd</w:t>
      </w:r>
      <w:r w:rsidR="00D12DB7" w:rsidRPr="00D12DB7">
        <w:rPr>
          <w:rFonts w:ascii="Arial" w:hAnsi="Arial" w:cs="Arial"/>
          <w:sz w:val="24"/>
          <w:szCs w:val="24"/>
        </w:rPr>
        <w:t> </w:t>
      </w:r>
      <w:r w:rsidR="00D12DB7">
        <w:rPr>
          <w:rFonts w:ascii="Arial" w:hAnsi="Arial" w:cs="Arial"/>
          <w:sz w:val="24"/>
          <w:szCs w:val="24"/>
        </w:rPr>
        <w:t>(2018),</w:t>
      </w:r>
      <w:r w:rsidR="00C1339B">
        <w:rPr>
          <w:rFonts w:ascii="Arial" w:hAnsi="Arial" w:cs="Arial"/>
          <w:sz w:val="24"/>
          <w:szCs w:val="24"/>
          <w:shd w:val="clear" w:color="auto" w:fill="FFFFFF"/>
        </w:rPr>
        <w:t xml:space="preserve"> where it was determined if </w:t>
      </w:r>
      <w:r w:rsidR="00A96D26">
        <w:rPr>
          <w:rFonts w:ascii="Arial" w:hAnsi="Arial" w:cs="Arial"/>
          <w:sz w:val="24"/>
          <w:szCs w:val="24"/>
          <w:shd w:val="clear" w:color="auto" w:fill="FFFFFF"/>
        </w:rPr>
        <w:t>recreational</w:t>
      </w:r>
      <w:r w:rsidR="00C1339B">
        <w:rPr>
          <w:rFonts w:ascii="Arial" w:hAnsi="Arial" w:cs="Arial"/>
          <w:sz w:val="24"/>
          <w:szCs w:val="24"/>
          <w:shd w:val="clear" w:color="auto" w:fill="FFFFFF"/>
        </w:rPr>
        <w:t xml:space="preserve"> rights were capable of forming the subject matter of a grant, Lower (2019) </w:t>
      </w:r>
      <w:r w:rsidR="006A27A2">
        <w:rPr>
          <w:rFonts w:ascii="Arial" w:hAnsi="Arial" w:cs="Arial"/>
          <w:sz w:val="24"/>
          <w:szCs w:val="24"/>
          <w:shd w:val="clear" w:color="auto" w:fill="FFFFFF"/>
        </w:rPr>
        <w:t xml:space="preserve">stated this regarding recreational rights being accepted as easements, </w:t>
      </w:r>
      <w:r w:rsidR="00A96D26">
        <w:rPr>
          <w:rFonts w:ascii="Arial" w:hAnsi="Arial" w:cs="Arial"/>
          <w:sz w:val="24"/>
          <w:szCs w:val="24"/>
          <w:shd w:val="clear" w:color="auto" w:fill="FFFFFF"/>
        </w:rPr>
        <w:t>the</w:t>
      </w:r>
      <w:r w:rsidR="006A27A2">
        <w:rPr>
          <w:rFonts w:ascii="Arial" w:hAnsi="Arial" w:cs="Arial"/>
          <w:sz w:val="24"/>
          <w:szCs w:val="24"/>
          <w:shd w:val="clear" w:color="auto" w:fill="FFFFFF"/>
        </w:rPr>
        <w:t xml:space="preserve"> example </w:t>
      </w:r>
      <w:r w:rsidR="00A96D26">
        <w:rPr>
          <w:rFonts w:ascii="Arial" w:hAnsi="Arial" w:cs="Arial"/>
          <w:sz w:val="24"/>
          <w:szCs w:val="24"/>
          <w:shd w:val="clear" w:color="auto" w:fill="FFFFFF"/>
        </w:rPr>
        <w:t xml:space="preserve">here is </w:t>
      </w:r>
      <w:r w:rsidR="006A27A2">
        <w:rPr>
          <w:rFonts w:ascii="Arial" w:hAnsi="Arial" w:cs="Arial"/>
          <w:sz w:val="24"/>
          <w:szCs w:val="24"/>
          <w:shd w:val="clear" w:color="auto" w:fill="FFFFFF"/>
        </w:rPr>
        <w:t>holiday timeshares, Lower states “</w:t>
      </w:r>
      <w:r w:rsidR="006A27A2" w:rsidRPr="006A27A2">
        <w:rPr>
          <w:rFonts w:ascii="Arial" w:hAnsi="Arial" w:cs="Arial"/>
          <w:sz w:val="24"/>
          <w:szCs w:val="24"/>
        </w:rPr>
        <w:t>The easement claimed was, ‘a recreational right pure and simple’</w:t>
      </w:r>
      <w:r w:rsidR="00B1773D">
        <w:rPr>
          <w:rFonts w:ascii="Arial" w:hAnsi="Arial" w:cs="Arial"/>
          <w:sz w:val="24"/>
          <w:szCs w:val="24"/>
        </w:rPr>
        <w:t xml:space="preserve">. </w:t>
      </w:r>
      <w:r w:rsidR="006A27A2" w:rsidRPr="006A27A2">
        <w:rPr>
          <w:rFonts w:ascii="Arial" w:hAnsi="Arial" w:cs="Arial"/>
          <w:sz w:val="24"/>
          <w:szCs w:val="24"/>
        </w:rPr>
        <w:t>It went beyond </w:t>
      </w:r>
      <w:r w:rsidR="006A27A2" w:rsidRPr="006A27A2">
        <w:rPr>
          <w:rFonts w:ascii="Arial" w:hAnsi="Arial" w:cs="Arial"/>
          <w:i/>
          <w:iCs/>
          <w:sz w:val="24"/>
          <w:szCs w:val="24"/>
        </w:rPr>
        <w:t>Re Ellenborough; </w:t>
      </w:r>
      <w:r w:rsidR="006A27A2" w:rsidRPr="006A27A2">
        <w:rPr>
          <w:rFonts w:ascii="Arial" w:hAnsi="Arial" w:cs="Arial"/>
          <w:sz w:val="24"/>
          <w:szCs w:val="24"/>
        </w:rPr>
        <w:t>should the right be accepted as an easement provided that the </w:t>
      </w:r>
      <w:r w:rsidR="006A27A2" w:rsidRPr="006A27A2">
        <w:rPr>
          <w:rStyle w:val="Emphasis"/>
          <w:rFonts w:ascii="Arial" w:hAnsi="Arial" w:cs="Arial"/>
          <w:sz w:val="24"/>
          <w:szCs w:val="24"/>
        </w:rPr>
        <w:t>Re Ellenborough</w:t>
      </w:r>
      <w:r w:rsidR="006A27A2" w:rsidRPr="006A27A2">
        <w:rPr>
          <w:rFonts w:ascii="Arial" w:hAnsi="Arial" w:cs="Arial"/>
          <w:sz w:val="24"/>
          <w:szCs w:val="24"/>
        </w:rPr>
        <w:t> criteria were satisfied?</w:t>
      </w:r>
      <w:r w:rsidR="006A27A2">
        <w:rPr>
          <w:rFonts w:ascii="Arial" w:hAnsi="Arial" w:cs="Arial"/>
          <w:sz w:val="24"/>
          <w:szCs w:val="24"/>
        </w:rPr>
        <w:t xml:space="preserve">” </w:t>
      </w:r>
      <w:r w:rsidR="000957E5">
        <w:rPr>
          <w:rFonts w:ascii="Arial" w:hAnsi="Arial" w:cs="Arial"/>
          <w:sz w:val="24"/>
          <w:szCs w:val="24"/>
        </w:rPr>
        <w:t xml:space="preserve">Using this question of whether recreation should amount to easement as long as it meets the requirements set in Re v Ellenborough park, Lord Briggs stated </w:t>
      </w:r>
      <w:r w:rsidR="000957E5" w:rsidRPr="000957E5">
        <w:rPr>
          <w:rFonts w:ascii="Arial" w:hAnsi="Arial" w:cs="Arial"/>
          <w:i/>
          <w:iCs/>
          <w:sz w:val="24"/>
          <w:szCs w:val="24"/>
        </w:rPr>
        <w:t>“</w:t>
      </w:r>
      <w:r w:rsidR="000957E5" w:rsidRPr="000957E5">
        <w:rPr>
          <w:rStyle w:val="Emphasis"/>
          <w:rFonts w:ascii="Arial" w:hAnsi="Arial" w:cs="Arial"/>
          <w:i w:val="0"/>
          <w:iCs w:val="0"/>
          <w:sz w:val="24"/>
          <w:szCs w:val="24"/>
          <w:shd w:val="clear" w:color="auto" w:fill="FEFDFF"/>
        </w:rPr>
        <w:t>“Whatever may have been the attitude in the past to “mere recreation or amusement”, recreational and sporting activity of the type exemplified by the facilities at Broome Park is so clearly a beneficial part of modern life that the common law should support structures which promote and encourage it, rather than treat it as devoid of practical utility or benefit”</w:t>
      </w:r>
      <w:r w:rsidR="000957E5" w:rsidRPr="000957E5">
        <w:rPr>
          <w:rFonts w:ascii="Arial" w:hAnsi="Arial" w:cs="Arial"/>
          <w:i/>
          <w:iCs/>
          <w:sz w:val="24"/>
          <w:szCs w:val="24"/>
          <w:shd w:val="clear" w:color="auto" w:fill="FEFDFF"/>
        </w:rPr>
        <w:t xml:space="preserve">. </w:t>
      </w:r>
      <w:r w:rsidR="000957E5">
        <w:rPr>
          <w:rFonts w:ascii="Arial" w:hAnsi="Arial" w:cs="Arial"/>
          <w:sz w:val="24"/>
          <w:szCs w:val="24"/>
          <w:shd w:val="clear" w:color="auto" w:fill="FEFDFF"/>
        </w:rPr>
        <w:t xml:space="preserve">This demonstrates that regardless of whether the facilities were intended to be </w:t>
      </w:r>
      <w:r w:rsidR="00FF5E1E">
        <w:rPr>
          <w:rFonts w:ascii="Arial" w:hAnsi="Arial" w:cs="Arial"/>
          <w:sz w:val="24"/>
          <w:szCs w:val="24"/>
          <w:shd w:val="clear" w:color="auto" w:fill="FEFDFF"/>
        </w:rPr>
        <w:t>recreational or not,</w:t>
      </w:r>
      <w:r w:rsidR="0039060D">
        <w:rPr>
          <w:rFonts w:ascii="Arial" w:hAnsi="Arial" w:cs="Arial"/>
          <w:sz w:val="24"/>
          <w:szCs w:val="24"/>
          <w:shd w:val="clear" w:color="auto" w:fill="FEFDFF"/>
        </w:rPr>
        <w:t xml:space="preserve"> despite previous cases </w:t>
      </w:r>
      <w:r w:rsidR="00FF5E1E">
        <w:rPr>
          <w:rFonts w:ascii="Arial" w:hAnsi="Arial" w:cs="Arial"/>
          <w:sz w:val="24"/>
          <w:szCs w:val="24"/>
          <w:shd w:val="clear" w:color="auto" w:fill="FEFDFF"/>
        </w:rPr>
        <w:t xml:space="preserve">there were still grounds for an easement to be in place due to the previous case law </w:t>
      </w:r>
      <w:r w:rsidR="00E52836">
        <w:rPr>
          <w:rFonts w:ascii="Arial" w:hAnsi="Arial" w:cs="Arial"/>
          <w:sz w:val="24"/>
          <w:szCs w:val="24"/>
          <w:shd w:val="clear" w:color="auto" w:fill="FEFDFF"/>
        </w:rPr>
        <w:t>requirements and</w:t>
      </w:r>
      <w:r w:rsidR="00A21FD2">
        <w:rPr>
          <w:rFonts w:ascii="Arial" w:hAnsi="Arial" w:cs="Arial"/>
          <w:sz w:val="24"/>
          <w:szCs w:val="24"/>
          <w:shd w:val="clear" w:color="auto" w:fill="FEFDFF"/>
        </w:rPr>
        <w:t xml:space="preserve"> is also supported by common law</w:t>
      </w:r>
      <w:r w:rsidR="009E2E2C">
        <w:rPr>
          <w:rFonts w:ascii="Arial" w:hAnsi="Arial" w:cs="Arial"/>
          <w:sz w:val="24"/>
          <w:szCs w:val="24"/>
          <w:shd w:val="clear" w:color="auto" w:fill="FEFDFF"/>
        </w:rPr>
        <w:t>, allowing there to be a change in precedent in this case</w:t>
      </w:r>
      <w:r w:rsidR="00A21FD2">
        <w:rPr>
          <w:rFonts w:ascii="Arial" w:hAnsi="Arial" w:cs="Arial"/>
          <w:sz w:val="24"/>
          <w:szCs w:val="24"/>
          <w:shd w:val="clear" w:color="auto" w:fill="FEFDFF"/>
        </w:rPr>
        <w:t xml:space="preserve">. </w:t>
      </w:r>
    </w:p>
    <w:p w14:paraId="71283877" w14:textId="2F0B1E60" w:rsidR="00DC4048" w:rsidRDefault="00DC4048">
      <w:pPr>
        <w:rPr>
          <w:rFonts w:ascii="Arial" w:hAnsi="Arial" w:cs="Arial"/>
          <w:sz w:val="24"/>
          <w:szCs w:val="24"/>
          <w:shd w:val="clear" w:color="auto" w:fill="FEFDFF"/>
        </w:rPr>
      </w:pPr>
    </w:p>
    <w:p w14:paraId="34127450" w14:textId="68265DDB" w:rsidR="00D94949" w:rsidRDefault="00CC12D2">
      <w:pPr>
        <w:rPr>
          <w:rFonts w:ascii="Arial" w:hAnsi="Arial" w:cs="Arial"/>
          <w:color w:val="000000"/>
          <w:sz w:val="24"/>
          <w:szCs w:val="24"/>
        </w:rPr>
      </w:pPr>
      <w:r>
        <w:rPr>
          <w:rFonts w:ascii="Arial" w:hAnsi="Arial" w:cs="Arial"/>
          <w:sz w:val="24"/>
          <w:szCs w:val="24"/>
          <w:shd w:val="clear" w:color="auto" w:fill="FEFDFF"/>
        </w:rPr>
        <w:t>The</w:t>
      </w:r>
      <w:r w:rsidR="00DC4048">
        <w:rPr>
          <w:rFonts w:ascii="Arial" w:hAnsi="Arial" w:cs="Arial"/>
          <w:sz w:val="24"/>
          <w:szCs w:val="24"/>
          <w:shd w:val="clear" w:color="auto" w:fill="FEFDFF"/>
        </w:rPr>
        <w:t xml:space="preserve"> Prescription Act 1832</w:t>
      </w:r>
      <w:r w:rsidR="00FA3AE9">
        <w:rPr>
          <w:rFonts w:ascii="Arial" w:hAnsi="Arial" w:cs="Arial"/>
          <w:sz w:val="24"/>
          <w:szCs w:val="24"/>
          <w:shd w:val="clear" w:color="auto" w:fill="FEFDFF"/>
        </w:rPr>
        <w:t xml:space="preserve"> can be seen as an effective method when acquiring easement</w:t>
      </w:r>
      <w:r w:rsidR="00DC4048">
        <w:rPr>
          <w:rFonts w:ascii="Arial" w:hAnsi="Arial" w:cs="Arial"/>
          <w:sz w:val="24"/>
          <w:szCs w:val="24"/>
          <w:shd w:val="clear" w:color="auto" w:fill="FEFDFF"/>
        </w:rPr>
        <w:t xml:space="preserve"> </w:t>
      </w:r>
      <w:r w:rsidR="00FA3AE9">
        <w:rPr>
          <w:rFonts w:ascii="Arial" w:hAnsi="Arial" w:cs="Arial"/>
          <w:sz w:val="24"/>
          <w:szCs w:val="24"/>
          <w:shd w:val="clear" w:color="auto" w:fill="FEFDFF"/>
        </w:rPr>
        <w:t xml:space="preserve">due to the time periods that are stated in the act, it </w:t>
      </w:r>
      <w:r w:rsidR="00450051">
        <w:rPr>
          <w:rFonts w:ascii="Arial" w:hAnsi="Arial" w:cs="Arial"/>
          <w:sz w:val="24"/>
          <w:szCs w:val="24"/>
          <w:shd w:val="clear" w:color="auto" w:fill="FEFDFF"/>
        </w:rPr>
        <w:t xml:space="preserve">states that </w:t>
      </w:r>
      <w:r w:rsidR="00FA3AE9">
        <w:rPr>
          <w:rFonts w:ascii="Arial" w:hAnsi="Arial" w:cs="Arial"/>
          <w:sz w:val="24"/>
          <w:szCs w:val="24"/>
          <w:shd w:val="clear" w:color="auto" w:fill="FEFDFF"/>
        </w:rPr>
        <w:t>easements where the</w:t>
      </w:r>
      <w:r w:rsidR="00603429">
        <w:rPr>
          <w:rFonts w:ascii="Arial" w:hAnsi="Arial" w:cs="Arial"/>
          <w:sz w:val="24"/>
          <w:szCs w:val="24"/>
          <w:shd w:val="clear" w:color="auto" w:fill="FEFDFF"/>
        </w:rPr>
        <w:t xml:space="preserve"> </w:t>
      </w:r>
      <w:r w:rsidR="00FA3AE9">
        <w:rPr>
          <w:rFonts w:ascii="Arial" w:hAnsi="Arial" w:cs="Arial"/>
          <w:sz w:val="24"/>
          <w:szCs w:val="24"/>
          <w:shd w:val="clear" w:color="auto" w:fill="FEFDFF"/>
        </w:rPr>
        <w:t>user as of right occurs, after 40 years then that right is absolute and cannot be rebutted.</w:t>
      </w:r>
      <w:r w:rsidR="0005766C">
        <w:rPr>
          <w:rFonts w:ascii="Arial" w:hAnsi="Arial" w:cs="Arial"/>
          <w:sz w:val="24"/>
          <w:szCs w:val="24"/>
          <w:shd w:val="clear" w:color="auto" w:fill="FEFDFF"/>
        </w:rPr>
        <w:t xml:space="preserve"> The second period mentioned for the act is 20 years without interruption, which is absolute unless it’s with consent or a deed in writing.</w:t>
      </w:r>
      <w:r w:rsidR="00FA3AE9">
        <w:rPr>
          <w:rFonts w:ascii="Arial" w:hAnsi="Arial" w:cs="Arial"/>
          <w:sz w:val="24"/>
          <w:szCs w:val="24"/>
          <w:shd w:val="clear" w:color="auto" w:fill="FEFDFF"/>
        </w:rPr>
        <w:t xml:space="preserve"> </w:t>
      </w:r>
      <w:r w:rsidR="00E94E9E">
        <w:rPr>
          <w:rFonts w:ascii="Arial" w:hAnsi="Arial" w:cs="Arial"/>
          <w:sz w:val="24"/>
          <w:szCs w:val="24"/>
          <w:shd w:val="clear" w:color="auto" w:fill="FEFDFF"/>
        </w:rPr>
        <w:t xml:space="preserve">An example of the Prescription Act being </w:t>
      </w:r>
      <w:r w:rsidR="00B346CE">
        <w:rPr>
          <w:rFonts w:ascii="Arial" w:hAnsi="Arial" w:cs="Arial"/>
          <w:sz w:val="24"/>
          <w:szCs w:val="24"/>
          <w:shd w:val="clear" w:color="auto" w:fill="FEFDFF"/>
        </w:rPr>
        <w:t xml:space="preserve">a point of argument in case law is in the case of Duke of Norfolk v Arbuthnot (1880), where a wall was pulled down due to the argument it was obstructing light that the defendant was entitled to, however the grounds in which this occurred on were owned by the Duke of Norfolk for over 300 years. </w:t>
      </w:r>
      <w:r w:rsidR="009F6AEC">
        <w:rPr>
          <w:rFonts w:ascii="Arial" w:hAnsi="Arial" w:cs="Arial"/>
          <w:sz w:val="24"/>
          <w:szCs w:val="24"/>
          <w:shd w:val="clear" w:color="auto" w:fill="FEFDFF"/>
        </w:rPr>
        <w:t xml:space="preserve">When talking </w:t>
      </w:r>
      <w:r w:rsidR="003163BD">
        <w:rPr>
          <w:rFonts w:ascii="Arial" w:hAnsi="Arial" w:cs="Arial"/>
          <w:sz w:val="24"/>
          <w:szCs w:val="24"/>
          <w:shd w:val="clear" w:color="auto" w:fill="FEFDFF"/>
        </w:rPr>
        <w:t xml:space="preserve">about the </w:t>
      </w:r>
      <w:r w:rsidR="00D16A2C">
        <w:rPr>
          <w:rFonts w:ascii="Arial" w:hAnsi="Arial" w:cs="Arial"/>
          <w:sz w:val="24"/>
          <w:szCs w:val="24"/>
          <w:shd w:val="clear" w:color="auto" w:fill="FEFDFF"/>
        </w:rPr>
        <w:t>prescription</w:t>
      </w:r>
      <w:r w:rsidR="003163BD">
        <w:rPr>
          <w:rFonts w:ascii="Arial" w:hAnsi="Arial" w:cs="Arial"/>
          <w:sz w:val="24"/>
          <w:szCs w:val="24"/>
          <w:shd w:val="clear" w:color="auto" w:fill="FEFDFF"/>
        </w:rPr>
        <w:t>, there are a lot of criticisms that can be found on the statute</w:t>
      </w:r>
      <w:r w:rsidR="00D16A2C">
        <w:rPr>
          <w:rFonts w:ascii="Arial" w:hAnsi="Arial" w:cs="Arial"/>
          <w:sz w:val="24"/>
          <w:szCs w:val="24"/>
          <w:shd w:val="clear" w:color="auto" w:fill="FEFDFF"/>
        </w:rPr>
        <w:t>s</w:t>
      </w:r>
      <w:r w:rsidR="003163BD">
        <w:rPr>
          <w:rFonts w:ascii="Arial" w:hAnsi="Arial" w:cs="Arial"/>
          <w:sz w:val="24"/>
          <w:szCs w:val="24"/>
          <w:shd w:val="clear" w:color="auto" w:fill="FEFDFF"/>
        </w:rPr>
        <w:t xml:space="preserve"> by experts in the area, </w:t>
      </w:r>
      <w:r w:rsidR="004248B4">
        <w:rPr>
          <w:rFonts w:ascii="Arial" w:hAnsi="Arial" w:cs="Arial"/>
          <w:sz w:val="24"/>
          <w:szCs w:val="24"/>
          <w:shd w:val="clear" w:color="auto" w:fill="FEFDFF"/>
        </w:rPr>
        <w:t xml:space="preserve">Bland (2011) states </w:t>
      </w:r>
      <w:r w:rsidR="00A30ECE">
        <w:rPr>
          <w:rFonts w:ascii="Arial" w:hAnsi="Arial" w:cs="Arial"/>
          <w:sz w:val="24"/>
          <w:szCs w:val="24"/>
          <w:shd w:val="clear" w:color="auto" w:fill="FEFDFF"/>
        </w:rPr>
        <w:t>“</w:t>
      </w:r>
      <w:r w:rsidR="004248B4" w:rsidRPr="004248B4">
        <w:rPr>
          <w:rFonts w:ascii="Arial" w:hAnsi="Arial" w:cs="Arial"/>
          <w:sz w:val="24"/>
          <w:szCs w:val="24"/>
        </w:rPr>
        <w:t xml:space="preserve">The law of prescription may be cursed, as any attempt to reform it has failed. The </w:t>
      </w:r>
      <w:r w:rsidR="00A30ECE" w:rsidRPr="004248B4">
        <w:rPr>
          <w:rFonts w:ascii="Arial" w:hAnsi="Arial" w:cs="Arial"/>
          <w:sz w:val="24"/>
          <w:szCs w:val="24"/>
        </w:rPr>
        <w:t>eighteenth-century</w:t>
      </w:r>
      <w:r w:rsidR="004248B4" w:rsidRPr="004248B4">
        <w:rPr>
          <w:rFonts w:ascii="Arial" w:hAnsi="Arial" w:cs="Arial"/>
          <w:sz w:val="24"/>
          <w:szCs w:val="24"/>
        </w:rPr>
        <w:t xml:space="preserve"> judiciary sought to reform common law prescription by developing the fiction of the doctrine of lost modern grant, and such was the distaste at the result, that the legislature intervened with the spectacularly botched Prescription Act 1832.</w:t>
      </w:r>
      <w:r w:rsidR="004248B4">
        <w:rPr>
          <w:rFonts w:ascii="Arial" w:hAnsi="Arial" w:cs="Arial"/>
          <w:sz w:val="24"/>
          <w:szCs w:val="24"/>
        </w:rPr>
        <w:t xml:space="preserve">” </w:t>
      </w:r>
      <w:r w:rsidR="00A30ECE">
        <w:rPr>
          <w:rFonts w:ascii="Arial" w:hAnsi="Arial" w:cs="Arial"/>
          <w:sz w:val="24"/>
          <w:szCs w:val="24"/>
        </w:rPr>
        <w:t>Expanding on this viewpoint,</w:t>
      </w:r>
      <w:r w:rsidR="000D47E7">
        <w:rPr>
          <w:rFonts w:ascii="Arial" w:hAnsi="Arial" w:cs="Arial"/>
          <w:sz w:val="24"/>
          <w:szCs w:val="24"/>
        </w:rPr>
        <w:t xml:space="preserve"> </w:t>
      </w:r>
      <w:r w:rsidR="00D94949">
        <w:rPr>
          <w:rFonts w:ascii="Arial" w:hAnsi="Arial" w:cs="Arial"/>
          <w:sz w:val="24"/>
          <w:szCs w:val="24"/>
        </w:rPr>
        <w:t xml:space="preserve">a notable </w:t>
      </w:r>
      <w:r w:rsidR="002D7B70">
        <w:rPr>
          <w:rFonts w:ascii="Arial" w:hAnsi="Arial" w:cs="Arial"/>
          <w:sz w:val="24"/>
          <w:szCs w:val="24"/>
        </w:rPr>
        <w:t>moment of</w:t>
      </w:r>
      <w:r w:rsidR="00D94949">
        <w:rPr>
          <w:rFonts w:ascii="Arial" w:hAnsi="Arial" w:cs="Arial"/>
          <w:sz w:val="24"/>
          <w:szCs w:val="24"/>
        </w:rPr>
        <w:t xml:space="preserve"> reform came with the Land and Conveyancing Law Reform Act (2009),</w:t>
      </w:r>
      <w:r w:rsidR="002D7B70">
        <w:rPr>
          <w:rFonts w:ascii="Arial" w:hAnsi="Arial" w:cs="Arial"/>
          <w:sz w:val="24"/>
          <w:szCs w:val="24"/>
        </w:rPr>
        <w:t xml:space="preserve"> where clarity was intended to be brought to the area and to build on some of the shortcomings of </w:t>
      </w:r>
      <w:r w:rsidR="00902976">
        <w:rPr>
          <w:rFonts w:ascii="Arial" w:hAnsi="Arial" w:cs="Arial"/>
          <w:sz w:val="24"/>
          <w:szCs w:val="24"/>
        </w:rPr>
        <w:t xml:space="preserve">previous prescription laws, </w:t>
      </w:r>
      <w:r w:rsidR="00902976">
        <w:rPr>
          <w:rFonts w:ascii="Arial" w:hAnsi="Arial" w:cs="Arial"/>
          <w:sz w:val="24"/>
          <w:szCs w:val="24"/>
        </w:rPr>
        <w:lastRenderedPageBreak/>
        <w:t xml:space="preserve">however Bland goes on to state that </w:t>
      </w:r>
      <w:r w:rsidR="00902976" w:rsidRPr="00902976">
        <w:rPr>
          <w:rFonts w:ascii="Arial" w:hAnsi="Arial" w:cs="Arial"/>
          <w:sz w:val="24"/>
          <w:szCs w:val="24"/>
        </w:rPr>
        <w:t>“The new provisions are even more confused and have caused great concern amongst practitioners and blocked many sales</w:t>
      </w:r>
      <w:r w:rsidR="00902976">
        <w:rPr>
          <w:rFonts w:ascii="Arial" w:hAnsi="Arial" w:cs="Arial"/>
          <w:sz w:val="24"/>
          <w:szCs w:val="24"/>
        </w:rPr>
        <w:t>.”</w:t>
      </w:r>
      <w:r w:rsidR="002D28DE">
        <w:rPr>
          <w:rFonts w:ascii="Arial" w:hAnsi="Arial" w:cs="Arial"/>
          <w:sz w:val="24"/>
          <w:szCs w:val="24"/>
        </w:rPr>
        <w:t xml:space="preserve"> Given </w:t>
      </w:r>
      <w:r w:rsidR="00F54B74">
        <w:rPr>
          <w:rFonts w:ascii="Arial" w:hAnsi="Arial" w:cs="Arial"/>
          <w:sz w:val="24"/>
          <w:szCs w:val="24"/>
        </w:rPr>
        <w:t xml:space="preserve">that there is a need for reform that is expressed here, </w:t>
      </w:r>
      <w:r w:rsidR="00B64D4B">
        <w:rPr>
          <w:rFonts w:ascii="Arial" w:hAnsi="Arial" w:cs="Arial"/>
          <w:sz w:val="24"/>
          <w:szCs w:val="24"/>
        </w:rPr>
        <w:t>after 30</w:t>
      </w:r>
      <w:r w:rsidR="00B64D4B" w:rsidRPr="00B64D4B">
        <w:rPr>
          <w:rFonts w:ascii="Arial" w:hAnsi="Arial" w:cs="Arial"/>
          <w:sz w:val="24"/>
          <w:szCs w:val="24"/>
          <w:vertAlign w:val="superscript"/>
        </w:rPr>
        <w:t>th</w:t>
      </w:r>
      <w:r w:rsidR="00B64D4B">
        <w:rPr>
          <w:rFonts w:ascii="Arial" w:hAnsi="Arial" w:cs="Arial"/>
          <w:sz w:val="24"/>
          <w:szCs w:val="24"/>
        </w:rPr>
        <w:t xml:space="preserve"> November 2021 upon reflection of the 2009 act, it was decided that claims going forward will be decided using the doctrine of lost modern grant.</w:t>
      </w:r>
      <w:r w:rsidR="00EA0A68">
        <w:rPr>
          <w:rFonts w:ascii="Arial" w:hAnsi="Arial" w:cs="Arial"/>
          <w:sz w:val="24"/>
          <w:szCs w:val="24"/>
        </w:rPr>
        <w:t xml:space="preserve"> Per Egan et al. (2021), the Land and Conveyancing Law Reform Act (2021) </w:t>
      </w:r>
      <w:r w:rsidR="00EA0A68" w:rsidRPr="00EA0A68">
        <w:rPr>
          <w:rFonts w:ascii="Arial" w:hAnsi="Arial" w:cs="Arial"/>
          <w:sz w:val="24"/>
          <w:szCs w:val="24"/>
        </w:rPr>
        <w:t>“</w:t>
      </w:r>
      <w:r w:rsidR="00EA0A68" w:rsidRPr="00EA0A68">
        <w:rPr>
          <w:rFonts w:ascii="Arial" w:hAnsi="Arial" w:cs="Arial"/>
          <w:color w:val="000000"/>
          <w:sz w:val="24"/>
          <w:szCs w:val="24"/>
        </w:rPr>
        <w:t>repeals </w:t>
      </w:r>
      <w:r w:rsidR="00EA0A68" w:rsidRPr="00EA0A68">
        <w:rPr>
          <w:rFonts w:ascii="Arial" w:hAnsi="Arial" w:cs="Arial"/>
          <w:sz w:val="24"/>
          <w:szCs w:val="24"/>
          <w:bdr w:val="none" w:sz="0" w:space="0" w:color="auto" w:frame="1"/>
        </w:rPr>
        <w:t>Sections 33 to 39 of the 2009 Act</w:t>
      </w:r>
      <w:r w:rsidR="00EA0A68" w:rsidRPr="00EA0A68">
        <w:rPr>
          <w:rFonts w:ascii="Arial" w:hAnsi="Arial" w:cs="Arial"/>
          <w:color w:val="000000"/>
          <w:sz w:val="24"/>
          <w:szCs w:val="24"/>
        </w:rPr>
        <w:t> altogether and sets out new rules for the law on acquiring and validating prescriptive rights.</w:t>
      </w:r>
      <w:r w:rsidR="00EA0A68">
        <w:rPr>
          <w:rFonts w:ascii="Arial" w:hAnsi="Arial" w:cs="Arial"/>
          <w:color w:val="000000"/>
          <w:sz w:val="24"/>
          <w:szCs w:val="24"/>
        </w:rPr>
        <w:t xml:space="preserve">” </w:t>
      </w:r>
      <w:r w:rsidR="0081636F">
        <w:rPr>
          <w:rFonts w:ascii="Arial" w:hAnsi="Arial" w:cs="Arial"/>
          <w:color w:val="000000"/>
          <w:sz w:val="24"/>
          <w:szCs w:val="24"/>
        </w:rPr>
        <w:t xml:space="preserve">With this new statute in place and the need for reform expressed a decade prior which was shortly after the 2009 act was produced, </w:t>
      </w:r>
      <w:r w:rsidR="00CC43B1">
        <w:rPr>
          <w:rFonts w:ascii="Arial" w:hAnsi="Arial" w:cs="Arial"/>
          <w:color w:val="000000"/>
          <w:sz w:val="24"/>
          <w:szCs w:val="24"/>
        </w:rPr>
        <w:t xml:space="preserve">this then </w:t>
      </w:r>
      <w:r w:rsidR="009C3789">
        <w:rPr>
          <w:rFonts w:ascii="Arial" w:hAnsi="Arial" w:cs="Arial"/>
          <w:color w:val="000000"/>
          <w:sz w:val="24"/>
          <w:szCs w:val="24"/>
        </w:rPr>
        <w:t>circles back to the doctrine of lost modern grant and if this is a more sustainable or better solution</w:t>
      </w:r>
      <w:r w:rsidR="002D4233">
        <w:rPr>
          <w:rFonts w:ascii="Arial" w:hAnsi="Arial" w:cs="Arial"/>
          <w:color w:val="000000"/>
          <w:sz w:val="24"/>
          <w:szCs w:val="24"/>
        </w:rPr>
        <w:t xml:space="preserve"> to some of the concerns around the prescription laws already in place</w:t>
      </w:r>
      <w:r w:rsidR="00FF5392">
        <w:rPr>
          <w:rFonts w:ascii="Arial" w:hAnsi="Arial" w:cs="Arial"/>
          <w:color w:val="000000"/>
          <w:sz w:val="24"/>
          <w:szCs w:val="24"/>
        </w:rPr>
        <w:t xml:space="preserve"> that were</w:t>
      </w:r>
      <w:r w:rsidR="002D4233">
        <w:rPr>
          <w:rFonts w:ascii="Arial" w:hAnsi="Arial" w:cs="Arial"/>
          <w:color w:val="000000"/>
          <w:sz w:val="24"/>
          <w:szCs w:val="24"/>
        </w:rPr>
        <w:t xml:space="preserve"> stated previously. </w:t>
      </w:r>
    </w:p>
    <w:p w14:paraId="0706E14A" w14:textId="2DFD7CF2" w:rsidR="000C7567" w:rsidRDefault="000C7567">
      <w:pPr>
        <w:rPr>
          <w:rFonts w:ascii="Arial" w:hAnsi="Arial" w:cs="Arial"/>
          <w:color w:val="000000"/>
          <w:sz w:val="24"/>
          <w:szCs w:val="24"/>
        </w:rPr>
      </w:pPr>
    </w:p>
    <w:p w14:paraId="68BE3107" w14:textId="7F539105" w:rsidR="00744E32" w:rsidRPr="00744E32" w:rsidRDefault="00572317">
      <w:pPr>
        <w:rPr>
          <w:rFonts w:ascii="Arial" w:hAnsi="Arial" w:cs="Arial"/>
          <w:color w:val="000000"/>
          <w:sz w:val="24"/>
          <w:szCs w:val="24"/>
        </w:rPr>
      </w:pPr>
      <w:r>
        <w:rPr>
          <w:rFonts w:ascii="Arial" w:hAnsi="Arial" w:cs="Arial"/>
          <w:color w:val="000000"/>
          <w:sz w:val="24"/>
          <w:szCs w:val="24"/>
        </w:rPr>
        <w:t>Regarding</w:t>
      </w:r>
      <w:r w:rsidR="000C7567">
        <w:rPr>
          <w:rFonts w:ascii="Arial" w:hAnsi="Arial" w:cs="Arial"/>
          <w:color w:val="000000"/>
          <w:sz w:val="24"/>
          <w:szCs w:val="24"/>
        </w:rPr>
        <w:t xml:space="preserve"> the listed periods of use in the Prescription </w:t>
      </w:r>
      <w:r w:rsidR="00744E32">
        <w:rPr>
          <w:rFonts w:ascii="Arial" w:hAnsi="Arial" w:cs="Arial"/>
          <w:color w:val="000000"/>
          <w:sz w:val="24"/>
          <w:szCs w:val="24"/>
        </w:rPr>
        <w:t>A</w:t>
      </w:r>
      <w:r w:rsidR="000C7567">
        <w:rPr>
          <w:rFonts w:ascii="Arial" w:hAnsi="Arial" w:cs="Arial"/>
          <w:color w:val="000000"/>
          <w:sz w:val="24"/>
          <w:szCs w:val="24"/>
        </w:rPr>
        <w:t xml:space="preserve">ct, </w:t>
      </w:r>
      <w:r w:rsidR="00744E32">
        <w:rPr>
          <w:rFonts w:ascii="Arial" w:hAnsi="Arial" w:cs="Arial"/>
          <w:color w:val="000000"/>
          <w:sz w:val="24"/>
          <w:szCs w:val="24"/>
        </w:rPr>
        <w:t xml:space="preserve">there are cases where this has differed when looking at the outcome, for example, in </w:t>
      </w:r>
      <w:r w:rsidR="00744E32">
        <w:rPr>
          <w:rFonts w:ascii="Arial" w:hAnsi="Arial" w:cs="Arial"/>
          <w:i/>
          <w:iCs/>
          <w:color w:val="000000"/>
          <w:sz w:val="24"/>
          <w:szCs w:val="24"/>
        </w:rPr>
        <w:t>Orme v Lyons (2012)</w:t>
      </w:r>
      <w:r w:rsidR="00744E32">
        <w:rPr>
          <w:rFonts w:ascii="Arial" w:hAnsi="Arial" w:cs="Arial"/>
          <w:color w:val="000000"/>
          <w:sz w:val="24"/>
          <w:szCs w:val="24"/>
        </w:rPr>
        <w:t xml:space="preserve">, </w:t>
      </w:r>
      <w:r w:rsidR="00B40E76">
        <w:rPr>
          <w:rFonts w:ascii="Arial" w:hAnsi="Arial" w:cs="Arial"/>
          <w:color w:val="000000"/>
          <w:sz w:val="24"/>
          <w:szCs w:val="24"/>
        </w:rPr>
        <w:t>it was determined that even though there was an infrequent use of the property for only a</w:t>
      </w:r>
      <w:r w:rsidR="00B702F0">
        <w:rPr>
          <w:rFonts w:ascii="Arial" w:hAnsi="Arial" w:cs="Arial"/>
          <w:color w:val="000000"/>
          <w:sz w:val="24"/>
          <w:szCs w:val="24"/>
        </w:rPr>
        <w:t xml:space="preserve">round a </w:t>
      </w:r>
      <w:r w:rsidR="00B40E76">
        <w:rPr>
          <w:rFonts w:ascii="Arial" w:hAnsi="Arial" w:cs="Arial"/>
          <w:color w:val="000000"/>
          <w:sz w:val="24"/>
          <w:szCs w:val="24"/>
        </w:rPr>
        <w:t xml:space="preserve">year, </w:t>
      </w:r>
      <w:r w:rsidR="006A2F49">
        <w:rPr>
          <w:rFonts w:ascii="Arial" w:hAnsi="Arial" w:cs="Arial"/>
          <w:color w:val="000000"/>
          <w:sz w:val="24"/>
          <w:szCs w:val="24"/>
        </w:rPr>
        <w:t xml:space="preserve">it indicated that it was the responsibility of the property owner to be aware of others using the land that may </w:t>
      </w:r>
      <w:r w:rsidR="00CF76F0">
        <w:rPr>
          <w:rFonts w:ascii="Arial" w:hAnsi="Arial" w:cs="Arial"/>
          <w:color w:val="000000"/>
          <w:sz w:val="24"/>
          <w:szCs w:val="24"/>
        </w:rPr>
        <w:t xml:space="preserve">create easement regardless of if the use of the land was infrequent or not. </w:t>
      </w:r>
    </w:p>
    <w:p w14:paraId="02B1EBD2" w14:textId="7EB087C4" w:rsidR="00A25F0B" w:rsidRDefault="00A25F0B">
      <w:pPr>
        <w:rPr>
          <w:rFonts w:ascii="Arial" w:hAnsi="Arial" w:cs="Arial"/>
          <w:color w:val="000000"/>
          <w:sz w:val="24"/>
          <w:szCs w:val="24"/>
        </w:rPr>
      </w:pPr>
    </w:p>
    <w:p w14:paraId="01914E52" w14:textId="7E832DED" w:rsidR="00836713" w:rsidRDefault="00A25F0B">
      <w:pPr>
        <w:rPr>
          <w:rFonts w:ascii="Arial" w:hAnsi="Arial" w:cs="Arial"/>
          <w:sz w:val="24"/>
          <w:szCs w:val="24"/>
          <w:shd w:val="clear" w:color="auto" w:fill="FFFFFF"/>
        </w:rPr>
      </w:pPr>
      <w:r>
        <w:rPr>
          <w:rFonts w:ascii="Arial" w:hAnsi="Arial" w:cs="Arial"/>
          <w:color w:val="000000"/>
          <w:sz w:val="24"/>
          <w:szCs w:val="24"/>
        </w:rPr>
        <w:t>The Law Commission’s issues with the current laws on easements was grouped with covenants and profit a pendre in a report published in 2011. The Law Commission</w:t>
      </w:r>
      <w:r w:rsidR="00513B56">
        <w:rPr>
          <w:rFonts w:ascii="Arial" w:hAnsi="Arial" w:cs="Arial"/>
          <w:color w:val="000000"/>
          <w:sz w:val="24"/>
          <w:szCs w:val="24"/>
        </w:rPr>
        <w:t xml:space="preserve">’s view is that the law needs to be simplified in this area so landowners can fully understand their rights, along with this, they have made </w:t>
      </w:r>
      <w:r w:rsidR="00BF2D2B">
        <w:rPr>
          <w:rFonts w:ascii="Arial" w:hAnsi="Arial" w:cs="Arial"/>
          <w:color w:val="000000"/>
          <w:sz w:val="24"/>
          <w:szCs w:val="24"/>
        </w:rPr>
        <w:t>several</w:t>
      </w:r>
      <w:r w:rsidR="00513B56">
        <w:rPr>
          <w:rFonts w:ascii="Arial" w:hAnsi="Arial" w:cs="Arial"/>
          <w:color w:val="000000"/>
          <w:sz w:val="24"/>
          <w:szCs w:val="24"/>
        </w:rPr>
        <w:t xml:space="preserve"> recommendations</w:t>
      </w:r>
      <w:r w:rsidR="00BF2D2B">
        <w:rPr>
          <w:rFonts w:ascii="Arial" w:hAnsi="Arial" w:cs="Arial"/>
          <w:color w:val="000000"/>
          <w:sz w:val="24"/>
          <w:szCs w:val="24"/>
        </w:rPr>
        <w:t xml:space="preserve"> that would seek to help achieve this goal, in the report, Cooke et al. (2011)</w:t>
      </w:r>
      <w:r w:rsidR="00513B56">
        <w:rPr>
          <w:rFonts w:ascii="Arial" w:hAnsi="Arial" w:cs="Arial"/>
          <w:color w:val="000000"/>
          <w:sz w:val="24"/>
          <w:szCs w:val="24"/>
        </w:rPr>
        <w:t xml:space="preserve"> </w:t>
      </w:r>
      <w:r w:rsidR="00BF2D2B">
        <w:rPr>
          <w:rFonts w:ascii="Arial" w:hAnsi="Arial" w:cs="Arial"/>
          <w:color w:val="000000"/>
          <w:sz w:val="24"/>
          <w:szCs w:val="24"/>
        </w:rPr>
        <w:t xml:space="preserve">outlines </w:t>
      </w:r>
      <w:r w:rsidR="00BF2D2B" w:rsidRPr="00BF2D2B">
        <w:rPr>
          <w:rFonts w:ascii="Arial" w:hAnsi="Arial" w:cs="Arial"/>
          <w:sz w:val="24"/>
          <w:szCs w:val="24"/>
        </w:rPr>
        <w:t>“</w:t>
      </w:r>
      <w:r w:rsidR="00BF2D2B" w:rsidRPr="00BF2D2B">
        <w:rPr>
          <w:rFonts w:ascii="Arial" w:hAnsi="Arial" w:cs="Arial"/>
          <w:sz w:val="24"/>
          <w:szCs w:val="24"/>
          <w:shd w:val="clear" w:color="auto" w:fill="FFFFFF"/>
        </w:rPr>
        <w:t>simplify and make clearer the rules relating to the acquisition of easements by prescription (or long use of land) and implication, as well as the termination of easements by abandonment</w:t>
      </w:r>
      <w:r w:rsidR="00BF2D2B">
        <w:rPr>
          <w:rFonts w:ascii="Arial" w:hAnsi="Arial" w:cs="Arial"/>
          <w:sz w:val="24"/>
          <w:szCs w:val="24"/>
          <w:shd w:val="clear" w:color="auto" w:fill="FFFFFF"/>
        </w:rPr>
        <w:t xml:space="preserve">.” </w:t>
      </w:r>
      <w:r w:rsidR="004660A0">
        <w:rPr>
          <w:rFonts w:ascii="Arial" w:hAnsi="Arial" w:cs="Arial"/>
          <w:sz w:val="24"/>
          <w:szCs w:val="24"/>
          <w:shd w:val="clear" w:color="auto" w:fill="FFFFFF"/>
        </w:rPr>
        <w:t>Given the statements presented so far on the law in this area, it is clear to see that the Law Commission echoes this sentiment and a need for change</w:t>
      </w:r>
      <w:r w:rsidR="00B41151">
        <w:rPr>
          <w:rFonts w:ascii="Arial" w:hAnsi="Arial" w:cs="Arial"/>
          <w:sz w:val="24"/>
          <w:szCs w:val="24"/>
          <w:shd w:val="clear" w:color="auto" w:fill="FFFFFF"/>
        </w:rPr>
        <w:t xml:space="preserve"> on the law in place on easements. </w:t>
      </w:r>
    </w:p>
    <w:p w14:paraId="0985DE0E" w14:textId="6FA4636C" w:rsidR="00980C8C" w:rsidRDefault="00980C8C">
      <w:pPr>
        <w:rPr>
          <w:rFonts w:ascii="Arial" w:hAnsi="Arial" w:cs="Arial"/>
          <w:sz w:val="24"/>
          <w:szCs w:val="24"/>
          <w:shd w:val="clear" w:color="auto" w:fill="FFFFFF"/>
        </w:rPr>
      </w:pPr>
    </w:p>
    <w:p w14:paraId="10872A1D" w14:textId="5801E89B" w:rsidR="000E3F48" w:rsidRDefault="00980C8C">
      <w:pPr>
        <w:rPr>
          <w:rFonts w:ascii="Arial" w:hAnsi="Arial" w:cs="Arial"/>
          <w:sz w:val="24"/>
          <w:szCs w:val="24"/>
          <w:shd w:val="clear" w:color="auto" w:fill="FFFFFF"/>
        </w:rPr>
      </w:pPr>
      <w:r>
        <w:rPr>
          <w:rFonts w:ascii="Arial" w:hAnsi="Arial" w:cs="Arial"/>
          <w:sz w:val="24"/>
          <w:szCs w:val="24"/>
          <w:shd w:val="clear" w:color="auto" w:fill="FFFFFF"/>
        </w:rPr>
        <w:t xml:space="preserve">To conclude everything that has been discussed so far, </w:t>
      </w:r>
      <w:r w:rsidR="000D2650">
        <w:rPr>
          <w:rFonts w:ascii="Arial" w:hAnsi="Arial" w:cs="Arial"/>
          <w:sz w:val="24"/>
          <w:szCs w:val="24"/>
          <w:shd w:val="clear" w:color="auto" w:fill="FFFFFF"/>
        </w:rPr>
        <w:t xml:space="preserve">after critically analysing the creation of easements by prescription, </w:t>
      </w:r>
      <w:r w:rsidR="00DE7538">
        <w:rPr>
          <w:rFonts w:ascii="Arial" w:hAnsi="Arial" w:cs="Arial"/>
          <w:sz w:val="24"/>
          <w:szCs w:val="24"/>
          <w:shd w:val="clear" w:color="auto" w:fill="FFFFFF"/>
        </w:rPr>
        <w:t>considering</w:t>
      </w:r>
      <w:r w:rsidR="000D2650">
        <w:rPr>
          <w:rFonts w:ascii="Arial" w:hAnsi="Arial" w:cs="Arial"/>
          <w:sz w:val="24"/>
          <w:szCs w:val="24"/>
          <w:shd w:val="clear" w:color="auto" w:fill="FFFFFF"/>
        </w:rPr>
        <w:t xml:space="preserve"> the statutes in place, case law and the surrounding arguments in the area, </w:t>
      </w:r>
      <w:r w:rsidR="00B23CA8">
        <w:rPr>
          <w:rFonts w:ascii="Arial" w:hAnsi="Arial" w:cs="Arial"/>
          <w:sz w:val="24"/>
          <w:szCs w:val="24"/>
          <w:shd w:val="clear" w:color="auto" w:fill="FFFFFF"/>
        </w:rPr>
        <w:t xml:space="preserve">it is evident that change is needed in the area by means of </w:t>
      </w:r>
      <w:r w:rsidR="007D162A">
        <w:rPr>
          <w:rFonts w:ascii="Arial" w:hAnsi="Arial" w:cs="Arial"/>
          <w:sz w:val="24"/>
          <w:szCs w:val="24"/>
          <w:shd w:val="clear" w:color="auto" w:fill="FFFFFF"/>
        </w:rPr>
        <w:t>simplifying</w:t>
      </w:r>
      <w:r w:rsidR="00B23CA8">
        <w:rPr>
          <w:rFonts w:ascii="Arial" w:hAnsi="Arial" w:cs="Arial"/>
          <w:sz w:val="24"/>
          <w:szCs w:val="24"/>
          <w:shd w:val="clear" w:color="auto" w:fill="FFFFFF"/>
        </w:rPr>
        <w:t xml:space="preserve"> the law. </w:t>
      </w:r>
      <w:r w:rsidR="00021D21">
        <w:rPr>
          <w:rFonts w:ascii="Arial" w:hAnsi="Arial" w:cs="Arial"/>
          <w:sz w:val="24"/>
          <w:szCs w:val="24"/>
          <w:shd w:val="clear" w:color="auto" w:fill="FFFFFF"/>
        </w:rPr>
        <w:t xml:space="preserve">The key reason for this being that landowners should be </w:t>
      </w:r>
      <w:r w:rsidR="00274EC7">
        <w:rPr>
          <w:rFonts w:ascii="Arial" w:hAnsi="Arial" w:cs="Arial"/>
          <w:sz w:val="24"/>
          <w:szCs w:val="24"/>
          <w:shd w:val="clear" w:color="auto" w:fill="FFFFFF"/>
        </w:rPr>
        <w:t xml:space="preserve">fully </w:t>
      </w:r>
      <w:r w:rsidR="00021D21">
        <w:rPr>
          <w:rFonts w:ascii="Arial" w:hAnsi="Arial" w:cs="Arial"/>
          <w:sz w:val="24"/>
          <w:szCs w:val="24"/>
          <w:shd w:val="clear" w:color="auto" w:fill="FFFFFF"/>
        </w:rPr>
        <w:t xml:space="preserve">aware of the rights that they have and how easements can be created. Furthermore, a change is needed so that the number of contradictions and nuances in the case law can be less frequent going forward. </w:t>
      </w:r>
      <w:r w:rsidR="00866CB8">
        <w:rPr>
          <w:rFonts w:ascii="Arial" w:hAnsi="Arial" w:cs="Arial"/>
          <w:sz w:val="24"/>
          <w:szCs w:val="24"/>
          <w:shd w:val="clear" w:color="auto" w:fill="FFFFFF"/>
        </w:rPr>
        <w:t xml:space="preserve">Seemingly, with the latest development in the Land and Conveyancing Law Reform Act (2021), this may be a step in the right direction in terms of </w:t>
      </w:r>
      <w:r w:rsidR="004B546C">
        <w:rPr>
          <w:rFonts w:ascii="Arial" w:hAnsi="Arial" w:cs="Arial"/>
          <w:sz w:val="24"/>
          <w:szCs w:val="24"/>
          <w:shd w:val="clear" w:color="auto" w:fill="FFFFFF"/>
        </w:rPr>
        <w:t>meeting</w:t>
      </w:r>
      <w:r w:rsidR="00866CB8">
        <w:rPr>
          <w:rFonts w:ascii="Arial" w:hAnsi="Arial" w:cs="Arial"/>
          <w:sz w:val="24"/>
          <w:szCs w:val="24"/>
          <w:shd w:val="clear" w:color="auto" w:fill="FFFFFF"/>
        </w:rPr>
        <w:t xml:space="preserve"> the recommendations that the Law Commission and others have put forward </w:t>
      </w:r>
      <w:r w:rsidR="004B546C">
        <w:rPr>
          <w:rFonts w:ascii="Arial" w:hAnsi="Arial" w:cs="Arial"/>
          <w:sz w:val="24"/>
          <w:szCs w:val="24"/>
          <w:shd w:val="clear" w:color="auto" w:fill="FFFFFF"/>
        </w:rPr>
        <w:t xml:space="preserve">in order to make this happen. </w:t>
      </w:r>
      <w:r w:rsidR="006766E6">
        <w:rPr>
          <w:rFonts w:ascii="Arial" w:hAnsi="Arial" w:cs="Arial"/>
          <w:sz w:val="24"/>
          <w:szCs w:val="24"/>
          <w:shd w:val="clear" w:color="auto" w:fill="FFFFFF"/>
        </w:rPr>
        <w:t xml:space="preserve">However, reflecting on the previous attempts of reform, </w:t>
      </w:r>
      <w:r w:rsidR="00241D0B">
        <w:rPr>
          <w:rFonts w:ascii="Arial" w:hAnsi="Arial" w:cs="Arial"/>
          <w:sz w:val="24"/>
          <w:szCs w:val="24"/>
          <w:shd w:val="clear" w:color="auto" w:fill="FFFFFF"/>
        </w:rPr>
        <w:t xml:space="preserve">there is no doubt that </w:t>
      </w:r>
      <w:r w:rsidR="007D1171">
        <w:rPr>
          <w:rFonts w:ascii="Arial" w:hAnsi="Arial" w:cs="Arial"/>
          <w:sz w:val="24"/>
          <w:szCs w:val="24"/>
          <w:shd w:val="clear" w:color="auto" w:fill="FFFFFF"/>
        </w:rPr>
        <w:t>any</w:t>
      </w:r>
      <w:r w:rsidR="00241D0B">
        <w:rPr>
          <w:rFonts w:ascii="Arial" w:hAnsi="Arial" w:cs="Arial"/>
          <w:sz w:val="24"/>
          <w:szCs w:val="24"/>
          <w:shd w:val="clear" w:color="auto" w:fill="FFFFFF"/>
        </w:rPr>
        <w:t xml:space="preserve"> statutes</w:t>
      </w:r>
      <w:r w:rsidR="007D1171">
        <w:rPr>
          <w:rFonts w:ascii="Arial" w:hAnsi="Arial" w:cs="Arial"/>
          <w:sz w:val="24"/>
          <w:szCs w:val="24"/>
          <w:shd w:val="clear" w:color="auto" w:fill="FFFFFF"/>
        </w:rPr>
        <w:t xml:space="preserve"> being </w:t>
      </w:r>
      <w:r w:rsidR="00DD50CD">
        <w:rPr>
          <w:rFonts w:ascii="Arial" w:hAnsi="Arial" w:cs="Arial"/>
          <w:sz w:val="24"/>
          <w:szCs w:val="24"/>
          <w:shd w:val="clear" w:color="auto" w:fill="FFFFFF"/>
        </w:rPr>
        <w:t>proposed</w:t>
      </w:r>
      <w:r w:rsidR="00022C78">
        <w:rPr>
          <w:rFonts w:ascii="Arial" w:hAnsi="Arial" w:cs="Arial"/>
          <w:sz w:val="24"/>
          <w:szCs w:val="24"/>
          <w:shd w:val="clear" w:color="auto" w:fill="FFFFFF"/>
        </w:rPr>
        <w:t>,</w:t>
      </w:r>
      <w:r w:rsidR="00241D0B">
        <w:rPr>
          <w:rFonts w:ascii="Arial" w:hAnsi="Arial" w:cs="Arial"/>
          <w:sz w:val="24"/>
          <w:szCs w:val="24"/>
          <w:shd w:val="clear" w:color="auto" w:fill="FFFFFF"/>
        </w:rPr>
        <w:t xml:space="preserve"> and changes made in the law would have to be substantial and geared towards </w:t>
      </w:r>
      <w:r w:rsidR="00D353A3">
        <w:rPr>
          <w:rFonts w:ascii="Arial" w:hAnsi="Arial" w:cs="Arial"/>
          <w:sz w:val="24"/>
          <w:szCs w:val="24"/>
          <w:shd w:val="clear" w:color="auto" w:fill="FFFFFF"/>
        </w:rPr>
        <w:t xml:space="preserve">practical </w:t>
      </w:r>
      <w:r w:rsidR="00241D0B">
        <w:rPr>
          <w:rFonts w:ascii="Arial" w:hAnsi="Arial" w:cs="Arial"/>
          <w:sz w:val="24"/>
          <w:szCs w:val="24"/>
          <w:shd w:val="clear" w:color="auto" w:fill="FFFFFF"/>
        </w:rPr>
        <w:t>implementation in the modern world</w:t>
      </w:r>
      <w:r w:rsidR="00B82614">
        <w:rPr>
          <w:rFonts w:ascii="Arial" w:hAnsi="Arial" w:cs="Arial"/>
          <w:sz w:val="24"/>
          <w:szCs w:val="24"/>
          <w:shd w:val="clear" w:color="auto" w:fill="FFFFFF"/>
        </w:rPr>
        <w:t xml:space="preserve"> for this to happen. </w:t>
      </w:r>
      <w:r w:rsidR="008B7004">
        <w:rPr>
          <w:rFonts w:ascii="Arial" w:hAnsi="Arial" w:cs="Arial"/>
          <w:sz w:val="24"/>
          <w:szCs w:val="24"/>
          <w:shd w:val="clear" w:color="auto" w:fill="FFFFFF"/>
        </w:rPr>
        <w:t>Issues pointed out in the Prescription Act 1832 and other reform have mainly been that it has only complicated things</w:t>
      </w:r>
      <w:r w:rsidR="00655557">
        <w:rPr>
          <w:rFonts w:ascii="Arial" w:hAnsi="Arial" w:cs="Arial"/>
          <w:sz w:val="24"/>
          <w:szCs w:val="24"/>
          <w:shd w:val="clear" w:color="auto" w:fill="FFFFFF"/>
        </w:rPr>
        <w:t xml:space="preserve"> </w:t>
      </w:r>
      <w:r w:rsidR="00286F19">
        <w:rPr>
          <w:rFonts w:ascii="Arial" w:hAnsi="Arial" w:cs="Arial"/>
          <w:sz w:val="24"/>
          <w:szCs w:val="24"/>
          <w:shd w:val="clear" w:color="auto" w:fill="FFFFFF"/>
        </w:rPr>
        <w:t>according to</w:t>
      </w:r>
      <w:r w:rsidR="00655557">
        <w:rPr>
          <w:rFonts w:ascii="Arial" w:hAnsi="Arial" w:cs="Arial"/>
          <w:sz w:val="24"/>
          <w:szCs w:val="24"/>
          <w:shd w:val="clear" w:color="auto" w:fill="FFFFFF"/>
        </w:rPr>
        <w:t xml:space="preserve"> experts in the area and landowners</w:t>
      </w:r>
      <w:r w:rsidR="00286F19">
        <w:rPr>
          <w:rFonts w:ascii="Arial" w:hAnsi="Arial" w:cs="Arial"/>
          <w:sz w:val="24"/>
          <w:szCs w:val="24"/>
          <w:shd w:val="clear" w:color="auto" w:fill="FFFFFF"/>
        </w:rPr>
        <w:t>, this has been demonstrated in more modern cases such as the outcomes in Orme v Lyons and Regency Villas v Diamond Resorts which were previously discussed as potentially going against previous statues and case law.</w:t>
      </w:r>
    </w:p>
    <w:p w14:paraId="5C455A7F" w14:textId="77777777" w:rsidR="000E3F48" w:rsidRDefault="000E3F48">
      <w:pPr>
        <w:spacing w:after="160" w:line="259" w:lineRule="auto"/>
        <w:rPr>
          <w:rFonts w:ascii="Arial" w:hAnsi="Arial" w:cs="Arial"/>
          <w:sz w:val="24"/>
          <w:szCs w:val="24"/>
          <w:shd w:val="clear" w:color="auto" w:fill="FFFFFF"/>
        </w:rPr>
      </w:pPr>
      <w:r>
        <w:rPr>
          <w:rFonts w:ascii="Arial" w:hAnsi="Arial" w:cs="Arial"/>
          <w:sz w:val="24"/>
          <w:szCs w:val="24"/>
          <w:shd w:val="clear" w:color="auto" w:fill="FFFFFF"/>
        </w:rPr>
        <w:br w:type="page"/>
      </w:r>
    </w:p>
    <w:p w14:paraId="6BADB252" w14:textId="10AD3F71" w:rsidR="000E3F48" w:rsidRDefault="000E3F48" w:rsidP="000E3F48">
      <w:pPr>
        <w:rPr>
          <w:rFonts w:ascii="Arial" w:hAnsi="Arial" w:cs="Arial"/>
          <w:sz w:val="24"/>
          <w:szCs w:val="24"/>
          <w:u w:val="single"/>
        </w:rPr>
      </w:pPr>
      <w:r>
        <w:rPr>
          <w:rFonts w:ascii="Arial" w:hAnsi="Arial" w:cs="Arial"/>
          <w:sz w:val="24"/>
          <w:szCs w:val="24"/>
          <w:u w:val="single"/>
        </w:rPr>
        <w:lastRenderedPageBreak/>
        <w:t>References</w:t>
      </w:r>
    </w:p>
    <w:p w14:paraId="61678B5F" w14:textId="77777777" w:rsidR="00442052" w:rsidRDefault="00442052" w:rsidP="000E3F48">
      <w:pPr>
        <w:rPr>
          <w:rFonts w:ascii="Arial" w:hAnsi="Arial" w:cs="Arial"/>
          <w:sz w:val="24"/>
          <w:szCs w:val="24"/>
          <w:u w:val="single"/>
        </w:rPr>
      </w:pPr>
    </w:p>
    <w:p w14:paraId="019EDB1F" w14:textId="750A956B" w:rsidR="000E3F48" w:rsidRDefault="000E3F48" w:rsidP="000E3F48">
      <w:pPr>
        <w:rPr>
          <w:rFonts w:ascii="Arial" w:hAnsi="Arial" w:cs="Arial"/>
          <w:color w:val="000000"/>
          <w:sz w:val="24"/>
          <w:szCs w:val="24"/>
          <w:shd w:val="clear" w:color="auto" w:fill="FFFFFF"/>
        </w:rPr>
      </w:pPr>
      <w:r w:rsidRPr="00382592">
        <w:rPr>
          <w:rFonts w:ascii="Arial" w:hAnsi="Arial" w:cs="Arial"/>
          <w:color w:val="000000"/>
          <w:sz w:val="24"/>
          <w:szCs w:val="24"/>
          <w:shd w:val="clear" w:color="auto" w:fill="FFFFFF"/>
        </w:rPr>
        <w:t>Bland, P. (2011). A “Hopeless Jumble”: The Cursed Reform of Prescription. </w:t>
      </w:r>
      <w:r w:rsidRPr="00382592">
        <w:rPr>
          <w:rFonts w:ascii="Arial" w:hAnsi="Arial" w:cs="Arial"/>
          <w:i/>
          <w:iCs/>
          <w:color w:val="000000"/>
          <w:sz w:val="24"/>
          <w:szCs w:val="24"/>
        </w:rPr>
        <w:t>Conveyancing and Property Law Journal</w:t>
      </w:r>
      <w:r w:rsidRPr="00382592">
        <w:rPr>
          <w:rFonts w:ascii="Arial" w:hAnsi="Arial" w:cs="Arial"/>
          <w:color w:val="000000"/>
          <w:sz w:val="24"/>
          <w:szCs w:val="24"/>
          <w:shd w:val="clear" w:color="auto" w:fill="FFFFFF"/>
        </w:rPr>
        <w:t xml:space="preserve">. 16(3), pp.54-60. [Online]. Available at: </w:t>
      </w:r>
      <w:hyperlink r:id="rId4" w:history="1">
        <w:r w:rsidRPr="00764224">
          <w:rPr>
            <w:rStyle w:val="Hyperlink"/>
            <w:rFonts w:ascii="Arial" w:hAnsi="Arial" w:cs="Arial"/>
            <w:sz w:val="24"/>
            <w:szCs w:val="24"/>
            <w:shd w:val="clear" w:color="auto" w:fill="FFFFFF"/>
          </w:rPr>
          <w:t>https://www.lawsociety.ie/globalassets/documents/submissions/peter-bland-hopeless-jumble.pdf</w:t>
        </w:r>
      </w:hyperlink>
      <w:r>
        <w:rPr>
          <w:rFonts w:ascii="Arial" w:hAnsi="Arial" w:cs="Arial"/>
          <w:color w:val="000000"/>
          <w:sz w:val="24"/>
          <w:szCs w:val="24"/>
          <w:shd w:val="clear" w:color="auto" w:fill="FFFFFF"/>
        </w:rPr>
        <w:t xml:space="preserve"> </w:t>
      </w:r>
      <w:r w:rsidRPr="00382592">
        <w:rPr>
          <w:rFonts w:ascii="Arial" w:hAnsi="Arial" w:cs="Arial"/>
          <w:color w:val="000000"/>
          <w:sz w:val="24"/>
          <w:szCs w:val="24"/>
          <w:shd w:val="clear" w:color="auto" w:fill="FFFFFF"/>
        </w:rPr>
        <w:t>[Accessed 8 November 2022].</w:t>
      </w:r>
    </w:p>
    <w:p w14:paraId="3213237B" w14:textId="77777777" w:rsidR="0032358E" w:rsidRDefault="0032358E" w:rsidP="000E3F48">
      <w:pPr>
        <w:rPr>
          <w:rFonts w:ascii="Arial" w:hAnsi="Arial" w:cs="Arial"/>
          <w:color w:val="000000"/>
          <w:sz w:val="24"/>
          <w:szCs w:val="24"/>
          <w:shd w:val="clear" w:color="auto" w:fill="FFFFFF"/>
        </w:rPr>
      </w:pPr>
    </w:p>
    <w:p w14:paraId="4648D3F5" w14:textId="0D20334B" w:rsidR="000E3F48" w:rsidRDefault="000E3F48" w:rsidP="000E3F48">
      <w:pPr>
        <w:rPr>
          <w:rFonts w:ascii="Arial" w:hAnsi="Arial" w:cs="Arial"/>
          <w:sz w:val="24"/>
          <w:szCs w:val="24"/>
          <w:shd w:val="clear" w:color="auto" w:fill="FFFFFF"/>
        </w:rPr>
      </w:pPr>
      <w:r w:rsidRPr="00D04A4B">
        <w:rPr>
          <w:rFonts w:ascii="Arial" w:hAnsi="Arial" w:cs="Arial"/>
          <w:sz w:val="24"/>
          <w:szCs w:val="24"/>
          <w:shd w:val="clear" w:color="auto" w:fill="FFFFFF"/>
        </w:rPr>
        <w:t>Cooke, E. (20</w:t>
      </w:r>
      <w:r>
        <w:rPr>
          <w:rFonts w:ascii="Arial" w:hAnsi="Arial" w:cs="Arial"/>
          <w:sz w:val="24"/>
          <w:szCs w:val="24"/>
          <w:shd w:val="clear" w:color="auto" w:fill="FFFFFF"/>
        </w:rPr>
        <w:t>11</w:t>
      </w:r>
      <w:r w:rsidRPr="00D04A4B">
        <w:rPr>
          <w:rFonts w:ascii="Arial" w:hAnsi="Arial" w:cs="Arial"/>
          <w:sz w:val="24"/>
          <w:szCs w:val="24"/>
          <w:shd w:val="clear" w:color="auto" w:fill="FFFFFF"/>
        </w:rPr>
        <w:t>). </w:t>
      </w:r>
      <w:r w:rsidRPr="00D04A4B">
        <w:rPr>
          <w:rFonts w:ascii="Arial" w:hAnsi="Arial" w:cs="Arial"/>
          <w:i/>
          <w:iCs/>
          <w:sz w:val="24"/>
          <w:szCs w:val="24"/>
        </w:rPr>
        <w:t>Easements, Covenants and Profits à Prendre</w:t>
      </w:r>
      <w:r w:rsidRPr="00D04A4B">
        <w:rPr>
          <w:rFonts w:ascii="Arial" w:hAnsi="Arial" w:cs="Arial"/>
          <w:sz w:val="24"/>
          <w:szCs w:val="24"/>
          <w:shd w:val="clear" w:color="auto" w:fill="FFFFFF"/>
        </w:rPr>
        <w:t xml:space="preserve">. [Online]. LawCom. Available at: </w:t>
      </w:r>
      <w:hyperlink r:id="rId5" w:anchor="related" w:history="1">
        <w:r w:rsidRPr="00764224">
          <w:rPr>
            <w:rStyle w:val="Hyperlink"/>
            <w:rFonts w:ascii="Arial" w:hAnsi="Arial" w:cs="Arial"/>
            <w:sz w:val="24"/>
            <w:szCs w:val="24"/>
            <w:shd w:val="clear" w:color="auto" w:fill="FFFFFF"/>
          </w:rPr>
          <w:t>https://www.lawcom.gov.uk/project/easements-covenants-and-profits-a-prendre/#related</w:t>
        </w:r>
      </w:hyperlink>
      <w:r>
        <w:rPr>
          <w:rFonts w:ascii="Arial" w:hAnsi="Arial" w:cs="Arial"/>
          <w:sz w:val="24"/>
          <w:szCs w:val="24"/>
          <w:shd w:val="clear" w:color="auto" w:fill="FFFFFF"/>
        </w:rPr>
        <w:t xml:space="preserve"> </w:t>
      </w:r>
      <w:r w:rsidRPr="00D04A4B">
        <w:rPr>
          <w:rFonts w:ascii="Arial" w:hAnsi="Arial" w:cs="Arial"/>
          <w:sz w:val="24"/>
          <w:szCs w:val="24"/>
          <w:shd w:val="clear" w:color="auto" w:fill="FFFFFF"/>
        </w:rPr>
        <w:t>[Accessed 8 November 2022].</w:t>
      </w:r>
    </w:p>
    <w:p w14:paraId="275C8D9A" w14:textId="77777777" w:rsidR="0032358E" w:rsidRPr="00D04A4B" w:rsidRDefault="0032358E" w:rsidP="000E3F48">
      <w:pPr>
        <w:rPr>
          <w:rFonts w:ascii="Arial" w:hAnsi="Arial" w:cs="Arial"/>
          <w:sz w:val="24"/>
          <w:szCs w:val="24"/>
          <w:shd w:val="clear" w:color="auto" w:fill="FFFFFF"/>
        </w:rPr>
      </w:pPr>
    </w:p>
    <w:p w14:paraId="72F83179" w14:textId="42C3618D" w:rsidR="000E3F48" w:rsidRDefault="000E3F48" w:rsidP="000E3F48">
      <w:pPr>
        <w:rPr>
          <w:rFonts w:ascii="Arial" w:hAnsi="Arial" w:cs="Arial"/>
          <w:color w:val="000000"/>
          <w:sz w:val="24"/>
          <w:szCs w:val="24"/>
          <w:shd w:val="clear" w:color="auto" w:fill="FFFFFF"/>
        </w:rPr>
      </w:pPr>
      <w:r w:rsidRPr="001C09E2">
        <w:rPr>
          <w:rFonts w:ascii="Arial" w:hAnsi="Arial" w:cs="Arial"/>
          <w:color w:val="000000"/>
          <w:sz w:val="24"/>
          <w:szCs w:val="24"/>
          <w:shd w:val="clear" w:color="auto" w:fill="FFFFFF"/>
        </w:rPr>
        <w:t>Colby, A. (2020). Stay at home - but beware of parking there. </w:t>
      </w:r>
      <w:r w:rsidRPr="001C09E2">
        <w:rPr>
          <w:rFonts w:ascii="Arial" w:hAnsi="Arial" w:cs="Arial"/>
          <w:i/>
          <w:iCs/>
          <w:color w:val="000000"/>
          <w:sz w:val="24"/>
          <w:szCs w:val="24"/>
        </w:rPr>
        <w:t>The Estates Gazette</w:t>
      </w:r>
      <w:r w:rsidRPr="001C09E2">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1C09E2">
        <w:rPr>
          <w:rFonts w:ascii="Arial" w:hAnsi="Arial" w:cs="Arial"/>
          <w:color w:val="000000"/>
          <w:sz w:val="24"/>
          <w:szCs w:val="24"/>
          <w:shd w:val="clear" w:color="auto" w:fill="FFFFFF"/>
        </w:rPr>
        <w:t xml:space="preserve">p.59. [Online]. Available at: </w:t>
      </w:r>
      <w:hyperlink r:id="rId6" w:history="1">
        <w:r w:rsidRPr="00764224">
          <w:rPr>
            <w:rStyle w:val="Hyperlink"/>
            <w:rFonts w:ascii="Arial" w:hAnsi="Arial" w:cs="Arial"/>
            <w:sz w:val="24"/>
            <w:szCs w:val="24"/>
            <w:shd w:val="clear" w:color="auto" w:fill="FFFFFF"/>
          </w:rPr>
          <w:t>https://www.proquest.com/docview/2466061472/fulltext/AC31ACFEA6D34B5CPQ/1?accountid=130472</w:t>
        </w:r>
      </w:hyperlink>
      <w:r>
        <w:rPr>
          <w:rFonts w:ascii="Arial" w:hAnsi="Arial" w:cs="Arial"/>
          <w:color w:val="000000"/>
          <w:sz w:val="24"/>
          <w:szCs w:val="24"/>
          <w:shd w:val="clear" w:color="auto" w:fill="FFFFFF"/>
        </w:rPr>
        <w:t xml:space="preserve"> </w:t>
      </w:r>
      <w:r w:rsidRPr="001C09E2">
        <w:rPr>
          <w:rFonts w:ascii="Arial" w:hAnsi="Arial" w:cs="Arial"/>
          <w:color w:val="000000"/>
          <w:sz w:val="24"/>
          <w:szCs w:val="24"/>
          <w:shd w:val="clear" w:color="auto" w:fill="FFFFFF"/>
        </w:rPr>
        <w:t>[Accessed 8 November 2022].</w:t>
      </w:r>
    </w:p>
    <w:p w14:paraId="5C824865" w14:textId="77777777" w:rsidR="0032358E" w:rsidRDefault="0032358E" w:rsidP="000E3F48">
      <w:pPr>
        <w:rPr>
          <w:rFonts w:ascii="Arial" w:hAnsi="Arial" w:cs="Arial"/>
          <w:color w:val="000000"/>
          <w:sz w:val="24"/>
          <w:szCs w:val="24"/>
          <w:shd w:val="clear" w:color="auto" w:fill="FFFFFF"/>
        </w:rPr>
      </w:pPr>
    </w:p>
    <w:p w14:paraId="368EE199" w14:textId="46911F0B" w:rsidR="000E3F48" w:rsidRDefault="000E3F48" w:rsidP="000E3F48">
      <w:pPr>
        <w:rPr>
          <w:rFonts w:ascii="Arial" w:hAnsi="Arial" w:cs="Arial"/>
          <w:color w:val="000000"/>
          <w:sz w:val="24"/>
          <w:szCs w:val="24"/>
          <w:shd w:val="clear" w:color="auto" w:fill="FFFFFF"/>
        </w:rPr>
      </w:pPr>
      <w:r w:rsidRPr="00247F64">
        <w:rPr>
          <w:rFonts w:ascii="Arial" w:hAnsi="Arial" w:cs="Arial"/>
          <w:color w:val="000000"/>
          <w:sz w:val="24"/>
          <w:szCs w:val="24"/>
          <w:shd w:val="clear" w:color="auto" w:fill="FFFFFF"/>
        </w:rPr>
        <w:t>Davies, N., Taggart, L. (2021). </w:t>
      </w:r>
      <w:r w:rsidRPr="00247F64">
        <w:rPr>
          <w:rFonts w:ascii="Arial" w:hAnsi="Arial" w:cs="Arial"/>
          <w:i/>
          <w:iCs/>
          <w:color w:val="000000"/>
          <w:sz w:val="24"/>
          <w:szCs w:val="24"/>
        </w:rPr>
        <w:t>Easement : The basics explained</w:t>
      </w:r>
      <w:r w:rsidRPr="00247F64">
        <w:rPr>
          <w:rFonts w:ascii="Arial" w:hAnsi="Arial" w:cs="Arial"/>
          <w:color w:val="000000"/>
          <w:sz w:val="24"/>
          <w:szCs w:val="24"/>
          <w:shd w:val="clear" w:color="auto" w:fill="FFFFFF"/>
        </w:rPr>
        <w:t>. [Online]. Paris Smith. Last Updated: 11 June 2021. Available at:</w:t>
      </w:r>
      <w:r>
        <w:rPr>
          <w:rFonts w:ascii="Arial" w:hAnsi="Arial" w:cs="Arial"/>
          <w:color w:val="000000"/>
          <w:sz w:val="24"/>
          <w:szCs w:val="24"/>
          <w:shd w:val="clear" w:color="auto" w:fill="FFFFFF"/>
        </w:rPr>
        <w:t xml:space="preserve"> </w:t>
      </w:r>
      <w:hyperlink r:id="rId7" w:history="1">
        <w:r w:rsidRPr="00764224">
          <w:rPr>
            <w:rStyle w:val="Hyperlink"/>
            <w:rFonts w:ascii="Arial" w:hAnsi="Arial" w:cs="Arial"/>
            <w:sz w:val="24"/>
            <w:szCs w:val="24"/>
            <w:shd w:val="clear" w:color="auto" w:fill="FFFFFF"/>
          </w:rPr>
          <w:t>https://parissmith.co.uk/blog/easement-the-basics-explained/</w:t>
        </w:r>
      </w:hyperlink>
      <w:r>
        <w:rPr>
          <w:rFonts w:ascii="Arial" w:hAnsi="Arial" w:cs="Arial"/>
          <w:color w:val="000000"/>
          <w:sz w:val="24"/>
          <w:szCs w:val="24"/>
          <w:shd w:val="clear" w:color="auto" w:fill="FFFFFF"/>
        </w:rPr>
        <w:t xml:space="preserve"> </w:t>
      </w:r>
      <w:r w:rsidRPr="00247F64">
        <w:rPr>
          <w:rFonts w:ascii="Arial" w:hAnsi="Arial" w:cs="Arial"/>
          <w:color w:val="000000"/>
          <w:sz w:val="24"/>
          <w:szCs w:val="24"/>
          <w:shd w:val="clear" w:color="auto" w:fill="FFFFFF"/>
        </w:rPr>
        <w:t>[Accessed 8 November 2022].</w:t>
      </w:r>
    </w:p>
    <w:p w14:paraId="4860C070" w14:textId="77777777" w:rsidR="0032358E" w:rsidRDefault="0032358E" w:rsidP="000E3F48">
      <w:pPr>
        <w:rPr>
          <w:rFonts w:ascii="Arial" w:hAnsi="Arial" w:cs="Arial"/>
          <w:color w:val="000000"/>
          <w:sz w:val="24"/>
          <w:szCs w:val="24"/>
          <w:shd w:val="clear" w:color="auto" w:fill="FFFFFF"/>
        </w:rPr>
      </w:pPr>
    </w:p>
    <w:p w14:paraId="22718120" w14:textId="1D13B222" w:rsidR="000E3F48" w:rsidRDefault="000E3F48" w:rsidP="000E3F48">
      <w:pPr>
        <w:rPr>
          <w:rFonts w:ascii="Arial" w:hAnsi="Arial" w:cs="Arial"/>
          <w:color w:val="000000"/>
          <w:sz w:val="24"/>
          <w:szCs w:val="24"/>
          <w:shd w:val="clear" w:color="auto" w:fill="FFFFFF"/>
        </w:rPr>
      </w:pPr>
      <w:r w:rsidRPr="00C87BD8">
        <w:rPr>
          <w:rFonts w:ascii="Arial" w:hAnsi="Arial" w:cs="Arial"/>
          <w:color w:val="000000"/>
          <w:sz w:val="24"/>
          <w:szCs w:val="24"/>
          <w:shd w:val="clear" w:color="auto" w:fill="FFFFFF"/>
        </w:rPr>
        <w:t>Egan, K., Barrett, D., Hannigan, S.,O'Rourke, B., Sheehan, D., Considine, D. (2021). </w:t>
      </w:r>
      <w:r w:rsidRPr="00C87BD8">
        <w:rPr>
          <w:rFonts w:ascii="Arial" w:hAnsi="Arial" w:cs="Arial"/>
          <w:i/>
          <w:iCs/>
          <w:color w:val="000000"/>
          <w:sz w:val="24"/>
          <w:szCs w:val="24"/>
        </w:rPr>
        <w:t>Clarification of the law on prescriptive easements and profits à prendre: Land and Conveyancing Law Reform Act 2021</w:t>
      </w:r>
      <w:r w:rsidRPr="00C87BD8">
        <w:rPr>
          <w:rFonts w:ascii="Arial" w:hAnsi="Arial" w:cs="Arial"/>
          <w:color w:val="000000"/>
          <w:sz w:val="24"/>
          <w:szCs w:val="24"/>
          <w:shd w:val="clear" w:color="auto" w:fill="FFFFFF"/>
        </w:rPr>
        <w:t xml:space="preserve">. [Online]. Arthur Cox. Last Updated: 30 November 2021. Available at: </w:t>
      </w:r>
      <w:hyperlink r:id="rId8" w:history="1">
        <w:r w:rsidRPr="00764224">
          <w:rPr>
            <w:rStyle w:val="Hyperlink"/>
            <w:rFonts w:ascii="Arial" w:hAnsi="Arial" w:cs="Arial"/>
            <w:sz w:val="24"/>
            <w:szCs w:val="24"/>
            <w:shd w:val="clear" w:color="auto" w:fill="FFFFFF"/>
          </w:rPr>
          <w:t>https://www.arthurcox.com/knowledge/clarification-of-the-law-on-prescriptive-easements-and-profits-a</w:t>
        </w:r>
      </w:hyperlink>
      <w:r>
        <w:rPr>
          <w:rFonts w:ascii="Arial" w:hAnsi="Arial" w:cs="Arial"/>
          <w:color w:val="000000"/>
          <w:sz w:val="24"/>
          <w:szCs w:val="24"/>
          <w:shd w:val="clear" w:color="auto" w:fill="FFFFFF"/>
        </w:rPr>
        <w:t xml:space="preserve"> </w:t>
      </w:r>
      <w:r w:rsidRPr="00C87BD8">
        <w:rPr>
          <w:rFonts w:ascii="Arial" w:hAnsi="Arial" w:cs="Arial"/>
          <w:color w:val="000000"/>
          <w:sz w:val="24"/>
          <w:szCs w:val="24"/>
          <w:shd w:val="clear" w:color="auto" w:fill="FFFFFF"/>
        </w:rPr>
        <w:t>[Accessed 8 November 2022].</w:t>
      </w:r>
    </w:p>
    <w:p w14:paraId="17A596A6" w14:textId="77777777" w:rsidR="0032358E" w:rsidRDefault="0032358E" w:rsidP="000E3F48">
      <w:pPr>
        <w:rPr>
          <w:rFonts w:ascii="Arial" w:hAnsi="Arial" w:cs="Arial"/>
          <w:color w:val="000000"/>
          <w:sz w:val="24"/>
          <w:szCs w:val="24"/>
          <w:shd w:val="clear" w:color="auto" w:fill="FFFFFF"/>
        </w:rPr>
      </w:pPr>
    </w:p>
    <w:p w14:paraId="77737A98" w14:textId="75D7B835" w:rsidR="000E3F48" w:rsidRDefault="000E3F48" w:rsidP="000E3F48">
      <w:pPr>
        <w:rPr>
          <w:rFonts w:ascii="Arial" w:hAnsi="Arial" w:cs="Arial"/>
          <w:sz w:val="24"/>
          <w:szCs w:val="24"/>
          <w:shd w:val="clear" w:color="auto" w:fill="FFFFFF"/>
        </w:rPr>
      </w:pPr>
      <w:r w:rsidRPr="007A4736">
        <w:rPr>
          <w:rFonts w:ascii="Arial" w:hAnsi="Arial" w:cs="Arial"/>
          <w:sz w:val="24"/>
          <w:szCs w:val="24"/>
          <w:shd w:val="clear" w:color="auto" w:fill="FFFFFF"/>
        </w:rPr>
        <w:t>Goymour, A. (2008). EASEMENTS, SERVITUDES AND THE RIGHT TO PARK. </w:t>
      </w:r>
      <w:r w:rsidRPr="007A4736">
        <w:rPr>
          <w:rFonts w:ascii="Arial" w:hAnsi="Arial" w:cs="Arial"/>
          <w:i/>
          <w:iCs/>
          <w:sz w:val="24"/>
          <w:szCs w:val="24"/>
        </w:rPr>
        <w:t>The Cambridge Law Journal</w:t>
      </w:r>
      <w:r w:rsidRPr="007A4736">
        <w:rPr>
          <w:rFonts w:ascii="Arial" w:hAnsi="Arial" w:cs="Arial"/>
          <w:sz w:val="24"/>
          <w:szCs w:val="24"/>
          <w:shd w:val="clear" w:color="auto" w:fill="FFFFFF"/>
        </w:rPr>
        <w:t>. 67(1), pp.20-23. [Online]. Available at: doi:10.1017/S0008197308000238 [Accessed 8 November 2022].</w:t>
      </w:r>
      <w:r>
        <w:rPr>
          <w:rFonts w:ascii="Arial" w:hAnsi="Arial" w:cs="Arial"/>
          <w:sz w:val="24"/>
          <w:szCs w:val="24"/>
          <w:shd w:val="clear" w:color="auto" w:fill="FFFFFF"/>
        </w:rPr>
        <w:t xml:space="preserve"> </w:t>
      </w:r>
    </w:p>
    <w:p w14:paraId="6FC2BE84" w14:textId="77777777" w:rsidR="0032358E" w:rsidRDefault="0032358E" w:rsidP="000E3F48">
      <w:pPr>
        <w:rPr>
          <w:rFonts w:ascii="Arial" w:hAnsi="Arial" w:cs="Arial"/>
          <w:sz w:val="24"/>
          <w:szCs w:val="24"/>
          <w:shd w:val="clear" w:color="auto" w:fill="FFFFFF"/>
        </w:rPr>
      </w:pPr>
    </w:p>
    <w:p w14:paraId="24330E7C" w14:textId="29AEBCCE" w:rsidR="000E3F48" w:rsidRDefault="000E3F48" w:rsidP="000E3F48">
      <w:pPr>
        <w:rPr>
          <w:rFonts w:ascii="Arial" w:hAnsi="Arial" w:cs="Arial"/>
          <w:sz w:val="24"/>
          <w:szCs w:val="24"/>
          <w:shd w:val="clear" w:color="auto" w:fill="FFFFFF"/>
        </w:rPr>
      </w:pPr>
      <w:r w:rsidRPr="0000397D">
        <w:rPr>
          <w:rFonts w:ascii="Arial" w:hAnsi="Arial" w:cs="Arial"/>
          <w:sz w:val="24"/>
          <w:szCs w:val="24"/>
          <w:shd w:val="clear" w:color="auto" w:fill="FFFFFF"/>
        </w:rPr>
        <w:t>HM Land Registry. (2021). </w:t>
      </w:r>
      <w:r w:rsidRPr="0000397D">
        <w:rPr>
          <w:rFonts w:ascii="Arial" w:hAnsi="Arial" w:cs="Arial"/>
          <w:i/>
          <w:iCs/>
          <w:sz w:val="24"/>
          <w:szCs w:val="24"/>
        </w:rPr>
        <w:t>Practice guide 52: easements claimed by prescription</w:t>
      </w:r>
      <w:r w:rsidRPr="0000397D">
        <w:rPr>
          <w:rFonts w:ascii="Arial" w:hAnsi="Arial" w:cs="Arial"/>
          <w:sz w:val="24"/>
          <w:szCs w:val="24"/>
          <w:shd w:val="clear" w:color="auto" w:fill="FFFFFF"/>
        </w:rPr>
        <w:t xml:space="preserve">. [Online]. HM Land Registry. Last Updated: 6 December 2021. Available at: </w:t>
      </w:r>
      <w:hyperlink r:id="rId9" w:history="1">
        <w:r w:rsidRPr="00764224">
          <w:rPr>
            <w:rStyle w:val="Hyperlink"/>
            <w:rFonts w:ascii="Arial" w:hAnsi="Arial" w:cs="Arial"/>
            <w:sz w:val="24"/>
            <w:szCs w:val="24"/>
            <w:shd w:val="clear" w:color="auto" w:fill="FFFFFF"/>
          </w:rPr>
          <w:t>https://www.gov.uk/government/publications/easements-claimed-by-prescription/practice-guide-52-easem</w:t>
        </w:r>
      </w:hyperlink>
      <w:r>
        <w:rPr>
          <w:rFonts w:ascii="Arial" w:hAnsi="Arial" w:cs="Arial"/>
          <w:sz w:val="24"/>
          <w:szCs w:val="24"/>
          <w:shd w:val="clear" w:color="auto" w:fill="FFFFFF"/>
        </w:rPr>
        <w:t xml:space="preserve"> </w:t>
      </w:r>
      <w:r w:rsidRPr="0000397D">
        <w:rPr>
          <w:rFonts w:ascii="Arial" w:hAnsi="Arial" w:cs="Arial"/>
          <w:sz w:val="24"/>
          <w:szCs w:val="24"/>
          <w:shd w:val="clear" w:color="auto" w:fill="FFFFFF"/>
        </w:rPr>
        <w:t>[Accessed 8 November 2022].</w:t>
      </w:r>
    </w:p>
    <w:p w14:paraId="2F8E0161" w14:textId="77777777" w:rsidR="0032358E" w:rsidRPr="001E20A0" w:rsidRDefault="0032358E" w:rsidP="000E3F48">
      <w:pPr>
        <w:rPr>
          <w:rFonts w:ascii="Arial" w:hAnsi="Arial" w:cs="Arial"/>
          <w:sz w:val="24"/>
          <w:szCs w:val="24"/>
          <w:u w:val="single"/>
        </w:rPr>
      </w:pPr>
    </w:p>
    <w:p w14:paraId="55BF68DD" w14:textId="08DF4AD6" w:rsidR="000E3F48" w:rsidRDefault="000E3F48" w:rsidP="000E3F48">
      <w:pPr>
        <w:rPr>
          <w:rFonts w:ascii="Arial" w:hAnsi="Arial" w:cs="Arial"/>
          <w:sz w:val="24"/>
          <w:szCs w:val="24"/>
          <w:shd w:val="clear" w:color="auto" w:fill="FFFFFF"/>
        </w:rPr>
      </w:pPr>
      <w:r>
        <w:rPr>
          <w:rFonts w:ascii="Arial" w:hAnsi="Arial" w:cs="Arial"/>
          <w:sz w:val="24"/>
          <w:szCs w:val="24"/>
          <w:shd w:val="clear" w:color="auto" w:fill="FFFFFF"/>
        </w:rPr>
        <w:t>Ireland, N.</w:t>
      </w:r>
      <w:r w:rsidRPr="007E1482">
        <w:rPr>
          <w:rFonts w:ascii="Arial" w:hAnsi="Arial" w:cs="Arial"/>
          <w:sz w:val="24"/>
          <w:szCs w:val="24"/>
          <w:shd w:val="clear" w:color="auto" w:fill="FFFFFF"/>
        </w:rPr>
        <w:t xml:space="preserve"> (2013). EASEMENTS BY PRESCRIPTION: JUST WHAT THE DOCTRINE ORDERED. </w:t>
      </w:r>
      <w:r w:rsidRPr="007E1482">
        <w:rPr>
          <w:rFonts w:ascii="Arial" w:hAnsi="Arial" w:cs="Arial"/>
          <w:i/>
          <w:iCs/>
          <w:sz w:val="24"/>
          <w:szCs w:val="24"/>
        </w:rPr>
        <w:t>Property Law Journal</w:t>
      </w:r>
      <w:r w:rsidRPr="007E1482">
        <w:rPr>
          <w:rFonts w:ascii="Arial" w:hAnsi="Arial" w:cs="Arial"/>
          <w:sz w:val="24"/>
          <w:szCs w:val="24"/>
          <w:shd w:val="clear" w:color="auto" w:fill="FFFFFF"/>
        </w:rPr>
        <w:t>. 309(1), p.2</w:t>
      </w:r>
      <w:r>
        <w:rPr>
          <w:rFonts w:ascii="Arial" w:hAnsi="Arial" w:cs="Arial"/>
          <w:sz w:val="24"/>
          <w:szCs w:val="24"/>
          <w:shd w:val="clear" w:color="auto" w:fill="FFFFFF"/>
        </w:rPr>
        <w:t>-6</w:t>
      </w:r>
      <w:r w:rsidRPr="007E1482">
        <w:rPr>
          <w:rFonts w:ascii="Arial" w:hAnsi="Arial" w:cs="Arial"/>
          <w:sz w:val="24"/>
          <w:szCs w:val="24"/>
          <w:shd w:val="clear" w:color="auto" w:fill="FFFFFF"/>
        </w:rPr>
        <w:t xml:space="preserve">. [Online]. Available at: </w:t>
      </w:r>
      <w:hyperlink r:id="rId10" w:history="1">
        <w:r w:rsidRPr="00764224">
          <w:rPr>
            <w:rStyle w:val="Hyperlink"/>
            <w:rFonts w:ascii="Arial" w:hAnsi="Arial" w:cs="Arial"/>
            <w:sz w:val="24"/>
            <w:szCs w:val="24"/>
            <w:shd w:val="clear" w:color="auto" w:fill="FFFFFF"/>
          </w:rPr>
          <w:t>https://www.lawjournals.co.uk/2013/05/02/property-law-journal/easements-by-prescription-just-what-th</w:t>
        </w:r>
      </w:hyperlink>
      <w:r>
        <w:rPr>
          <w:rFonts w:ascii="Arial" w:hAnsi="Arial" w:cs="Arial"/>
          <w:sz w:val="24"/>
          <w:szCs w:val="24"/>
          <w:shd w:val="clear" w:color="auto" w:fill="FFFFFF"/>
        </w:rPr>
        <w:t xml:space="preserve"> </w:t>
      </w:r>
      <w:r w:rsidRPr="007E1482">
        <w:rPr>
          <w:rFonts w:ascii="Arial" w:hAnsi="Arial" w:cs="Arial"/>
          <w:sz w:val="24"/>
          <w:szCs w:val="24"/>
          <w:shd w:val="clear" w:color="auto" w:fill="FFFFFF"/>
        </w:rPr>
        <w:t>[Accessed 8 November 2022].</w:t>
      </w:r>
    </w:p>
    <w:p w14:paraId="7946BC32" w14:textId="77777777" w:rsidR="0032358E" w:rsidRDefault="0032358E" w:rsidP="000E3F48">
      <w:pPr>
        <w:rPr>
          <w:rFonts w:ascii="Arial" w:hAnsi="Arial" w:cs="Arial"/>
          <w:sz w:val="24"/>
          <w:szCs w:val="24"/>
          <w:shd w:val="clear" w:color="auto" w:fill="FFFFFF"/>
        </w:rPr>
      </w:pPr>
    </w:p>
    <w:p w14:paraId="2B26BA82" w14:textId="363D04B6" w:rsidR="000E3F48" w:rsidRDefault="000E3F48" w:rsidP="000E3F48">
      <w:pPr>
        <w:rPr>
          <w:rFonts w:ascii="Arial" w:hAnsi="Arial" w:cs="Arial"/>
          <w:color w:val="000000"/>
          <w:sz w:val="24"/>
          <w:szCs w:val="24"/>
          <w:shd w:val="clear" w:color="auto" w:fill="FFFFFF"/>
        </w:rPr>
      </w:pPr>
      <w:r w:rsidRPr="004C3946">
        <w:rPr>
          <w:rFonts w:ascii="Arial" w:hAnsi="Arial" w:cs="Arial"/>
          <w:color w:val="000000"/>
          <w:sz w:val="24"/>
          <w:szCs w:val="24"/>
          <w:shd w:val="clear" w:color="auto" w:fill="FFFFFF"/>
        </w:rPr>
        <w:t>Irish Jurist. (1949). ACQUISITION OF A RIGHT TO LIGHT: Does the Prescription Act, 1832, Oust the Doctrine of Lost Modern Grant?. </w:t>
      </w:r>
      <w:r w:rsidRPr="004C3946">
        <w:rPr>
          <w:rFonts w:ascii="Arial" w:hAnsi="Arial" w:cs="Arial"/>
          <w:i/>
          <w:iCs/>
          <w:color w:val="000000"/>
          <w:sz w:val="24"/>
          <w:szCs w:val="24"/>
        </w:rPr>
        <w:t>Irish Jurist</w:t>
      </w:r>
      <w:r w:rsidRPr="004C3946">
        <w:rPr>
          <w:rFonts w:ascii="Arial" w:hAnsi="Arial" w:cs="Arial"/>
          <w:color w:val="000000"/>
          <w:sz w:val="24"/>
          <w:szCs w:val="24"/>
          <w:shd w:val="clear" w:color="auto" w:fill="FFFFFF"/>
        </w:rPr>
        <w:t xml:space="preserve">. 15(2), pp.15-19. [Online]. Available at: </w:t>
      </w:r>
      <w:hyperlink r:id="rId11" w:history="1">
        <w:r w:rsidRPr="00764224">
          <w:rPr>
            <w:rStyle w:val="Hyperlink"/>
            <w:rFonts w:ascii="Arial" w:hAnsi="Arial" w:cs="Arial"/>
            <w:sz w:val="24"/>
            <w:szCs w:val="24"/>
            <w:shd w:val="clear" w:color="auto" w:fill="FFFFFF"/>
          </w:rPr>
          <w:t>http://www.jstor.org/stable/44506353</w:t>
        </w:r>
      </w:hyperlink>
      <w:r>
        <w:rPr>
          <w:rFonts w:ascii="Arial" w:hAnsi="Arial" w:cs="Arial"/>
          <w:color w:val="000000"/>
          <w:sz w:val="24"/>
          <w:szCs w:val="24"/>
          <w:shd w:val="clear" w:color="auto" w:fill="FFFFFF"/>
        </w:rPr>
        <w:t xml:space="preserve"> </w:t>
      </w:r>
      <w:r w:rsidRPr="004C3946">
        <w:rPr>
          <w:rFonts w:ascii="Arial" w:hAnsi="Arial" w:cs="Arial"/>
          <w:color w:val="000000"/>
          <w:sz w:val="24"/>
          <w:szCs w:val="24"/>
          <w:shd w:val="clear" w:color="auto" w:fill="FFFFFF"/>
        </w:rPr>
        <w:t>[Accessed 8 November 2022].</w:t>
      </w:r>
    </w:p>
    <w:p w14:paraId="5DEA8438" w14:textId="77777777" w:rsidR="0032358E" w:rsidRPr="004C3946" w:rsidRDefault="0032358E" w:rsidP="000E3F48">
      <w:pPr>
        <w:rPr>
          <w:rFonts w:ascii="Arial" w:hAnsi="Arial" w:cs="Arial"/>
          <w:sz w:val="24"/>
          <w:szCs w:val="24"/>
        </w:rPr>
      </w:pPr>
    </w:p>
    <w:p w14:paraId="07CDC700" w14:textId="77777777" w:rsidR="000E3F48" w:rsidRPr="00FB6017" w:rsidRDefault="000E3F48" w:rsidP="000E3F48">
      <w:pPr>
        <w:rPr>
          <w:rFonts w:ascii="Arial" w:hAnsi="Arial" w:cs="Arial"/>
          <w:sz w:val="24"/>
          <w:szCs w:val="24"/>
        </w:rPr>
      </w:pPr>
      <w:r w:rsidRPr="00FB6017">
        <w:rPr>
          <w:rFonts w:ascii="Arial" w:hAnsi="Arial" w:cs="Arial"/>
          <w:color w:val="000000"/>
          <w:sz w:val="24"/>
          <w:szCs w:val="24"/>
          <w:shd w:val="clear" w:color="auto" w:fill="FFFFFF"/>
        </w:rPr>
        <w:t>Lower, M. (2019). </w:t>
      </w:r>
      <w:r w:rsidRPr="00FB6017">
        <w:rPr>
          <w:rFonts w:ascii="Arial" w:hAnsi="Arial" w:cs="Arial"/>
          <w:i/>
          <w:iCs/>
          <w:color w:val="000000"/>
          <w:sz w:val="24"/>
          <w:szCs w:val="24"/>
        </w:rPr>
        <w:t>Regency Villas: the validity of a recreational easement</w:t>
      </w:r>
      <w:r w:rsidRPr="00FB6017">
        <w:rPr>
          <w:rFonts w:ascii="Arial" w:hAnsi="Arial" w:cs="Arial"/>
          <w:color w:val="000000"/>
          <w:sz w:val="24"/>
          <w:szCs w:val="24"/>
          <w:shd w:val="clear" w:color="auto" w:fill="FFFFFF"/>
        </w:rPr>
        <w:t xml:space="preserve">. [Online]. Hong Kong Land and Law. Last Updated: 22 February 2019. Available at: </w:t>
      </w:r>
      <w:hyperlink r:id="rId12" w:history="1">
        <w:r w:rsidRPr="00764224">
          <w:rPr>
            <w:rStyle w:val="Hyperlink"/>
            <w:rFonts w:ascii="Arial" w:hAnsi="Arial" w:cs="Arial"/>
            <w:sz w:val="24"/>
            <w:szCs w:val="24"/>
            <w:shd w:val="clear" w:color="auto" w:fill="FFFFFF"/>
          </w:rPr>
          <w:t>https://hklandlaw.wordpress.com/tag/capable-of-forming-the-subject-matter-of-a-grant/</w:t>
        </w:r>
      </w:hyperlink>
      <w:r>
        <w:rPr>
          <w:rFonts w:ascii="Arial" w:hAnsi="Arial" w:cs="Arial"/>
          <w:color w:val="000000"/>
          <w:sz w:val="24"/>
          <w:szCs w:val="24"/>
          <w:shd w:val="clear" w:color="auto" w:fill="FFFFFF"/>
        </w:rPr>
        <w:t xml:space="preserve"> </w:t>
      </w:r>
      <w:r w:rsidRPr="00FB6017">
        <w:rPr>
          <w:rFonts w:ascii="Arial" w:hAnsi="Arial" w:cs="Arial"/>
          <w:color w:val="000000"/>
          <w:sz w:val="24"/>
          <w:szCs w:val="24"/>
          <w:shd w:val="clear" w:color="auto" w:fill="FFFFFF"/>
        </w:rPr>
        <w:t>[Accessed 8 November 2022].</w:t>
      </w:r>
    </w:p>
    <w:p w14:paraId="7C580032" w14:textId="77777777" w:rsidR="000E3F48" w:rsidRDefault="000E3F48" w:rsidP="000E3F48">
      <w:pPr>
        <w:rPr>
          <w:rFonts w:ascii="Arial" w:hAnsi="Arial" w:cs="Arial"/>
          <w:sz w:val="24"/>
          <w:szCs w:val="24"/>
          <w:shd w:val="clear" w:color="auto" w:fill="FFFFFF"/>
        </w:rPr>
      </w:pPr>
    </w:p>
    <w:p w14:paraId="570C7D04" w14:textId="77777777" w:rsidR="000E3F48" w:rsidRDefault="000E3F48" w:rsidP="000E3F48">
      <w:pPr>
        <w:rPr>
          <w:rFonts w:ascii="Arial" w:hAnsi="Arial" w:cs="Arial"/>
          <w:sz w:val="24"/>
          <w:szCs w:val="24"/>
          <w:u w:val="single"/>
        </w:rPr>
      </w:pPr>
      <w:r>
        <w:rPr>
          <w:rFonts w:ascii="Arial" w:hAnsi="Arial" w:cs="Arial"/>
          <w:sz w:val="24"/>
          <w:szCs w:val="24"/>
          <w:u w:val="single"/>
        </w:rPr>
        <w:t>Case List</w:t>
      </w:r>
    </w:p>
    <w:p w14:paraId="1524F03A" w14:textId="77777777" w:rsidR="000E3F48" w:rsidRPr="00352623" w:rsidRDefault="000E3F48" w:rsidP="000E3F48">
      <w:pPr>
        <w:pStyle w:val="cpe2"/>
        <w:jc w:val="both"/>
        <w:rPr>
          <w:rFonts w:ascii="Arial" w:hAnsi="Arial" w:cs="Arial"/>
          <w:b w:val="0"/>
          <w:bCs/>
          <w:sz w:val="24"/>
          <w:szCs w:val="24"/>
        </w:rPr>
      </w:pPr>
      <w:r w:rsidRPr="00352623">
        <w:rPr>
          <w:rFonts w:ascii="Arial" w:hAnsi="Arial" w:cs="Arial"/>
          <w:b w:val="0"/>
          <w:bCs/>
          <w:sz w:val="24"/>
          <w:szCs w:val="24"/>
        </w:rPr>
        <w:t>Bakewell Management v Brandwood (2004)</w:t>
      </w:r>
    </w:p>
    <w:p w14:paraId="45209884" w14:textId="77777777" w:rsidR="000E3F48" w:rsidRPr="00352623" w:rsidRDefault="000E3F48" w:rsidP="000E3F48">
      <w:pPr>
        <w:pStyle w:val="cpe2"/>
        <w:jc w:val="both"/>
        <w:rPr>
          <w:rFonts w:ascii="Arial" w:hAnsi="Arial" w:cs="Arial"/>
          <w:b w:val="0"/>
          <w:bCs/>
          <w:sz w:val="24"/>
          <w:szCs w:val="24"/>
        </w:rPr>
      </w:pPr>
      <w:r w:rsidRPr="00352623">
        <w:rPr>
          <w:rFonts w:ascii="Arial" w:hAnsi="Arial" w:cs="Arial"/>
          <w:b w:val="0"/>
          <w:bCs/>
          <w:sz w:val="24"/>
          <w:szCs w:val="24"/>
        </w:rPr>
        <w:t>Liverpool Corp v Coghill (1918)</w:t>
      </w:r>
    </w:p>
    <w:p w14:paraId="0E87E9AE" w14:textId="77777777" w:rsidR="000E3F48" w:rsidRDefault="000E3F48" w:rsidP="000E3F48">
      <w:pPr>
        <w:pStyle w:val="cpe2"/>
        <w:jc w:val="both"/>
        <w:rPr>
          <w:rFonts w:ascii="Arial" w:hAnsi="Arial" w:cs="Arial"/>
          <w:b w:val="0"/>
          <w:bCs/>
          <w:sz w:val="24"/>
          <w:szCs w:val="24"/>
        </w:rPr>
      </w:pPr>
      <w:r w:rsidRPr="00352623">
        <w:rPr>
          <w:rFonts w:ascii="Arial" w:hAnsi="Arial" w:cs="Arial"/>
          <w:b w:val="0"/>
          <w:bCs/>
          <w:sz w:val="24"/>
          <w:szCs w:val="24"/>
        </w:rPr>
        <w:t>Gardner v Hodgson’s Kingston Brewery (1903)</w:t>
      </w:r>
    </w:p>
    <w:p w14:paraId="0F1C7701" w14:textId="77777777" w:rsidR="000E3F48" w:rsidRPr="006B5350" w:rsidRDefault="000E3F48" w:rsidP="000E3F48">
      <w:pPr>
        <w:pStyle w:val="cpe2"/>
        <w:jc w:val="both"/>
        <w:rPr>
          <w:rFonts w:ascii="Arial" w:hAnsi="Arial" w:cs="Arial"/>
          <w:b w:val="0"/>
          <w:bCs/>
          <w:sz w:val="24"/>
          <w:szCs w:val="24"/>
        </w:rPr>
      </w:pPr>
      <w:r w:rsidRPr="006B5350">
        <w:rPr>
          <w:rFonts w:ascii="Arial" w:hAnsi="Arial" w:cs="Arial"/>
          <w:b w:val="0"/>
          <w:bCs/>
          <w:sz w:val="24"/>
          <w:szCs w:val="24"/>
          <w:shd w:val="clear" w:color="auto" w:fill="FFFFFF"/>
        </w:rPr>
        <w:t>Hanning v Top Deck Travel Group Ltd. (1993</w:t>
      </w:r>
      <w:r>
        <w:rPr>
          <w:rFonts w:ascii="Arial" w:hAnsi="Arial" w:cs="Arial"/>
          <w:b w:val="0"/>
          <w:bCs/>
          <w:sz w:val="24"/>
          <w:szCs w:val="24"/>
          <w:shd w:val="clear" w:color="auto" w:fill="FFFFFF"/>
        </w:rPr>
        <w:t>)</w:t>
      </w:r>
    </w:p>
    <w:p w14:paraId="520E1D15" w14:textId="77777777" w:rsidR="000E3F48" w:rsidRPr="00352623" w:rsidRDefault="000E3F48" w:rsidP="000E3F48">
      <w:pPr>
        <w:pStyle w:val="cpe2"/>
        <w:jc w:val="both"/>
        <w:rPr>
          <w:rFonts w:ascii="Arial" w:hAnsi="Arial" w:cs="Arial"/>
          <w:b w:val="0"/>
          <w:bCs/>
          <w:sz w:val="24"/>
          <w:szCs w:val="24"/>
        </w:rPr>
      </w:pPr>
      <w:r w:rsidRPr="00352623">
        <w:rPr>
          <w:rFonts w:ascii="Arial" w:hAnsi="Arial" w:cs="Arial"/>
          <w:b w:val="0"/>
          <w:bCs/>
          <w:sz w:val="24"/>
          <w:szCs w:val="24"/>
        </w:rPr>
        <w:t>Duke of Norfolk v Arbuthnot (1880)</w:t>
      </w:r>
    </w:p>
    <w:p w14:paraId="027E7F8E" w14:textId="77777777" w:rsidR="000E3F48" w:rsidRDefault="000E3F48" w:rsidP="000E3F48">
      <w:pPr>
        <w:pStyle w:val="cpe2"/>
        <w:jc w:val="both"/>
        <w:rPr>
          <w:rFonts w:ascii="Arial" w:hAnsi="Arial" w:cs="Arial"/>
          <w:b w:val="0"/>
          <w:bCs/>
          <w:sz w:val="24"/>
          <w:szCs w:val="24"/>
        </w:rPr>
      </w:pPr>
      <w:r w:rsidRPr="00352623">
        <w:rPr>
          <w:rFonts w:ascii="Arial" w:hAnsi="Arial" w:cs="Arial"/>
          <w:b w:val="0"/>
          <w:bCs/>
          <w:sz w:val="24"/>
          <w:szCs w:val="24"/>
        </w:rPr>
        <w:t>Orme v Lyons (2012)</w:t>
      </w:r>
    </w:p>
    <w:p w14:paraId="49F024A8" w14:textId="77777777" w:rsidR="000E3F48" w:rsidRDefault="000E3F48" w:rsidP="000E3F48">
      <w:pPr>
        <w:pStyle w:val="cpe2"/>
        <w:jc w:val="both"/>
        <w:rPr>
          <w:rFonts w:ascii="Arial" w:hAnsi="Arial" w:cs="Arial"/>
          <w:b w:val="0"/>
          <w:bCs/>
          <w:sz w:val="24"/>
          <w:szCs w:val="24"/>
        </w:rPr>
      </w:pPr>
      <w:r>
        <w:rPr>
          <w:rFonts w:ascii="Arial" w:hAnsi="Arial" w:cs="Arial"/>
          <w:b w:val="0"/>
          <w:bCs/>
          <w:sz w:val="24"/>
          <w:szCs w:val="24"/>
        </w:rPr>
        <w:t>Moncrieff v Jamieson (2007)</w:t>
      </w:r>
    </w:p>
    <w:p w14:paraId="1CBB121C" w14:textId="77777777" w:rsidR="000E3F48" w:rsidRPr="001F07C9" w:rsidRDefault="000E3F48" w:rsidP="000E3F48">
      <w:pPr>
        <w:pStyle w:val="cpe2"/>
        <w:jc w:val="both"/>
        <w:rPr>
          <w:rFonts w:ascii="Arial" w:hAnsi="Arial" w:cs="Arial"/>
          <w:b w:val="0"/>
          <w:bCs/>
          <w:i/>
          <w:iCs/>
          <w:sz w:val="24"/>
          <w:szCs w:val="24"/>
        </w:rPr>
      </w:pPr>
      <w:r w:rsidRPr="001F07C9">
        <w:rPr>
          <w:rStyle w:val="Emphasis"/>
          <w:rFonts w:ascii="Arial" w:hAnsi="Arial" w:cs="Arial"/>
          <w:b w:val="0"/>
          <w:bCs/>
          <w:i w:val="0"/>
          <w:iCs w:val="0"/>
          <w:sz w:val="24"/>
          <w:szCs w:val="24"/>
        </w:rPr>
        <w:t>Regency Villas Title Ltd v Diamond Resorts (Europe) Ltd</w:t>
      </w:r>
      <w:r w:rsidRPr="001F07C9">
        <w:rPr>
          <w:rFonts w:ascii="Arial" w:hAnsi="Arial" w:cs="Arial"/>
          <w:b w:val="0"/>
          <w:bCs/>
          <w:i/>
          <w:iCs/>
          <w:sz w:val="24"/>
          <w:szCs w:val="24"/>
        </w:rPr>
        <w:t> (2018)</w:t>
      </w:r>
    </w:p>
    <w:p w14:paraId="4FB274D1" w14:textId="77777777" w:rsidR="000E3F48" w:rsidRDefault="000E3F48" w:rsidP="000E3F48">
      <w:pPr>
        <w:pStyle w:val="cpe2"/>
        <w:jc w:val="both"/>
        <w:rPr>
          <w:rFonts w:ascii="Arial" w:hAnsi="Arial" w:cs="Arial"/>
          <w:b w:val="0"/>
          <w:bCs/>
          <w:sz w:val="24"/>
          <w:szCs w:val="24"/>
        </w:rPr>
      </w:pPr>
    </w:p>
    <w:p w14:paraId="0C385C0E" w14:textId="77777777" w:rsidR="000E3F48" w:rsidRDefault="000E3F48" w:rsidP="000E3F48">
      <w:pPr>
        <w:pStyle w:val="cpe2"/>
        <w:jc w:val="both"/>
        <w:rPr>
          <w:rFonts w:ascii="Arial" w:hAnsi="Arial" w:cs="Arial"/>
          <w:b w:val="0"/>
          <w:bCs/>
          <w:sz w:val="24"/>
          <w:szCs w:val="24"/>
          <w:u w:val="single"/>
        </w:rPr>
      </w:pPr>
      <w:r>
        <w:rPr>
          <w:rFonts w:ascii="Arial" w:hAnsi="Arial" w:cs="Arial"/>
          <w:b w:val="0"/>
          <w:bCs/>
          <w:sz w:val="24"/>
          <w:szCs w:val="24"/>
          <w:u w:val="single"/>
        </w:rPr>
        <w:t>Statutes</w:t>
      </w:r>
    </w:p>
    <w:p w14:paraId="69304EAA" w14:textId="77777777" w:rsidR="000E3F48" w:rsidRDefault="000E3F48" w:rsidP="000E3F48">
      <w:pPr>
        <w:pStyle w:val="cpe2"/>
        <w:jc w:val="both"/>
        <w:rPr>
          <w:rFonts w:ascii="Arial" w:hAnsi="Arial" w:cs="Arial"/>
          <w:b w:val="0"/>
          <w:bCs/>
          <w:sz w:val="24"/>
          <w:szCs w:val="24"/>
        </w:rPr>
      </w:pPr>
      <w:r>
        <w:rPr>
          <w:rFonts w:ascii="Arial" w:hAnsi="Arial" w:cs="Arial"/>
          <w:b w:val="0"/>
          <w:bCs/>
          <w:sz w:val="24"/>
          <w:szCs w:val="24"/>
        </w:rPr>
        <w:t>Law of Property Act 1925</w:t>
      </w:r>
    </w:p>
    <w:p w14:paraId="7D46B7D4" w14:textId="77777777" w:rsidR="000E3F48" w:rsidRDefault="000E3F48" w:rsidP="000E3F48">
      <w:pPr>
        <w:pStyle w:val="cpe2"/>
        <w:jc w:val="both"/>
        <w:rPr>
          <w:rFonts w:ascii="Arial" w:hAnsi="Arial" w:cs="Arial"/>
          <w:b w:val="0"/>
          <w:bCs/>
          <w:sz w:val="24"/>
          <w:szCs w:val="24"/>
        </w:rPr>
      </w:pPr>
      <w:r w:rsidRPr="00827E78">
        <w:rPr>
          <w:rFonts w:ascii="Arial" w:hAnsi="Arial" w:cs="Arial"/>
          <w:b w:val="0"/>
          <w:bCs/>
          <w:sz w:val="24"/>
          <w:szCs w:val="24"/>
        </w:rPr>
        <w:t>Land and Conveyancing Law Reform Act (2021)</w:t>
      </w:r>
    </w:p>
    <w:p w14:paraId="1D074BAF" w14:textId="77777777" w:rsidR="000E3F48" w:rsidRPr="00827E78" w:rsidRDefault="000E3F48" w:rsidP="000E3F48">
      <w:pPr>
        <w:pStyle w:val="cpe2"/>
        <w:jc w:val="both"/>
        <w:rPr>
          <w:rFonts w:ascii="Arial" w:hAnsi="Arial" w:cs="Arial"/>
          <w:b w:val="0"/>
          <w:bCs/>
          <w:sz w:val="24"/>
          <w:szCs w:val="24"/>
        </w:rPr>
      </w:pPr>
      <w:r w:rsidRPr="00827E78">
        <w:rPr>
          <w:rFonts w:ascii="Arial" w:hAnsi="Arial" w:cs="Arial"/>
          <w:b w:val="0"/>
          <w:bCs/>
          <w:sz w:val="24"/>
          <w:szCs w:val="24"/>
        </w:rPr>
        <w:t>Land and Conveyancing Law Reform Act (</w:t>
      </w:r>
      <w:r>
        <w:rPr>
          <w:rFonts w:ascii="Arial" w:hAnsi="Arial" w:cs="Arial"/>
          <w:b w:val="0"/>
          <w:bCs/>
          <w:sz w:val="24"/>
          <w:szCs w:val="24"/>
        </w:rPr>
        <w:t>2009</w:t>
      </w:r>
      <w:r w:rsidRPr="00827E78">
        <w:rPr>
          <w:rFonts w:ascii="Arial" w:hAnsi="Arial" w:cs="Arial"/>
          <w:b w:val="0"/>
          <w:bCs/>
          <w:sz w:val="24"/>
          <w:szCs w:val="24"/>
        </w:rPr>
        <w:t>)</w:t>
      </w:r>
    </w:p>
    <w:p w14:paraId="3BEF423B" w14:textId="77777777" w:rsidR="000E3F48" w:rsidRDefault="000E3F48" w:rsidP="000E3F48">
      <w:pPr>
        <w:pStyle w:val="cpe2"/>
        <w:jc w:val="both"/>
        <w:rPr>
          <w:rFonts w:ascii="Arial" w:hAnsi="Arial" w:cs="Arial"/>
          <w:b w:val="0"/>
          <w:bCs/>
          <w:sz w:val="24"/>
          <w:szCs w:val="24"/>
        </w:rPr>
      </w:pPr>
      <w:r>
        <w:rPr>
          <w:rFonts w:ascii="Arial" w:hAnsi="Arial" w:cs="Arial"/>
          <w:b w:val="0"/>
          <w:bCs/>
          <w:sz w:val="24"/>
          <w:szCs w:val="24"/>
        </w:rPr>
        <w:t xml:space="preserve">Prescription Act 1832 </w:t>
      </w:r>
    </w:p>
    <w:p w14:paraId="5DCB36CB" w14:textId="77777777" w:rsidR="00980C8C" w:rsidRDefault="00980C8C">
      <w:pPr>
        <w:rPr>
          <w:rFonts w:ascii="Arial" w:hAnsi="Arial" w:cs="Arial"/>
          <w:sz w:val="24"/>
          <w:szCs w:val="24"/>
          <w:shd w:val="clear" w:color="auto" w:fill="FEFDFF"/>
        </w:rPr>
      </w:pPr>
    </w:p>
    <w:p w14:paraId="5962CC09" w14:textId="77777777" w:rsidR="00836713" w:rsidRPr="006A27A2" w:rsidRDefault="00836713">
      <w:pPr>
        <w:rPr>
          <w:rFonts w:ascii="Arial" w:hAnsi="Arial" w:cs="Arial"/>
          <w:sz w:val="24"/>
          <w:szCs w:val="24"/>
        </w:rPr>
      </w:pPr>
    </w:p>
    <w:sectPr w:rsidR="00836713" w:rsidRPr="006A27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DB2"/>
    <w:rsid w:val="00021D21"/>
    <w:rsid w:val="00022C78"/>
    <w:rsid w:val="00034C46"/>
    <w:rsid w:val="0005766C"/>
    <w:rsid w:val="000957E5"/>
    <w:rsid w:val="00096DF2"/>
    <w:rsid w:val="000C7567"/>
    <w:rsid w:val="000D220F"/>
    <w:rsid w:val="000D2650"/>
    <w:rsid w:val="000D47E7"/>
    <w:rsid w:val="000E3F48"/>
    <w:rsid w:val="0011104E"/>
    <w:rsid w:val="001141E7"/>
    <w:rsid w:val="0012031A"/>
    <w:rsid w:val="00122DB2"/>
    <w:rsid w:val="001450F3"/>
    <w:rsid w:val="001B6A36"/>
    <w:rsid w:val="001D2D14"/>
    <w:rsid w:val="001F07C9"/>
    <w:rsid w:val="001F5622"/>
    <w:rsid w:val="001F5B4E"/>
    <w:rsid w:val="002020E6"/>
    <w:rsid w:val="00237494"/>
    <w:rsid w:val="00241D0B"/>
    <w:rsid w:val="00272D32"/>
    <w:rsid w:val="00274509"/>
    <w:rsid w:val="00274EC7"/>
    <w:rsid w:val="00286F19"/>
    <w:rsid w:val="002A50CD"/>
    <w:rsid w:val="002B3EE1"/>
    <w:rsid w:val="002B512B"/>
    <w:rsid w:val="002D28DE"/>
    <w:rsid w:val="002D3517"/>
    <w:rsid w:val="002D4233"/>
    <w:rsid w:val="002D7B70"/>
    <w:rsid w:val="003163BD"/>
    <w:rsid w:val="0032358E"/>
    <w:rsid w:val="0033099A"/>
    <w:rsid w:val="00350DB3"/>
    <w:rsid w:val="00354A0C"/>
    <w:rsid w:val="003718D3"/>
    <w:rsid w:val="00377F46"/>
    <w:rsid w:val="0039060D"/>
    <w:rsid w:val="003C7310"/>
    <w:rsid w:val="003E78C8"/>
    <w:rsid w:val="003F54D6"/>
    <w:rsid w:val="004248B4"/>
    <w:rsid w:val="00430615"/>
    <w:rsid w:val="00431331"/>
    <w:rsid w:val="00442052"/>
    <w:rsid w:val="00444E7D"/>
    <w:rsid w:val="00450051"/>
    <w:rsid w:val="00452600"/>
    <w:rsid w:val="004660A0"/>
    <w:rsid w:val="004772A8"/>
    <w:rsid w:val="004B1EA3"/>
    <w:rsid w:val="004B546C"/>
    <w:rsid w:val="00502E87"/>
    <w:rsid w:val="0050610D"/>
    <w:rsid w:val="00510848"/>
    <w:rsid w:val="005112C6"/>
    <w:rsid w:val="00513B56"/>
    <w:rsid w:val="0052201E"/>
    <w:rsid w:val="0053450F"/>
    <w:rsid w:val="0054581A"/>
    <w:rsid w:val="00556658"/>
    <w:rsid w:val="00572317"/>
    <w:rsid w:val="00573603"/>
    <w:rsid w:val="0058133C"/>
    <w:rsid w:val="00586D7D"/>
    <w:rsid w:val="00597038"/>
    <w:rsid w:val="005E6E41"/>
    <w:rsid w:val="00603429"/>
    <w:rsid w:val="00603D86"/>
    <w:rsid w:val="00610BC2"/>
    <w:rsid w:val="00646460"/>
    <w:rsid w:val="006500A7"/>
    <w:rsid w:val="00655557"/>
    <w:rsid w:val="00670C5A"/>
    <w:rsid w:val="00673ED6"/>
    <w:rsid w:val="006766E6"/>
    <w:rsid w:val="00681E64"/>
    <w:rsid w:val="006A27A2"/>
    <w:rsid w:val="006A2F49"/>
    <w:rsid w:val="006B1170"/>
    <w:rsid w:val="006E63F5"/>
    <w:rsid w:val="00700F78"/>
    <w:rsid w:val="00717CC9"/>
    <w:rsid w:val="00727DCF"/>
    <w:rsid w:val="00744E32"/>
    <w:rsid w:val="00745CF0"/>
    <w:rsid w:val="00767056"/>
    <w:rsid w:val="0078085B"/>
    <w:rsid w:val="007C011C"/>
    <w:rsid w:val="007D0913"/>
    <w:rsid w:val="007D1171"/>
    <w:rsid w:val="007D162A"/>
    <w:rsid w:val="007D1749"/>
    <w:rsid w:val="007E4DAF"/>
    <w:rsid w:val="007F11E3"/>
    <w:rsid w:val="007F6B55"/>
    <w:rsid w:val="00805BA9"/>
    <w:rsid w:val="0081636F"/>
    <w:rsid w:val="00836713"/>
    <w:rsid w:val="008576F1"/>
    <w:rsid w:val="00866CB8"/>
    <w:rsid w:val="00876353"/>
    <w:rsid w:val="00886C26"/>
    <w:rsid w:val="008A1839"/>
    <w:rsid w:val="008B2CE2"/>
    <w:rsid w:val="008B7004"/>
    <w:rsid w:val="008B71AE"/>
    <w:rsid w:val="008B7515"/>
    <w:rsid w:val="008E27B8"/>
    <w:rsid w:val="008E3C9A"/>
    <w:rsid w:val="00901196"/>
    <w:rsid w:val="00902976"/>
    <w:rsid w:val="009415CA"/>
    <w:rsid w:val="00980C8C"/>
    <w:rsid w:val="009B7C9D"/>
    <w:rsid w:val="009C02F7"/>
    <w:rsid w:val="009C3789"/>
    <w:rsid w:val="009C4A24"/>
    <w:rsid w:val="009D36CE"/>
    <w:rsid w:val="009D49D7"/>
    <w:rsid w:val="009E00AC"/>
    <w:rsid w:val="009E2E2C"/>
    <w:rsid w:val="009F054B"/>
    <w:rsid w:val="009F6AEC"/>
    <w:rsid w:val="00A17307"/>
    <w:rsid w:val="00A21FD2"/>
    <w:rsid w:val="00A25F0B"/>
    <w:rsid w:val="00A30D08"/>
    <w:rsid w:val="00A30ECE"/>
    <w:rsid w:val="00A3290A"/>
    <w:rsid w:val="00A34971"/>
    <w:rsid w:val="00A41068"/>
    <w:rsid w:val="00A50B2D"/>
    <w:rsid w:val="00A96D26"/>
    <w:rsid w:val="00AF7053"/>
    <w:rsid w:val="00B03B4F"/>
    <w:rsid w:val="00B1773D"/>
    <w:rsid w:val="00B23CA8"/>
    <w:rsid w:val="00B346CE"/>
    <w:rsid w:val="00B40E76"/>
    <w:rsid w:val="00B41151"/>
    <w:rsid w:val="00B52207"/>
    <w:rsid w:val="00B64D4B"/>
    <w:rsid w:val="00B67F4B"/>
    <w:rsid w:val="00B702F0"/>
    <w:rsid w:val="00B80DA8"/>
    <w:rsid w:val="00B82614"/>
    <w:rsid w:val="00B91181"/>
    <w:rsid w:val="00BB68AE"/>
    <w:rsid w:val="00BC17B2"/>
    <w:rsid w:val="00BC7227"/>
    <w:rsid w:val="00BD5686"/>
    <w:rsid w:val="00BE2630"/>
    <w:rsid w:val="00BF2D2B"/>
    <w:rsid w:val="00BF65C2"/>
    <w:rsid w:val="00C078F5"/>
    <w:rsid w:val="00C07914"/>
    <w:rsid w:val="00C1339B"/>
    <w:rsid w:val="00C147FD"/>
    <w:rsid w:val="00C17095"/>
    <w:rsid w:val="00C52113"/>
    <w:rsid w:val="00C57E15"/>
    <w:rsid w:val="00C65B09"/>
    <w:rsid w:val="00C74AD6"/>
    <w:rsid w:val="00CC12D2"/>
    <w:rsid w:val="00CC43B1"/>
    <w:rsid w:val="00CE5AC1"/>
    <w:rsid w:val="00CF76F0"/>
    <w:rsid w:val="00D12DB7"/>
    <w:rsid w:val="00D158F9"/>
    <w:rsid w:val="00D16A2C"/>
    <w:rsid w:val="00D353A3"/>
    <w:rsid w:val="00D475C7"/>
    <w:rsid w:val="00D62BFE"/>
    <w:rsid w:val="00D6349B"/>
    <w:rsid w:val="00D94949"/>
    <w:rsid w:val="00DA6977"/>
    <w:rsid w:val="00DA7914"/>
    <w:rsid w:val="00DB48E4"/>
    <w:rsid w:val="00DC4048"/>
    <w:rsid w:val="00DC651C"/>
    <w:rsid w:val="00DD021B"/>
    <w:rsid w:val="00DD50CD"/>
    <w:rsid w:val="00DE10FD"/>
    <w:rsid w:val="00DE7538"/>
    <w:rsid w:val="00E00D8F"/>
    <w:rsid w:val="00E43AD7"/>
    <w:rsid w:val="00E52836"/>
    <w:rsid w:val="00E6765C"/>
    <w:rsid w:val="00E94E9E"/>
    <w:rsid w:val="00EA0A68"/>
    <w:rsid w:val="00EA1A39"/>
    <w:rsid w:val="00EB3070"/>
    <w:rsid w:val="00EB779C"/>
    <w:rsid w:val="00EC0A95"/>
    <w:rsid w:val="00EC6305"/>
    <w:rsid w:val="00ED19C9"/>
    <w:rsid w:val="00F27EC0"/>
    <w:rsid w:val="00F46857"/>
    <w:rsid w:val="00F54B74"/>
    <w:rsid w:val="00FA3AE9"/>
    <w:rsid w:val="00FB5642"/>
    <w:rsid w:val="00FC6DEE"/>
    <w:rsid w:val="00FF5392"/>
    <w:rsid w:val="00FF5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755CB"/>
  <w15:chartTrackingRefBased/>
  <w15:docId w15:val="{D5562A27-A8A7-46FD-8946-9F809EA5D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7B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A27A2"/>
    <w:rPr>
      <w:i/>
      <w:iCs/>
    </w:rPr>
  </w:style>
  <w:style w:type="character" w:styleId="Hyperlink">
    <w:name w:val="Hyperlink"/>
    <w:basedOn w:val="DefaultParagraphFont"/>
    <w:uiPriority w:val="99"/>
    <w:semiHidden/>
    <w:unhideWhenUsed/>
    <w:rsid w:val="00EA0A68"/>
    <w:rPr>
      <w:color w:val="0000FF"/>
      <w:u w:val="single"/>
    </w:rPr>
  </w:style>
  <w:style w:type="paragraph" w:customStyle="1" w:styleId="cpe2">
    <w:name w:val="cpe2"/>
    <w:basedOn w:val="Normal"/>
    <w:rsid w:val="000E3F4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723719">
      <w:bodyDiv w:val="1"/>
      <w:marLeft w:val="0"/>
      <w:marRight w:val="0"/>
      <w:marTop w:val="0"/>
      <w:marBottom w:val="0"/>
      <w:divBdr>
        <w:top w:val="none" w:sz="0" w:space="0" w:color="auto"/>
        <w:left w:val="none" w:sz="0" w:space="0" w:color="auto"/>
        <w:bottom w:val="none" w:sz="0" w:space="0" w:color="auto"/>
        <w:right w:val="none" w:sz="0" w:space="0" w:color="auto"/>
      </w:divBdr>
    </w:div>
    <w:div w:id="1388148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hurcox.com/knowledge/clarification-of-the-law-on-prescriptive-easements-and-profits-a"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arissmith.co.uk/blog/easement-the-basics-explained/" TargetMode="External"/><Relationship Id="rId12" Type="http://schemas.openxmlformats.org/officeDocument/2006/relationships/hyperlink" Target="https://hklandlaw.wordpress.com/tag/capable-of-forming-the-subject-matter-of-a-gra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docview/2466061472/fulltext/AC31ACFEA6D34B5CPQ/1?accountid=130472" TargetMode="External"/><Relationship Id="rId11" Type="http://schemas.openxmlformats.org/officeDocument/2006/relationships/hyperlink" Target="http://www.jstor.org/stable/44506353" TargetMode="External"/><Relationship Id="rId5" Type="http://schemas.openxmlformats.org/officeDocument/2006/relationships/hyperlink" Target="https://www.lawcom.gov.uk/project/easements-covenants-and-profits-a-prendre/" TargetMode="External"/><Relationship Id="rId10" Type="http://schemas.openxmlformats.org/officeDocument/2006/relationships/hyperlink" Target="https://www.lawjournals.co.uk/2013/05/02/property-law-journal/easements-by-prescription-just-what-th" TargetMode="External"/><Relationship Id="rId4" Type="http://schemas.openxmlformats.org/officeDocument/2006/relationships/hyperlink" Target="https://www.lawsociety.ie/globalassets/documents/submissions/peter-bland-hopeless-jumble.pdf" TargetMode="External"/><Relationship Id="rId9" Type="http://schemas.openxmlformats.org/officeDocument/2006/relationships/hyperlink" Target="https://www.gov.uk/government/publications/easements-claimed-by-prescription/practice-guide-52-eas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TotalTime>
  <Pages>6</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Lovering</dc:creator>
  <cp:keywords/>
  <dc:description/>
  <cp:lastModifiedBy>George Lovering</cp:lastModifiedBy>
  <cp:revision>608</cp:revision>
  <dcterms:created xsi:type="dcterms:W3CDTF">2022-11-07T16:12:00Z</dcterms:created>
  <dcterms:modified xsi:type="dcterms:W3CDTF">2022-11-09T20:24:00Z</dcterms:modified>
</cp:coreProperties>
</file>