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EC7DE3" w14:textId="77777777" w:rsidR="00654024" w:rsidRDefault="00654024" w:rsidP="00654024">
      <w:pPr>
        <w:jc w:val="center"/>
        <w:rPr>
          <w:rFonts w:cs="Arial"/>
          <w:color w:val="auto"/>
          <w:szCs w:val="24"/>
        </w:rPr>
      </w:pPr>
      <w:r>
        <w:rPr>
          <w:rFonts w:cs="Arial"/>
          <w:noProof/>
          <w:szCs w:val="24"/>
          <w:lang w:val="en-US"/>
        </w:rPr>
        <w:drawing>
          <wp:inline distT="0" distB="0" distL="0" distR="0" wp14:anchorId="577655BE" wp14:editId="71C443E5">
            <wp:extent cx="2863850" cy="1587500"/>
            <wp:effectExtent l="0" t="0" r="0" b="0"/>
            <wp:docPr id="4915764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3850" cy="1587500"/>
                    </a:xfrm>
                    <a:prstGeom prst="rect">
                      <a:avLst/>
                    </a:prstGeom>
                    <a:noFill/>
                    <a:ln>
                      <a:noFill/>
                    </a:ln>
                  </pic:spPr>
                </pic:pic>
              </a:graphicData>
            </a:graphic>
          </wp:inline>
        </w:drawing>
      </w:r>
    </w:p>
    <w:p w14:paraId="3BA66055" w14:textId="77777777" w:rsidR="00654024" w:rsidRDefault="00654024" w:rsidP="00654024">
      <w:pPr>
        <w:rPr>
          <w:rFonts w:cs="Arial"/>
          <w:b/>
          <w:bCs/>
          <w:szCs w:val="24"/>
        </w:rPr>
      </w:pPr>
    </w:p>
    <w:p w14:paraId="78CA61E2" w14:textId="77777777" w:rsidR="00654024" w:rsidRPr="00654024" w:rsidRDefault="00654024" w:rsidP="00654024">
      <w:pPr>
        <w:jc w:val="center"/>
        <w:rPr>
          <w:rFonts w:cs="Arial"/>
          <w:b/>
          <w:bCs/>
          <w:sz w:val="30"/>
          <w:szCs w:val="30"/>
        </w:rPr>
      </w:pPr>
      <w:r w:rsidRPr="00654024">
        <w:rPr>
          <w:rFonts w:cs="Arial"/>
          <w:b/>
          <w:bCs/>
          <w:sz w:val="30"/>
          <w:szCs w:val="30"/>
        </w:rPr>
        <w:t>Report Case Study</w:t>
      </w:r>
    </w:p>
    <w:p w14:paraId="071A2679" w14:textId="77777777" w:rsidR="00654024" w:rsidRPr="00654024" w:rsidRDefault="00654024" w:rsidP="00654024">
      <w:pPr>
        <w:jc w:val="center"/>
        <w:rPr>
          <w:rFonts w:cs="Arial"/>
          <w:b/>
          <w:bCs/>
          <w:sz w:val="30"/>
          <w:szCs w:val="30"/>
        </w:rPr>
      </w:pPr>
      <w:r w:rsidRPr="00654024">
        <w:rPr>
          <w:rFonts w:cs="Arial"/>
          <w:b/>
          <w:bCs/>
          <w:sz w:val="30"/>
          <w:szCs w:val="30"/>
        </w:rPr>
        <w:t>“The City Hotel”</w:t>
      </w:r>
    </w:p>
    <w:p w14:paraId="11429DBE" w14:textId="77777777" w:rsidR="00654024" w:rsidRDefault="00654024" w:rsidP="00654024">
      <w:pPr>
        <w:jc w:val="center"/>
        <w:rPr>
          <w:rFonts w:cs="Arial"/>
          <w:b/>
          <w:bCs/>
          <w:szCs w:val="24"/>
        </w:rPr>
      </w:pPr>
    </w:p>
    <w:p w14:paraId="43AA34D3" w14:textId="77777777" w:rsidR="00654024" w:rsidRDefault="00654024" w:rsidP="00654024">
      <w:pPr>
        <w:jc w:val="center"/>
        <w:rPr>
          <w:rFonts w:cs="Arial"/>
          <w:b/>
          <w:bCs/>
          <w:szCs w:val="24"/>
        </w:rPr>
      </w:pPr>
    </w:p>
    <w:p w14:paraId="73B96255" w14:textId="77777777" w:rsidR="00654024" w:rsidRDefault="00654024" w:rsidP="00654024">
      <w:pPr>
        <w:jc w:val="center"/>
        <w:rPr>
          <w:rFonts w:cs="Arial"/>
          <w:b/>
          <w:bCs/>
          <w:szCs w:val="24"/>
        </w:rPr>
      </w:pPr>
    </w:p>
    <w:p w14:paraId="29FE555C" w14:textId="77777777" w:rsidR="00654024" w:rsidRDefault="00654024" w:rsidP="00654024">
      <w:pPr>
        <w:jc w:val="center"/>
        <w:rPr>
          <w:rFonts w:cs="Arial"/>
          <w:b/>
          <w:bCs/>
          <w:szCs w:val="24"/>
        </w:rPr>
      </w:pPr>
    </w:p>
    <w:p w14:paraId="1D1D7547" w14:textId="77777777" w:rsidR="00654024" w:rsidRDefault="00654024" w:rsidP="00654024">
      <w:pPr>
        <w:jc w:val="center"/>
        <w:rPr>
          <w:rFonts w:cs="Arial"/>
          <w:b/>
          <w:bCs/>
          <w:szCs w:val="24"/>
        </w:rPr>
      </w:pPr>
    </w:p>
    <w:p w14:paraId="0E28E9E1" w14:textId="77777777" w:rsidR="00654024" w:rsidRDefault="00654024" w:rsidP="00654024">
      <w:pPr>
        <w:jc w:val="center"/>
        <w:rPr>
          <w:rFonts w:cs="Arial"/>
          <w:b/>
          <w:bCs/>
          <w:szCs w:val="24"/>
        </w:rPr>
      </w:pPr>
    </w:p>
    <w:p w14:paraId="52A12259" w14:textId="76AB11FA" w:rsidR="00654024" w:rsidRPr="002649A8" w:rsidRDefault="00654024" w:rsidP="00654024">
      <w:pPr>
        <w:jc w:val="center"/>
        <w:rPr>
          <w:rFonts w:cs="Arial"/>
          <w:szCs w:val="24"/>
        </w:rPr>
      </w:pPr>
      <w:r>
        <w:rPr>
          <w:rFonts w:cs="Arial"/>
          <w:b/>
          <w:bCs/>
          <w:szCs w:val="24"/>
        </w:rPr>
        <w:t>Student Name:</w:t>
      </w:r>
      <w:r w:rsidR="002649A8">
        <w:rPr>
          <w:rFonts w:cs="Arial"/>
          <w:szCs w:val="24"/>
        </w:rPr>
        <w:t xml:space="preserve"> Mihai-Daniel Mihalcea</w:t>
      </w:r>
    </w:p>
    <w:p w14:paraId="0AAF805C" w14:textId="50DCDE9F" w:rsidR="00654024" w:rsidRPr="002649A8" w:rsidRDefault="00654024" w:rsidP="00654024">
      <w:pPr>
        <w:jc w:val="center"/>
        <w:rPr>
          <w:rFonts w:cs="Arial"/>
          <w:szCs w:val="24"/>
        </w:rPr>
      </w:pPr>
      <w:r>
        <w:rPr>
          <w:rFonts w:cs="Arial"/>
          <w:b/>
          <w:bCs/>
          <w:szCs w:val="24"/>
        </w:rPr>
        <w:t>Student ID:</w:t>
      </w:r>
      <w:r w:rsidR="002649A8">
        <w:rPr>
          <w:rFonts w:cs="Arial"/>
          <w:b/>
          <w:bCs/>
          <w:szCs w:val="24"/>
        </w:rPr>
        <w:t xml:space="preserve"> </w:t>
      </w:r>
      <w:r w:rsidR="002649A8">
        <w:rPr>
          <w:rFonts w:cs="Arial"/>
          <w:szCs w:val="24"/>
        </w:rPr>
        <w:t>2244870</w:t>
      </w:r>
    </w:p>
    <w:p w14:paraId="09DBFC9A" w14:textId="62B4B097" w:rsidR="00257E92" w:rsidRDefault="00654024" w:rsidP="00654024">
      <w:pPr>
        <w:jc w:val="center"/>
        <w:rPr>
          <w:rFonts w:cs="Arial"/>
          <w:szCs w:val="24"/>
        </w:rPr>
      </w:pPr>
      <w:r>
        <w:rPr>
          <w:rFonts w:cs="Arial"/>
          <w:b/>
          <w:bCs/>
          <w:szCs w:val="24"/>
        </w:rPr>
        <w:t xml:space="preserve">Module: </w:t>
      </w:r>
      <w:r>
        <w:rPr>
          <w:rFonts w:cs="Arial"/>
          <w:szCs w:val="24"/>
        </w:rPr>
        <w:t>Financial Management for the Hotel Industry (BMIH5007)</w:t>
      </w:r>
    </w:p>
    <w:p w14:paraId="204C32F7" w14:textId="62478104" w:rsidR="002649A8" w:rsidRDefault="002649A8" w:rsidP="00654024">
      <w:pPr>
        <w:jc w:val="center"/>
        <w:rPr>
          <w:rFonts w:cs="Arial"/>
          <w:szCs w:val="24"/>
        </w:rPr>
      </w:pPr>
      <w:r>
        <w:rPr>
          <w:rFonts w:cs="Arial"/>
          <w:b/>
          <w:bCs/>
          <w:szCs w:val="24"/>
        </w:rPr>
        <w:t xml:space="preserve">Module lead: </w:t>
      </w:r>
      <w:r>
        <w:rPr>
          <w:rFonts w:cs="Arial"/>
          <w:szCs w:val="24"/>
        </w:rPr>
        <w:t>Tristan Hawkins</w:t>
      </w:r>
    </w:p>
    <w:p w14:paraId="26A1030B" w14:textId="21EBBCB5" w:rsidR="002649A8" w:rsidRPr="008014F7" w:rsidRDefault="002649A8" w:rsidP="00654024">
      <w:pPr>
        <w:jc w:val="center"/>
        <w:rPr>
          <w:rFonts w:cs="Arial"/>
          <w:szCs w:val="24"/>
        </w:rPr>
      </w:pPr>
      <w:r>
        <w:rPr>
          <w:rFonts w:cs="Arial"/>
          <w:b/>
          <w:bCs/>
          <w:szCs w:val="24"/>
        </w:rPr>
        <w:t xml:space="preserve">Word count: </w:t>
      </w:r>
      <w:r w:rsidR="008014F7">
        <w:rPr>
          <w:rFonts w:cs="Arial"/>
          <w:szCs w:val="24"/>
        </w:rPr>
        <w:t>2159</w:t>
      </w:r>
    </w:p>
    <w:p w14:paraId="48E77FC0" w14:textId="77777777" w:rsidR="00257E92" w:rsidRDefault="00257E92">
      <w:pPr>
        <w:spacing w:after="160" w:line="259" w:lineRule="auto"/>
        <w:jc w:val="left"/>
        <w:rPr>
          <w:rFonts w:cs="Arial"/>
          <w:szCs w:val="24"/>
        </w:rPr>
      </w:pPr>
      <w:r>
        <w:rPr>
          <w:rFonts w:cs="Arial"/>
          <w:szCs w:val="24"/>
        </w:rPr>
        <w:br w:type="page"/>
      </w:r>
    </w:p>
    <w:p w14:paraId="61782B72" w14:textId="77777777" w:rsidR="002649A8" w:rsidRDefault="002649A8">
      <w:pPr>
        <w:spacing w:after="160" w:line="259" w:lineRule="auto"/>
        <w:jc w:val="left"/>
        <w:rPr>
          <w:rFonts w:cs="Arial"/>
          <w:szCs w:val="24"/>
        </w:rPr>
      </w:pPr>
    </w:p>
    <w:p w14:paraId="5A27A75B" w14:textId="77777777" w:rsidR="002649A8" w:rsidRPr="00EA00CF" w:rsidRDefault="002649A8" w:rsidP="002649A8">
      <w:pPr>
        <w:rPr>
          <w:b/>
          <w:bCs/>
          <w:color w:val="2F5496" w:themeColor="accent1" w:themeShade="BF"/>
          <w:sz w:val="32"/>
          <w:szCs w:val="30"/>
        </w:rPr>
      </w:pPr>
      <w:r w:rsidRPr="00EA00CF">
        <w:rPr>
          <w:b/>
          <w:bCs/>
          <w:color w:val="2F5496" w:themeColor="accent1" w:themeShade="BF"/>
          <w:sz w:val="32"/>
          <w:szCs w:val="30"/>
        </w:rPr>
        <w:t xml:space="preserve">AI Acknowledgement </w:t>
      </w:r>
    </w:p>
    <w:p w14:paraId="3E4C256D" w14:textId="77777777" w:rsidR="002649A8" w:rsidRPr="00D85C3B" w:rsidRDefault="002649A8" w:rsidP="002649A8">
      <w:r w:rsidRPr="00D85C3B">
        <w:t>I acknowledge the use of Grammarly (https://www.grammarly.com/) on 13 November 2024 to check my work using the following prompt:</w:t>
      </w:r>
    </w:p>
    <w:p w14:paraId="0A44987F" w14:textId="77777777" w:rsidR="002649A8" w:rsidRPr="00D85C3B" w:rsidRDefault="002649A8" w:rsidP="002649A8">
      <w:pPr>
        <w:numPr>
          <w:ilvl w:val="0"/>
          <w:numId w:val="1"/>
        </w:numPr>
      </w:pPr>
      <w:r w:rsidRPr="00D85C3B">
        <w:t>Please check the text for spelling corrections, clarity, and conciseness.</w:t>
      </w:r>
      <w:r w:rsidRPr="00D85C3B">
        <w:br/>
        <w:t>I confirm that I have not presented any AI-generated text as my own work. I also confirm that I have copies of my drafts, notes, and other resources I used before and after employing AI tools, which I may be asked to provide as evidence.</w:t>
      </w:r>
    </w:p>
    <w:p w14:paraId="08A951D3" w14:textId="77777777" w:rsidR="00654024" w:rsidRDefault="00654024" w:rsidP="00257E92">
      <w:pPr>
        <w:rPr>
          <w:rFonts w:cs="Arial"/>
          <w:b/>
          <w:bCs/>
          <w:szCs w:val="24"/>
        </w:rPr>
      </w:pPr>
    </w:p>
    <w:p w14:paraId="2D197DFE" w14:textId="77777777" w:rsidR="001F50D4" w:rsidRDefault="001F50D4">
      <w:pPr>
        <w:spacing w:after="160" w:line="259" w:lineRule="auto"/>
        <w:jc w:val="left"/>
        <w:rPr>
          <w:rFonts w:eastAsia="SimSun" w:cs="Times New Roman"/>
          <w:b/>
          <w:bCs/>
          <w:kern w:val="32"/>
          <w:sz w:val="32"/>
          <w:szCs w:val="32"/>
          <w:lang w:val="en-US" w:eastAsia="zh-CN"/>
        </w:rPr>
      </w:pPr>
      <w:r>
        <w:br w:type="page"/>
      </w:r>
    </w:p>
    <w:sdt>
      <w:sdtPr>
        <w:rPr>
          <w:rFonts w:ascii="Arial" w:eastAsiaTheme="minorHAnsi" w:hAnsi="Arial" w:cstheme="minorBidi"/>
          <w:color w:val="000000" w:themeColor="text1"/>
          <w:sz w:val="24"/>
          <w:szCs w:val="22"/>
          <w:lang w:val="en-GB"/>
          <w14:ligatures w14:val="standardContextual"/>
        </w:rPr>
        <w:id w:val="-1422640264"/>
        <w:docPartObj>
          <w:docPartGallery w:val="Table of Contents"/>
          <w:docPartUnique/>
        </w:docPartObj>
      </w:sdtPr>
      <w:sdtEndPr>
        <w:rPr>
          <w:b/>
          <w:bCs/>
          <w:noProof/>
        </w:rPr>
      </w:sdtEndPr>
      <w:sdtContent>
        <w:p w14:paraId="17CD2489" w14:textId="05A63DB7" w:rsidR="00951D7F" w:rsidRDefault="00951D7F">
          <w:pPr>
            <w:pStyle w:val="TOCHeading"/>
          </w:pPr>
          <w:r>
            <w:t>Table of Contents</w:t>
          </w:r>
        </w:p>
        <w:p w14:paraId="44D58683" w14:textId="43EFF17F" w:rsidR="002328E1" w:rsidRDefault="00951D7F">
          <w:pPr>
            <w:pStyle w:val="TOC1"/>
            <w:tabs>
              <w:tab w:val="right" w:leader="dot" w:pos="9350"/>
            </w:tabs>
            <w:rPr>
              <w:rFonts w:asciiTheme="minorHAnsi" w:eastAsiaTheme="minorEastAsia" w:hAnsiTheme="minorHAnsi"/>
              <w:noProof/>
              <w:color w:val="auto"/>
              <w:kern w:val="2"/>
              <w:sz w:val="22"/>
              <w:lang w:eastAsia="en-GB"/>
            </w:rPr>
          </w:pPr>
          <w:r>
            <w:fldChar w:fldCharType="begin"/>
          </w:r>
          <w:r>
            <w:instrText xml:space="preserve"> TOC \o "1-3" \h \z \u </w:instrText>
          </w:r>
          <w:r>
            <w:fldChar w:fldCharType="separate"/>
          </w:r>
          <w:hyperlink w:anchor="_Toc182010731" w:history="1">
            <w:r w:rsidR="002328E1" w:rsidRPr="00CB5B7F">
              <w:rPr>
                <w:rStyle w:val="Hyperlink"/>
                <w:noProof/>
              </w:rPr>
              <w:t>1. Introduction</w:t>
            </w:r>
            <w:r w:rsidR="002328E1">
              <w:rPr>
                <w:noProof/>
                <w:webHidden/>
              </w:rPr>
              <w:tab/>
            </w:r>
            <w:r w:rsidR="002328E1">
              <w:rPr>
                <w:noProof/>
                <w:webHidden/>
              </w:rPr>
              <w:fldChar w:fldCharType="begin"/>
            </w:r>
            <w:r w:rsidR="002328E1">
              <w:rPr>
                <w:noProof/>
                <w:webHidden/>
              </w:rPr>
              <w:instrText xml:space="preserve"> PAGEREF _Toc182010731 \h </w:instrText>
            </w:r>
            <w:r w:rsidR="002328E1">
              <w:rPr>
                <w:noProof/>
                <w:webHidden/>
              </w:rPr>
            </w:r>
            <w:r w:rsidR="002328E1">
              <w:rPr>
                <w:noProof/>
                <w:webHidden/>
              </w:rPr>
              <w:fldChar w:fldCharType="separate"/>
            </w:r>
            <w:r w:rsidR="002328E1">
              <w:rPr>
                <w:noProof/>
                <w:webHidden/>
              </w:rPr>
              <w:t>1</w:t>
            </w:r>
            <w:r w:rsidR="002328E1">
              <w:rPr>
                <w:noProof/>
                <w:webHidden/>
              </w:rPr>
              <w:fldChar w:fldCharType="end"/>
            </w:r>
          </w:hyperlink>
        </w:p>
        <w:p w14:paraId="4E9634D1" w14:textId="0DD5061F" w:rsidR="002328E1" w:rsidRDefault="002328E1">
          <w:pPr>
            <w:pStyle w:val="TOC1"/>
            <w:tabs>
              <w:tab w:val="right" w:leader="dot" w:pos="9350"/>
            </w:tabs>
            <w:rPr>
              <w:rFonts w:asciiTheme="minorHAnsi" w:eastAsiaTheme="minorEastAsia" w:hAnsiTheme="minorHAnsi"/>
              <w:noProof/>
              <w:color w:val="auto"/>
              <w:kern w:val="2"/>
              <w:sz w:val="22"/>
              <w:lang w:eastAsia="en-GB"/>
            </w:rPr>
          </w:pPr>
          <w:hyperlink w:anchor="_Toc182010732" w:history="1">
            <w:r w:rsidRPr="00CB5B7F">
              <w:rPr>
                <w:rStyle w:val="Hyperlink"/>
                <w:noProof/>
              </w:rPr>
              <w:t>2. Financial Performance Analysis</w:t>
            </w:r>
            <w:r>
              <w:rPr>
                <w:noProof/>
                <w:webHidden/>
              </w:rPr>
              <w:tab/>
            </w:r>
            <w:r>
              <w:rPr>
                <w:noProof/>
                <w:webHidden/>
              </w:rPr>
              <w:fldChar w:fldCharType="begin"/>
            </w:r>
            <w:r>
              <w:rPr>
                <w:noProof/>
                <w:webHidden/>
              </w:rPr>
              <w:instrText xml:space="preserve"> PAGEREF _Toc182010732 \h </w:instrText>
            </w:r>
            <w:r>
              <w:rPr>
                <w:noProof/>
                <w:webHidden/>
              </w:rPr>
            </w:r>
            <w:r>
              <w:rPr>
                <w:noProof/>
                <w:webHidden/>
              </w:rPr>
              <w:fldChar w:fldCharType="separate"/>
            </w:r>
            <w:r>
              <w:rPr>
                <w:noProof/>
                <w:webHidden/>
              </w:rPr>
              <w:t>2</w:t>
            </w:r>
            <w:r>
              <w:rPr>
                <w:noProof/>
                <w:webHidden/>
              </w:rPr>
              <w:fldChar w:fldCharType="end"/>
            </w:r>
          </w:hyperlink>
        </w:p>
        <w:p w14:paraId="73751EF9" w14:textId="0808E988" w:rsidR="002328E1" w:rsidRDefault="002328E1">
          <w:pPr>
            <w:pStyle w:val="TOC1"/>
            <w:tabs>
              <w:tab w:val="right" w:leader="dot" w:pos="9350"/>
            </w:tabs>
            <w:rPr>
              <w:rFonts w:asciiTheme="minorHAnsi" w:eastAsiaTheme="minorEastAsia" w:hAnsiTheme="minorHAnsi"/>
              <w:noProof/>
              <w:color w:val="auto"/>
              <w:kern w:val="2"/>
              <w:sz w:val="22"/>
              <w:lang w:eastAsia="en-GB"/>
            </w:rPr>
          </w:pPr>
          <w:hyperlink w:anchor="_Toc182010733" w:history="1">
            <w:r w:rsidRPr="00CB5B7F">
              <w:rPr>
                <w:rStyle w:val="Hyperlink"/>
                <w:noProof/>
              </w:rPr>
              <w:t>3. Key Reasons Behind the Decline in Profitability</w:t>
            </w:r>
            <w:r>
              <w:rPr>
                <w:noProof/>
                <w:webHidden/>
              </w:rPr>
              <w:tab/>
            </w:r>
            <w:r>
              <w:rPr>
                <w:noProof/>
                <w:webHidden/>
              </w:rPr>
              <w:fldChar w:fldCharType="begin"/>
            </w:r>
            <w:r>
              <w:rPr>
                <w:noProof/>
                <w:webHidden/>
              </w:rPr>
              <w:instrText xml:space="preserve"> PAGEREF _Toc182010733 \h </w:instrText>
            </w:r>
            <w:r>
              <w:rPr>
                <w:noProof/>
                <w:webHidden/>
              </w:rPr>
            </w:r>
            <w:r>
              <w:rPr>
                <w:noProof/>
                <w:webHidden/>
              </w:rPr>
              <w:fldChar w:fldCharType="separate"/>
            </w:r>
            <w:r>
              <w:rPr>
                <w:noProof/>
                <w:webHidden/>
              </w:rPr>
              <w:t>4</w:t>
            </w:r>
            <w:r>
              <w:rPr>
                <w:noProof/>
                <w:webHidden/>
              </w:rPr>
              <w:fldChar w:fldCharType="end"/>
            </w:r>
          </w:hyperlink>
        </w:p>
        <w:p w14:paraId="6F32299F" w14:textId="56CFDA84" w:rsidR="002328E1" w:rsidRDefault="002328E1">
          <w:pPr>
            <w:pStyle w:val="TOC1"/>
            <w:tabs>
              <w:tab w:val="right" w:leader="dot" w:pos="9350"/>
            </w:tabs>
            <w:rPr>
              <w:rFonts w:asciiTheme="minorHAnsi" w:eastAsiaTheme="minorEastAsia" w:hAnsiTheme="minorHAnsi"/>
              <w:noProof/>
              <w:color w:val="auto"/>
              <w:kern w:val="2"/>
              <w:sz w:val="22"/>
              <w:lang w:eastAsia="en-GB"/>
            </w:rPr>
          </w:pPr>
          <w:hyperlink w:anchor="_Toc182010734" w:history="1">
            <w:r w:rsidRPr="00CB5B7F">
              <w:rPr>
                <w:rStyle w:val="Hyperlink"/>
                <w:noProof/>
              </w:rPr>
              <w:t>4. Comprehensive Turnaround Strategies for The City Hotel</w:t>
            </w:r>
            <w:r>
              <w:rPr>
                <w:noProof/>
                <w:webHidden/>
              </w:rPr>
              <w:tab/>
            </w:r>
            <w:r>
              <w:rPr>
                <w:noProof/>
                <w:webHidden/>
              </w:rPr>
              <w:fldChar w:fldCharType="begin"/>
            </w:r>
            <w:r>
              <w:rPr>
                <w:noProof/>
                <w:webHidden/>
              </w:rPr>
              <w:instrText xml:space="preserve"> PAGEREF _Toc182010734 \h </w:instrText>
            </w:r>
            <w:r>
              <w:rPr>
                <w:noProof/>
                <w:webHidden/>
              </w:rPr>
            </w:r>
            <w:r>
              <w:rPr>
                <w:noProof/>
                <w:webHidden/>
              </w:rPr>
              <w:fldChar w:fldCharType="separate"/>
            </w:r>
            <w:r>
              <w:rPr>
                <w:noProof/>
                <w:webHidden/>
              </w:rPr>
              <w:t>6</w:t>
            </w:r>
            <w:r>
              <w:rPr>
                <w:noProof/>
                <w:webHidden/>
              </w:rPr>
              <w:fldChar w:fldCharType="end"/>
            </w:r>
          </w:hyperlink>
        </w:p>
        <w:p w14:paraId="727399A4" w14:textId="1D96AF3D" w:rsidR="002328E1" w:rsidRDefault="002328E1">
          <w:pPr>
            <w:pStyle w:val="TOC1"/>
            <w:tabs>
              <w:tab w:val="right" w:leader="dot" w:pos="9350"/>
            </w:tabs>
            <w:rPr>
              <w:rFonts w:asciiTheme="minorHAnsi" w:eastAsiaTheme="minorEastAsia" w:hAnsiTheme="minorHAnsi"/>
              <w:noProof/>
              <w:color w:val="auto"/>
              <w:kern w:val="2"/>
              <w:sz w:val="22"/>
              <w:lang w:eastAsia="en-GB"/>
            </w:rPr>
          </w:pPr>
          <w:hyperlink w:anchor="_Toc182010735" w:history="1">
            <w:r w:rsidRPr="00CB5B7F">
              <w:rPr>
                <w:rStyle w:val="Hyperlink"/>
                <w:noProof/>
              </w:rPr>
              <w:t>5. Conclusion</w:t>
            </w:r>
            <w:r>
              <w:rPr>
                <w:noProof/>
                <w:webHidden/>
              </w:rPr>
              <w:tab/>
            </w:r>
            <w:r>
              <w:rPr>
                <w:noProof/>
                <w:webHidden/>
              </w:rPr>
              <w:fldChar w:fldCharType="begin"/>
            </w:r>
            <w:r>
              <w:rPr>
                <w:noProof/>
                <w:webHidden/>
              </w:rPr>
              <w:instrText xml:space="preserve"> PAGEREF _Toc182010735 \h </w:instrText>
            </w:r>
            <w:r>
              <w:rPr>
                <w:noProof/>
                <w:webHidden/>
              </w:rPr>
            </w:r>
            <w:r>
              <w:rPr>
                <w:noProof/>
                <w:webHidden/>
              </w:rPr>
              <w:fldChar w:fldCharType="separate"/>
            </w:r>
            <w:r>
              <w:rPr>
                <w:noProof/>
                <w:webHidden/>
              </w:rPr>
              <w:t>9</w:t>
            </w:r>
            <w:r>
              <w:rPr>
                <w:noProof/>
                <w:webHidden/>
              </w:rPr>
              <w:fldChar w:fldCharType="end"/>
            </w:r>
          </w:hyperlink>
        </w:p>
        <w:p w14:paraId="57DA2389" w14:textId="474A95A9" w:rsidR="002328E1" w:rsidRDefault="002328E1">
          <w:pPr>
            <w:pStyle w:val="TOC1"/>
            <w:tabs>
              <w:tab w:val="right" w:leader="dot" w:pos="9350"/>
            </w:tabs>
            <w:rPr>
              <w:rFonts w:asciiTheme="minorHAnsi" w:eastAsiaTheme="minorEastAsia" w:hAnsiTheme="minorHAnsi"/>
              <w:noProof/>
              <w:color w:val="auto"/>
              <w:kern w:val="2"/>
              <w:sz w:val="22"/>
              <w:lang w:eastAsia="en-GB"/>
            </w:rPr>
          </w:pPr>
          <w:hyperlink w:anchor="_Toc182010736" w:history="1">
            <w:r w:rsidRPr="00CB5B7F">
              <w:rPr>
                <w:rStyle w:val="Hyperlink"/>
                <w:noProof/>
              </w:rPr>
              <w:t>6. Reference</w:t>
            </w:r>
            <w:r>
              <w:rPr>
                <w:noProof/>
                <w:webHidden/>
              </w:rPr>
              <w:tab/>
            </w:r>
            <w:r>
              <w:rPr>
                <w:noProof/>
                <w:webHidden/>
              </w:rPr>
              <w:fldChar w:fldCharType="begin"/>
            </w:r>
            <w:r>
              <w:rPr>
                <w:noProof/>
                <w:webHidden/>
              </w:rPr>
              <w:instrText xml:space="preserve"> PAGEREF _Toc182010736 \h </w:instrText>
            </w:r>
            <w:r>
              <w:rPr>
                <w:noProof/>
                <w:webHidden/>
              </w:rPr>
            </w:r>
            <w:r>
              <w:rPr>
                <w:noProof/>
                <w:webHidden/>
              </w:rPr>
              <w:fldChar w:fldCharType="separate"/>
            </w:r>
            <w:r>
              <w:rPr>
                <w:noProof/>
                <w:webHidden/>
              </w:rPr>
              <w:t>10</w:t>
            </w:r>
            <w:r>
              <w:rPr>
                <w:noProof/>
                <w:webHidden/>
              </w:rPr>
              <w:fldChar w:fldCharType="end"/>
            </w:r>
          </w:hyperlink>
        </w:p>
        <w:p w14:paraId="66921B74" w14:textId="14B86FEB" w:rsidR="002328E1" w:rsidRDefault="002328E1">
          <w:pPr>
            <w:pStyle w:val="TOC1"/>
            <w:tabs>
              <w:tab w:val="right" w:leader="dot" w:pos="9350"/>
            </w:tabs>
            <w:rPr>
              <w:rFonts w:asciiTheme="minorHAnsi" w:eastAsiaTheme="minorEastAsia" w:hAnsiTheme="minorHAnsi"/>
              <w:noProof/>
              <w:color w:val="auto"/>
              <w:kern w:val="2"/>
              <w:sz w:val="22"/>
              <w:lang w:eastAsia="en-GB"/>
            </w:rPr>
          </w:pPr>
          <w:hyperlink w:anchor="_Toc182010737" w:history="1">
            <w:r w:rsidRPr="00CB5B7F">
              <w:rPr>
                <w:rStyle w:val="Hyperlink"/>
                <w:noProof/>
              </w:rPr>
              <w:t>7. Appendices</w:t>
            </w:r>
            <w:r>
              <w:rPr>
                <w:noProof/>
                <w:webHidden/>
              </w:rPr>
              <w:tab/>
            </w:r>
            <w:r>
              <w:rPr>
                <w:noProof/>
                <w:webHidden/>
              </w:rPr>
              <w:fldChar w:fldCharType="begin"/>
            </w:r>
            <w:r>
              <w:rPr>
                <w:noProof/>
                <w:webHidden/>
              </w:rPr>
              <w:instrText xml:space="preserve"> PAGEREF _Toc182010737 \h </w:instrText>
            </w:r>
            <w:r>
              <w:rPr>
                <w:noProof/>
                <w:webHidden/>
              </w:rPr>
            </w:r>
            <w:r>
              <w:rPr>
                <w:noProof/>
                <w:webHidden/>
              </w:rPr>
              <w:fldChar w:fldCharType="separate"/>
            </w:r>
            <w:r>
              <w:rPr>
                <w:noProof/>
                <w:webHidden/>
              </w:rPr>
              <w:t>12</w:t>
            </w:r>
            <w:r>
              <w:rPr>
                <w:noProof/>
                <w:webHidden/>
              </w:rPr>
              <w:fldChar w:fldCharType="end"/>
            </w:r>
          </w:hyperlink>
        </w:p>
        <w:p w14:paraId="0E34256F" w14:textId="1A8995E6" w:rsidR="002328E1" w:rsidRDefault="002328E1">
          <w:pPr>
            <w:pStyle w:val="TOC2"/>
            <w:tabs>
              <w:tab w:val="right" w:leader="dot" w:pos="9350"/>
            </w:tabs>
            <w:rPr>
              <w:rFonts w:asciiTheme="minorHAnsi" w:eastAsiaTheme="minorEastAsia" w:hAnsiTheme="minorHAnsi"/>
              <w:noProof/>
              <w:color w:val="auto"/>
              <w:kern w:val="2"/>
              <w:sz w:val="22"/>
              <w:lang w:eastAsia="en-GB"/>
            </w:rPr>
          </w:pPr>
          <w:hyperlink w:anchor="_Toc182010738" w:history="1">
            <w:r w:rsidRPr="00CB5B7F">
              <w:rPr>
                <w:rStyle w:val="Hyperlink"/>
                <w:noProof/>
              </w:rPr>
              <w:t>Appendix-1: Raw Data</w:t>
            </w:r>
            <w:r>
              <w:rPr>
                <w:noProof/>
                <w:webHidden/>
              </w:rPr>
              <w:tab/>
            </w:r>
            <w:r>
              <w:rPr>
                <w:noProof/>
                <w:webHidden/>
              </w:rPr>
              <w:fldChar w:fldCharType="begin"/>
            </w:r>
            <w:r>
              <w:rPr>
                <w:noProof/>
                <w:webHidden/>
              </w:rPr>
              <w:instrText xml:space="preserve"> PAGEREF _Toc182010738 \h </w:instrText>
            </w:r>
            <w:r>
              <w:rPr>
                <w:noProof/>
                <w:webHidden/>
              </w:rPr>
            </w:r>
            <w:r>
              <w:rPr>
                <w:noProof/>
                <w:webHidden/>
              </w:rPr>
              <w:fldChar w:fldCharType="separate"/>
            </w:r>
            <w:r>
              <w:rPr>
                <w:noProof/>
                <w:webHidden/>
              </w:rPr>
              <w:t>12</w:t>
            </w:r>
            <w:r>
              <w:rPr>
                <w:noProof/>
                <w:webHidden/>
              </w:rPr>
              <w:fldChar w:fldCharType="end"/>
            </w:r>
          </w:hyperlink>
        </w:p>
        <w:p w14:paraId="018CC335" w14:textId="16E45DC0" w:rsidR="002328E1" w:rsidRDefault="002328E1">
          <w:pPr>
            <w:pStyle w:val="TOC2"/>
            <w:tabs>
              <w:tab w:val="right" w:leader="dot" w:pos="9350"/>
            </w:tabs>
            <w:rPr>
              <w:rFonts w:asciiTheme="minorHAnsi" w:eastAsiaTheme="minorEastAsia" w:hAnsiTheme="minorHAnsi"/>
              <w:noProof/>
              <w:color w:val="auto"/>
              <w:kern w:val="2"/>
              <w:sz w:val="22"/>
              <w:lang w:eastAsia="en-GB"/>
            </w:rPr>
          </w:pPr>
          <w:hyperlink w:anchor="_Toc182010739" w:history="1">
            <w:r w:rsidRPr="00CB5B7F">
              <w:rPr>
                <w:rStyle w:val="Hyperlink"/>
                <w:noProof/>
              </w:rPr>
              <w:t>Appendix-2: Key Financial Ratios</w:t>
            </w:r>
            <w:r>
              <w:rPr>
                <w:noProof/>
                <w:webHidden/>
              </w:rPr>
              <w:tab/>
            </w:r>
            <w:r>
              <w:rPr>
                <w:noProof/>
                <w:webHidden/>
              </w:rPr>
              <w:fldChar w:fldCharType="begin"/>
            </w:r>
            <w:r>
              <w:rPr>
                <w:noProof/>
                <w:webHidden/>
              </w:rPr>
              <w:instrText xml:space="preserve"> PAGEREF _Toc182010739 \h </w:instrText>
            </w:r>
            <w:r>
              <w:rPr>
                <w:noProof/>
                <w:webHidden/>
              </w:rPr>
            </w:r>
            <w:r>
              <w:rPr>
                <w:noProof/>
                <w:webHidden/>
              </w:rPr>
              <w:fldChar w:fldCharType="separate"/>
            </w:r>
            <w:r>
              <w:rPr>
                <w:noProof/>
                <w:webHidden/>
              </w:rPr>
              <w:t>12</w:t>
            </w:r>
            <w:r>
              <w:rPr>
                <w:noProof/>
                <w:webHidden/>
              </w:rPr>
              <w:fldChar w:fldCharType="end"/>
            </w:r>
          </w:hyperlink>
        </w:p>
        <w:p w14:paraId="33FF4B0D" w14:textId="10297E5B" w:rsidR="00951D7F" w:rsidRDefault="00951D7F">
          <w:r>
            <w:rPr>
              <w:b/>
              <w:bCs/>
              <w:noProof/>
            </w:rPr>
            <w:fldChar w:fldCharType="end"/>
          </w:r>
        </w:p>
      </w:sdtContent>
    </w:sdt>
    <w:p w14:paraId="0916CB85" w14:textId="77777777" w:rsidR="001F50D4" w:rsidRDefault="001F50D4">
      <w:pPr>
        <w:spacing w:after="160" w:line="259" w:lineRule="auto"/>
        <w:jc w:val="left"/>
        <w:rPr>
          <w:rFonts w:eastAsia="SimSun" w:cs="Times New Roman"/>
          <w:b/>
          <w:bCs/>
          <w:kern w:val="32"/>
          <w:sz w:val="32"/>
          <w:szCs w:val="32"/>
          <w:lang w:val="en-US" w:eastAsia="zh-CN"/>
        </w:rPr>
      </w:pPr>
      <w:r>
        <w:br w:type="page"/>
      </w:r>
    </w:p>
    <w:p w14:paraId="3BBA7EE5" w14:textId="77777777" w:rsidR="00951D7F" w:rsidRDefault="00951D7F" w:rsidP="001F50D4">
      <w:pPr>
        <w:pStyle w:val="Heading1"/>
        <w:sectPr w:rsidR="00951D7F" w:rsidSect="0066008A">
          <w:footerReference w:type="default" r:id="rId9"/>
          <w:pgSz w:w="12240" w:h="15840"/>
          <w:pgMar w:top="1440" w:right="1440" w:bottom="1440" w:left="1440" w:header="720" w:footer="720" w:gutter="0"/>
          <w:cols w:space="720"/>
          <w:docGrid w:linePitch="360"/>
        </w:sectPr>
      </w:pPr>
    </w:p>
    <w:p w14:paraId="289CFBFA" w14:textId="6D40D89B" w:rsidR="00B03263" w:rsidRDefault="001F50D4" w:rsidP="001F50D4">
      <w:pPr>
        <w:pStyle w:val="Heading1"/>
      </w:pPr>
      <w:bookmarkStart w:id="0" w:name="_Toc182010731"/>
      <w:r>
        <w:lastRenderedPageBreak/>
        <w:t xml:space="preserve">1. </w:t>
      </w:r>
      <w:r w:rsidR="004C2C06">
        <w:t>Introduction</w:t>
      </w:r>
      <w:bookmarkEnd w:id="0"/>
    </w:p>
    <w:p w14:paraId="794DF80D" w14:textId="6F07F0C0" w:rsidR="004C2C06" w:rsidRPr="004C2C06" w:rsidRDefault="00D921EE" w:rsidP="004C2C06">
      <w:r w:rsidRPr="00D921EE">
        <w:t xml:space="preserve">The City Hotel which </w:t>
      </w:r>
      <w:proofErr w:type="gramStart"/>
      <w:r w:rsidRPr="00D921EE">
        <w:t>is located in</w:t>
      </w:r>
      <w:proofErr w:type="gramEnd"/>
      <w:r w:rsidRPr="00D921EE">
        <w:t xml:space="preserve"> one of the central business districts and </w:t>
      </w:r>
      <w:r>
        <w:t>offers</w:t>
      </w:r>
      <w:r w:rsidRPr="00D921EE">
        <w:t xml:space="preserve"> services such as </w:t>
      </w:r>
      <w:r>
        <w:t>restaurants</w:t>
      </w:r>
      <w:r w:rsidRPr="00D921EE">
        <w:t xml:space="preserve">, </w:t>
      </w:r>
      <w:r>
        <w:t>bars</w:t>
      </w:r>
      <w:r w:rsidRPr="00D921EE">
        <w:t xml:space="preserve"> and services and services for events and functions have faced significant operational difficult</w:t>
      </w:r>
      <w:r>
        <w:t xml:space="preserve">ies </w:t>
      </w:r>
      <w:r w:rsidRPr="00D921EE">
        <w:t xml:space="preserve">in the past several years. Such challenges were </w:t>
      </w:r>
      <w:r w:rsidR="00B74A26">
        <w:t xml:space="preserve">a </w:t>
      </w:r>
      <w:r w:rsidRPr="00D921EE">
        <w:t xml:space="preserve">reduction in income, </w:t>
      </w:r>
      <w:r w:rsidR="00B74A26">
        <w:t xml:space="preserve">a </w:t>
      </w:r>
      <w:r w:rsidRPr="00D921EE">
        <w:t xml:space="preserve">low occupancy level and </w:t>
      </w:r>
      <w:r w:rsidR="00B74A26">
        <w:t xml:space="preserve">an </w:t>
      </w:r>
      <w:r w:rsidRPr="00D921EE">
        <w:t xml:space="preserve">unsatisfactory level of customer satisfaction. The objective of this report is to evaluate the financial performance of the hotel for the last three financial years regarding profitability, liquidity, and solvency to identify the major factors </w:t>
      </w:r>
      <w:r w:rsidR="00F6503B">
        <w:t>behind the decline in profitability</w:t>
      </w:r>
      <w:r w:rsidRPr="00D921EE">
        <w:t xml:space="preserve">. The report will also provide a </w:t>
      </w:r>
      <w:r w:rsidR="003716E5">
        <w:t xml:space="preserve">comprehensive turnaround </w:t>
      </w:r>
      <w:r w:rsidRPr="00D921EE">
        <w:t>strateg</w:t>
      </w:r>
      <w:r w:rsidR="003716E5">
        <w:t>y to</w:t>
      </w:r>
      <w:r w:rsidRPr="00D921EE">
        <w:t xml:space="preserve"> </w:t>
      </w:r>
      <w:r w:rsidR="00B74A26">
        <w:t>revive</w:t>
      </w:r>
      <w:r w:rsidRPr="00D921EE">
        <w:t xml:space="preserve"> </w:t>
      </w:r>
      <w:r w:rsidR="003716E5">
        <w:t xml:space="preserve">the </w:t>
      </w:r>
      <w:r w:rsidRPr="00D921EE">
        <w:t>objectives and initiatives for the hotel with an outlook towards enhancing the financial position of the hotel and positioning it in an even stronger manner in the market.</w:t>
      </w:r>
      <w:r w:rsidR="004C2C06" w:rsidRPr="004C2C06">
        <w:t xml:space="preserve"> </w:t>
      </w:r>
    </w:p>
    <w:p w14:paraId="5D71BA0F" w14:textId="2DD011F9" w:rsidR="004C2C06" w:rsidRDefault="004C2C06">
      <w:pPr>
        <w:spacing w:after="160" w:line="259" w:lineRule="auto"/>
        <w:jc w:val="left"/>
      </w:pPr>
      <w:r>
        <w:br w:type="page"/>
      </w:r>
    </w:p>
    <w:p w14:paraId="224E58CC" w14:textId="606A1A52" w:rsidR="004C2C06" w:rsidRDefault="001F50D4" w:rsidP="001F50D4">
      <w:pPr>
        <w:pStyle w:val="Heading1"/>
      </w:pPr>
      <w:bookmarkStart w:id="1" w:name="_Toc182010732"/>
      <w:r>
        <w:lastRenderedPageBreak/>
        <w:t xml:space="preserve">2. </w:t>
      </w:r>
      <w:r w:rsidR="004C2C06">
        <w:t>Financial Performance Analysis</w:t>
      </w:r>
      <w:bookmarkEnd w:id="1"/>
    </w:p>
    <w:p w14:paraId="66D6EFE0" w14:textId="5EFC37CE" w:rsidR="004C2C06" w:rsidRPr="00256D05" w:rsidRDefault="004C2C06">
      <w:pPr>
        <w:rPr>
          <w:b/>
          <w:bCs/>
        </w:rPr>
      </w:pPr>
      <w:r w:rsidRPr="00256D05">
        <w:rPr>
          <w:b/>
          <w:bCs/>
        </w:rPr>
        <w:t>Revenue and Expenses</w:t>
      </w:r>
    </w:p>
    <w:p w14:paraId="0BA9528F" w14:textId="48432DE6" w:rsidR="009F4AD1" w:rsidRDefault="009F4AD1">
      <w:r>
        <w:rPr>
          <w:noProof/>
          <w:lang w:val="en-US"/>
        </w:rPr>
        <w:drawing>
          <wp:inline distT="0" distB="0" distL="0" distR="0" wp14:anchorId="5444A06D" wp14:editId="39465868">
            <wp:extent cx="5930900" cy="2743200"/>
            <wp:effectExtent l="0" t="0" r="12700" b="0"/>
            <wp:docPr id="1872822481" name="Chart 1">
              <a:extLst xmlns:a="http://schemas.openxmlformats.org/drawingml/2006/main">
                <a:ext uri="{FF2B5EF4-FFF2-40B4-BE49-F238E27FC236}">
                  <a16:creationId xmlns:a16="http://schemas.microsoft.com/office/drawing/2014/main" id="{6149E231-A49C-6696-2A27-47BA0689DC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8F65981" w14:textId="462B3DC8" w:rsidR="00AB5CE8" w:rsidRDefault="00AB5CE8" w:rsidP="00AB5CE8">
      <w:pPr>
        <w:pStyle w:val="Caption"/>
        <w:jc w:val="center"/>
      </w:pPr>
      <w:r>
        <w:t xml:space="preserve">Figure </w:t>
      </w:r>
      <w:fldSimple w:instr=" SEQ Figure \* ARABIC ">
        <w:r>
          <w:rPr>
            <w:noProof/>
          </w:rPr>
          <w:t>1</w:t>
        </w:r>
      </w:fldSimple>
      <w:r>
        <w:t>: Trends of Revenue and Expenses of The City Hotel from 2021 to 2023 (</w:t>
      </w:r>
      <w:r w:rsidR="007959C7">
        <w:t>Self Made</w:t>
      </w:r>
      <w:r>
        <w:t>)</w:t>
      </w:r>
    </w:p>
    <w:p w14:paraId="4ABB3158" w14:textId="67DC3978" w:rsidR="004C2C06" w:rsidRDefault="006155AB">
      <w:r w:rsidRPr="006155AB">
        <w:t xml:space="preserve">The past three years revenue of The City Hotel shown in the financial data has decreased sharply while the expenses vary irregularly. Revenue for the same year 2021 was £5.25 million, which was quite close to £5.31 million in 2022. </w:t>
      </w:r>
      <w:r w:rsidR="004C2C06" w:rsidRPr="004C2C06">
        <w:t>However, by 2023, revenue sharply decreased to £2.33 million, signal</w:t>
      </w:r>
      <w:r w:rsidR="004C2C06">
        <w:t>l</w:t>
      </w:r>
      <w:r w:rsidR="004C2C06" w:rsidRPr="004C2C06">
        <w:t>ing a drastic reduction in business performance. While there was a general decline in costs, including the cost of goods sold and staff wages, other operational expenditures, such as external services and depreciation, remained high. These persistent expenses, even with certain cost reductions, led to an operating loss of £1.22 million in 2023 as expenses outweighed income. This situation points to the need for effective cost-management strategies and a thorough restructuring plan to regain financial stability</w:t>
      </w:r>
      <w:r w:rsidR="00474A75">
        <w:t xml:space="preserve"> (</w:t>
      </w:r>
      <w:r w:rsidR="00474A75" w:rsidRPr="001938B4">
        <w:t>Hsu and Qu</w:t>
      </w:r>
      <w:r w:rsidR="00474A75">
        <w:t>, 2012)</w:t>
      </w:r>
      <w:r w:rsidR="004C2C06" w:rsidRPr="004C2C06">
        <w:t>.</w:t>
      </w:r>
    </w:p>
    <w:p w14:paraId="68147B5D" w14:textId="0121201E" w:rsidR="00256D05" w:rsidRPr="00256D05" w:rsidRDefault="00256D05" w:rsidP="00256D05">
      <w:pPr>
        <w:rPr>
          <w:b/>
          <w:bCs/>
        </w:rPr>
      </w:pPr>
      <w:r w:rsidRPr="00256D05">
        <w:rPr>
          <w:b/>
          <w:bCs/>
        </w:rPr>
        <w:t>Gross Profit and Operating Profit Margin</w:t>
      </w:r>
    </w:p>
    <w:tbl>
      <w:tblPr>
        <w:tblStyle w:val="TableGrid"/>
        <w:tblW w:w="9351" w:type="dxa"/>
        <w:tblLook w:val="04A0" w:firstRow="1" w:lastRow="0" w:firstColumn="1" w:lastColumn="0" w:noHBand="0" w:noVBand="1"/>
      </w:tblPr>
      <w:tblGrid>
        <w:gridCol w:w="2678"/>
        <w:gridCol w:w="2678"/>
        <w:gridCol w:w="3995"/>
      </w:tblGrid>
      <w:tr w:rsidR="00256D05" w:rsidRPr="00256D05" w14:paraId="579B3CA0" w14:textId="77777777" w:rsidTr="00256D05">
        <w:trPr>
          <w:trHeight w:val="312"/>
        </w:trPr>
        <w:tc>
          <w:tcPr>
            <w:tcW w:w="2678" w:type="dxa"/>
          </w:tcPr>
          <w:p w14:paraId="30DAF684" w14:textId="0B1C0A1B" w:rsidR="00256D05" w:rsidRPr="00256D05" w:rsidRDefault="00256D05" w:rsidP="00256D05">
            <w:pPr>
              <w:rPr>
                <w:lang w:eastAsia="en-GB"/>
              </w:rPr>
            </w:pPr>
            <w:r>
              <w:rPr>
                <w:lang w:eastAsia="en-GB"/>
              </w:rPr>
              <w:t>Year</w:t>
            </w:r>
          </w:p>
        </w:tc>
        <w:tc>
          <w:tcPr>
            <w:tcW w:w="2678" w:type="dxa"/>
            <w:noWrap/>
            <w:hideMark/>
          </w:tcPr>
          <w:p w14:paraId="0EFC032B" w14:textId="05B5F740" w:rsidR="00256D05" w:rsidRPr="00256D05" w:rsidRDefault="00256D05" w:rsidP="00256D05">
            <w:pPr>
              <w:rPr>
                <w:lang w:eastAsia="en-GB"/>
              </w:rPr>
            </w:pPr>
            <w:r w:rsidRPr="00256D05">
              <w:rPr>
                <w:lang w:eastAsia="en-GB"/>
              </w:rPr>
              <w:t>Gross Profit Margin</w:t>
            </w:r>
          </w:p>
        </w:tc>
        <w:tc>
          <w:tcPr>
            <w:tcW w:w="3995" w:type="dxa"/>
            <w:noWrap/>
            <w:hideMark/>
          </w:tcPr>
          <w:p w14:paraId="75123C2B" w14:textId="77777777" w:rsidR="00256D05" w:rsidRPr="00256D05" w:rsidRDefault="00256D05" w:rsidP="00256D05">
            <w:pPr>
              <w:rPr>
                <w:lang w:eastAsia="en-GB"/>
              </w:rPr>
            </w:pPr>
            <w:r w:rsidRPr="00256D05">
              <w:rPr>
                <w:lang w:eastAsia="en-GB"/>
              </w:rPr>
              <w:t>Operating Profit Margin</w:t>
            </w:r>
          </w:p>
        </w:tc>
      </w:tr>
      <w:tr w:rsidR="00256D05" w:rsidRPr="00256D05" w14:paraId="66ECAF84" w14:textId="77777777" w:rsidTr="00256D05">
        <w:trPr>
          <w:trHeight w:val="312"/>
        </w:trPr>
        <w:tc>
          <w:tcPr>
            <w:tcW w:w="2678" w:type="dxa"/>
          </w:tcPr>
          <w:p w14:paraId="5AF6661B" w14:textId="751B3700" w:rsidR="00256D05" w:rsidRPr="00256D05" w:rsidRDefault="00256D05" w:rsidP="00256D05">
            <w:pPr>
              <w:rPr>
                <w:lang w:eastAsia="en-GB"/>
              </w:rPr>
            </w:pPr>
            <w:r>
              <w:rPr>
                <w:lang w:eastAsia="en-GB"/>
              </w:rPr>
              <w:t>2021</w:t>
            </w:r>
          </w:p>
        </w:tc>
        <w:tc>
          <w:tcPr>
            <w:tcW w:w="2678" w:type="dxa"/>
            <w:noWrap/>
            <w:hideMark/>
          </w:tcPr>
          <w:p w14:paraId="79719B77" w14:textId="5B2FFC7E" w:rsidR="00256D05" w:rsidRPr="00256D05" w:rsidRDefault="00256D05" w:rsidP="00256D05">
            <w:pPr>
              <w:rPr>
                <w:lang w:eastAsia="en-GB"/>
              </w:rPr>
            </w:pPr>
            <w:r w:rsidRPr="00256D05">
              <w:rPr>
                <w:lang w:eastAsia="en-GB"/>
              </w:rPr>
              <w:t>92.16%</w:t>
            </w:r>
          </w:p>
        </w:tc>
        <w:tc>
          <w:tcPr>
            <w:tcW w:w="3995" w:type="dxa"/>
            <w:noWrap/>
            <w:hideMark/>
          </w:tcPr>
          <w:p w14:paraId="1666202A" w14:textId="77777777" w:rsidR="00256D05" w:rsidRPr="00256D05" w:rsidRDefault="00256D05" w:rsidP="00256D05">
            <w:pPr>
              <w:rPr>
                <w:lang w:eastAsia="en-GB"/>
              </w:rPr>
            </w:pPr>
            <w:r w:rsidRPr="00256D05">
              <w:rPr>
                <w:lang w:eastAsia="en-GB"/>
              </w:rPr>
              <w:t>12.65%</w:t>
            </w:r>
          </w:p>
        </w:tc>
      </w:tr>
      <w:tr w:rsidR="00256D05" w:rsidRPr="00256D05" w14:paraId="3C8962B1" w14:textId="77777777" w:rsidTr="00256D05">
        <w:trPr>
          <w:trHeight w:val="312"/>
        </w:trPr>
        <w:tc>
          <w:tcPr>
            <w:tcW w:w="2678" w:type="dxa"/>
          </w:tcPr>
          <w:p w14:paraId="652709A4" w14:textId="0E403860" w:rsidR="00256D05" w:rsidRPr="00256D05" w:rsidRDefault="00256D05" w:rsidP="00256D05">
            <w:pPr>
              <w:rPr>
                <w:lang w:eastAsia="en-GB"/>
              </w:rPr>
            </w:pPr>
            <w:r>
              <w:rPr>
                <w:lang w:eastAsia="en-GB"/>
              </w:rPr>
              <w:t>2022</w:t>
            </w:r>
          </w:p>
        </w:tc>
        <w:tc>
          <w:tcPr>
            <w:tcW w:w="2678" w:type="dxa"/>
            <w:noWrap/>
            <w:hideMark/>
          </w:tcPr>
          <w:p w14:paraId="21164700" w14:textId="39B80F12" w:rsidR="00256D05" w:rsidRPr="00256D05" w:rsidRDefault="00256D05" w:rsidP="00256D05">
            <w:pPr>
              <w:rPr>
                <w:lang w:eastAsia="en-GB"/>
              </w:rPr>
            </w:pPr>
            <w:r w:rsidRPr="00256D05">
              <w:rPr>
                <w:lang w:eastAsia="en-GB"/>
              </w:rPr>
              <w:t>92.44%</w:t>
            </w:r>
          </w:p>
        </w:tc>
        <w:tc>
          <w:tcPr>
            <w:tcW w:w="3995" w:type="dxa"/>
            <w:noWrap/>
            <w:hideMark/>
          </w:tcPr>
          <w:p w14:paraId="6EAEA1FD" w14:textId="77777777" w:rsidR="00256D05" w:rsidRPr="00256D05" w:rsidRDefault="00256D05" w:rsidP="00256D05">
            <w:pPr>
              <w:rPr>
                <w:lang w:eastAsia="en-GB"/>
              </w:rPr>
            </w:pPr>
            <w:r w:rsidRPr="00256D05">
              <w:rPr>
                <w:lang w:eastAsia="en-GB"/>
              </w:rPr>
              <w:t>12.71%</w:t>
            </w:r>
          </w:p>
        </w:tc>
      </w:tr>
      <w:tr w:rsidR="00256D05" w:rsidRPr="00256D05" w14:paraId="73BB6B5A" w14:textId="77777777" w:rsidTr="00256D05">
        <w:trPr>
          <w:trHeight w:val="312"/>
        </w:trPr>
        <w:tc>
          <w:tcPr>
            <w:tcW w:w="2678" w:type="dxa"/>
          </w:tcPr>
          <w:p w14:paraId="7E0B580D" w14:textId="618CFEBB" w:rsidR="00256D05" w:rsidRPr="00256D05" w:rsidRDefault="00256D05" w:rsidP="00256D05">
            <w:pPr>
              <w:rPr>
                <w:lang w:eastAsia="en-GB"/>
              </w:rPr>
            </w:pPr>
            <w:r>
              <w:rPr>
                <w:lang w:eastAsia="en-GB"/>
              </w:rPr>
              <w:t>2023</w:t>
            </w:r>
          </w:p>
        </w:tc>
        <w:tc>
          <w:tcPr>
            <w:tcW w:w="2678" w:type="dxa"/>
            <w:noWrap/>
            <w:hideMark/>
          </w:tcPr>
          <w:p w14:paraId="7D9BFCD5" w14:textId="25A9CC32" w:rsidR="00256D05" w:rsidRPr="00256D05" w:rsidRDefault="00256D05" w:rsidP="00256D05">
            <w:pPr>
              <w:rPr>
                <w:lang w:eastAsia="en-GB"/>
              </w:rPr>
            </w:pPr>
            <w:r w:rsidRPr="00256D05">
              <w:rPr>
                <w:lang w:eastAsia="en-GB"/>
              </w:rPr>
              <w:t>92.42%</w:t>
            </w:r>
          </w:p>
        </w:tc>
        <w:tc>
          <w:tcPr>
            <w:tcW w:w="3995" w:type="dxa"/>
            <w:noWrap/>
            <w:hideMark/>
          </w:tcPr>
          <w:p w14:paraId="643F8418" w14:textId="77777777" w:rsidR="00256D05" w:rsidRPr="00256D05" w:rsidRDefault="00256D05" w:rsidP="00256D05">
            <w:pPr>
              <w:rPr>
                <w:lang w:eastAsia="en-GB"/>
              </w:rPr>
            </w:pPr>
            <w:r w:rsidRPr="00256D05">
              <w:rPr>
                <w:lang w:eastAsia="en-GB"/>
              </w:rPr>
              <w:t>-52.41%</w:t>
            </w:r>
          </w:p>
        </w:tc>
      </w:tr>
    </w:tbl>
    <w:p w14:paraId="4AE2156D" w14:textId="6EB9FB00" w:rsidR="00256D05" w:rsidRDefault="00AB5CE8" w:rsidP="00AB5CE8">
      <w:pPr>
        <w:pStyle w:val="Caption"/>
        <w:jc w:val="center"/>
      </w:pPr>
      <w:r>
        <w:t xml:space="preserve">Table </w:t>
      </w:r>
      <w:fldSimple w:instr=" SEQ Table \* ARABIC ">
        <w:r w:rsidR="0044449B">
          <w:rPr>
            <w:noProof/>
          </w:rPr>
          <w:t>1</w:t>
        </w:r>
      </w:fldSimple>
      <w:r>
        <w:t xml:space="preserve">: Gross profit and Operating profit </w:t>
      </w:r>
      <w:r w:rsidRPr="00AB5CE8">
        <w:t xml:space="preserve">of The City Hotel from 2021 to 2023 </w:t>
      </w:r>
      <w:r>
        <w:t>(</w:t>
      </w:r>
      <w:r w:rsidR="007959C7">
        <w:t>Self Made</w:t>
      </w:r>
      <w:r>
        <w:t>)</w:t>
      </w:r>
    </w:p>
    <w:p w14:paraId="115F3219" w14:textId="7E81796F" w:rsidR="00256D05" w:rsidRDefault="00256D05" w:rsidP="00256D05">
      <w:r w:rsidRPr="00256D05">
        <w:lastRenderedPageBreak/>
        <w:t>The table illustrates The City Hotel's gross profit and operating profit margins over three</w:t>
      </w:r>
      <w:r>
        <w:t xml:space="preserve"> </w:t>
      </w:r>
      <w:r w:rsidRPr="00256D05">
        <w:t>year</w:t>
      </w:r>
      <w:r>
        <w:t>s</w:t>
      </w:r>
      <w:r w:rsidRPr="00256D05">
        <w:t>. From 2021 to 2023, the gross profit margin remained consistently strong, slightly above 92% each year. This stability indicates that the hotel maintained high revenue relative to the cost of goods sold</w:t>
      </w:r>
      <w:r w:rsidR="00BA51C5">
        <w:t xml:space="preserve"> (</w:t>
      </w:r>
      <w:r w:rsidR="00BA51C5" w:rsidRPr="00E1791E">
        <w:t>Walker</w:t>
      </w:r>
      <w:r w:rsidR="00BA51C5">
        <w:t>, 2021)</w:t>
      </w:r>
      <w:r w:rsidRPr="00256D05">
        <w:t>. However, the operating profit margin presents a stark contrast. In both 2021 and 2022, the operating profit margin was positive, albeit low, at 12.65% and 12.71%, respectively. By 2023, however, the operating profit margin dropped dramatically to -52.41%, reflecting substantial operating losses. This decline points to significant increases in operational costs that outpaced revenue, signal</w:t>
      </w:r>
      <w:r>
        <w:t>l</w:t>
      </w:r>
      <w:r w:rsidRPr="00256D05">
        <w:t>ing deep financial distress</w:t>
      </w:r>
      <w:r w:rsidR="00A54BA9">
        <w:t xml:space="preserve"> (</w:t>
      </w:r>
      <w:proofErr w:type="spellStart"/>
      <w:r w:rsidR="00A54BA9" w:rsidRPr="001938B4">
        <w:t>Moncarz</w:t>
      </w:r>
      <w:proofErr w:type="spellEnd"/>
      <w:r w:rsidR="00A54BA9" w:rsidRPr="001938B4">
        <w:t xml:space="preserve"> and Kron</w:t>
      </w:r>
      <w:r w:rsidR="00A54BA9">
        <w:t>, 2010)</w:t>
      </w:r>
      <w:r w:rsidRPr="00256D05">
        <w:t>. Such a sharp downturn in the operating margin, despite a steady gross profit margin, underscores the pressing need for targeted measures to control rising operating expenses and improve financial outcomes.</w:t>
      </w:r>
    </w:p>
    <w:p w14:paraId="121F6DED" w14:textId="5B0855B8" w:rsidR="00256D05" w:rsidRPr="00256D05" w:rsidRDefault="00256D05" w:rsidP="00256D05">
      <w:pPr>
        <w:rPr>
          <w:b/>
          <w:bCs/>
        </w:rPr>
      </w:pPr>
      <w:r w:rsidRPr="00256D05">
        <w:rPr>
          <w:b/>
          <w:bCs/>
        </w:rPr>
        <w:t>Key Financial Ratios</w:t>
      </w:r>
    </w:p>
    <w:p w14:paraId="03E03CFA" w14:textId="16D9D24E" w:rsidR="00F971DD" w:rsidRDefault="00256D05" w:rsidP="00256D05">
      <w:r w:rsidRPr="00256D05">
        <w:t>The table highlights critical financial ratios for The City Hotel from 2021 to 2023, revealing a concerning trend in the hotel’s financial health over these years</w:t>
      </w:r>
      <w:r>
        <w:t xml:space="preserve"> (See Appendix</w:t>
      </w:r>
      <w:r w:rsidR="00F971DD">
        <w:t xml:space="preserve"> </w:t>
      </w:r>
      <w:r>
        <w:t>1)</w:t>
      </w:r>
      <w:r w:rsidRPr="00256D05">
        <w:t xml:space="preserve">. The </w:t>
      </w:r>
      <w:r w:rsidRPr="00256D05">
        <w:rPr>
          <w:i/>
          <w:iCs/>
        </w:rPr>
        <w:t>Current Ratio</w:t>
      </w:r>
      <w:r w:rsidRPr="00256D05">
        <w:t xml:space="preserve"> and </w:t>
      </w:r>
      <w:r w:rsidRPr="00256D05">
        <w:rPr>
          <w:i/>
          <w:iCs/>
        </w:rPr>
        <w:t>Quick Ratio</w:t>
      </w:r>
      <w:r w:rsidRPr="00256D05">
        <w:t>, both of which indicate liquidity, show a significant decline. Starting at 96.66% and 94.86% in 2021, these ratios dropped to 93.24% and 91.52% in 2022, and further to 63.83% and 62.37% in 2023. This downward trend signals a decreasing capacity to meet short-term liabilities, pointing to growing liquidity constraints</w:t>
      </w:r>
      <w:r w:rsidR="00D173AF">
        <w:t xml:space="preserve"> (</w:t>
      </w:r>
      <w:r w:rsidR="00D173AF" w:rsidRPr="006F59E0">
        <w:t>Dallas,</w:t>
      </w:r>
      <w:r w:rsidR="00D173AF">
        <w:t xml:space="preserve"> 2011)</w:t>
      </w:r>
      <w:r w:rsidRPr="00256D05">
        <w:t>.</w:t>
      </w:r>
      <w:r w:rsidR="00D173AF">
        <w:t xml:space="preserve"> </w:t>
      </w:r>
      <w:r w:rsidRPr="00256D05">
        <w:t xml:space="preserve">The </w:t>
      </w:r>
      <w:r w:rsidRPr="00256D05">
        <w:rPr>
          <w:i/>
          <w:iCs/>
        </w:rPr>
        <w:t>Debt-to-Equity Ratio</w:t>
      </w:r>
      <w:r w:rsidRPr="00256D05">
        <w:t xml:space="preserve"> also paints a troubling picture, moving from 4.74 in 2021 to 5.16 in 2022, and then more than doubling to 10.10 by 2023. This surge reflects an increasing reliance on debt financing, which heightens financial risk and reduces the hotel's financial stability.</w:t>
      </w:r>
      <w:r w:rsidR="00D22466">
        <w:t xml:space="preserve"> </w:t>
      </w:r>
      <w:r w:rsidR="006155AB" w:rsidRPr="006155AB">
        <w:t>Other profitability ratios like ROA &amp; ROE have also declined at a considerable rate in the periods under analysis. ROA reduced from a small positive value of 5.13% in the year 2021 to 4.24% in the year 2022 and sharply fell to -7.79% in the year 2030, which means that the hotel’s assets are incurring losses. Likewise, ROE was 30.85% in the year 2021, which dropped to 27.29% in the year 2022 and even further down to -91.34 % in the year 2023, indicates major loss to shareholders’ fundamentals. Sharp decline in the liquidity position, high level of debt and negative profitability indices all portray major financial problems (</w:t>
      </w:r>
      <w:proofErr w:type="spellStart"/>
      <w:r w:rsidR="006155AB" w:rsidRPr="006155AB">
        <w:t>Gryglewicz</w:t>
      </w:r>
      <w:proofErr w:type="spellEnd"/>
      <w:r w:rsidR="006155AB" w:rsidRPr="006155AB">
        <w:t xml:space="preserve">, 2011). Solving these problems calls for </w:t>
      </w:r>
      <w:r w:rsidR="006155AB" w:rsidRPr="006155AB">
        <w:lastRenderedPageBreak/>
        <w:t>well-coordinated undertakings aimed at reinvention of solvency, enhancement of liquidity, and re-establishment of profitability.</w:t>
      </w:r>
    </w:p>
    <w:p w14:paraId="187E3A03" w14:textId="439825B6" w:rsidR="007B05E7" w:rsidRPr="007B05E7" w:rsidRDefault="001F50D4" w:rsidP="001F50D4">
      <w:pPr>
        <w:pStyle w:val="Heading1"/>
      </w:pPr>
      <w:bookmarkStart w:id="2" w:name="_Toc182010733"/>
      <w:r>
        <w:t xml:space="preserve">3. </w:t>
      </w:r>
      <w:r w:rsidR="007B05E7" w:rsidRPr="007B05E7">
        <w:t>Key Reasons Behind the Decline in Profitability</w:t>
      </w:r>
      <w:bookmarkEnd w:id="2"/>
    </w:p>
    <w:p w14:paraId="3D845557" w14:textId="77777777" w:rsidR="007B05E7" w:rsidRPr="007B05E7" w:rsidRDefault="007B05E7" w:rsidP="007B05E7">
      <w:pPr>
        <w:rPr>
          <w:b/>
          <w:bCs/>
        </w:rPr>
      </w:pPr>
      <w:r w:rsidRPr="007B05E7">
        <w:rPr>
          <w:b/>
          <w:bCs/>
        </w:rPr>
        <w:t>Market Conditions and Economic Factors</w:t>
      </w:r>
    </w:p>
    <w:p w14:paraId="18CAB2B0" w14:textId="4CA3C9BB" w:rsidR="007B05E7" w:rsidRDefault="0096473E" w:rsidP="007B05E7">
      <w:r>
        <w:t>Hotels</w:t>
      </w:r>
      <w:r w:rsidR="00A24CAA" w:rsidRPr="00A24CAA">
        <w:t xml:space="preserve"> </w:t>
      </w:r>
      <w:r>
        <w:t>are</w:t>
      </w:r>
      <w:r w:rsidR="00A24CAA" w:rsidRPr="00A24CAA">
        <w:t xml:space="preserve"> rather sensitive to macroeconomic developments, especially </w:t>
      </w:r>
      <w:r>
        <w:t>since</w:t>
      </w:r>
      <w:r w:rsidR="00A24CAA" w:rsidRPr="00A24CAA">
        <w:t xml:space="preserve"> the recent global shocks have made them even more sensitive. Economic pressures include increased </w:t>
      </w:r>
      <w:r w:rsidR="00B74A26" w:rsidRPr="00A24CAA">
        <w:t>competition,</w:t>
      </w:r>
      <w:r w:rsidR="00A24CAA" w:rsidRPr="00A24CAA">
        <w:t xml:space="preserve"> and stiffer customer demands which have seen the City Hotel’s revenue reduce from £5.25 million in 2021 to £2.33 million in 2023. The COVID-19 pandemic had a particularly significant impact on the travel and tourism sector, limiting travel restrictions, Restricted international travel and reduced consumer interest in travelling (</w:t>
      </w:r>
      <w:proofErr w:type="spellStart"/>
      <w:r w:rsidR="00A24CAA" w:rsidRPr="00A24CAA">
        <w:t>Gössling</w:t>
      </w:r>
      <w:proofErr w:type="spellEnd"/>
      <w:r w:rsidR="00A24CAA" w:rsidRPr="00A24CAA">
        <w:t xml:space="preserve">, et al. 2020). Though global economies gradually recover, increasing inflation results in higher costs of living thus discouraging potential guests to spend their money on travelling not to mention </w:t>
      </w:r>
      <w:proofErr w:type="gramStart"/>
      <w:r w:rsidR="00A24CAA" w:rsidRPr="00A24CAA">
        <w:t>that,</w:t>
      </w:r>
      <w:proofErr w:type="gramEnd"/>
      <w:r w:rsidR="00A24CAA" w:rsidRPr="00A24CAA">
        <w:t xml:space="preserve"> expenses during these dramatic periods changed a lot making potential guests think twice before spending their hard-earned money on travelling</w:t>
      </w:r>
      <w:r w:rsidR="00BA51C5">
        <w:t xml:space="preserve"> (</w:t>
      </w:r>
      <w:r w:rsidR="00BA51C5" w:rsidRPr="00E1791E">
        <w:t>Drury</w:t>
      </w:r>
      <w:r w:rsidR="00BA51C5">
        <w:t>, 2021)</w:t>
      </w:r>
      <w:r w:rsidR="00A24CAA" w:rsidRPr="00A24CAA">
        <w:t>. Socio-political conditions, such as the Russo-Ukrainian war and others, have inflated the price of energy making the budgets of households as well as businesses more contracted (Van de Graaf, 2023). These have combined to lead to a general decrease in occupancy levels and consumer expenditure, a situation that has a drastic effect on the ability of hotels to generate an income</w:t>
      </w:r>
      <w:r w:rsidR="007B05E7" w:rsidRPr="007B05E7">
        <w:t>.</w:t>
      </w:r>
    </w:p>
    <w:p w14:paraId="0AF84039" w14:textId="05B47237" w:rsidR="007B05E7" w:rsidRDefault="005A5501" w:rsidP="007B05E7">
      <w:pPr>
        <w:rPr>
          <w:b/>
          <w:bCs/>
        </w:rPr>
      </w:pPr>
      <w:r>
        <w:rPr>
          <w:noProof/>
          <w:lang w:val="en-US"/>
        </w:rPr>
        <w:lastRenderedPageBreak/>
        <w:drawing>
          <wp:anchor distT="0" distB="0" distL="114300" distR="114300" simplePos="0" relativeHeight="251659264" behindDoc="0" locked="0" layoutInCell="1" allowOverlap="1" wp14:anchorId="135B9CC0" wp14:editId="3E98D494">
            <wp:simplePos x="0" y="0"/>
            <wp:positionH relativeFrom="column">
              <wp:posOffset>895350</wp:posOffset>
            </wp:positionH>
            <wp:positionV relativeFrom="paragraph">
              <wp:posOffset>246380</wp:posOffset>
            </wp:positionV>
            <wp:extent cx="4504690" cy="2825750"/>
            <wp:effectExtent l="0" t="0" r="0" b="0"/>
            <wp:wrapSquare wrapText="bothSides"/>
            <wp:docPr id="1249305723" name="Picture 1" descr="How to leverage Bowman's Clock in Marketing for IF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leverage Bowman's Clock in Marketing for IF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4690" cy="2825750"/>
                    </a:xfrm>
                    <a:prstGeom prst="rect">
                      <a:avLst/>
                    </a:prstGeom>
                    <a:noFill/>
                    <a:ln>
                      <a:noFill/>
                    </a:ln>
                  </pic:spPr>
                </pic:pic>
              </a:graphicData>
            </a:graphic>
          </wp:anchor>
        </w:drawing>
      </w:r>
      <w:r w:rsidR="007B05E7" w:rsidRPr="007B05E7">
        <w:rPr>
          <w:b/>
          <w:bCs/>
        </w:rPr>
        <w:t>Market Positioning using Bowman’s Clock</w:t>
      </w:r>
    </w:p>
    <w:p w14:paraId="56197611" w14:textId="235EC4E6" w:rsidR="005A5501" w:rsidRPr="007B05E7" w:rsidRDefault="005A5501" w:rsidP="007B05E7">
      <w:pPr>
        <w:rPr>
          <w:b/>
          <w:bCs/>
        </w:rPr>
      </w:pPr>
    </w:p>
    <w:p w14:paraId="16D19402" w14:textId="77777777" w:rsidR="005A5501" w:rsidRDefault="005A5501" w:rsidP="007B05E7"/>
    <w:p w14:paraId="6ECCA2FB" w14:textId="77777777" w:rsidR="005A5501" w:rsidRDefault="005A5501" w:rsidP="007B05E7"/>
    <w:p w14:paraId="6E65A171" w14:textId="77777777" w:rsidR="005A5501" w:rsidRDefault="005A5501" w:rsidP="007B05E7"/>
    <w:p w14:paraId="3AE7EDA2" w14:textId="77777777" w:rsidR="005A5501" w:rsidRDefault="005A5501" w:rsidP="007B05E7"/>
    <w:p w14:paraId="487BA134" w14:textId="77777777" w:rsidR="005A5501" w:rsidRDefault="005A5501" w:rsidP="007B05E7"/>
    <w:p w14:paraId="512B0661" w14:textId="77777777" w:rsidR="005A5501" w:rsidRDefault="005A5501" w:rsidP="007B05E7"/>
    <w:p w14:paraId="7DE7728E" w14:textId="77777777" w:rsidR="005A5501" w:rsidRDefault="005A5501" w:rsidP="007B05E7"/>
    <w:p w14:paraId="526502A6" w14:textId="77777777" w:rsidR="005A5501" w:rsidRDefault="005A5501" w:rsidP="007B05E7"/>
    <w:p w14:paraId="562AFE95" w14:textId="77777777" w:rsidR="005A5501" w:rsidRDefault="005A5501" w:rsidP="007B05E7"/>
    <w:p w14:paraId="18B20E77" w14:textId="77777777" w:rsidR="005A5501" w:rsidRDefault="005A5501" w:rsidP="007B05E7"/>
    <w:p w14:paraId="68A26074" w14:textId="4B1CA1D8" w:rsidR="004F3D66" w:rsidRDefault="004F3D66" w:rsidP="004F3D66">
      <w:pPr>
        <w:pStyle w:val="Caption"/>
        <w:jc w:val="center"/>
      </w:pPr>
      <w:r>
        <w:t xml:space="preserve">Figure </w:t>
      </w:r>
      <w:fldSimple w:instr=" SEQ Figure \* ARABIC ">
        <w:r w:rsidR="00AB5CE8">
          <w:rPr>
            <w:noProof/>
          </w:rPr>
          <w:t>2</w:t>
        </w:r>
      </w:fldSimple>
      <w:r>
        <w:t xml:space="preserve">: Bowman’s Clock </w:t>
      </w:r>
      <w:r w:rsidRPr="004F3D66">
        <w:t>(Hill, 2019)</w:t>
      </w:r>
    </w:p>
    <w:p w14:paraId="6515A8C3" w14:textId="2D5E005C" w:rsidR="007B05E7" w:rsidRPr="007B05E7" w:rsidRDefault="007B05E7" w:rsidP="007B05E7">
      <w:r w:rsidRPr="007B05E7">
        <w:t>Analy</w:t>
      </w:r>
      <w:r w:rsidR="007E14BF">
        <w:t>s</w:t>
      </w:r>
      <w:r w:rsidRPr="007B05E7">
        <w:t>ing The City Hotel’s market positioning using Bowman’s Strategy Clock reveals an alignment problem with current market trends and consumer preferences. Bowman's model suggests that companies should target either differentiation (position 4) or a hybrid approach (position 3) to provide value and competitive prices. The City Hotel’s current financial difficulties suggest it might be positioned unfavo</w:t>
      </w:r>
      <w:r w:rsidR="005A5501">
        <w:t>u</w:t>
      </w:r>
      <w:r w:rsidRPr="007B05E7">
        <w:t>rably, potentially in a risky high-margin spot (position 6) or low value and price (position 8), leading to a loss of market share</w:t>
      </w:r>
      <w:r w:rsidR="00E8799B">
        <w:t xml:space="preserve"> </w:t>
      </w:r>
      <w:r w:rsidR="00E8799B" w:rsidRPr="00E8799B">
        <w:t>(Hill, 2019)</w:t>
      </w:r>
      <w:r w:rsidRPr="007B05E7">
        <w:t>. This misalignment may result from outdated service models that fail to meet the growing demand for more tailored, experience-focused accommodations that have become popular post-pandemic. Modern travel</w:t>
      </w:r>
      <w:r w:rsidR="005A5501">
        <w:t>l</w:t>
      </w:r>
      <w:r w:rsidRPr="007B05E7">
        <w:t xml:space="preserve">ers </w:t>
      </w:r>
      <w:r w:rsidR="005A5501" w:rsidRPr="007B05E7">
        <w:t>favour</w:t>
      </w:r>
      <w:r w:rsidRPr="007B05E7">
        <w:t xml:space="preserve"> safety and value, and competitors that have integrated health-conscious amenities, touchless services, and flexible booking options have adapted better</w:t>
      </w:r>
      <w:r w:rsidR="00E8799B">
        <w:t xml:space="preserve"> (</w:t>
      </w:r>
      <w:r w:rsidR="00E8799B" w:rsidRPr="0020537C">
        <w:t xml:space="preserve">Bauer, </w:t>
      </w:r>
      <w:r w:rsidR="00E8799B">
        <w:t>2021)</w:t>
      </w:r>
      <w:r w:rsidRPr="007B05E7">
        <w:t>. The City Hotel’s slower response to these changes has likely contributed to its challenges. To recover, the hotel must shift towards a customer-first approach that highlights value through improved services, distinct amenities, and competitive pricing.</w:t>
      </w:r>
    </w:p>
    <w:p w14:paraId="6FEBE1C5" w14:textId="77777777" w:rsidR="007B05E7" w:rsidRPr="007B05E7" w:rsidRDefault="007B05E7" w:rsidP="007B05E7">
      <w:pPr>
        <w:rPr>
          <w:b/>
          <w:bCs/>
        </w:rPr>
      </w:pPr>
      <w:r w:rsidRPr="007B05E7">
        <w:rPr>
          <w:b/>
          <w:bCs/>
        </w:rPr>
        <w:t>Cost Management Challenges</w:t>
      </w:r>
    </w:p>
    <w:p w14:paraId="47412B51" w14:textId="56F175C5" w:rsidR="007B05E7" w:rsidRPr="007B05E7" w:rsidRDefault="007B05E7" w:rsidP="007B05E7">
      <w:r w:rsidRPr="007B05E7">
        <w:t xml:space="preserve">Rising operational expenses have deepened profitability issues for The City Hotel. </w:t>
      </w:r>
      <w:r w:rsidR="003716E5">
        <w:t>Labour</w:t>
      </w:r>
      <w:r w:rsidRPr="007B05E7">
        <w:t xml:space="preserve"> costs, a major expenditure for hotels, have surged due to wage inflation linked to </w:t>
      </w:r>
      <w:r w:rsidR="00D95F2C" w:rsidRPr="007B05E7">
        <w:t>labour</w:t>
      </w:r>
      <w:r w:rsidRPr="007B05E7">
        <w:t xml:space="preserve"> shortages in the recovery period post-pandemic</w:t>
      </w:r>
      <w:r w:rsidR="00D95F2C">
        <w:t xml:space="preserve"> (</w:t>
      </w:r>
      <w:proofErr w:type="spellStart"/>
      <w:r w:rsidR="00D95F2C" w:rsidRPr="0020537C">
        <w:t>Cascaldi</w:t>
      </w:r>
      <w:proofErr w:type="spellEnd"/>
      <w:r w:rsidR="00D95F2C" w:rsidRPr="0020537C">
        <w:t xml:space="preserve">-Garcia, </w:t>
      </w:r>
      <w:r w:rsidR="00D95F2C">
        <w:t>et al. 2023)</w:t>
      </w:r>
      <w:r w:rsidRPr="007B05E7">
        <w:t xml:space="preserve">. This issue </w:t>
      </w:r>
      <w:r w:rsidRPr="007B05E7">
        <w:lastRenderedPageBreak/>
        <w:t xml:space="preserve">has been felt worldwide, as the industry struggles to recruit and retain skilled employees. The hotel’s payroll, which was £1.77 million in 2022, only decreased modestly to £1.23 million by 2023, showcasing this challenge. Additionally, the maintenance costs of </w:t>
      </w:r>
      <w:r w:rsidR="006155AB">
        <w:t>ageing</w:t>
      </w:r>
      <w:r w:rsidRPr="007B05E7">
        <w:t xml:space="preserve"> infrastructure have risen, further impacted by inflation affecting supply and service prices. Overhead costs, particularly energy expenses, have also increased due to supply chain disruptions and rising fuel prices driven by global tensions</w:t>
      </w:r>
      <w:r w:rsidR="00D95F2C">
        <w:t xml:space="preserve"> (</w:t>
      </w:r>
      <w:r w:rsidR="00D95F2C" w:rsidRPr="0020537C">
        <w:t>Guan</w:t>
      </w:r>
      <w:r w:rsidR="00D95F2C">
        <w:t>, et al. 2023)</w:t>
      </w:r>
      <w:r w:rsidRPr="007B05E7">
        <w:t>. These ongoing high costs, without an equivalent increase in revenue, have led to significant operating losses, as evidenced by the negative -50% operating profit margin in 2023.</w:t>
      </w:r>
    </w:p>
    <w:p w14:paraId="74277E00" w14:textId="77777777" w:rsidR="00D95F2C" w:rsidRDefault="00D95F2C">
      <w:pPr>
        <w:spacing w:after="160" w:line="259" w:lineRule="auto"/>
        <w:jc w:val="left"/>
        <w:rPr>
          <w:b/>
          <w:bCs/>
        </w:rPr>
      </w:pPr>
      <w:r>
        <w:rPr>
          <w:b/>
          <w:bCs/>
        </w:rPr>
        <w:br w:type="page"/>
      </w:r>
    </w:p>
    <w:p w14:paraId="136A43D4" w14:textId="55599B94" w:rsidR="007B05E7" w:rsidRDefault="00D95F2C" w:rsidP="007B05E7">
      <w:pPr>
        <w:rPr>
          <w:b/>
          <w:bCs/>
        </w:rPr>
      </w:pPr>
      <w:r>
        <w:rPr>
          <w:b/>
          <w:bCs/>
          <w:noProof/>
          <w:lang w:val="en-US"/>
        </w:rPr>
        <w:lastRenderedPageBreak/>
        <w:drawing>
          <wp:anchor distT="0" distB="0" distL="114300" distR="114300" simplePos="0" relativeHeight="251661312" behindDoc="0" locked="0" layoutInCell="1" allowOverlap="1" wp14:anchorId="5C81CFEE" wp14:editId="3A8B2295">
            <wp:simplePos x="0" y="0"/>
            <wp:positionH relativeFrom="column">
              <wp:posOffset>1606550</wp:posOffset>
            </wp:positionH>
            <wp:positionV relativeFrom="paragraph">
              <wp:posOffset>190500</wp:posOffset>
            </wp:positionV>
            <wp:extent cx="3067050" cy="2635250"/>
            <wp:effectExtent l="0" t="0" r="0" b="0"/>
            <wp:wrapSquare wrapText="bothSides"/>
            <wp:docPr id="13940217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4925"/>
                    <a:stretch/>
                  </pic:blipFill>
                  <pic:spPr bwMode="auto">
                    <a:xfrm>
                      <a:off x="0" y="0"/>
                      <a:ext cx="3067050" cy="2635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05E7" w:rsidRPr="007B05E7">
        <w:rPr>
          <w:b/>
          <w:bCs/>
        </w:rPr>
        <w:t>Supply and Demand Dynamics</w:t>
      </w:r>
    </w:p>
    <w:p w14:paraId="45ABA1BC" w14:textId="37932228" w:rsidR="005A5501" w:rsidRPr="007B05E7" w:rsidRDefault="005A5501" w:rsidP="007B05E7">
      <w:pPr>
        <w:rPr>
          <w:b/>
          <w:bCs/>
        </w:rPr>
      </w:pPr>
    </w:p>
    <w:p w14:paraId="517A7759" w14:textId="5C19658C" w:rsidR="005A5501" w:rsidRDefault="005A5501" w:rsidP="007B05E7"/>
    <w:p w14:paraId="02630C8A" w14:textId="77777777" w:rsidR="005A5501" w:rsidRDefault="005A5501" w:rsidP="007B05E7"/>
    <w:p w14:paraId="5F814D61" w14:textId="77777777" w:rsidR="005A5501" w:rsidRDefault="005A5501" w:rsidP="007B05E7"/>
    <w:p w14:paraId="69FF1DD7" w14:textId="77777777" w:rsidR="005A5501" w:rsidRDefault="005A5501" w:rsidP="007B05E7"/>
    <w:p w14:paraId="64115671" w14:textId="77777777" w:rsidR="005A5501" w:rsidRDefault="005A5501" w:rsidP="007B05E7"/>
    <w:p w14:paraId="69C81F1E" w14:textId="77777777" w:rsidR="005A5501" w:rsidRDefault="005A5501" w:rsidP="007B05E7"/>
    <w:p w14:paraId="749D0FE5" w14:textId="77777777" w:rsidR="005A5501" w:rsidRDefault="005A5501" w:rsidP="007B05E7"/>
    <w:p w14:paraId="3326C5ED" w14:textId="77777777" w:rsidR="005A5501" w:rsidRDefault="005A5501" w:rsidP="007B05E7"/>
    <w:p w14:paraId="714F9AC0" w14:textId="77777777" w:rsidR="00D95F2C" w:rsidRDefault="00D95F2C" w:rsidP="007B05E7"/>
    <w:p w14:paraId="1BDE4CC1" w14:textId="7869692A" w:rsidR="00D95F2C" w:rsidRDefault="00D95F2C" w:rsidP="00D95F2C">
      <w:pPr>
        <w:pStyle w:val="Caption"/>
        <w:jc w:val="center"/>
      </w:pPr>
      <w:r>
        <w:t xml:space="preserve">Figure </w:t>
      </w:r>
      <w:fldSimple w:instr=" SEQ Figure \* ARABIC ">
        <w:r w:rsidR="00AB5CE8">
          <w:rPr>
            <w:noProof/>
          </w:rPr>
          <w:t>3</w:t>
        </w:r>
      </w:fldSimple>
      <w:r>
        <w:t xml:space="preserve">: Supply and Demand Dynamics </w:t>
      </w:r>
      <w:r w:rsidRPr="00D95F2C">
        <w:t>(Ansari, 2023)</w:t>
      </w:r>
    </w:p>
    <w:p w14:paraId="6EB8DCFA" w14:textId="71BFBDF6" w:rsidR="007B05E7" w:rsidRPr="007B05E7" w:rsidRDefault="007B05E7" w:rsidP="007B05E7">
      <w:r w:rsidRPr="007B05E7">
        <w:t>The balance between supply and demand is critical for determining occupancy levels and room rates in the hotel industry. Increased competition from new hotel chains and platforms like Airbnb has shifted the demand curve leftward, indicating reduced demand at former price points and resulting in lower room rates and occupancy</w:t>
      </w:r>
      <w:r w:rsidR="00334129">
        <w:t xml:space="preserve"> (</w:t>
      </w:r>
      <w:proofErr w:type="spellStart"/>
      <w:r w:rsidR="00334129" w:rsidRPr="0020537C">
        <w:t>Farronato</w:t>
      </w:r>
      <w:proofErr w:type="spellEnd"/>
      <w:r w:rsidR="00334129" w:rsidRPr="0020537C">
        <w:t xml:space="preserve"> and Fradkin</w:t>
      </w:r>
      <w:r w:rsidR="00334129">
        <w:t>, 2022)</w:t>
      </w:r>
      <w:r w:rsidRPr="007B05E7">
        <w:t xml:space="preserve">. </w:t>
      </w:r>
      <w:r w:rsidR="009800A4" w:rsidRPr="009800A4">
        <w:t>In the case of The City Hotel</w:t>
      </w:r>
      <w:r w:rsidR="009800A4">
        <w:t>,</w:t>
      </w:r>
      <w:r w:rsidR="009800A4" w:rsidRPr="009800A4">
        <w:t xml:space="preserve"> it has meant a challenge of sustaining relative levels of predictable average room rates. That is because after the pandemic, the market has changed tourists’ expectations, and they now are interested only in cheap and flexible offers with a focus on safety. Inflation and energy </w:t>
      </w:r>
      <w:r w:rsidR="009800A4">
        <w:t>prices</w:t>
      </w:r>
      <w:r w:rsidR="009800A4" w:rsidRPr="009800A4">
        <w:t xml:space="preserve"> </w:t>
      </w:r>
      <w:proofErr w:type="gramStart"/>
      <w:r w:rsidR="009800A4" w:rsidRPr="009800A4">
        <w:t>as a result of</w:t>
      </w:r>
      <w:proofErr w:type="gramEnd"/>
      <w:r w:rsidR="009800A4" w:rsidRPr="009800A4">
        <w:t xml:space="preserve"> Geopolitical risks, including the</w:t>
      </w:r>
      <w:r w:rsidR="00B74A26">
        <w:t xml:space="preserve"> Russian-Ukraine crisis</w:t>
      </w:r>
      <w:r w:rsidR="009800A4" w:rsidRPr="009800A4">
        <w:t xml:space="preserve"> have also reduced spending on leisure </w:t>
      </w:r>
      <w:r w:rsidR="009800A4">
        <w:t>travelling</w:t>
      </w:r>
      <w:r w:rsidR="009800A4" w:rsidRPr="009800A4">
        <w:t xml:space="preserve">. Consequently, the existing room capacity in The City Hotel has been far from </w:t>
      </w:r>
      <w:r w:rsidR="009800A4">
        <w:t>several</w:t>
      </w:r>
      <w:r w:rsidR="009800A4" w:rsidRPr="009800A4">
        <w:t xml:space="preserve"> bookings, affecting revenue per available room, and profitability. Solving this requires positions and service concepts in tune with the emerging market and </w:t>
      </w:r>
      <w:r w:rsidR="009800A4">
        <w:t>is</w:t>
      </w:r>
      <w:r w:rsidR="009800A4" w:rsidRPr="009800A4">
        <w:t xml:space="preserve"> unique</w:t>
      </w:r>
      <w:r w:rsidRPr="007B05E7">
        <w:t>.</w:t>
      </w:r>
    </w:p>
    <w:p w14:paraId="1EEC7BFA" w14:textId="1C6D078A" w:rsidR="005A5501" w:rsidRPr="005A5501" w:rsidRDefault="001F50D4" w:rsidP="001F50D4">
      <w:pPr>
        <w:pStyle w:val="Heading1"/>
      </w:pPr>
      <w:bookmarkStart w:id="3" w:name="_Toc182010734"/>
      <w:r>
        <w:t xml:space="preserve">4. </w:t>
      </w:r>
      <w:r w:rsidR="005A5501" w:rsidRPr="005A5501">
        <w:t>Comprehensive Turnaround Strategies for The City Hotel</w:t>
      </w:r>
      <w:bookmarkEnd w:id="3"/>
    </w:p>
    <w:p w14:paraId="715CF744" w14:textId="77777777" w:rsidR="005A5501" w:rsidRPr="00647292" w:rsidRDefault="005A5501" w:rsidP="005A5501">
      <w:pPr>
        <w:rPr>
          <w:b/>
          <w:bCs/>
          <w:color w:val="2E74B5" w:themeColor="accent5" w:themeShade="BF"/>
        </w:rPr>
      </w:pPr>
      <w:r w:rsidRPr="00647292">
        <w:rPr>
          <w:b/>
          <w:bCs/>
          <w:color w:val="2E74B5" w:themeColor="accent5" w:themeShade="BF"/>
        </w:rPr>
        <w:t>Marketing and Engagement Initiatives</w:t>
      </w:r>
    </w:p>
    <w:p w14:paraId="1686D68E" w14:textId="024C001D" w:rsidR="005A5501" w:rsidRPr="005A5501" w:rsidRDefault="005A5501" w:rsidP="005A5501">
      <w:r w:rsidRPr="005A5501">
        <w:rPr>
          <w:b/>
          <w:bCs/>
        </w:rPr>
        <w:t>Boosting Customer Engagement</w:t>
      </w:r>
      <w:r w:rsidRPr="005A5501">
        <w:t xml:space="preserve">: </w:t>
      </w:r>
      <w:r w:rsidR="0096473E">
        <w:t>Even though</w:t>
      </w:r>
      <w:r w:rsidR="00417F31" w:rsidRPr="00417F31">
        <w:t xml:space="preserve"> The City Hotel has a remarkable location, it is also important to understate that occupancy rates </w:t>
      </w:r>
      <w:r w:rsidR="00B74A26" w:rsidRPr="00417F31">
        <w:t>must</w:t>
      </w:r>
      <w:r w:rsidR="00417F31" w:rsidRPr="00417F31">
        <w:t xml:space="preserve"> be boosted and to accomplish this goal, customer loyalty </w:t>
      </w:r>
      <w:proofErr w:type="gramStart"/>
      <w:r w:rsidR="00417F31" w:rsidRPr="00417F31">
        <w:t>has to</w:t>
      </w:r>
      <w:proofErr w:type="gramEnd"/>
      <w:r w:rsidR="00417F31" w:rsidRPr="00417F31">
        <w:t xml:space="preserve"> be promoted and due to this, the hotel’s </w:t>
      </w:r>
      <w:r w:rsidR="00417F31" w:rsidRPr="00417F31">
        <w:lastRenderedPageBreak/>
        <w:t xml:space="preserve">targeted marketing campaigns which </w:t>
      </w:r>
      <w:r w:rsidR="007E14BF">
        <w:t>emphasises</w:t>
      </w:r>
      <w:r w:rsidR="00417F31" w:rsidRPr="00417F31">
        <w:t xml:space="preserve"> specific services and guest-oriented approach have to be initiated. Through the continued use of websites and social media plus email newsletters, the hotel brand can increase its visibility (Kumar, 2021). Direct mail offers, club memberships or affiliation rewards, joint venturing with local companies and organi</w:t>
      </w:r>
      <w:r w:rsidR="007E14BF">
        <w:t>s</w:t>
      </w:r>
      <w:r w:rsidR="00417F31" w:rsidRPr="00417F31">
        <w:t xml:space="preserve">ations, and discounts to become familiar to </w:t>
      </w:r>
      <w:r w:rsidR="00417F31">
        <w:t>travellers</w:t>
      </w:r>
      <w:r w:rsidR="00417F31" w:rsidRPr="00417F31">
        <w:t xml:space="preserve"> are among the ways that can create value and more business. To expand the audience, it is possible to use the experience of travel bloggers and continue to be as visible as possible on the most popular booking sites (</w:t>
      </w:r>
      <w:proofErr w:type="spellStart"/>
      <w:r w:rsidR="00417F31" w:rsidRPr="00417F31">
        <w:t>Bastrygina</w:t>
      </w:r>
      <w:proofErr w:type="spellEnd"/>
      <w:r w:rsidR="00417F31" w:rsidRPr="00417F31">
        <w:t>, et al. 2024)</w:t>
      </w:r>
      <w:r w:rsidRPr="005A5501">
        <w:t>.</w:t>
      </w:r>
    </w:p>
    <w:p w14:paraId="4DE1B9F6" w14:textId="77777777" w:rsidR="005A5501" w:rsidRPr="00647292" w:rsidRDefault="005A5501" w:rsidP="005A5501">
      <w:pPr>
        <w:rPr>
          <w:b/>
          <w:bCs/>
          <w:color w:val="2E74B5" w:themeColor="accent5" w:themeShade="BF"/>
        </w:rPr>
      </w:pPr>
      <w:r w:rsidRPr="00647292">
        <w:rPr>
          <w:b/>
          <w:bCs/>
          <w:color w:val="2E74B5" w:themeColor="accent5" w:themeShade="BF"/>
        </w:rPr>
        <w:t>Revenue Management and Pricing Adjustments</w:t>
      </w:r>
    </w:p>
    <w:p w14:paraId="67A7EAEE" w14:textId="36C1E7DF" w:rsidR="005A5501" w:rsidRPr="005A5501" w:rsidRDefault="005A5501" w:rsidP="005A5501">
      <w:r w:rsidRPr="005A5501">
        <w:rPr>
          <w:b/>
          <w:bCs/>
        </w:rPr>
        <w:t>Dynamic Pricing Implementation</w:t>
      </w:r>
      <w:r w:rsidRPr="005A5501">
        <w:t xml:space="preserve">: </w:t>
      </w:r>
      <w:r w:rsidR="002649D8" w:rsidRPr="002649D8">
        <w:t>Having an opportunity to set a price that will help react to the current conditions depends on the number of clients is vital for dynamics. This concerns changing the room rates with forecasts of demand, the busy periods, and comparing with competitor rates</w:t>
      </w:r>
      <w:r w:rsidR="00BA51C5">
        <w:t xml:space="preserve"> (</w:t>
      </w:r>
      <w:r w:rsidR="00BA51C5" w:rsidRPr="00E1791E">
        <w:t>Seal</w:t>
      </w:r>
      <w:r w:rsidR="00BA51C5">
        <w:t>, 2019)</w:t>
      </w:r>
      <w:r w:rsidR="002649D8" w:rsidRPr="002649D8">
        <w:t>. Implementing these strategies can enhance such fluctuations to enable the pricing strategies to remain competitive enough, while at the same time, delivering suitable revenues (Hayes, et al.2021). Besides, various price points that customers would be willing to pay for other restricted services or packages will improve overall room sales.</w:t>
      </w:r>
    </w:p>
    <w:p w14:paraId="2FECA120" w14:textId="69378740" w:rsidR="005A5501" w:rsidRPr="00647292" w:rsidRDefault="005A5501" w:rsidP="005A5501">
      <w:pPr>
        <w:rPr>
          <w:b/>
          <w:bCs/>
          <w:color w:val="2E74B5" w:themeColor="accent5" w:themeShade="BF"/>
        </w:rPr>
      </w:pPr>
      <w:r w:rsidRPr="00647292">
        <w:rPr>
          <w:b/>
          <w:bCs/>
          <w:color w:val="2E74B5" w:themeColor="accent5" w:themeShade="BF"/>
        </w:rPr>
        <w:t>Operational and Cost Efficiency</w:t>
      </w:r>
    </w:p>
    <w:p w14:paraId="79AC6401" w14:textId="3101D854" w:rsidR="00CE3E4F" w:rsidRPr="00CE3E4F" w:rsidRDefault="00CE3E4F" w:rsidP="00CE3E4F">
      <w:r w:rsidRPr="00CE3E4F">
        <w:rPr>
          <w:b/>
          <w:bCs/>
        </w:rPr>
        <w:t>Expense Management and Reduction:</w:t>
      </w:r>
      <w:r w:rsidRPr="00CE3E4F">
        <w:t xml:space="preserve"> Overcoming this problem requires</w:t>
      </w:r>
      <w:r>
        <w:t>,</w:t>
      </w:r>
      <w:r w:rsidRPr="00CE3E4F">
        <w:t xml:space="preserve"> </w:t>
      </w:r>
      <w:proofErr w:type="gramStart"/>
      <w:r w:rsidRPr="00CE3E4F">
        <w:t>first of all</w:t>
      </w:r>
      <w:proofErr w:type="gramEnd"/>
      <w:r w:rsidRPr="00CE3E4F">
        <w:t xml:space="preserve">, an analysis of options to reduce costs in the course of operations. The owners can contact suppliers for better rates than </w:t>
      </w:r>
      <w:r w:rsidR="00665408">
        <w:t xml:space="preserve">the </w:t>
      </w:r>
      <w:r>
        <w:t>previously</w:t>
      </w:r>
      <w:r w:rsidRPr="00CE3E4F">
        <w:t xml:space="preserve"> agreed amount and the use of energy-efficient equipment including but not limited to LED lighting and smart thermostats also helps </w:t>
      </w:r>
      <w:r>
        <w:t xml:space="preserve">a </w:t>
      </w:r>
      <w:r w:rsidRPr="00CE3E4F">
        <w:t xml:space="preserve">lot in controlling the overhead expenses. It is often observed that </w:t>
      </w:r>
      <w:r w:rsidR="00665408">
        <w:t xml:space="preserve">by </w:t>
      </w:r>
      <w:r w:rsidRPr="00CE3E4F">
        <w:t>staffing in accord with occupancy</w:t>
      </w:r>
      <w:r>
        <w:t>,</w:t>
      </w:r>
      <w:r w:rsidRPr="00CE3E4F">
        <w:t xml:space="preserve"> this tactic can be used to manage labour costs without compromising the guests’ experiences.</w:t>
      </w:r>
    </w:p>
    <w:p w14:paraId="009BED31" w14:textId="0529F3CE" w:rsidR="005A5501" w:rsidRPr="005A5501" w:rsidRDefault="00CE3E4F" w:rsidP="00CE3E4F">
      <w:r w:rsidRPr="00CE3E4F">
        <w:rPr>
          <w:b/>
          <w:bCs/>
        </w:rPr>
        <w:t>Improving Process Efficiency:</w:t>
      </w:r>
      <w:r w:rsidRPr="00CE3E4F">
        <w:t xml:space="preserve"> Improving the working processes in properties with the help of property management systems (PMS) can simplify the administrative work such as reservations and </w:t>
      </w:r>
      <w:r w:rsidR="00B74A26" w:rsidRPr="00CE3E4F">
        <w:t>registration and</w:t>
      </w:r>
      <w:r w:rsidRPr="00CE3E4F">
        <w:t xml:space="preserve"> leave the personnel for performing the direct guest contact (</w:t>
      </w:r>
      <w:proofErr w:type="spellStart"/>
      <w:r w:rsidRPr="00CE3E4F">
        <w:t>Zarrad</w:t>
      </w:r>
      <w:proofErr w:type="spellEnd"/>
      <w:r w:rsidRPr="00CE3E4F">
        <w:t>, 2024). This is particularly important as it can guarantee that the standardi</w:t>
      </w:r>
      <w:r w:rsidR="007E14BF">
        <w:t>s</w:t>
      </w:r>
      <w:r w:rsidRPr="00CE3E4F">
        <w:t>ed service will be maintained, and, as a result, productivity will enhance.</w:t>
      </w:r>
    </w:p>
    <w:p w14:paraId="7C2B72DA" w14:textId="77777777" w:rsidR="00CE3E4F" w:rsidRDefault="00CE3E4F">
      <w:pPr>
        <w:spacing w:after="160" w:line="259" w:lineRule="auto"/>
        <w:jc w:val="left"/>
        <w:rPr>
          <w:b/>
          <w:bCs/>
          <w:color w:val="2E74B5" w:themeColor="accent5" w:themeShade="BF"/>
        </w:rPr>
      </w:pPr>
      <w:r>
        <w:rPr>
          <w:b/>
          <w:bCs/>
          <w:color w:val="2E74B5" w:themeColor="accent5" w:themeShade="BF"/>
        </w:rPr>
        <w:br w:type="page"/>
      </w:r>
    </w:p>
    <w:p w14:paraId="024C726A" w14:textId="77777777" w:rsidR="005A5501" w:rsidRPr="00647292" w:rsidRDefault="005A5501" w:rsidP="005A5501">
      <w:pPr>
        <w:rPr>
          <w:b/>
          <w:bCs/>
          <w:color w:val="2E74B5" w:themeColor="accent5" w:themeShade="BF"/>
        </w:rPr>
      </w:pPr>
      <w:r w:rsidRPr="00647292">
        <w:rPr>
          <w:b/>
          <w:bCs/>
          <w:color w:val="2E74B5" w:themeColor="accent5" w:themeShade="BF"/>
        </w:rPr>
        <w:lastRenderedPageBreak/>
        <w:t>Diversified Offerings and Innovation</w:t>
      </w:r>
    </w:p>
    <w:p w14:paraId="49CDF904" w14:textId="2C75FA01" w:rsidR="005A5501" w:rsidRPr="005A5501" w:rsidRDefault="005A5501" w:rsidP="005A5501">
      <w:r w:rsidRPr="005A5501">
        <w:rPr>
          <w:b/>
          <w:bCs/>
        </w:rPr>
        <w:t>New Revenue Streams</w:t>
      </w:r>
      <w:r w:rsidRPr="005A5501">
        <w:t xml:space="preserve">: </w:t>
      </w:r>
      <w:r w:rsidR="0096473E">
        <w:t>To improve</w:t>
      </w:r>
      <w:r w:rsidR="0096473E" w:rsidRPr="0096473E">
        <w:t xml:space="preserve"> financial stability, which is the second strategic rationale for change, The City Hotel can utilise existing premises for holding wedding ceremonies, conferences, and any </w:t>
      </w:r>
      <w:r w:rsidR="0096473E">
        <w:t>kind</w:t>
      </w:r>
      <w:r w:rsidR="0096473E" w:rsidRPr="0096473E">
        <w:t xml:space="preserve"> of parties. A range of services and products, including co-branded tours and products such as guided culinary tours are evident to expand the hotel service portfolio (Fyall, et al. 2022). Without </w:t>
      </w:r>
      <w:r w:rsidR="0096473E">
        <w:t xml:space="preserve">a </w:t>
      </w:r>
      <w:r w:rsidR="0096473E" w:rsidRPr="0096473E">
        <w:t xml:space="preserve">doubt, temporary themed stays or wellness packages can be specifically targeted at niche segments and offer </w:t>
      </w:r>
      <w:r w:rsidR="0096473E">
        <w:t xml:space="preserve">a </w:t>
      </w:r>
      <w:r w:rsidR="0096473E" w:rsidRPr="0096473E">
        <w:t>competitive advantage over rivals.</w:t>
      </w:r>
    </w:p>
    <w:p w14:paraId="7DD6E43F" w14:textId="77777777" w:rsidR="005A5501" w:rsidRPr="00647292" w:rsidRDefault="005A5501" w:rsidP="005A5501">
      <w:pPr>
        <w:rPr>
          <w:b/>
          <w:bCs/>
          <w:color w:val="2E74B5" w:themeColor="accent5" w:themeShade="BF"/>
        </w:rPr>
      </w:pPr>
      <w:r w:rsidRPr="00647292">
        <w:rPr>
          <w:b/>
          <w:bCs/>
          <w:color w:val="2E74B5" w:themeColor="accent5" w:themeShade="BF"/>
        </w:rPr>
        <w:t>Performance Monitoring and Continuous Improvement</w:t>
      </w:r>
    </w:p>
    <w:p w14:paraId="37FF34E8" w14:textId="16D4566E" w:rsidR="005A5501" w:rsidRPr="005A5501" w:rsidRDefault="005A5501" w:rsidP="005A5501">
      <w:r w:rsidRPr="005A5501">
        <w:rPr>
          <w:b/>
          <w:bCs/>
        </w:rPr>
        <w:t>Strategic Monitoring</w:t>
      </w:r>
      <w:r w:rsidRPr="005A5501">
        <w:t xml:space="preserve">: </w:t>
      </w:r>
      <w:r w:rsidR="0096473E" w:rsidRPr="0096473E">
        <w:t xml:space="preserve">This means that the two components should constantly be checked to determine the state of his/her entire financial status besides the goings on in his/her operations. With the help of KPIs such as RevPAR (Revenue per Available Room), </w:t>
      </w:r>
      <w:r w:rsidR="0096473E">
        <w:t xml:space="preserve">and </w:t>
      </w:r>
      <w:r w:rsidR="0096473E" w:rsidRPr="0096473E">
        <w:t>GOPPAR (Gross Operating Profit per Available Room), customer satisfaction ratings will also give clear feedback</w:t>
      </w:r>
      <w:r w:rsidR="0096473E">
        <w:t xml:space="preserve"> </w:t>
      </w:r>
      <w:r w:rsidR="0096473E" w:rsidRPr="0096473E">
        <w:t xml:space="preserve">(Zhang, 2024). Such assessment in conjunction with the competitor analysis and the feedback received will determine necessary changes in the figures so that it be done quarterly. With the help of the business intelligence tools, we can work faster with the management and decisions of daily operations and </w:t>
      </w:r>
      <w:r w:rsidR="0096473E">
        <w:t>requirements</w:t>
      </w:r>
      <w:r w:rsidR="0096473E" w:rsidRPr="0096473E">
        <w:t xml:space="preserve"> of The City Hotel.</w:t>
      </w:r>
    </w:p>
    <w:p w14:paraId="62B9F7F4" w14:textId="6592A264" w:rsidR="00CC5493" w:rsidRDefault="00CC5493">
      <w:pPr>
        <w:spacing w:after="160" w:line="259" w:lineRule="auto"/>
        <w:jc w:val="left"/>
      </w:pPr>
      <w:r>
        <w:br w:type="page"/>
      </w:r>
    </w:p>
    <w:p w14:paraId="456CC2C0" w14:textId="6E6086E3" w:rsidR="007B05E7" w:rsidRDefault="001F50D4" w:rsidP="001F50D4">
      <w:pPr>
        <w:pStyle w:val="Heading1"/>
      </w:pPr>
      <w:bookmarkStart w:id="4" w:name="_Toc182010735"/>
      <w:r>
        <w:lastRenderedPageBreak/>
        <w:t xml:space="preserve">5. </w:t>
      </w:r>
      <w:r w:rsidR="00CC5493">
        <w:t>Conclusion</w:t>
      </w:r>
      <w:bookmarkEnd w:id="4"/>
    </w:p>
    <w:p w14:paraId="146BD7AF" w14:textId="5BB33C7B" w:rsidR="00CC5493" w:rsidRPr="007B05E7" w:rsidRDefault="0096473E" w:rsidP="007B05E7">
      <w:r w:rsidRPr="0096473E">
        <w:t>The challenges that the City Hotel faced during the last three years are the main reasons for efficiency decrease and poor financial results, characteri</w:t>
      </w:r>
      <w:r w:rsidR="007E14BF">
        <w:t>s</w:t>
      </w:r>
      <w:r w:rsidRPr="0096473E">
        <w:t>ed by the low revenue, high level of debt, and poor organi</w:t>
      </w:r>
      <w:r w:rsidR="007E14BF">
        <w:t>s</w:t>
      </w:r>
      <w:r w:rsidRPr="0096473E">
        <w:t xml:space="preserve">ational efficiency. Other exogenous factors, including </w:t>
      </w:r>
      <w:r>
        <w:t xml:space="preserve">the </w:t>
      </w:r>
      <w:r w:rsidRPr="0096473E">
        <w:t xml:space="preserve">Olympics and other disturbances in the economy, inflation, and increased competition, have continued to impact profitability negatively. Nonetheless, it is apparent that there is still room for gain through </w:t>
      </w:r>
      <w:r w:rsidR="009666FF">
        <w:t xml:space="preserve">the </w:t>
      </w:r>
      <w:r w:rsidRPr="0096473E">
        <w:t>strategic development of effective dynamic pricing and marketing strategies, cost containment and an improved focus towards customers. Expanding the facilities offered could bring in more clients, and strategic collaborations will offer a new base of customers for the hotel, while constant evaluation of the hotel operations will help maintain consumer satisfaction and keep relevant to the market</w:t>
      </w:r>
      <w:r w:rsidR="00CC5493" w:rsidRPr="00CC5493">
        <w:t xml:space="preserve">. </w:t>
      </w:r>
    </w:p>
    <w:p w14:paraId="54199920" w14:textId="4CFFC508" w:rsidR="00CC5493" w:rsidRDefault="00CC5493">
      <w:pPr>
        <w:spacing w:after="160" w:line="259" w:lineRule="auto"/>
        <w:jc w:val="left"/>
      </w:pPr>
      <w:r>
        <w:br w:type="page"/>
      </w:r>
    </w:p>
    <w:p w14:paraId="0B36A278" w14:textId="4F6EE909" w:rsidR="00CC5493" w:rsidRDefault="001F50D4" w:rsidP="001F50D4">
      <w:pPr>
        <w:pStyle w:val="Heading1"/>
      </w:pPr>
      <w:bookmarkStart w:id="5" w:name="_Toc182010736"/>
      <w:r>
        <w:lastRenderedPageBreak/>
        <w:t xml:space="preserve">6. </w:t>
      </w:r>
      <w:r w:rsidR="00CC5493">
        <w:t>Reference</w:t>
      </w:r>
      <w:bookmarkEnd w:id="5"/>
      <w:r w:rsidR="00CC5493">
        <w:t xml:space="preserve"> </w:t>
      </w:r>
    </w:p>
    <w:p w14:paraId="0CE8D98D" w14:textId="0CEC06E4" w:rsidR="00F6498A" w:rsidRPr="00026049" w:rsidRDefault="00F6498A" w:rsidP="00026049">
      <w:pPr>
        <w:spacing w:after="160" w:line="276" w:lineRule="auto"/>
      </w:pPr>
      <w:r w:rsidRPr="00026049">
        <w:t xml:space="preserve">Ansari, S. (2023). </w:t>
      </w:r>
      <w:r w:rsidRPr="00026049">
        <w:rPr>
          <w:i/>
          <w:iCs/>
        </w:rPr>
        <w:t>Supply and Demand Curves Explained</w:t>
      </w:r>
      <w:r w:rsidRPr="00026049">
        <w:t xml:space="preserve">. [online] Economics Online. Available at: </w:t>
      </w:r>
      <w:hyperlink r:id="rId13" w:history="1">
        <w:r w:rsidR="007F3FE5" w:rsidRPr="00DA4C3A">
          <w:rPr>
            <w:rStyle w:val="Hyperlink"/>
          </w:rPr>
          <w:t>https://www.economicsonline.co.uk/competitive_markets/supply-and-demand-curves-explained.html/</w:t>
        </w:r>
      </w:hyperlink>
      <w:r w:rsidR="007F3FE5">
        <w:t xml:space="preserve"> </w:t>
      </w:r>
      <w:r w:rsidR="0094169D">
        <w:t>(</w:t>
      </w:r>
      <w:r w:rsidRPr="00026049">
        <w:t>Accessed 9 Nov. 2024</w:t>
      </w:r>
      <w:r w:rsidR="0094169D">
        <w:t>)</w:t>
      </w:r>
      <w:r w:rsidRPr="00026049">
        <w:t>.</w:t>
      </w:r>
    </w:p>
    <w:p w14:paraId="5BEEB29D" w14:textId="3B74369F" w:rsidR="00F6498A" w:rsidRPr="00026049" w:rsidRDefault="00F6498A" w:rsidP="00026049">
      <w:pPr>
        <w:spacing w:after="160" w:line="276" w:lineRule="auto"/>
      </w:pPr>
      <w:proofErr w:type="spellStart"/>
      <w:r w:rsidRPr="00026049">
        <w:t>Bastrygina</w:t>
      </w:r>
      <w:proofErr w:type="spellEnd"/>
      <w:r w:rsidRPr="00026049">
        <w:t xml:space="preserve">, T., Lim, W.M., Jopp, R. and Weissmann, M.A. (2024). </w:t>
      </w:r>
      <w:proofErr w:type="spellStart"/>
      <w:r w:rsidRPr="00026049">
        <w:t>Unraveling</w:t>
      </w:r>
      <w:proofErr w:type="spellEnd"/>
      <w:r w:rsidRPr="00026049">
        <w:t xml:space="preserve"> the power of social media influencers: Qualitative insights into the role of Instagram influencers in the hospitality and tourism industry. </w:t>
      </w:r>
      <w:r w:rsidRPr="00026049">
        <w:rPr>
          <w:i/>
          <w:iCs/>
        </w:rPr>
        <w:t>Journal of Hospitality and Tourism Management</w:t>
      </w:r>
      <w:r w:rsidRPr="00026049">
        <w:t>, </w:t>
      </w:r>
      <w:r w:rsidRPr="00026049">
        <w:rPr>
          <w:i/>
          <w:iCs/>
        </w:rPr>
        <w:t>58</w:t>
      </w:r>
      <w:r w:rsidRPr="00026049">
        <w:t>, pp.214-243.</w:t>
      </w:r>
      <w:r w:rsidR="007F3FE5">
        <w:t xml:space="preserve"> Available at: </w:t>
      </w:r>
      <w:hyperlink r:id="rId14" w:history="1">
        <w:r w:rsidR="007F3FE5" w:rsidRPr="00DA4C3A">
          <w:rPr>
            <w:rStyle w:val="Hyperlink"/>
          </w:rPr>
          <w:t>https://www.sciencedirect.com/science/article/pii/S144767702400007X</w:t>
        </w:r>
      </w:hyperlink>
      <w:r w:rsidR="007F3FE5">
        <w:t xml:space="preserve">. </w:t>
      </w:r>
    </w:p>
    <w:p w14:paraId="6F471A4F" w14:textId="565748C4" w:rsidR="00F6498A" w:rsidRPr="00026049" w:rsidRDefault="00F6498A" w:rsidP="00026049">
      <w:pPr>
        <w:spacing w:after="160" w:line="276" w:lineRule="auto"/>
        <w:rPr>
          <w:i/>
          <w:iCs/>
        </w:rPr>
      </w:pPr>
      <w:r w:rsidRPr="00026049">
        <w:t>Bauer, I.L. (2021). Healthy, safe and responsible: the modern female traveller. </w:t>
      </w:r>
      <w:r w:rsidRPr="00026049">
        <w:rPr>
          <w:i/>
          <w:iCs/>
        </w:rPr>
        <w:t>Tropical diseases, travel medicine and vaccines</w:t>
      </w:r>
      <w:r w:rsidRPr="00026049">
        <w:t>, </w:t>
      </w:r>
      <w:r w:rsidRPr="00026049">
        <w:rPr>
          <w:i/>
          <w:iCs/>
        </w:rPr>
        <w:t>7</w:t>
      </w:r>
      <w:r w:rsidRPr="00026049">
        <w:t>(1), p.14.</w:t>
      </w:r>
      <w:r w:rsidR="007F3FE5">
        <w:t xml:space="preserve"> Available at: </w:t>
      </w:r>
      <w:hyperlink r:id="rId15" w:history="1">
        <w:r w:rsidR="007F3FE5" w:rsidRPr="00DA4C3A">
          <w:rPr>
            <w:rStyle w:val="Hyperlink"/>
          </w:rPr>
          <w:t>https://link.springer.com/article/10.1186/s40794-021-00141-7</w:t>
        </w:r>
      </w:hyperlink>
      <w:r w:rsidR="007F3FE5">
        <w:t xml:space="preserve"> </w:t>
      </w:r>
    </w:p>
    <w:p w14:paraId="15C92A69" w14:textId="12747BDC" w:rsidR="00F6498A" w:rsidRPr="00026049" w:rsidRDefault="00F6498A" w:rsidP="00026049">
      <w:pPr>
        <w:spacing w:after="160" w:line="276" w:lineRule="auto"/>
      </w:pPr>
      <w:proofErr w:type="spellStart"/>
      <w:r w:rsidRPr="00026049">
        <w:t>Cascaldi</w:t>
      </w:r>
      <w:proofErr w:type="spellEnd"/>
      <w:r w:rsidRPr="00026049">
        <w:t xml:space="preserve">-Garcia, D., Orak, M. and </w:t>
      </w:r>
      <w:proofErr w:type="spellStart"/>
      <w:r w:rsidRPr="00026049">
        <w:t>Saijid</w:t>
      </w:r>
      <w:proofErr w:type="spellEnd"/>
      <w:r w:rsidRPr="00026049">
        <w:t>, Z. (2023). Drivers of post-pandemic inflation in selected advanced economies and implications for the outlook.</w:t>
      </w:r>
      <w:r w:rsidR="007F3FE5">
        <w:t xml:space="preserve"> Available at: </w:t>
      </w:r>
      <w:hyperlink r:id="rId16" w:history="1">
        <w:r w:rsidR="007F3FE5" w:rsidRPr="00DA4C3A">
          <w:rPr>
            <w:rStyle w:val="Hyperlink"/>
          </w:rPr>
          <w:t>https://www.federalreserve.gov/econres/notes/feds-notes/drivers-of-post-pandemic-inflation-in-selected-advanced-economies-and-implications-for-the-outlook-20230113.html</w:t>
        </w:r>
      </w:hyperlink>
      <w:r w:rsidR="007F3FE5">
        <w:t xml:space="preserve"> </w:t>
      </w:r>
    </w:p>
    <w:p w14:paraId="616CAC39" w14:textId="1564D527" w:rsidR="00F6498A" w:rsidRPr="00026049" w:rsidRDefault="00F6498A" w:rsidP="00026049">
      <w:pPr>
        <w:spacing w:after="160" w:line="276" w:lineRule="auto"/>
      </w:pPr>
      <w:r w:rsidRPr="00026049">
        <w:t>Dallas, L.L. (2011). Short-termism, the financial crisis, and corporate governance. </w:t>
      </w:r>
      <w:r w:rsidRPr="00026049">
        <w:rPr>
          <w:i/>
          <w:iCs/>
        </w:rPr>
        <w:t>J. Corp. l.</w:t>
      </w:r>
      <w:r w:rsidRPr="00026049">
        <w:t>, </w:t>
      </w:r>
      <w:r w:rsidRPr="00026049">
        <w:rPr>
          <w:i/>
          <w:iCs/>
        </w:rPr>
        <w:t>37</w:t>
      </w:r>
      <w:r w:rsidRPr="00026049">
        <w:t>, p.265.</w:t>
      </w:r>
      <w:r w:rsidR="007F3FE5">
        <w:t xml:space="preserve"> Available at: </w:t>
      </w:r>
      <w:hyperlink r:id="rId17" w:history="1">
        <w:r w:rsidR="007F3FE5" w:rsidRPr="00DA4C3A">
          <w:rPr>
            <w:rStyle w:val="Hyperlink"/>
          </w:rPr>
          <w:t>https://heinonline.org/hol-cgi-bin/get_pdf.cgi?handle=hein.journals/jcorl37&amp;section=13</w:t>
        </w:r>
      </w:hyperlink>
      <w:r w:rsidR="007F3FE5">
        <w:t xml:space="preserve"> </w:t>
      </w:r>
    </w:p>
    <w:p w14:paraId="2117FBBF" w14:textId="1A4D8622" w:rsidR="00F6498A" w:rsidRPr="00F6498A" w:rsidRDefault="00F6498A" w:rsidP="00F6498A">
      <w:pPr>
        <w:spacing w:after="160" w:line="259" w:lineRule="auto"/>
        <w:jc w:val="left"/>
      </w:pPr>
      <w:r w:rsidRPr="00F6498A">
        <w:t>Drury, C. (2021) (11th Ed) Management and Cost Accounting, London, Prentice Hall.</w:t>
      </w:r>
      <w:r w:rsidR="007F3FE5">
        <w:t xml:space="preserve"> Available at: </w:t>
      </w:r>
      <w:hyperlink r:id="rId18" w:history="1">
        <w:r w:rsidR="007F3FE5" w:rsidRPr="00DA4C3A">
          <w:rPr>
            <w:rStyle w:val="Hyperlink"/>
          </w:rPr>
          <w:t>https://thuvienso.hoasen.edu.vn/handle/123456789/13085</w:t>
        </w:r>
      </w:hyperlink>
      <w:r w:rsidR="007F3FE5">
        <w:t xml:space="preserve">  </w:t>
      </w:r>
    </w:p>
    <w:p w14:paraId="30219D96" w14:textId="7147EE38" w:rsidR="00F6498A" w:rsidRPr="00026049" w:rsidRDefault="00F6498A" w:rsidP="00026049">
      <w:pPr>
        <w:spacing w:after="160" w:line="276" w:lineRule="auto"/>
      </w:pPr>
      <w:proofErr w:type="spellStart"/>
      <w:r w:rsidRPr="00026049">
        <w:t>Farronato</w:t>
      </w:r>
      <w:proofErr w:type="spellEnd"/>
      <w:r w:rsidRPr="00026049">
        <w:t>, C. and Fradkin, A. (2022). The welfare effects of peer entry: the case of Airbnb and the accommodation industry. </w:t>
      </w:r>
      <w:r w:rsidRPr="00026049">
        <w:rPr>
          <w:i/>
          <w:iCs/>
        </w:rPr>
        <w:t>American Economic Review</w:t>
      </w:r>
      <w:r w:rsidRPr="00026049">
        <w:t>, </w:t>
      </w:r>
      <w:r w:rsidRPr="00026049">
        <w:rPr>
          <w:i/>
          <w:iCs/>
        </w:rPr>
        <w:t>112</w:t>
      </w:r>
      <w:r w:rsidRPr="00026049">
        <w:t>(6), pp.1782-1817.</w:t>
      </w:r>
      <w:r w:rsidR="007F3FE5">
        <w:t xml:space="preserve"> </w:t>
      </w:r>
      <w:r w:rsidR="007F3FE5" w:rsidRPr="007F3FE5">
        <w:t>Available at:</w:t>
      </w:r>
      <w:r w:rsidR="007F3FE5">
        <w:t xml:space="preserve"> </w:t>
      </w:r>
      <w:hyperlink r:id="rId19" w:history="1">
        <w:r w:rsidR="007F3FE5" w:rsidRPr="00DA4C3A">
          <w:rPr>
            <w:rStyle w:val="Hyperlink"/>
          </w:rPr>
          <w:t>https://www.aeaweb.org/articles?id=10.1257/aer.20180260</w:t>
        </w:r>
      </w:hyperlink>
      <w:r w:rsidR="007F3FE5">
        <w:t xml:space="preserve"> </w:t>
      </w:r>
    </w:p>
    <w:p w14:paraId="14A75D1C" w14:textId="1CA7182A" w:rsidR="00F6498A" w:rsidRPr="00026049" w:rsidRDefault="00F6498A" w:rsidP="00026049">
      <w:pPr>
        <w:spacing w:after="160" w:line="276" w:lineRule="auto"/>
      </w:pPr>
      <w:r w:rsidRPr="00026049">
        <w:t xml:space="preserve">Fyall, A., Garrod, B., Leask, A. and </w:t>
      </w:r>
      <w:proofErr w:type="spellStart"/>
      <w:r w:rsidRPr="00026049">
        <w:t>Wanhill</w:t>
      </w:r>
      <w:proofErr w:type="spellEnd"/>
      <w:r w:rsidRPr="00026049">
        <w:t>, S. eds. (2022). </w:t>
      </w:r>
      <w:r w:rsidRPr="00026049">
        <w:rPr>
          <w:i/>
          <w:iCs/>
        </w:rPr>
        <w:t>Managing visitor attractions</w:t>
      </w:r>
      <w:r w:rsidRPr="00026049">
        <w:t>. London: Routledge.</w:t>
      </w:r>
      <w:r w:rsidR="007F3FE5">
        <w:t xml:space="preserve"> </w:t>
      </w:r>
      <w:r w:rsidR="007F3FE5" w:rsidRPr="007F3FE5">
        <w:t>Available at:</w:t>
      </w:r>
      <w:r w:rsidR="007F3FE5">
        <w:t xml:space="preserve"> </w:t>
      </w:r>
      <w:hyperlink r:id="rId20" w:history="1">
        <w:r w:rsidR="007F3FE5" w:rsidRPr="00DA4C3A">
          <w:rPr>
            <w:rStyle w:val="Hyperlink"/>
          </w:rPr>
          <w:t>https://api.taylorfrancis.com/content/books/mono/download?identifierName=doi&amp;identifierValue=10.4324/9781003041948&amp;type=googlepdf</w:t>
        </w:r>
      </w:hyperlink>
      <w:r w:rsidR="007F3FE5">
        <w:t xml:space="preserve"> </w:t>
      </w:r>
    </w:p>
    <w:p w14:paraId="73ABB7F0" w14:textId="2A555657" w:rsidR="00F6498A" w:rsidRPr="00026049" w:rsidRDefault="00F6498A" w:rsidP="00026049">
      <w:pPr>
        <w:spacing w:after="160" w:line="276" w:lineRule="auto"/>
      </w:pPr>
      <w:proofErr w:type="spellStart"/>
      <w:r w:rsidRPr="00026049">
        <w:t>Gössling</w:t>
      </w:r>
      <w:proofErr w:type="spellEnd"/>
      <w:r w:rsidRPr="00026049">
        <w:t>, S., Scott, D. and Hall, C.M. (2020). Pandemics, tourism and global change: a rapid assessment of COVID-19. </w:t>
      </w:r>
      <w:r w:rsidRPr="00026049">
        <w:rPr>
          <w:i/>
          <w:iCs/>
        </w:rPr>
        <w:t>Journal of sustainable tourism</w:t>
      </w:r>
      <w:r w:rsidRPr="00026049">
        <w:t>, </w:t>
      </w:r>
      <w:r w:rsidRPr="00026049">
        <w:rPr>
          <w:i/>
          <w:iCs/>
        </w:rPr>
        <w:t>29</w:t>
      </w:r>
      <w:r w:rsidRPr="00026049">
        <w:t>(1), pp.1-20.</w:t>
      </w:r>
      <w:r w:rsidR="007F3FE5">
        <w:t xml:space="preserve"> Available at: </w:t>
      </w:r>
      <w:hyperlink r:id="rId21" w:history="1">
        <w:r w:rsidR="007F3FE5" w:rsidRPr="00DA4C3A">
          <w:rPr>
            <w:rStyle w:val="Hyperlink"/>
          </w:rPr>
          <w:t>https://www.tandfonline.com/doi/abs/10.1080/09669582.2020.1758708</w:t>
        </w:r>
      </w:hyperlink>
      <w:r w:rsidR="007F3FE5">
        <w:t xml:space="preserve"> </w:t>
      </w:r>
    </w:p>
    <w:p w14:paraId="1DBC57F1" w14:textId="41534C65" w:rsidR="00F6498A" w:rsidRPr="00026049" w:rsidRDefault="00F6498A" w:rsidP="00026049">
      <w:pPr>
        <w:spacing w:after="160" w:line="276" w:lineRule="auto"/>
      </w:pPr>
      <w:proofErr w:type="spellStart"/>
      <w:r w:rsidRPr="00026049">
        <w:t>Gryglewicz</w:t>
      </w:r>
      <w:proofErr w:type="spellEnd"/>
      <w:r w:rsidRPr="00026049">
        <w:t>, S. (2011). A theory of corporate financial decisions with liquidity and solvency concerns. </w:t>
      </w:r>
      <w:r w:rsidRPr="00026049">
        <w:rPr>
          <w:i/>
          <w:iCs/>
        </w:rPr>
        <w:t>Journal of financial economics</w:t>
      </w:r>
      <w:r w:rsidRPr="00026049">
        <w:t>, </w:t>
      </w:r>
      <w:r w:rsidRPr="00026049">
        <w:rPr>
          <w:i/>
          <w:iCs/>
        </w:rPr>
        <w:t>99</w:t>
      </w:r>
      <w:r w:rsidRPr="00026049">
        <w:t>(2), pp.365-384.</w:t>
      </w:r>
      <w:r w:rsidR="007F3FE5">
        <w:t xml:space="preserve"> Available at: </w:t>
      </w:r>
      <w:hyperlink r:id="rId22" w:history="1">
        <w:r w:rsidR="007F3FE5" w:rsidRPr="00DA4C3A">
          <w:rPr>
            <w:rStyle w:val="Hyperlink"/>
          </w:rPr>
          <w:t>https://www.sciencedirect.com/science/article/pii/S0304405X10002229</w:t>
        </w:r>
      </w:hyperlink>
      <w:r w:rsidR="007F3FE5">
        <w:t xml:space="preserve"> </w:t>
      </w:r>
    </w:p>
    <w:p w14:paraId="5D8685CD" w14:textId="1D23C90B" w:rsidR="00F6498A" w:rsidRPr="00026049" w:rsidRDefault="00F6498A" w:rsidP="00026049">
      <w:pPr>
        <w:spacing w:after="160" w:line="276" w:lineRule="auto"/>
      </w:pPr>
      <w:r w:rsidRPr="00026049">
        <w:lastRenderedPageBreak/>
        <w:t>Guan, Y., Yan, J., Shan, Y., Zhou, Y., Hang, Y., Li, R., Liu, Y., Liu, B., Nie, Q., Bruckner, B. and Feng, K. (2023). Burden of the global energy price crisis on households. </w:t>
      </w:r>
      <w:r w:rsidRPr="00026049">
        <w:rPr>
          <w:i/>
          <w:iCs/>
        </w:rPr>
        <w:t>Nature Energy</w:t>
      </w:r>
      <w:r w:rsidRPr="00026049">
        <w:t>, </w:t>
      </w:r>
      <w:r w:rsidRPr="00026049">
        <w:rPr>
          <w:i/>
          <w:iCs/>
        </w:rPr>
        <w:t>8</w:t>
      </w:r>
      <w:r w:rsidRPr="00026049">
        <w:t>(3), pp.304-316.</w:t>
      </w:r>
      <w:r w:rsidR="007F3FE5">
        <w:t xml:space="preserve"> Available at: </w:t>
      </w:r>
      <w:hyperlink r:id="rId23" w:history="1">
        <w:r w:rsidR="007F3FE5" w:rsidRPr="00DA4C3A">
          <w:rPr>
            <w:rStyle w:val="Hyperlink"/>
          </w:rPr>
          <w:t>https://www.nature.com/articles/s41560-023-01209-8</w:t>
        </w:r>
      </w:hyperlink>
      <w:r w:rsidR="007F3FE5" w:rsidRPr="007F3FE5">
        <w:t>.</w:t>
      </w:r>
      <w:r w:rsidR="007F3FE5">
        <w:t xml:space="preserve"> </w:t>
      </w:r>
    </w:p>
    <w:p w14:paraId="0CC7EDBB" w14:textId="06EAEAA0" w:rsidR="00F6498A" w:rsidRPr="00026049" w:rsidRDefault="00F6498A" w:rsidP="00026049">
      <w:pPr>
        <w:spacing w:after="160" w:line="276" w:lineRule="auto"/>
      </w:pPr>
      <w:r w:rsidRPr="00026049">
        <w:t>Hayes, D.K., Hayes, J.D. and Hayes, P.A. (2021). </w:t>
      </w:r>
      <w:r w:rsidRPr="00026049">
        <w:rPr>
          <w:i/>
          <w:iCs/>
        </w:rPr>
        <w:t>Revenue management for the hospitality industry</w:t>
      </w:r>
      <w:r w:rsidRPr="00026049">
        <w:t>. John Wiley &amp; Sons.</w:t>
      </w:r>
      <w:r w:rsidR="007F3FE5">
        <w:t xml:space="preserve"> Available at: </w:t>
      </w:r>
      <w:hyperlink r:id="rId24" w:history="1">
        <w:r w:rsidR="007F3FE5" w:rsidRPr="00DA4C3A">
          <w:rPr>
            <w:rStyle w:val="Hyperlink"/>
          </w:rPr>
          <w:t>https://books.google.com/books?hl=en&amp;lr=&amp;id=AXxGEAAAQBAJ&amp;oi=fnd&amp;pg=PR9&amp;dq=Revenue+management+for+the+hospitality+industry.+&amp;ots=ccg-oyMtxA&amp;sig=rBbARtTW0u8xt5O-lxdXw2HalyU</w:t>
        </w:r>
      </w:hyperlink>
      <w:r w:rsidR="007F3FE5">
        <w:t xml:space="preserve"> </w:t>
      </w:r>
    </w:p>
    <w:p w14:paraId="6CF7D3C1" w14:textId="7FE9BD2D" w:rsidR="00F6498A" w:rsidRPr="00026049" w:rsidRDefault="00F6498A" w:rsidP="00026049">
      <w:pPr>
        <w:spacing w:after="160" w:line="276" w:lineRule="auto"/>
      </w:pPr>
      <w:r w:rsidRPr="00026049">
        <w:t xml:space="preserve">Hill, S. (2019). </w:t>
      </w:r>
      <w:r w:rsidRPr="00026049">
        <w:rPr>
          <w:i/>
          <w:iCs/>
        </w:rPr>
        <w:t>How to leverage Bowman’s Clock in Marketing for IFAs</w:t>
      </w:r>
      <w:r w:rsidRPr="00026049">
        <w:t xml:space="preserve">. [online] </w:t>
      </w:r>
      <w:proofErr w:type="spellStart"/>
      <w:r w:rsidRPr="00026049">
        <w:t>CreativeAdviser</w:t>
      </w:r>
      <w:proofErr w:type="spellEnd"/>
      <w:r w:rsidRPr="00026049">
        <w:t xml:space="preserve">. Available at: </w:t>
      </w:r>
      <w:hyperlink r:id="rId25" w:history="1">
        <w:r w:rsidR="007F3FE5" w:rsidRPr="00DA4C3A">
          <w:rPr>
            <w:rStyle w:val="Hyperlink"/>
          </w:rPr>
          <w:t>https://creativeadviser.co.uk/bowmans-clock/</w:t>
        </w:r>
      </w:hyperlink>
      <w:r w:rsidR="007F3FE5">
        <w:t xml:space="preserve"> </w:t>
      </w:r>
      <w:r w:rsidR="0094169D">
        <w:t>(</w:t>
      </w:r>
      <w:r w:rsidRPr="00026049">
        <w:t>Accessed 9 Nov. 2024</w:t>
      </w:r>
      <w:r w:rsidR="0094169D">
        <w:t>)</w:t>
      </w:r>
      <w:r w:rsidRPr="00026049">
        <w:t>.</w:t>
      </w:r>
    </w:p>
    <w:p w14:paraId="7A83957C" w14:textId="537003AE" w:rsidR="00F6498A" w:rsidRPr="00026049" w:rsidRDefault="00F6498A" w:rsidP="00026049">
      <w:pPr>
        <w:spacing w:after="160" w:line="276" w:lineRule="auto"/>
      </w:pPr>
      <w:r w:rsidRPr="00026049">
        <w:t>Hsu, S.H. and Qu, S.Q. (2012). Strategic cost management and institutional changes in hospitals. </w:t>
      </w:r>
      <w:r w:rsidRPr="00026049">
        <w:rPr>
          <w:i/>
          <w:iCs/>
        </w:rPr>
        <w:t>European Accounting Review</w:t>
      </w:r>
      <w:r w:rsidRPr="00026049">
        <w:t>, </w:t>
      </w:r>
      <w:r w:rsidRPr="00026049">
        <w:rPr>
          <w:i/>
          <w:iCs/>
        </w:rPr>
        <w:t>21</w:t>
      </w:r>
      <w:r w:rsidRPr="00026049">
        <w:t>(3), pp.499-531.</w:t>
      </w:r>
      <w:r w:rsidR="007F3FE5">
        <w:t xml:space="preserve"> Available at: </w:t>
      </w:r>
      <w:hyperlink r:id="rId26" w:history="1">
        <w:r w:rsidR="007F3FE5" w:rsidRPr="00DA4C3A">
          <w:rPr>
            <w:rStyle w:val="Hyperlink"/>
          </w:rPr>
          <w:t>https://www.tandfonline.com/doi/abs/10.1080/09638180.2012.658152</w:t>
        </w:r>
      </w:hyperlink>
      <w:r w:rsidR="007F3FE5">
        <w:t xml:space="preserve"> </w:t>
      </w:r>
    </w:p>
    <w:p w14:paraId="250AB859" w14:textId="64D49CF0" w:rsidR="00F6498A" w:rsidRPr="00026049" w:rsidRDefault="00F6498A" w:rsidP="00026049">
      <w:pPr>
        <w:spacing w:after="160" w:line="276" w:lineRule="auto"/>
        <w:rPr>
          <w:i/>
          <w:iCs/>
        </w:rPr>
      </w:pPr>
      <w:r w:rsidRPr="00026049">
        <w:t>Kumar, P. (2021). Digital marketing in hospitality and tourism. </w:t>
      </w:r>
      <w:r w:rsidRPr="00026049">
        <w:rPr>
          <w:i/>
          <w:iCs/>
        </w:rPr>
        <w:t>University of South Florida (USF) M3 Publishing</w:t>
      </w:r>
      <w:r w:rsidRPr="00026049">
        <w:t>, </w:t>
      </w:r>
      <w:r w:rsidRPr="00026049">
        <w:rPr>
          <w:i/>
          <w:iCs/>
        </w:rPr>
        <w:t>17</w:t>
      </w:r>
      <w:r w:rsidRPr="00026049">
        <w:t>(9781732127593), p.3.</w:t>
      </w:r>
      <w:r w:rsidR="007F3FE5">
        <w:t xml:space="preserve"> Available at: </w:t>
      </w:r>
      <w:hyperlink r:id="rId27" w:history="1">
        <w:r w:rsidR="007F3FE5" w:rsidRPr="00DA4C3A">
          <w:rPr>
            <w:rStyle w:val="Hyperlink"/>
          </w:rPr>
          <w:t>https://digitalcommons.usf.edu/m3publishing/vol17/iss9781732127593/3/</w:t>
        </w:r>
      </w:hyperlink>
      <w:r w:rsidR="007F3FE5">
        <w:t xml:space="preserve"> </w:t>
      </w:r>
    </w:p>
    <w:p w14:paraId="274F0361" w14:textId="690A5914" w:rsidR="00F6498A" w:rsidRPr="00026049" w:rsidRDefault="00F6498A" w:rsidP="00026049">
      <w:pPr>
        <w:spacing w:after="160" w:line="276" w:lineRule="auto"/>
        <w:rPr>
          <w:i/>
          <w:iCs/>
        </w:rPr>
      </w:pPr>
      <w:proofErr w:type="spellStart"/>
      <w:r w:rsidRPr="00026049">
        <w:t>Moncarz</w:t>
      </w:r>
      <w:proofErr w:type="spellEnd"/>
      <w:r w:rsidRPr="00026049">
        <w:t>, E.S. and Kron, R.N. (2010). Operational analysis in hotels. In </w:t>
      </w:r>
      <w:r w:rsidRPr="00026049">
        <w:rPr>
          <w:i/>
          <w:iCs/>
        </w:rPr>
        <w:t>Accounting and finance for the international hospitality industry</w:t>
      </w:r>
      <w:r w:rsidRPr="00026049">
        <w:t> (pp. 39-62). Routledge.</w:t>
      </w:r>
      <w:r w:rsidR="007F3FE5">
        <w:t xml:space="preserve"> Available at: </w:t>
      </w:r>
      <w:hyperlink r:id="rId28" w:history="1">
        <w:r w:rsidR="007F3FE5" w:rsidRPr="00DA4C3A">
          <w:rPr>
            <w:rStyle w:val="Hyperlink"/>
          </w:rPr>
          <w:t>https://api.taylorfrancis.com/content/chapters/edit/download?identifierName=doi&amp;identifierValue=10.4324/9780080938684-4&amp;type=chapterpdf</w:t>
        </w:r>
      </w:hyperlink>
      <w:r w:rsidR="007F3FE5">
        <w:t xml:space="preserve"> </w:t>
      </w:r>
    </w:p>
    <w:p w14:paraId="1D4159EF" w14:textId="757D75B6" w:rsidR="00F6498A" w:rsidRPr="00F6498A" w:rsidRDefault="00F6498A" w:rsidP="00F6498A">
      <w:pPr>
        <w:spacing w:after="160" w:line="259" w:lineRule="auto"/>
        <w:jc w:val="left"/>
      </w:pPr>
      <w:r w:rsidRPr="00F6498A">
        <w:t>Seal, W. (2019) (6th Ed) Management Accounting, London, McGraw Hil.</w:t>
      </w:r>
      <w:r w:rsidR="00FB788B">
        <w:t xml:space="preserve"> Available at: </w:t>
      </w:r>
      <w:hyperlink r:id="rId29" w:history="1">
        <w:r w:rsidR="00FB788B" w:rsidRPr="00DA4C3A">
          <w:rPr>
            <w:rStyle w:val="Hyperlink"/>
          </w:rPr>
          <w:t>https://research.cbs.dk/en/publications/management-accounting-2</w:t>
        </w:r>
      </w:hyperlink>
      <w:r w:rsidR="00FB788B">
        <w:t xml:space="preserve"> </w:t>
      </w:r>
    </w:p>
    <w:p w14:paraId="6F23FA6A" w14:textId="0FE21327" w:rsidR="00F6498A" w:rsidRPr="00026049" w:rsidRDefault="00F6498A" w:rsidP="00026049">
      <w:pPr>
        <w:spacing w:after="160" w:line="276" w:lineRule="auto"/>
        <w:rPr>
          <w:i/>
          <w:iCs/>
        </w:rPr>
      </w:pPr>
      <w:r w:rsidRPr="00026049">
        <w:t>Van de Graaf, T. (2023). The geopolitics of energy after Russia's war in Ukraine. In </w:t>
      </w:r>
      <w:r w:rsidRPr="00026049">
        <w:rPr>
          <w:i/>
          <w:iCs/>
        </w:rPr>
        <w:t>Forging Europe’s leadership: Global trends, Russian aggression and the risk of a regressive world Ukraine World</w:t>
      </w:r>
      <w:r w:rsidRPr="00026049">
        <w:t> (pp. 25-40). Foundation for European Progressive Studies.</w:t>
      </w:r>
      <w:r w:rsidR="00FB788B">
        <w:t xml:space="preserve"> Available at: </w:t>
      </w:r>
      <w:hyperlink r:id="rId30" w:history="1">
        <w:r w:rsidR="00FB788B" w:rsidRPr="00DA4C3A">
          <w:rPr>
            <w:rStyle w:val="Hyperlink"/>
          </w:rPr>
          <w:t>https://biblio.ugent.be/publication/01HCJ29G0EZ3NV98JXVSN00BX4/file/01HCJ2DDBSQRGVHW192MDCZ73X</w:t>
        </w:r>
      </w:hyperlink>
      <w:r w:rsidR="00FB788B">
        <w:t xml:space="preserve"> </w:t>
      </w:r>
    </w:p>
    <w:p w14:paraId="524AB77B" w14:textId="7A51A9A8" w:rsidR="00F6498A" w:rsidRPr="00F6498A" w:rsidRDefault="00F6498A" w:rsidP="00F6498A">
      <w:pPr>
        <w:spacing w:after="160" w:line="259" w:lineRule="auto"/>
        <w:jc w:val="left"/>
      </w:pPr>
      <w:r w:rsidRPr="00F6498A">
        <w:t>Walker, J. (2021) Introduction to Hospitality, Harlow, Pearson.</w:t>
      </w:r>
      <w:r w:rsidR="00FB788B">
        <w:t xml:space="preserve"> Available at: </w:t>
      </w:r>
      <w:hyperlink r:id="rId31" w:history="1">
        <w:r w:rsidR="00FB788B" w:rsidRPr="00DA4C3A">
          <w:rPr>
            <w:rStyle w:val="Hyperlink"/>
          </w:rPr>
          <w:t>https://thuvienso.hoasen.edu.vn/handle/123456789/13029</w:t>
        </w:r>
      </w:hyperlink>
      <w:r w:rsidR="00FB788B">
        <w:t xml:space="preserve"> </w:t>
      </w:r>
    </w:p>
    <w:p w14:paraId="176DD702" w14:textId="13D0220E" w:rsidR="00F6498A" w:rsidRPr="00026049" w:rsidRDefault="00F6498A" w:rsidP="00026049">
      <w:pPr>
        <w:spacing w:after="160" w:line="276" w:lineRule="auto"/>
      </w:pPr>
      <w:proofErr w:type="spellStart"/>
      <w:r w:rsidRPr="00026049">
        <w:t>Zarrad</w:t>
      </w:r>
      <w:proofErr w:type="spellEnd"/>
      <w:r w:rsidRPr="00026049">
        <w:t>, A. (2024). </w:t>
      </w:r>
      <w:r w:rsidRPr="00026049">
        <w:rPr>
          <w:i/>
          <w:iCs/>
        </w:rPr>
        <w:t>Artificial intelligence in Tunisian international hotel industry</w:t>
      </w:r>
      <w:r w:rsidRPr="00026049">
        <w:t> (Doctoral dissertation).</w:t>
      </w:r>
      <w:r w:rsidR="00FB788B">
        <w:t xml:space="preserve"> Available at: </w:t>
      </w:r>
      <w:hyperlink r:id="rId32" w:history="1">
        <w:r w:rsidR="00FB788B" w:rsidRPr="00DA4C3A">
          <w:rPr>
            <w:rStyle w:val="Hyperlink"/>
          </w:rPr>
          <w:t>https://bibliotecadigital.ipb.pt/handle/10198/30160</w:t>
        </w:r>
      </w:hyperlink>
      <w:r w:rsidR="00FB788B">
        <w:t xml:space="preserve"> </w:t>
      </w:r>
    </w:p>
    <w:p w14:paraId="6BDE1BB9" w14:textId="4EA53E3A" w:rsidR="00F6498A" w:rsidRPr="00026049" w:rsidRDefault="00F6498A" w:rsidP="00026049">
      <w:pPr>
        <w:spacing w:after="160" w:line="276" w:lineRule="auto"/>
      </w:pPr>
      <w:r w:rsidRPr="00026049">
        <w:lastRenderedPageBreak/>
        <w:t>Zhang, S. (2024). Seasonal Adaptations in the Hospitality Industry: Balancing Profits with Customer Needs. </w:t>
      </w:r>
      <w:r w:rsidRPr="00026049">
        <w:rPr>
          <w:i/>
          <w:iCs/>
        </w:rPr>
        <w:t>Journal of Student Research</w:t>
      </w:r>
      <w:r w:rsidRPr="00026049">
        <w:t>, </w:t>
      </w:r>
      <w:r w:rsidRPr="00026049">
        <w:rPr>
          <w:i/>
          <w:iCs/>
        </w:rPr>
        <w:t>13</w:t>
      </w:r>
      <w:r w:rsidRPr="00026049">
        <w:t>(1).</w:t>
      </w:r>
      <w:r w:rsidR="00FB788B">
        <w:t xml:space="preserve"> Available at: </w:t>
      </w:r>
      <w:hyperlink r:id="rId33" w:history="1">
        <w:r w:rsidR="00FB788B" w:rsidRPr="00DA4C3A">
          <w:rPr>
            <w:rStyle w:val="Hyperlink"/>
          </w:rPr>
          <w:t>https://www.jsr.org/hs/index.php/path/article/view/6236</w:t>
        </w:r>
      </w:hyperlink>
      <w:r w:rsidR="00FB788B">
        <w:t xml:space="preserve"> </w:t>
      </w:r>
    </w:p>
    <w:p w14:paraId="3EA92596" w14:textId="77777777" w:rsidR="00CC5493" w:rsidRDefault="00CC5493">
      <w:pPr>
        <w:spacing w:after="160" w:line="259" w:lineRule="auto"/>
        <w:jc w:val="left"/>
      </w:pPr>
      <w:r>
        <w:br w:type="page"/>
      </w:r>
    </w:p>
    <w:p w14:paraId="1F2323AE" w14:textId="0FCAB881" w:rsidR="00256D05" w:rsidRDefault="001F50D4" w:rsidP="001F50D4">
      <w:pPr>
        <w:pStyle w:val="Heading1"/>
      </w:pPr>
      <w:bookmarkStart w:id="6" w:name="_Toc182010737"/>
      <w:r>
        <w:lastRenderedPageBreak/>
        <w:t xml:space="preserve">7. </w:t>
      </w:r>
      <w:r w:rsidR="00CC5493">
        <w:t>Appendices</w:t>
      </w:r>
      <w:bookmarkEnd w:id="6"/>
    </w:p>
    <w:p w14:paraId="596C2435" w14:textId="0257D519" w:rsidR="008E30C8" w:rsidRDefault="008E30C8" w:rsidP="008E30C8">
      <w:pPr>
        <w:pStyle w:val="Heading2"/>
      </w:pPr>
      <w:bookmarkStart w:id="7" w:name="_Toc182010738"/>
      <w:r>
        <w:t>Appendix-1: Raw Data</w:t>
      </w:r>
      <w:bookmarkEnd w:id="7"/>
    </w:p>
    <w:tbl>
      <w:tblPr>
        <w:tblStyle w:val="TableGrid"/>
        <w:tblW w:w="12120" w:type="dxa"/>
        <w:tblInd w:w="-1385" w:type="dxa"/>
        <w:tblLook w:val="04A0" w:firstRow="1" w:lastRow="0" w:firstColumn="1" w:lastColumn="0" w:noHBand="0" w:noVBand="1"/>
      </w:tblPr>
      <w:tblGrid>
        <w:gridCol w:w="661"/>
        <w:gridCol w:w="857"/>
        <w:gridCol w:w="839"/>
        <w:gridCol w:w="919"/>
        <w:gridCol w:w="839"/>
        <w:gridCol w:w="839"/>
        <w:gridCol w:w="839"/>
        <w:gridCol w:w="875"/>
        <w:gridCol w:w="928"/>
        <w:gridCol w:w="928"/>
        <w:gridCol w:w="999"/>
        <w:gridCol w:w="750"/>
        <w:gridCol w:w="928"/>
        <w:gridCol w:w="919"/>
      </w:tblGrid>
      <w:tr w:rsidR="00E803E8" w:rsidRPr="00E803E8" w14:paraId="68009734" w14:textId="77777777" w:rsidTr="00E803E8">
        <w:trPr>
          <w:trHeight w:val="940"/>
        </w:trPr>
        <w:tc>
          <w:tcPr>
            <w:tcW w:w="661" w:type="dxa"/>
            <w:shd w:val="clear" w:color="auto" w:fill="A8D08D" w:themeFill="accent6" w:themeFillTint="99"/>
            <w:noWrap/>
            <w:hideMark/>
          </w:tcPr>
          <w:p w14:paraId="497C5E22" w14:textId="77777777" w:rsidR="00E803E8" w:rsidRPr="00E803E8" w:rsidRDefault="00E803E8" w:rsidP="00E803E8">
            <w:pPr>
              <w:rPr>
                <w:rFonts w:cs="Arial"/>
                <w:sz w:val="16"/>
                <w:szCs w:val="16"/>
              </w:rPr>
            </w:pPr>
            <w:r w:rsidRPr="00E803E8">
              <w:rPr>
                <w:rFonts w:cs="Arial"/>
                <w:sz w:val="16"/>
                <w:szCs w:val="16"/>
              </w:rPr>
              <w:t>Metric</w:t>
            </w:r>
          </w:p>
        </w:tc>
        <w:tc>
          <w:tcPr>
            <w:tcW w:w="857" w:type="dxa"/>
            <w:shd w:val="clear" w:color="auto" w:fill="FFE599" w:themeFill="accent4" w:themeFillTint="66"/>
            <w:noWrap/>
            <w:hideMark/>
          </w:tcPr>
          <w:p w14:paraId="433424B4" w14:textId="77777777" w:rsidR="00E803E8" w:rsidRPr="00E803E8" w:rsidRDefault="00E803E8">
            <w:pPr>
              <w:rPr>
                <w:rFonts w:cs="Arial"/>
                <w:sz w:val="16"/>
                <w:szCs w:val="16"/>
              </w:rPr>
            </w:pPr>
            <w:r w:rsidRPr="00E803E8">
              <w:rPr>
                <w:rFonts w:cs="Arial"/>
                <w:sz w:val="16"/>
                <w:szCs w:val="16"/>
              </w:rPr>
              <w:t>Revenue</w:t>
            </w:r>
          </w:p>
        </w:tc>
        <w:tc>
          <w:tcPr>
            <w:tcW w:w="839" w:type="dxa"/>
            <w:shd w:val="clear" w:color="auto" w:fill="FFE599" w:themeFill="accent4" w:themeFillTint="66"/>
            <w:noWrap/>
            <w:hideMark/>
          </w:tcPr>
          <w:p w14:paraId="4270EBE0" w14:textId="77777777" w:rsidR="00E803E8" w:rsidRPr="00E803E8" w:rsidRDefault="00E803E8">
            <w:pPr>
              <w:rPr>
                <w:rFonts w:cs="Arial"/>
                <w:sz w:val="16"/>
                <w:szCs w:val="16"/>
              </w:rPr>
            </w:pPr>
            <w:r w:rsidRPr="00E803E8">
              <w:rPr>
                <w:rFonts w:cs="Arial"/>
                <w:sz w:val="16"/>
                <w:szCs w:val="16"/>
              </w:rPr>
              <w:t>Gross Profit</w:t>
            </w:r>
          </w:p>
        </w:tc>
        <w:tc>
          <w:tcPr>
            <w:tcW w:w="919" w:type="dxa"/>
            <w:shd w:val="clear" w:color="auto" w:fill="FFE599" w:themeFill="accent4" w:themeFillTint="66"/>
            <w:noWrap/>
            <w:hideMark/>
          </w:tcPr>
          <w:p w14:paraId="0115CC17" w14:textId="77777777" w:rsidR="00E803E8" w:rsidRPr="00E803E8" w:rsidRDefault="00E803E8">
            <w:pPr>
              <w:rPr>
                <w:rFonts w:cs="Arial"/>
                <w:sz w:val="16"/>
                <w:szCs w:val="16"/>
              </w:rPr>
            </w:pPr>
            <w:r w:rsidRPr="00E803E8">
              <w:rPr>
                <w:rFonts w:cs="Arial"/>
                <w:sz w:val="16"/>
                <w:szCs w:val="16"/>
              </w:rPr>
              <w:t>Operating Profit</w:t>
            </w:r>
          </w:p>
        </w:tc>
        <w:tc>
          <w:tcPr>
            <w:tcW w:w="839" w:type="dxa"/>
            <w:shd w:val="clear" w:color="auto" w:fill="FFE599" w:themeFill="accent4" w:themeFillTint="66"/>
            <w:noWrap/>
            <w:hideMark/>
          </w:tcPr>
          <w:p w14:paraId="3C434E6B" w14:textId="77777777" w:rsidR="00E803E8" w:rsidRPr="00E803E8" w:rsidRDefault="00E803E8">
            <w:pPr>
              <w:rPr>
                <w:rFonts w:cs="Arial"/>
                <w:sz w:val="16"/>
                <w:szCs w:val="16"/>
              </w:rPr>
            </w:pPr>
            <w:r w:rsidRPr="00E803E8">
              <w:rPr>
                <w:rFonts w:cs="Arial"/>
                <w:sz w:val="16"/>
                <w:szCs w:val="16"/>
              </w:rPr>
              <w:t>Owner's Equity</w:t>
            </w:r>
          </w:p>
        </w:tc>
        <w:tc>
          <w:tcPr>
            <w:tcW w:w="839" w:type="dxa"/>
            <w:shd w:val="clear" w:color="auto" w:fill="FFE599" w:themeFill="accent4" w:themeFillTint="66"/>
            <w:noWrap/>
            <w:hideMark/>
          </w:tcPr>
          <w:p w14:paraId="7D244452" w14:textId="77777777" w:rsidR="00E803E8" w:rsidRPr="00E803E8" w:rsidRDefault="00E803E8">
            <w:pPr>
              <w:rPr>
                <w:rFonts w:cs="Arial"/>
                <w:sz w:val="16"/>
                <w:szCs w:val="16"/>
              </w:rPr>
            </w:pPr>
            <w:r w:rsidRPr="00E803E8">
              <w:rPr>
                <w:rFonts w:cs="Arial"/>
                <w:sz w:val="16"/>
                <w:szCs w:val="16"/>
              </w:rPr>
              <w:t>Total Equity</w:t>
            </w:r>
          </w:p>
        </w:tc>
        <w:tc>
          <w:tcPr>
            <w:tcW w:w="839" w:type="dxa"/>
            <w:shd w:val="clear" w:color="auto" w:fill="FFE599" w:themeFill="accent4" w:themeFillTint="66"/>
            <w:noWrap/>
            <w:hideMark/>
          </w:tcPr>
          <w:p w14:paraId="735E0734" w14:textId="77777777" w:rsidR="00E803E8" w:rsidRPr="00E803E8" w:rsidRDefault="00E803E8">
            <w:pPr>
              <w:rPr>
                <w:rFonts w:cs="Arial"/>
                <w:sz w:val="16"/>
                <w:szCs w:val="16"/>
              </w:rPr>
            </w:pPr>
            <w:r w:rsidRPr="00E803E8">
              <w:rPr>
                <w:rFonts w:cs="Arial"/>
                <w:sz w:val="16"/>
                <w:szCs w:val="16"/>
              </w:rPr>
              <w:t>Current Assets</w:t>
            </w:r>
          </w:p>
        </w:tc>
        <w:tc>
          <w:tcPr>
            <w:tcW w:w="875" w:type="dxa"/>
            <w:shd w:val="clear" w:color="auto" w:fill="FFE599" w:themeFill="accent4" w:themeFillTint="66"/>
            <w:noWrap/>
            <w:hideMark/>
          </w:tcPr>
          <w:p w14:paraId="79475B2F" w14:textId="77777777" w:rsidR="00E803E8" w:rsidRPr="00E803E8" w:rsidRDefault="00E803E8">
            <w:pPr>
              <w:rPr>
                <w:rFonts w:cs="Arial"/>
                <w:sz w:val="16"/>
                <w:szCs w:val="16"/>
              </w:rPr>
            </w:pPr>
            <w:r w:rsidRPr="00E803E8">
              <w:rPr>
                <w:rFonts w:cs="Arial"/>
                <w:sz w:val="16"/>
                <w:szCs w:val="16"/>
              </w:rPr>
              <w:t>Current Liabilities</w:t>
            </w:r>
          </w:p>
        </w:tc>
        <w:tc>
          <w:tcPr>
            <w:tcW w:w="928" w:type="dxa"/>
            <w:shd w:val="clear" w:color="auto" w:fill="FFE599" w:themeFill="accent4" w:themeFillTint="66"/>
            <w:noWrap/>
            <w:hideMark/>
          </w:tcPr>
          <w:p w14:paraId="41821FAC" w14:textId="77777777" w:rsidR="00E803E8" w:rsidRPr="00E803E8" w:rsidRDefault="00E803E8">
            <w:pPr>
              <w:rPr>
                <w:rFonts w:cs="Arial"/>
                <w:sz w:val="16"/>
                <w:szCs w:val="16"/>
              </w:rPr>
            </w:pPr>
            <w:r w:rsidRPr="00E803E8">
              <w:rPr>
                <w:rFonts w:cs="Arial"/>
                <w:sz w:val="16"/>
                <w:szCs w:val="16"/>
              </w:rPr>
              <w:t>Total Assets</w:t>
            </w:r>
          </w:p>
        </w:tc>
        <w:tc>
          <w:tcPr>
            <w:tcW w:w="928" w:type="dxa"/>
            <w:shd w:val="clear" w:color="auto" w:fill="FFE599" w:themeFill="accent4" w:themeFillTint="66"/>
            <w:noWrap/>
            <w:hideMark/>
          </w:tcPr>
          <w:p w14:paraId="3805DE3B" w14:textId="77777777" w:rsidR="00E803E8" w:rsidRPr="00E803E8" w:rsidRDefault="00E803E8">
            <w:pPr>
              <w:rPr>
                <w:rFonts w:cs="Arial"/>
                <w:sz w:val="16"/>
                <w:szCs w:val="16"/>
              </w:rPr>
            </w:pPr>
            <w:r w:rsidRPr="00E803E8">
              <w:rPr>
                <w:rFonts w:cs="Arial"/>
                <w:sz w:val="16"/>
                <w:szCs w:val="16"/>
              </w:rPr>
              <w:t>Total Liabilities</w:t>
            </w:r>
          </w:p>
        </w:tc>
        <w:tc>
          <w:tcPr>
            <w:tcW w:w="999" w:type="dxa"/>
            <w:shd w:val="clear" w:color="auto" w:fill="FFE599" w:themeFill="accent4" w:themeFillTint="66"/>
            <w:noWrap/>
            <w:hideMark/>
          </w:tcPr>
          <w:p w14:paraId="542B419E" w14:textId="77777777" w:rsidR="00E803E8" w:rsidRPr="00E803E8" w:rsidRDefault="00E803E8">
            <w:pPr>
              <w:rPr>
                <w:rFonts w:cs="Arial"/>
                <w:sz w:val="16"/>
                <w:szCs w:val="16"/>
              </w:rPr>
            </w:pPr>
            <w:r w:rsidRPr="00E803E8">
              <w:rPr>
                <w:rFonts w:cs="Arial"/>
                <w:sz w:val="16"/>
                <w:szCs w:val="16"/>
              </w:rPr>
              <w:t>Inventories</w:t>
            </w:r>
          </w:p>
        </w:tc>
        <w:tc>
          <w:tcPr>
            <w:tcW w:w="750" w:type="dxa"/>
            <w:shd w:val="clear" w:color="auto" w:fill="FFE599" w:themeFill="accent4" w:themeFillTint="66"/>
            <w:noWrap/>
            <w:hideMark/>
          </w:tcPr>
          <w:p w14:paraId="1A812F7B" w14:textId="77777777" w:rsidR="00E803E8" w:rsidRPr="00E803E8" w:rsidRDefault="00E803E8">
            <w:pPr>
              <w:rPr>
                <w:rFonts w:cs="Arial"/>
                <w:sz w:val="16"/>
                <w:szCs w:val="16"/>
              </w:rPr>
            </w:pPr>
            <w:r w:rsidRPr="00E803E8">
              <w:rPr>
                <w:rFonts w:cs="Arial"/>
                <w:sz w:val="16"/>
                <w:szCs w:val="16"/>
              </w:rPr>
              <w:t>Cost of Goods Sold</w:t>
            </w:r>
          </w:p>
        </w:tc>
        <w:tc>
          <w:tcPr>
            <w:tcW w:w="928" w:type="dxa"/>
            <w:shd w:val="clear" w:color="auto" w:fill="FFE599" w:themeFill="accent4" w:themeFillTint="66"/>
            <w:noWrap/>
            <w:hideMark/>
          </w:tcPr>
          <w:p w14:paraId="6907366E" w14:textId="77777777" w:rsidR="00E803E8" w:rsidRPr="00E803E8" w:rsidRDefault="00E803E8">
            <w:pPr>
              <w:rPr>
                <w:rFonts w:cs="Arial"/>
                <w:sz w:val="16"/>
                <w:szCs w:val="16"/>
              </w:rPr>
            </w:pPr>
            <w:r w:rsidRPr="00E803E8">
              <w:rPr>
                <w:rFonts w:cs="Arial"/>
                <w:sz w:val="16"/>
                <w:szCs w:val="16"/>
              </w:rPr>
              <w:t>Employee Costs</w:t>
            </w:r>
          </w:p>
        </w:tc>
        <w:tc>
          <w:tcPr>
            <w:tcW w:w="919" w:type="dxa"/>
            <w:shd w:val="clear" w:color="auto" w:fill="FFE599" w:themeFill="accent4" w:themeFillTint="66"/>
            <w:noWrap/>
            <w:hideMark/>
          </w:tcPr>
          <w:p w14:paraId="54C0155E" w14:textId="77777777" w:rsidR="00E803E8" w:rsidRPr="00E803E8" w:rsidRDefault="00E803E8">
            <w:pPr>
              <w:rPr>
                <w:rFonts w:cs="Arial"/>
                <w:sz w:val="16"/>
                <w:szCs w:val="16"/>
              </w:rPr>
            </w:pPr>
            <w:r w:rsidRPr="00E803E8">
              <w:rPr>
                <w:rFonts w:cs="Arial"/>
                <w:sz w:val="16"/>
                <w:szCs w:val="16"/>
              </w:rPr>
              <w:t>External Expenses</w:t>
            </w:r>
          </w:p>
        </w:tc>
      </w:tr>
      <w:tr w:rsidR="00E803E8" w:rsidRPr="00E803E8" w14:paraId="26C8BE95" w14:textId="77777777" w:rsidTr="00E803E8">
        <w:trPr>
          <w:trHeight w:val="630"/>
        </w:trPr>
        <w:tc>
          <w:tcPr>
            <w:tcW w:w="661" w:type="dxa"/>
            <w:shd w:val="clear" w:color="auto" w:fill="A8D08D" w:themeFill="accent6" w:themeFillTint="99"/>
            <w:noWrap/>
            <w:hideMark/>
          </w:tcPr>
          <w:p w14:paraId="79B5A0D8" w14:textId="77777777" w:rsidR="00E803E8" w:rsidRPr="00E803E8" w:rsidRDefault="00E803E8">
            <w:pPr>
              <w:rPr>
                <w:rFonts w:cs="Arial"/>
                <w:sz w:val="16"/>
                <w:szCs w:val="16"/>
              </w:rPr>
            </w:pPr>
            <w:r w:rsidRPr="00E803E8">
              <w:rPr>
                <w:rFonts w:cs="Arial"/>
                <w:sz w:val="16"/>
                <w:szCs w:val="16"/>
              </w:rPr>
              <w:t>2021 (GBP)</w:t>
            </w:r>
          </w:p>
        </w:tc>
        <w:tc>
          <w:tcPr>
            <w:tcW w:w="857" w:type="dxa"/>
            <w:noWrap/>
            <w:hideMark/>
          </w:tcPr>
          <w:p w14:paraId="47E88171" w14:textId="77777777" w:rsidR="00E803E8" w:rsidRPr="00E803E8" w:rsidRDefault="00E803E8">
            <w:pPr>
              <w:rPr>
                <w:rFonts w:cs="Arial"/>
                <w:sz w:val="16"/>
                <w:szCs w:val="16"/>
              </w:rPr>
            </w:pPr>
            <w:r w:rsidRPr="00E803E8">
              <w:rPr>
                <w:rFonts w:cs="Arial"/>
                <w:sz w:val="16"/>
                <w:szCs w:val="16"/>
              </w:rPr>
              <w:t>5248290</w:t>
            </w:r>
          </w:p>
        </w:tc>
        <w:tc>
          <w:tcPr>
            <w:tcW w:w="839" w:type="dxa"/>
            <w:noWrap/>
            <w:hideMark/>
          </w:tcPr>
          <w:p w14:paraId="3DBAB95F" w14:textId="77777777" w:rsidR="00E803E8" w:rsidRPr="00E803E8" w:rsidRDefault="00E803E8">
            <w:pPr>
              <w:rPr>
                <w:rFonts w:cs="Arial"/>
                <w:sz w:val="16"/>
                <w:szCs w:val="16"/>
              </w:rPr>
            </w:pPr>
            <w:r w:rsidRPr="00E803E8">
              <w:rPr>
                <w:rFonts w:cs="Arial"/>
                <w:sz w:val="16"/>
                <w:szCs w:val="16"/>
              </w:rPr>
              <w:t>4836690</w:t>
            </w:r>
          </w:p>
        </w:tc>
        <w:tc>
          <w:tcPr>
            <w:tcW w:w="919" w:type="dxa"/>
            <w:noWrap/>
            <w:hideMark/>
          </w:tcPr>
          <w:p w14:paraId="3F664BE0" w14:textId="77777777" w:rsidR="00E803E8" w:rsidRPr="00E803E8" w:rsidRDefault="00E803E8">
            <w:pPr>
              <w:rPr>
                <w:rFonts w:cs="Arial"/>
                <w:sz w:val="16"/>
                <w:szCs w:val="16"/>
              </w:rPr>
            </w:pPr>
            <w:r w:rsidRPr="00E803E8">
              <w:rPr>
                <w:rFonts w:cs="Arial"/>
                <w:sz w:val="16"/>
                <w:szCs w:val="16"/>
              </w:rPr>
              <w:t>664160</w:t>
            </w:r>
          </w:p>
        </w:tc>
        <w:tc>
          <w:tcPr>
            <w:tcW w:w="839" w:type="dxa"/>
            <w:noWrap/>
            <w:hideMark/>
          </w:tcPr>
          <w:p w14:paraId="5279AC76" w14:textId="77777777" w:rsidR="00E803E8" w:rsidRPr="00E803E8" w:rsidRDefault="00E803E8">
            <w:pPr>
              <w:rPr>
                <w:rFonts w:cs="Arial"/>
                <w:sz w:val="16"/>
                <w:szCs w:val="16"/>
              </w:rPr>
            </w:pPr>
            <w:r w:rsidRPr="00E803E8">
              <w:rPr>
                <w:rFonts w:cs="Arial"/>
                <w:sz w:val="16"/>
                <w:szCs w:val="16"/>
              </w:rPr>
              <w:t>2152730</w:t>
            </w:r>
          </w:p>
        </w:tc>
        <w:tc>
          <w:tcPr>
            <w:tcW w:w="839" w:type="dxa"/>
            <w:noWrap/>
            <w:hideMark/>
          </w:tcPr>
          <w:p w14:paraId="20DA0DC6" w14:textId="77777777" w:rsidR="00E803E8" w:rsidRPr="00E803E8" w:rsidRDefault="00E803E8">
            <w:pPr>
              <w:rPr>
                <w:rFonts w:cs="Arial"/>
                <w:sz w:val="16"/>
                <w:szCs w:val="16"/>
              </w:rPr>
            </w:pPr>
            <w:r w:rsidRPr="00E803E8">
              <w:rPr>
                <w:rFonts w:cs="Arial"/>
                <w:sz w:val="16"/>
                <w:szCs w:val="16"/>
              </w:rPr>
              <w:t>2256180</w:t>
            </w:r>
          </w:p>
        </w:tc>
        <w:tc>
          <w:tcPr>
            <w:tcW w:w="839" w:type="dxa"/>
            <w:noWrap/>
            <w:hideMark/>
          </w:tcPr>
          <w:p w14:paraId="684F35C6" w14:textId="77777777" w:rsidR="00E803E8" w:rsidRPr="00E803E8" w:rsidRDefault="00E803E8">
            <w:pPr>
              <w:rPr>
                <w:rFonts w:cs="Arial"/>
                <w:sz w:val="16"/>
                <w:szCs w:val="16"/>
              </w:rPr>
            </w:pPr>
            <w:r w:rsidRPr="00E803E8">
              <w:rPr>
                <w:rFonts w:cs="Arial"/>
                <w:sz w:val="16"/>
                <w:szCs w:val="16"/>
              </w:rPr>
              <w:t>1891790</w:t>
            </w:r>
          </w:p>
        </w:tc>
        <w:tc>
          <w:tcPr>
            <w:tcW w:w="875" w:type="dxa"/>
            <w:noWrap/>
            <w:hideMark/>
          </w:tcPr>
          <w:p w14:paraId="41CEECC2" w14:textId="77777777" w:rsidR="00E803E8" w:rsidRPr="00E803E8" w:rsidRDefault="00E803E8">
            <w:pPr>
              <w:rPr>
                <w:rFonts w:cs="Arial"/>
                <w:sz w:val="16"/>
                <w:szCs w:val="16"/>
              </w:rPr>
            </w:pPr>
            <w:r w:rsidRPr="00E803E8">
              <w:rPr>
                <w:rFonts w:cs="Arial"/>
                <w:sz w:val="16"/>
                <w:szCs w:val="16"/>
              </w:rPr>
              <w:t>1937840</w:t>
            </w:r>
          </w:p>
        </w:tc>
        <w:tc>
          <w:tcPr>
            <w:tcW w:w="928" w:type="dxa"/>
            <w:noWrap/>
            <w:hideMark/>
          </w:tcPr>
          <w:p w14:paraId="3A5DA3AC" w14:textId="77777777" w:rsidR="00E803E8" w:rsidRPr="00E803E8" w:rsidRDefault="00E803E8">
            <w:pPr>
              <w:rPr>
                <w:rFonts w:cs="Arial"/>
                <w:sz w:val="16"/>
                <w:szCs w:val="16"/>
              </w:rPr>
            </w:pPr>
            <w:r w:rsidRPr="00E803E8">
              <w:rPr>
                <w:rFonts w:cs="Arial"/>
                <w:sz w:val="16"/>
                <w:szCs w:val="16"/>
              </w:rPr>
              <w:t>12941110</w:t>
            </w:r>
          </w:p>
        </w:tc>
        <w:tc>
          <w:tcPr>
            <w:tcW w:w="928" w:type="dxa"/>
            <w:noWrap/>
            <w:hideMark/>
          </w:tcPr>
          <w:p w14:paraId="355CC51E" w14:textId="77777777" w:rsidR="00E803E8" w:rsidRPr="00E803E8" w:rsidRDefault="00E803E8">
            <w:pPr>
              <w:rPr>
                <w:rFonts w:cs="Arial"/>
                <w:sz w:val="16"/>
                <w:szCs w:val="16"/>
              </w:rPr>
            </w:pPr>
            <w:r w:rsidRPr="00E803E8">
              <w:rPr>
                <w:rFonts w:cs="Arial"/>
                <w:sz w:val="16"/>
                <w:szCs w:val="16"/>
              </w:rPr>
              <w:t>10684330</w:t>
            </w:r>
          </w:p>
        </w:tc>
        <w:tc>
          <w:tcPr>
            <w:tcW w:w="999" w:type="dxa"/>
            <w:noWrap/>
            <w:hideMark/>
          </w:tcPr>
          <w:p w14:paraId="4302DC40" w14:textId="77777777" w:rsidR="00E803E8" w:rsidRPr="00E803E8" w:rsidRDefault="00E803E8">
            <w:pPr>
              <w:rPr>
                <w:rFonts w:cs="Arial"/>
                <w:sz w:val="16"/>
                <w:szCs w:val="16"/>
              </w:rPr>
            </w:pPr>
            <w:r w:rsidRPr="00E803E8">
              <w:rPr>
                <w:rFonts w:cs="Arial"/>
                <w:sz w:val="16"/>
                <w:szCs w:val="16"/>
              </w:rPr>
              <w:t>35230</w:t>
            </w:r>
          </w:p>
        </w:tc>
        <w:tc>
          <w:tcPr>
            <w:tcW w:w="750" w:type="dxa"/>
            <w:noWrap/>
            <w:hideMark/>
          </w:tcPr>
          <w:p w14:paraId="5FC8609C" w14:textId="77777777" w:rsidR="00E803E8" w:rsidRPr="00E803E8" w:rsidRDefault="00E803E8">
            <w:pPr>
              <w:rPr>
                <w:rFonts w:cs="Arial"/>
                <w:sz w:val="16"/>
                <w:szCs w:val="16"/>
              </w:rPr>
            </w:pPr>
            <w:r w:rsidRPr="00E803E8">
              <w:rPr>
                <w:rFonts w:cs="Arial"/>
                <w:sz w:val="16"/>
                <w:szCs w:val="16"/>
              </w:rPr>
              <w:t>411600</w:t>
            </w:r>
          </w:p>
        </w:tc>
        <w:tc>
          <w:tcPr>
            <w:tcW w:w="928" w:type="dxa"/>
            <w:noWrap/>
            <w:hideMark/>
          </w:tcPr>
          <w:p w14:paraId="252F26F3" w14:textId="77777777" w:rsidR="00E803E8" w:rsidRPr="00E803E8" w:rsidRDefault="00E803E8">
            <w:pPr>
              <w:rPr>
                <w:rFonts w:cs="Arial"/>
                <w:sz w:val="16"/>
                <w:szCs w:val="16"/>
              </w:rPr>
            </w:pPr>
            <w:r w:rsidRPr="00E803E8">
              <w:rPr>
                <w:rFonts w:cs="Arial"/>
                <w:sz w:val="16"/>
                <w:szCs w:val="16"/>
              </w:rPr>
              <w:t>1724760</w:t>
            </w:r>
          </w:p>
        </w:tc>
        <w:tc>
          <w:tcPr>
            <w:tcW w:w="919" w:type="dxa"/>
            <w:noWrap/>
            <w:hideMark/>
          </w:tcPr>
          <w:p w14:paraId="1CF60FCC" w14:textId="77777777" w:rsidR="00E803E8" w:rsidRPr="00E803E8" w:rsidRDefault="00E803E8">
            <w:pPr>
              <w:rPr>
                <w:rFonts w:cs="Arial"/>
                <w:sz w:val="16"/>
                <w:szCs w:val="16"/>
              </w:rPr>
            </w:pPr>
            <w:r w:rsidRPr="00E803E8">
              <w:rPr>
                <w:rFonts w:cs="Arial"/>
                <w:sz w:val="16"/>
                <w:szCs w:val="16"/>
              </w:rPr>
              <w:t>1894720</w:t>
            </w:r>
          </w:p>
        </w:tc>
      </w:tr>
      <w:tr w:rsidR="00E803E8" w:rsidRPr="00E803E8" w14:paraId="1541E7F3" w14:textId="77777777" w:rsidTr="00E803E8">
        <w:trPr>
          <w:trHeight w:val="630"/>
        </w:trPr>
        <w:tc>
          <w:tcPr>
            <w:tcW w:w="661" w:type="dxa"/>
            <w:shd w:val="clear" w:color="auto" w:fill="A8D08D" w:themeFill="accent6" w:themeFillTint="99"/>
            <w:noWrap/>
            <w:hideMark/>
          </w:tcPr>
          <w:p w14:paraId="7E4419D1" w14:textId="77777777" w:rsidR="00E803E8" w:rsidRPr="00E803E8" w:rsidRDefault="00E803E8">
            <w:pPr>
              <w:rPr>
                <w:rFonts w:cs="Arial"/>
                <w:sz w:val="16"/>
                <w:szCs w:val="16"/>
              </w:rPr>
            </w:pPr>
            <w:r w:rsidRPr="00E803E8">
              <w:rPr>
                <w:rFonts w:cs="Arial"/>
                <w:sz w:val="16"/>
                <w:szCs w:val="16"/>
              </w:rPr>
              <w:t>2022 (GBP)</w:t>
            </w:r>
          </w:p>
        </w:tc>
        <w:tc>
          <w:tcPr>
            <w:tcW w:w="857" w:type="dxa"/>
            <w:noWrap/>
            <w:hideMark/>
          </w:tcPr>
          <w:p w14:paraId="159F4FE7" w14:textId="77777777" w:rsidR="00E803E8" w:rsidRPr="00E803E8" w:rsidRDefault="00E803E8">
            <w:pPr>
              <w:rPr>
                <w:rFonts w:cs="Arial"/>
                <w:sz w:val="16"/>
                <w:szCs w:val="16"/>
              </w:rPr>
            </w:pPr>
            <w:r w:rsidRPr="00E803E8">
              <w:rPr>
                <w:rFonts w:cs="Arial"/>
                <w:sz w:val="16"/>
                <w:szCs w:val="16"/>
              </w:rPr>
              <w:t>5307480</w:t>
            </w:r>
          </w:p>
        </w:tc>
        <w:tc>
          <w:tcPr>
            <w:tcW w:w="839" w:type="dxa"/>
            <w:noWrap/>
            <w:hideMark/>
          </w:tcPr>
          <w:p w14:paraId="1BC916D4" w14:textId="77777777" w:rsidR="00E803E8" w:rsidRPr="00E803E8" w:rsidRDefault="00E803E8">
            <w:pPr>
              <w:rPr>
                <w:rFonts w:cs="Arial"/>
                <w:sz w:val="16"/>
                <w:szCs w:val="16"/>
              </w:rPr>
            </w:pPr>
            <w:r w:rsidRPr="00E803E8">
              <w:rPr>
                <w:rFonts w:cs="Arial"/>
                <w:sz w:val="16"/>
                <w:szCs w:val="16"/>
              </w:rPr>
              <w:t>4905970</w:t>
            </w:r>
          </w:p>
        </w:tc>
        <w:tc>
          <w:tcPr>
            <w:tcW w:w="919" w:type="dxa"/>
            <w:noWrap/>
            <w:hideMark/>
          </w:tcPr>
          <w:p w14:paraId="0C7D888D" w14:textId="77777777" w:rsidR="00E803E8" w:rsidRPr="00E803E8" w:rsidRDefault="00E803E8">
            <w:pPr>
              <w:rPr>
                <w:rFonts w:cs="Arial"/>
                <w:sz w:val="16"/>
                <w:szCs w:val="16"/>
              </w:rPr>
            </w:pPr>
            <w:r w:rsidRPr="00E803E8">
              <w:rPr>
                <w:rFonts w:cs="Arial"/>
                <w:sz w:val="16"/>
                <w:szCs w:val="16"/>
              </w:rPr>
              <w:t>674730</w:t>
            </w:r>
          </w:p>
        </w:tc>
        <w:tc>
          <w:tcPr>
            <w:tcW w:w="839" w:type="dxa"/>
            <w:noWrap/>
            <w:hideMark/>
          </w:tcPr>
          <w:p w14:paraId="46EC5247" w14:textId="77777777" w:rsidR="00E803E8" w:rsidRPr="00E803E8" w:rsidRDefault="00E803E8">
            <w:pPr>
              <w:rPr>
                <w:rFonts w:cs="Arial"/>
                <w:sz w:val="16"/>
                <w:szCs w:val="16"/>
              </w:rPr>
            </w:pPr>
            <w:r w:rsidRPr="00E803E8">
              <w:rPr>
                <w:rFonts w:cs="Arial"/>
                <w:sz w:val="16"/>
                <w:szCs w:val="16"/>
              </w:rPr>
              <w:t>2472200</w:t>
            </w:r>
          </w:p>
        </w:tc>
        <w:tc>
          <w:tcPr>
            <w:tcW w:w="839" w:type="dxa"/>
            <w:noWrap/>
            <w:hideMark/>
          </w:tcPr>
          <w:p w14:paraId="731D4B73" w14:textId="77777777" w:rsidR="00E803E8" w:rsidRPr="00E803E8" w:rsidRDefault="00E803E8">
            <w:pPr>
              <w:rPr>
                <w:rFonts w:cs="Arial"/>
                <w:sz w:val="16"/>
                <w:szCs w:val="16"/>
              </w:rPr>
            </w:pPr>
            <w:r w:rsidRPr="00E803E8">
              <w:rPr>
                <w:rFonts w:cs="Arial"/>
                <w:sz w:val="16"/>
                <w:szCs w:val="16"/>
              </w:rPr>
              <w:t>2583800</w:t>
            </w:r>
          </w:p>
        </w:tc>
        <w:tc>
          <w:tcPr>
            <w:tcW w:w="839" w:type="dxa"/>
            <w:noWrap/>
            <w:hideMark/>
          </w:tcPr>
          <w:p w14:paraId="45E47CEE" w14:textId="77777777" w:rsidR="00E803E8" w:rsidRPr="00E803E8" w:rsidRDefault="00E803E8">
            <w:pPr>
              <w:rPr>
                <w:rFonts w:cs="Arial"/>
                <w:sz w:val="16"/>
                <w:szCs w:val="16"/>
              </w:rPr>
            </w:pPr>
            <w:r w:rsidRPr="00E803E8">
              <w:rPr>
                <w:rFonts w:cs="Arial"/>
                <w:sz w:val="16"/>
                <w:szCs w:val="16"/>
              </w:rPr>
              <w:t>1965430</w:t>
            </w:r>
          </w:p>
        </w:tc>
        <w:tc>
          <w:tcPr>
            <w:tcW w:w="875" w:type="dxa"/>
            <w:noWrap/>
            <w:hideMark/>
          </w:tcPr>
          <w:p w14:paraId="69997D91" w14:textId="77777777" w:rsidR="00E803E8" w:rsidRPr="00E803E8" w:rsidRDefault="00E803E8">
            <w:pPr>
              <w:rPr>
                <w:rFonts w:cs="Arial"/>
                <w:sz w:val="16"/>
                <w:szCs w:val="16"/>
              </w:rPr>
            </w:pPr>
            <w:r w:rsidRPr="00E803E8">
              <w:rPr>
                <w:rFonts w:cs="Arial"/>
                <w:sz w:val="16"/>
                <w:szCs w:val="16"/>
              </w:rPr>
              <w:t>2107750</w:t>
            </w:r>
          </w:p>
        </w:tc>
        <w:tc>
          <w:tcPr>
            <w:tcW w:w="928" w:type="dxa"/>
            <w:noWrap/>
            <w:hideMark/>
          </w:tcPr>
          <w:p w14:paraId="40730BFA" w14:textId="77777777" w:rsidR="00E803E8" w:rsidRPr="00E803E8" w:rsidRDefault="00E803E8">
            <w:pPr>
              <w:rPr>
                <w:rFonts w:cs="Arial"/>
                <w:sz w:val="16"/>
                <w:szCs w:val="16"/>
              </w:rPr>
            </w:pPr>
            <w:r w:rsidRPr="00E803E8">
              <w:rPr>
                <w:rFonts w:cs="Arial"/>
                <w:sz w:val="16"/>
                <w:szCs w:val="16"/>
              </w:rPr>
              <w:t>15921820</w:t>
            </w:r>
          </w:p>
        </w:tc>
        <w:tc>
          <w:tcPr>
            <w:tcW w:w="928" w:type="dxa"/>
            <w:noWrap/>
            <w:hideMark/>
          </w:tcPr>
          <w:p w14:paraId="189F49AB" w14:textId="77777777" w:rsidR="00E803E8" w:rsidRPr="00E803E8" w:rsidRDefault="00E803E8">
            <w:pPr>
              <w:rPr>
                <w:rFonts w:cs="Arial"/>
                <w:sz w:val="16"/>
                <w:szCs w:val="16"/>
              </w:rPr>
            </w:pPr>
            <w:r w:rsidRPr="00E803E8">
              <w:rPr>
                <w:rFonts w:cs="Arial"/>
                <w:sz w:val="16"/>
                <w:szCs w:val="16"/>
              </w:rPr>
              <w:t>13338020</w:t>
            </w:r>
          </w:p>
        </w:tc>
        <w:tc>
          <w:tcPr>
            <w:tcW w:w="999" w:type="dxa"/>
            <w:noWrap/>
            <w:hideMark/>
          </w:tcPr>
          <w:p w14:paraId="31D9E26A" w14:textId="77777777" w:rsidR="00E803E8" w:rsidRPr="00E803E8" w:rsidRDefault="00E803E8">
            <w:pPr>
              <w:rPr>
                <w:rFonts w:cs="Arial"/>
                <w:sz w:val="16"/>
                <w:szCs w:val="16"/>
              </w:rPr>
            </w:pPr>
            <w:r w:rsidRPr="00E803E8">
              <w:rPr>
                <w:rFonts w:cs="Arial"/>
                <w:sz w:val="16"/>
                <w:szCs w:val="16"/>
              </w:rPr>
              <w:t>36350</w:t>
            </w:r>
          </w:p>
        </w:tc>
        <w:tc>
          <w:tcPr>
            <w:tcW w:w="750" w:type="dxa"/>
            <w:noWrap/>
            <w:hideMark/>
          </w:tcPr>
          <w:p w14:paraId="0ECFC651" w14:textId="77777777" w:rsidR="00E803E8" w:rsidRPr="00E803E8" w:rsidRDefault="00E803E8">
            <w:pPr>
              <w:rPr>
                <w:rFonts w:cs="Arial"/>
                <w:sz w:val="16"/>
                <w:szCs w:val="16"/>
              </w:rPr>
            </w:pPr>
            <w:r w:rsidRPr="00E803E8">
              <w:rPr>
                <w:rFonts w:cs="Arial"/>
                <w:sz w:val="16"/>
                <w:szCs w:val="16"/>
              </w:rPr>
              <w:t>401510</w:t>
            </w:r>
          </w:p>
        </w:tc>
        <w:tc>
          <w:tcPr>
            <w:tcW w:w="928" w:type="dxa"/>
            <w:noWrap/>
            <w:hideMark/>
          </w:tcPr>
          <w:p w14:paraId="53F7C1AE" w14:textId="77777777" w:rsidR="00E803E8" w:rsidRPr="00E803E8" w:rsidRDefault="00E803E8">
            <w:pPr>
              <w:rPr>
                <w:rFonts w:cs="Arial"/>
                <w:sz w:val="16"/>
                <w:szCs w:val="16"/>
              </w:rPr>
            </w:pPr>
            <w:r w:rsidRPr="00E803E8">
              <w:rPr>
                <w:rFonts w:cs="Arial"/>
                <w:sz w:val="16"/>
                <w:szCs w:val="16"/>
              </w:rPr>
              <w:t>1770700</w:t>
            </w:r>
          </w:p>
        </w:tc>
        <w:tc>
          <w:tcPr>
            <w:tcW w:w="919" w:type="dxa"/>
            <w:noWrap/>
            <w:hideMark/>
          </w:tcPr>
          <w:p w14:paraId="62CE0926" w14:textId="77777777" w:rsidR="00E803E8" w:rsidRPr="00E803E8" w:rsidRDefault="00E803E8">
            <w:pPr>
              <w:rPr>
                <w:rFonts w:cs="Arial"/>
                <w:sz w:val="16"/>
                <w:szCs w:val="16"/>
              </w:rPr>
            </w:pPr>
            <w:r w:rsidRPr="00E803E8">
              <w:rPr>
                <w:rFonts w:cs="Arial"/>
                <w:sz w:val="16"/>
                <w:szCs w:val="16"/>
              </w:rPr>
              <w:t>1675410</w:t>
            </w:r>
          </w:p>
        </w:tc>
      </w:tr>
      <w:tr w:rsidR="00E803E8" w:rsidRPr="00E803E8" w14:paraId="5F1D315C" w14:textId="77777777" w:rsidTr="00E803E8">
        <w:trPr>
          <w:trHeight w:val="630"/>
        </w:trPr>
        <w:tc>
          <w:tcPr>
            <w:tcW w:w="661" w:type="dxa"/>
            <w:shd w:val="clear" w:color="auto" w:fill="A8D08D" w:themeFill="accent6" w:themeFillTint="99"/>
            <w:noWrap/>
            <w:hideMark/>
          </w:tcPr>
          <w:p w14:paraId="1C6C1365" w14:textId="77777777" w:rsidR="00E803E8" w:rsidRPr="00E803E8" w:rsidRDefault="00E803E8">
            <w:pPr>
              <w:rPr>
                <w:rFonts w:cs="Arial"/>
                <w:sz w:val="16"/>
                <w:szCs w:val="16"/>
              </w:rPr>
            </w:pPr>
            <w:r w:rsidRPr="00E803E8">
              <w:rPr>
                <w:rFonts w:cs="Arial"/>
                <w:sz w:val="16"/>
                <w:szCs w:val="16"/>
              </w:rPr>
              <w:t>2023 (GBP)</w:t>
            </w:r>
          </w:p>
        </w:tc>
        <w:tc>
          <w:tcPr>
            <w:tcW w:w="857" w:type="dxa"/>
            <w:noWrap/>
            <w:hideMark/>
          </w:tcPr>
          <w:p w14:paraId="7930D36B" w14:textId="77777777" w:rsidR="00E803E8" w:rsidRPr="00E803E8" w:rsidRDefault="00E803E8">
            <w:pPr>
              <w:rPr>
                <w:rFonts w:cs="Arial"/>
                <w:sz w:val="16"/>
                <w:szCs w:val="16"/>
              </w:rPr>
            </w:pPr>
            <w:r w:rsidRPr="00E803E8">
              <w:rPr>
                <w:rFonts w:cs="Arial"/>
                <w:sz w:val="16"/>
                <w:szCs w:val="16"/>
              </w:rPr>
              <w:t>2325440</w:t>
            </w:r>
          </w:p>
        </w:tc>
        <w:tc>
          <w:tcPr>
            <w:tcW w:w="839" w:type="dxa"/>
            <w:noWrap/>
            <w:hideMark/>
          </w:tcPr>
          <w:p w14:paraId="612BA5E2" w14:textId="77777777" w:rsidR="00E803E8" w:rsidRPr="00E803E8" w:rsidRDefault="00E803E8">
            <w:pPr>
              <w:rPr>
                <w:rFonts w:cs="Arial"/>
                <w:sz w:val="16"/>
                <w:szCs w:val="16"/>
              </w:rPr>
            </w:pPr>
            <w:r w:rsidRPr="00E803E8">
              <w:rPr>
                <w:rFonts w:cs="Arial"/>
                <w:sz w:val="16"/>
                <w:szCs w:val="16"/>
              </w:rPr>
              <w:t>2149190</w:t>
            </w:r>
          </w:p>
        </w:tc>
        <w:tc>
          <w:tcPr>
            <w:tcW w:w="919" w:type="dxa"/>
            <w:noWrap/>
            <w:hideMark/>
          </w:tcPr>
          <w:p w14:paraId="6287AC3C" w14:textId="77777777" w:rsidR="00E803E8" w:rsidRPr="00E803E8" w:rsidRDefault="00E803E8">
            <w:pPr>
              <w:rPr>
                <w:rFonts w:cs="Arial"/>
                <w:sz w:val="16"/>
                <w:szCs w:val="16"/>
              </w:rPr>
            </w:pPr>
            <w:r w:rsidRPr="00E803E8">
              <w:rPr>
                <w:rFonts w:cs="Arial"/>
                <w:sz w:val="16"/>
                <w:szCs w:val="16"/>
              </w:rPr>
              <w:t>-1218850</w:t>
            </w:r>
          </w:p>
        </w:tc>
        <w:tc>
          <w:tcPr>
            <w:tcW w:w="839" w:type="dxa"/>
            <w:noWrap/>
            <w:hideMark/>
          </w:tcPr>
          <w:p w14:paraId="09E77189" w14:textId="77777777" w:rsidR="00E803E8" w:rsidRPr="00E803E8" w:rsidRDefault="00E803E8">
            <w:pPr>
              <w:rPr>
                <w:rFonts w:cs="Arial"/>
                <w:sz w:val="16"/>
                <w:szCs w:val="16"/>
              </w:rPr>
            </w:pPr>
            <w:r w:rsidRPr="00E803E8">
              <w:rPr>
                <w:rFonts w:cs="Arial"/>
                <w:sz w:val="16"/>
                <w:szCs w:val="16"/>
              </w:rPr>
              <w:t>1334790</w:t>
            </w:r>
          </w:p>
        </w:tc>
        <w:tc>
          <w:tcPr>
            <w:tcW w:w="839" w:type="dxa"/>
            <w:noWrap/>
            <w:hideMark/>
          </w:tcPr>
          <w:p w14:paraId="0EFB524A" w14:textId="77777777" w:rsidR="00E803E8" w:rsidRPr="00E803E8" w:rsidRDefault="00E803E8">
            <w:pPr>
              <w:rPr>
                <w:rFonts w:cs="Arial"/>
                <w:sz w:val="16"/>
                <w:szCs w:val="16"/>
              </w:rPr>
            </w:pPr>
            <w:r w:rsidRPr="00E803E8">
              <w:rPr>
                <w:rFonts w:cs="Arial"/>
                <w:sz w:val="16"/>
                <w:szCs w:val="16"/>
              </w:rPr>
              <w:t>1410580</w:t>
            </w:r>
          </w:p>
        </w:tc>
        <w:tc>
          <w:tcPr>
            <w:tcW w:w="839" w:type="dxa"/>
            <w:noWrap/>
            <w:hideMark/>
          </w:tcPr>
          <w:p w14:paraId="5A90993A" w14:textId="77777777" w:rsidR="00E803E8" w:rsidRPr="00E803E8" w:rsidRDefault="00E803E8">
            <w:pPr>
              <w:rPr>
                <w:rFonts w:cs="Arial"/>
                <w:sz w:val="16"/>
                <w:szCs w:val="16"/>
              </w:rPr>
            </w:pPr>
            <w:r w:rsidRPr="00E803E8">
              <w:rPr>
                <w:rFonts w:cs="Arial"/>
                <w:sz w:val="16"/>
                <w:szCs w:val="16"/>
              </w:rPr>
              <w:t>1288590</w:t>
            </w:r>
          </w:p>
        </w:tc>
        <w:tc>
          <w:tcPr>
            <w:tcW w:w="875" w:type="dxa"/>
            <w:noWrap/>
            <w:hideMark/>
          </w:tcPr>
          <w:p w14:paraId="785336AF" w14:textId="77777777" w:rsidR="00E803E8" w:rsidRPr="00E803E8" w:rsidRDefault="00E803E8">
            <w:pPr>
              <w:rPr>
                <w:rFonts w:cs="Arial"/>
                <w:sz w:val="16"/>
                <w:szCs w:val="16"/>
              </w:rPr>
            </w:pPr>
            <w:r w:rsidRPr="00E803E8">
              <w:rPr>
                <w:rFonts w:cs="Arial"/>
                <w:sz w:val="16"/>
                <w:szCs w:val="16"/>
              </w:rPr>
              <w:t>1441440</w:t>
            </w:r>
          </w:p>
        </w:tc>
        <w:tc>
          <w:tcPr>
            <w:tcW w:w="928" w:type="dxa"/>
            <w:noWrap/>
            <w:hideMark/>
          </w:tcPr>
          <w:p w14:paraId="2B65D801" w14:textId="77777777" w:rsidR="00E803E8" w:rsidRPr="00E803E8" w:rsidRDefault="00E803E8">
            <w:pPr>
              <w:rPr>
                <w:rFonts w:cs="Arial"/>
                <w:sz w:val="16"/>
                <w:szCs w:val="16"/>
              </w:rPr>
            </w:pPr>
            <w:r w:rsidRPr="00E803E8">
              <w:rPr>
                <w:rFonts w:cs="Arial"/>
                <w:sz w:val="16"/>
                <w:szCs w:val="16"/>
              </w:rPr>
              <w:t>15653790</w:t>
            </w:r>
          </w:p>
        </w:tc>
        <w:tc>
          <w:tcPr>
            <w:tcW w:w="928" w:type="dxa"/>
            <w:noWrap/>
            <w:hideMark/>
          </w:tcPr>
          <w:p w14:paraId="7D1C5EB9" w14:textId="77777777" w:rsidR="00E803E8" w:rsidRPr="00E803E8" w:rsidRDefault="00E803E8">
            <w:pPr>
              <w:rPr>
                <w:rFonts w:cs="Arial"/>
                <w:sz w:val="16"/>
                <w:szCs w:val="16"/>
              </w:rPr>
            </w:pPr>
            <w:r w:rsidRPr="00E803E8">
              <w:rPr>
                <w:rFonts w:cs="Arial"/>
                <w:sz w:val="16"/>
                <w:szCs w:val="16"/>
              </w:rPr>
              <w:t>14243210</w:t>
            </w:r>
          </w:p>
        </w:tc>
        <w:tc>
          <w:tcPr>
            <w:tcW w:w="999" w:type="dxa"/>
            <w:noWrap/>
            <w:hideMark/>
          </w:tcPr>
          <w:p w14:paraId="446AE089" w14:textId="77777777" w:rsidR="00E803E8" w:rsidRPr="00E803E8" w:rsidRDefault="00E803E8">
            <w:pPr>
              <w:rPr>
                <w:rFonts w:cs="Arial"/>
                <w:sz w:val="16"/>
                <w:szCs w:val="16"/>
              </w:rPr>
            </w:pPr>
            <w:r w:rsidRPr="00E803E8">
              <w:rPr>
                <w:rFonts w:cs="Arial"/>
                <w:sz w:val="16"/>
                <w:szCs w:val="16"/>
              </w:rPr>
              <w:t>29470</w:t>
            </w:r>
          </w:p>
        </w:tc>
        <w:tc>
          <w:tcPr>
            <w:tcW w:w="750" w:type="dxa"/>
            <w:noWrap/>
            <w:hideMark/>
          </w:tcPr>
          <w:p w14:paraId="5334AF07" w14:textId="77777777" w:rsidR="00E803E8" w:rsidRPr="00E803E8" w:rsidRDefault="00E803E8">
            <w:pPr>
              <w:rPr>
                <w:rFonts w:cs="Arial"/>
                <w:sz w:val="16"/>
                <w:szCs w:val="16"/>
              </w:rPr>
            </w:pPr>
            <w:r w:rsidRPr="00E803E8">
              <w:rPr>
                <w:rFonts w:cs="Arial"/>
                <w:sz w:val="16"/>
                <w:szCs w:val="16"/>
              </w:rPr>
              <w:t>176250</w:t>
            </w:r>
          </w:p>
        </w:tc>
        <w:tc>
          <w:tcPr>
            <w:tcW w:w="928" w:type="dxa"/>
            <w:noWrap/>
            <w:hideMark/>
          </w:tcPr>
          <w:p w14:paraId="272B6F6B" w14:textId="77777777" w:rsidR="00E803E8" w:rsidRPr="00E803E8" w:rsidRDefault="00E803E8">
            <w:pPr>
              <w:rPr>
                <w:rFonts w:cs="Arial"/>
                <w:sz w:val="16"/>
                <w:szCs w:val="16"/>
              </w:rPr>
            </w:pPr>
            <w:r w:rsidRPr="00E803E8">
              <w:rPr>
                <w:rFonts w:cs="Arial"/>
                <w:sz w:val="16"/>
                <w:szCs w:val="16"/>
              </w:rPr>
              <w:t>1233160</w:t>
            </w:r>
          </w:p>
        </w:tc>
        <w:tc>
          <w:tcPr>
            <w:tcW w:w="919" w:type="dxa"/>
            <w:noWrap/>
            <w:hideMark/>
          </w:tcPr>
          <w:p w14:paraId="485E2779" w14:textId="77777777" w:rsidR="00E803E8" w:rsidRPr="00E803E8" w:rsidRDefault="00E803E8">
            <w:pPr>
              <w:rPr>
                <w:rFonts w:cs="Arial"/>
                <w:sz w:val="16"/>
                <w:szCs w:val="16"/>
              </w:rPr>
            </w:pPr>
            <w:r w:rsidRPr="00E803E8">
              <w:rPr>
                <w:rFonts w:cs="Arial"/>
                <w:sz w:val="16"/>
                <w:szCs w:val="16"/>
              </w:rPr>
              <w:t>1071030</w:t>
            </w:r>
          </w:p>
        </w:tc>
      </w:tr>
    </w:tbl>
    <w:p w14:paraId="79D4B6EA" w14:textId="230425FA" w:rsidR="008E30C8" w:rsidRPr="008E30C8" w:rsidRDefault="0044449B" w:rsidP="0044449B">
      <w:pPr>
        <w:pStyle w:val="Caption"/>
        <w:jc w:val="center"/>
        <w:rPr>
          <w:lang w:val="en-US" w:eastAsia="zh-CN"/>
        </w:rPr>
      </w:pPr>
      <w:r>
        <w:t xml:space="preserve">Table </w:t>
      </w:r>
      <w:fldSimple w:instr=" SEQ Table \* ARABIC ">
        <w:r>
          <w:rPr>
            <w:noProof/>
          </w:rPr>
          <w:t>2</w:t>
        </w:r>
      </w:fldSimple>
      <w:r>
        <w:t xml:space="preserve">: </w:t>
      </w:r>
      <w:r>
        <w:rPr>
          <w:lang w:val="en-US" w:eastAsia="zh-CN"/>
        </w:rPr>
        <w:t>Raw Data C</w:t>
      </w:r>
      <w:r w:rsidR="006A69BF">
        <w:rPr>
          <w:lang w:val="en-US" w:eastAsia="zh-CN"/>
        </w:rPr>
        <w:t xml:space="preserve">ollected from Assessment Brief </w:t>
      </w:r>
    </w:p>
    <w:p w14:paraId="3CBB1EA9" w14:textId="794AEF8B" w:rsidR="00CC5493" w:rsidRDefault="00CC5493" w:rsidP="001F50D4">
      <w:pPr>
        <w:pStyle w:val="Heading2"/>
      </w:pPr>
      <w:bookmarkStart w:id="8" w:name="_Toc182010739"/>
      <w:r>
        <w:t>Appendix-</w:t>
      </w:r>
      <w:r w:rsidR="008E30C8">
        <w:t>2</w:t>
      </w:r>
      <w:r>
        <w:t xml:space="preserve">: </w:t>
      </w:r>
      <w:r w:rsidR="001F50D4">
        <w:t>Key Financial Ratios</w:t>
      </w:r>
      <w:bookmarkEnd w:id="8"/>
    </w:p>
    <w:tbl>
      <w:tblPr>
        <w:tblStyle w:val="TableGrid"/>
        <w:tblW w:w="8495" w:type="dxa"/>
        <w:tblLook w:val="04A0" w:firstRow="1" w:lastRow="0" w:firstColumn="1" w:lastColumn="0" w:noHBand="0" w:noVBand="1"/>
      </w:tblPr>
      <w:tblGrid>
        <w:gridCol w:w="2830"/>
        <w:gridCol w:w="1418"/>
        <w:gridCol w:w="1417"/>
        <w:gridCol w:w="2830"/>
      </w:tblGrid>
      <w:tr w:rsidR="00E803E8" w:rsidRPr="00E803E8" w14:paraId="308444AE" w14:textId="77777777" w:rsidTr="00E803E8">
        <w:trPr>
          <w:trHeight w:val="513"/>
        </w:trPr>
        <w:tc>
          <w:tcPr>
            <w:tcW w:w="2830" w:type="dxa"/>
            <w:shd w:val="clear" w:color="auto" w:fill="A8D08D" w:themeFill="accent6" w:themeFillTint="99"/>
            <w:noWrap/>
          </w:tcPr>
          <w:p w14:paraId="76A05300" w14:textId="1B033264" w:rsidR="00E803E8" w:rsidRPr="00E803E8" w:rsidRDefault="00E803E8" w:rsidP="00E803E8">
            <w:pPr>
              <w:rPr>
                <w:lang w:eastAsia="en-GB"/>
              </w:rPr>
            </w:pPr>
            <w:r>
              <w:rPr>
                <w:lang w:eastAsia="en-GB"/>
              </w:rPr>
              <w:t>Ratios</w:t>
            </w:r>
          </w:p>
        </w:tc>
        <w:tc>
          <w:tcPr>
            <w:tcW w:w="1418" w:type="dxa"/>
            <w:shd w:val="clear" w:color="auto" w:fill="FFD966" w:themeFill="accent4" w:themeFillTint="99"/>
            <w:noWrap/>
          </w:tcPr>
          <w:p w14:paraId="7F9D24BA" w14:textId="109F52D2" w:rsidR="00E803E8" w:rsidRPr="00E803E8" w:rsidRDefault="00E803E8" w:rsidP="00E803E8">
            <w:pPr>
              <w:rPr>
                <w:lang w:eastAsia="en-GB"/>
              </w:rPr>
            </w:pPr>
            <w:r>
              <w:rPr>
                <w:lang w:eastAsia="en-GB"/>
              </w:rPr>
              <w:t>2021</w:t>
            </w:r>
          </w:p>
        </w:tc>
        <w:tc>
          <w:tcPr>
            <w:tcW w:w="1417" w:type="dxa"/>
            <w:shd w:val="clear" w:color="auto" w:fill="FFD966" w:themeFill="accent4" w:themeFillTint="99"/>
            <w:noWrap/>
          </w:tcPr>
          <w:p w14:paraId="4A96F99E" w14:textId="3E18C26B" w:rsidR="00E803E8" w:rsidRPr="00E803E8" w:rsidRDefault="00E803E8" w:rsidP="00E803E8">
            <w:pPr>
              <w:rPr>
                <w:lang w:eastAsia="en-GB"/>
              </w:rPr>
            </w:pPr>
            <w:r>
              <w:rPr>
                <w:lang w:eastAsia="en-GB"/>
              </w:rPr>
              <w:t>2022</w:t>
            </w:r>
          </w:p>
        </w:tc>
        <w:tc>
          <w:tcPr>
            <w:tcW w:w="2830" w:type="dxa"/>
            <w:shd w:val="clear" w:color="auto" w:fill="FFD966" w:themeFill="accent4" w:themeFillTint="99"/>
            <w:noWrap/>
          </w:tcPr>
          <w:p w14:paraId="1CF2FA97" w14:textId="3AF7027E" w:rsidR="00E803E8" w:rsidRPr="00E803E8" w:rsidRDefault="00E803E8" w:rsidP="00E803E8">
            <w:pPr>
              <w:rPr>
                <w:lang w:eastAsia="en-GB"/>
              </w:rPr>
            </w:pPr>
            <w:r>
              <w:rPr>
                <w:lang w:eastAsia="en-GB"/>
              </w:rPr>
              <w:t>2023</w:t>
            </w:r>
          </w:p>
        </w:tc>
      </w:tr>
      <w:tr w:rsidR="00E803E8" w:rsidRPr="00E803E8" w14:paraId="453C5FDB" w14:textId="77777777" w:rsidTr="00E803E8">
        <w:trPr>
          <w:trHeight w:val="513"/>
        </w:trPr>
        <w:tc>
          <w:tcPr>
            <w:tcW w:w="2830" w:type="dxa"/>
            <w:shd w:val="clear" w:color="auto" w:fill="A8D08D" w:themeFill="accent6" w:themeFillTint="99"/>
            <w:noWrap/>
            <w:hideMark/>
          </w:tcPr>
          <w:p w14:paraId="2CDDBDBE" w14:textId="77777777" w:rsidR="00E803E8" w:rsidRPr="00E803E8" w:rsidRDefault="00E803E8" w:rsidP="00E803E8">
            <w:pPr>
              <w:rPr>
                <w:lang w:eastAsia="en-GB"/>
              </w:rPr>
            </w:pPr>
            <w:r w:rsidRPr="00E803E8">
              <w:rPr>
                <w:lang w:eastAsia="en-GB"/>
              </w:rPr>
              <w:t>Current Ratio</w:t>
            </w:r>
          </w:p>
        </w:tc>
        <w:tc>
          <w:tcPr>
            <w:tcW w:w="1418" w:type="dxa"/>
            <w:noWrap/>
            <w:hideMark/>
          </w:tcPr>
          <w:p w14:paraId="51C4E48F" w14:textId="77777777" w:rsidR="00E803E8" w:rsidRPr="00E803E8" w:rsidRDefault="00E803E8" w:rsidP="00E803E8">
            <w:pPr>
              <w:rPr>
                <w:lang w:eastAsia="en-GB"/>
              </w:rPr>
            </w:pPr>
            <w:r w:rsidRPr="00E803E8">
              <w:rPr>
                <w:lang w:eastAsia="en-GB"/>
              </w:rPr>
              <w:t>96.66%</w:t>
            </w:r>
          </w:p>
        </w:tc>
        <w:tc>
          <w:tcPr>
            <w:tcW w:w="1417" w:type="dxa"/>
            <w:noWrap/>
            <w:hideMark/>
          </w:tcPr>
          <w:p w14:paraId="0981272E" w14:textId="77777777" w:rsidR="00E803E8" w:rsidRPr="00E803E8" w:rsidRDefault="00E803E8" w:rsidP="00E803E8">
            <w:pPr>
              <w:rPr>
                <w:lang w:eastAsia="en-GB"/>
              </w:rPr>
            </w:pPr>
            <w:r w:rsidRPr="00E803E8">
              <w:rPr>
                <w:lang w:eastAsia="en-GB"/>
              </w:rPr>
              <w:t>93.24%</w:t>
            </w:r>
          </w:p>
        </w:tc>
        <w:tc>
          <w:tcPr>
            <w:tcW w:w="2830" w:type="dxa"/>
            <w:noWrap/>
            <w:hideMark/>
          </w:tcPr>
          <w:p w14:paraId="3AC8D266" w14:textId="77777777" w:rsidR="00E803E8" w:rsidRPr="00E803E8" w:rsidRDefault="00E803E8" w:rsidP="00E803E8">
            <w:pPr>
              <w:rPr>
                <w:lang w:eastAsia="en-GB"/>
              </w:rPr>
            </w:pPr>
            <w:r w:rsidRPr="00E803E8">
              <w:rPr>
                <w:lang w:eastAsia="en-GB"/>
              </w:rPr>
              <w:t>63.83%</w:t>
            </w:r>
          </w:p>
        </w:tc>
      </w:tr>
      <w:tr w:rsidR="00E803E8" w:rsidRPr="00E803E8" w14:paraId="4969774A" w14:textId="77777777" w:rsidTr="00E803E8">
        <w:trPr>
          <w:trHeight w:val="413"/>
        </w:trPr>
        <w:tc>
          <w:tcPr>
            <w:tcW w:w="2830" w:type="dxa"/>
            <w:shd w:val="clear" w:color="auto" w:fill="A8D08D" w:themeFill="accent6" w:themeFillTint="99"/>
            <w:noWrap/>
            <w:hideMark/>
          </w:tcPr>
          <w:p w14:paraId="3836355E" w14:textId="77777777" w:rsidR="00E803E8" w:rsidRPr="00E803E8" w:rsidRDefault="00E803E8" w:rsidP="00E803E8">
            <w:pPr>
              <w:rPr>
                <w:lang w:eastAsia="en-GB"/>
              </w:rPr>
            </w:pPr>
            <w:r w:rsidRPr="00E803E8">
              <w:rPr>
                <w:lang w:eastAsia="en-GB"/>
              </w:rPr>
              <w:t>Quick Ratio</w:t>
            </w:r>
          </w:p>
        </w:tc>
        <w:tc>
          <w:tcPr>
            <w:tcW w:w="1418" w:type="dxa"/>
            <w:noWrap/>
            <w:hideMark/>
          </w:tcPr>
          <w:p w14:paraId="12AA24B4" w14:textId="77777777" w:rsidR="00E803E8" w:rsidRPr="00E803E8" w:rsidRDefault="00E803E8" w:rsidP="00E803E8">
            <w:pPr>
              <w:rPr>
                <w:lang w:eastAsia="en-GB"/>
              </w:rPr>
            </w:pPr>
            <w:r w:rsidRPr="00E803E8">
              <w:rPr>
                <w:lang w:eastAsia="en-GB"/>
              </w:rPr>
              <w:t>94.86%</w:t>
            </w:r>
          </w:p>
        </w:tc>
        <w:tc>
          <w:tcPr>
            <w:tcW w:w="1417" w:type="dxa"/>
            <w:noWrap/>
            <w:hideMark/>
          </w:tcPr>
          <w:p w14:paraId="244EC0CB" w14:textId="77777777" w:rsidR="00E803E8" w:rsidRPr="00E803E8" w:rsidRDefault="00E803E8" w:rsidP="00E803E8">
            <w:pPr>
              <w:rPr>
                <w:lang w:eastAsia="en-GB"/>
              </w:rPr>
            </w:pPr>
            <w:r w:rsidRPr="00E803E8">
              <w:rPr>
                <w:lang w:eastAsia="en-GB"/>
              </w:rPr>
              <w:t>91.52%</w:t>
            </w:r>
          </w:p>
        </w:tc>
        <w:tc>
          <w:tcPr>
            <w:tcW w:w="2830" w:type="dxa"/>
            <w:noWrap/>
            <w:hideMark/>
          </w:tcPr>
          <w:p w14:paraId="7C46F672" w14:textId="77777777" w:rsidR="00E803E8" w:rsidRPr="00E803E8" w:rsidRDefault="00E803E8" w:rsidP="00E803E8">
            <w:pPr>
              <w:rPr>
                <w:lang w:eastAsia="en-GB"/>
              </w:rPr>
            </w:pPr>
            <w:r w:rsidRPr="00E803E8">
              <w:rPr>
                <w:lang w:eastAsia="en-GB"/>
              </w:rPr>
              <w:t>62.37%</w:t>
            </w:r>
          </w:p>
        </w:tc>
      </w:tr>
      <w:tr w:rsidR="00E803E8" w:rsidRPr="00E803E8" w14:paraId="3067A8A0" w14:textId="77777777" w:rsidTr="00E803E8">
        <w:trPr>
          <w:trHeight w:val="492"/>
        </w:trPr>
        <w:tc>
          <w:tcPr>
            <w:tcW w:w="2830" w:type="dxa"/>
            <w:shd w:val="clear" w:color="auto" w:fill="A8D08D" w:themeFill="accent6" w:themeFillTint="99"/>
            <w:noWrap/>
            <w:hideMark/>
          </w:tcPr>
          <w:p w14:paraId="6E121FBB" w14:textId="77777777" w:rsidR="00E803E8" w:rsidRPr="00E803E8" w:rsidRDefault="00E803E8" w:rsidP="00E803E8">
            <w:pPr>
              <w:rPr>
                <w:lang w:eastAsia="en-GB"/>
              </w:rPr>
            </w:pPr>
            <w:r w:rsidRPr="00E803E8">
              <w:rPr>
                <w:lang w:eastAsia="en-GB"/>
              </w:rPr>
              <w:t>Debt to Equity Ratio</w:t>
            </w:r>
          </w:p>
        </w:tc>
        <w:tc>
          <w:tcPr>
            <w:tcW w:w="1418" w:type="dxa"/>
            <w:noWrap/>
            <w:hideMark/>
          </w:tcPr>
          <w:p w14:paraId="48583E92" w14:textId="77777777" w:rsidR="00E803E8" w:rsidRPr="00E803E8" w:rsidRDefault="00E803E8" w:rsidP="00E803E8">
            <w:pPr>
              <w:rPr>
                <w:lang w:eastAsia="en-GB"/>
              </w:rPr>
            </w:pPr>
            <w:r w:rsidRPr="00E803E8">
              <w:rPr>
                <w:lang w:eastAsia="en-GB"/>
              </w:rPr>
              <w:t>4.74</w:t>
            </w:r>
          </w:p>
        </w:tc>
        <w:tc>
          <w:tcPr>
            <w:tcW w:w="1417" w:type="dxa"/>
            <w:noWrap/>
            <w:hideMark/>
          </w:tcPr>
          <w:p w14:paraId="7C6547C5" w14:textId="77777777" w:rsidR="00E803E8" w:rsidRPr="00E803E8" w:rsidRDefault="00E803E8" w:rsidP="00E803E8">
            <w:pPr>
              <w:rPr>
                <w:lang w:eastAsia="en-GB"/>
              </w:rPr>
            </w:pPr>
            <w:r w:rsidRPr="00E803E8">
              <w:rPr>
                <w:lang w:eastAsia="en-GB"/>
              </w:rPr>
              <w:t>5.16</w:t>
            </w:r>
          </w:p>
        </w:tc>
        <w:tc>
          <w:tcPr>
            <w:tcW w:w="2830" w:type="dxa"/>
            <w:noWrap/>
            <w:hideMark/>
          </w:tcPr>
          <w:p w14:paraId="547F3D83" w14:textId="77777777" w:rsidR="00E803E8" w:rsidRPr="00E803E8" w:rsidRDefault="00E803E8" w:rsidP="00E803E8">
            <w:pPr>
              <w:rPr>
                <w:lang w:eastAsia="en-GB"/>
              </w:rPr>
            </w:pPr>
            <w:r w:rsidRPr="00E803E8">
              <w:rPr>
                <w:lang w:eastAsia="en-GB"/>
              </w:rPr>
              <w:t>10.1</w:t>
            </w:r>
          </w:p>
        </w:tc>
      </w:tr>
      <w:tr w:rsidR="00E803E8" w:rsidRPr="00E803E8" w14:paraId="5132999A" w14:textId="77777777" w:rsidTr="00E803E8">
        <w:trPr>
          <w:trHeight w:val="320"/>
        </w:trPr>
        <w:tc>
          <w:tcPr>
            <w:tcW w:w="2830" w:type="dxa"/>
            <w:shd w:val="clear" w:color="auto" w:fill="A8D08D" w:themeFill="accent6" w:themeFillTint="99"/>
            <w:noWrap/>
            <w:hideMark/>
          </w:tcPr>
          <w:p w14:paraId="13BCDA65" w14:textId="77777777" w:rsidR="00E803E8" w:rsidRPr="00E803E8" w:rsidRDefault="00E803E8" w:rsidP="00E803E8">
            <w:pPr>
              <w:rPr>
                <w:lang w:eastAsia="en-GB"/>
              </w:rPr>
            </w:pPr>
            <w:r w:rsidRPr="00E803E8">
              <w:rPr>
                <w:lang w:eastAsia="en-GB"/>
              </w:rPr>
              <w:t>ROA</w:t>
            </w:r>
          </w:p>
        </w:tc>
        <w:tc>
          <w:tcPr>
            <w:tcW w:w="1418" w:type="dxa"/>
            <w:noWrap/>
            <w:hideMark/>
          </w:tcPr>
          <w:p w14:paraId="4F13071E" w14:textId="77777777" w:rsidR="00E803E8" w:rsidRPr="00E803E8" w:rsidRDefault="00E803E8" w:rsidP="00E803E8">
            <w:pPr>
              <w:rPr>
                <w:lang w:eastAsia="en-GB"/>
              </w:rPr>
            </w:pPr>
            <w:r w:rsidRPr="00E803E8">
              <w:rPr>
                <w:lang w:eastAsia="en-GB"/>
              </w:rPr>
              <w:t>5.13%</w:t>
            </w:r>
          </w:p>
        </w:tc>
        <w:tc>
          <w:tcPr>
            <w:tcW w:w="1417" w:type="dxa"/>
            <w:noWrap/>
            <w:hideMark/>
          </w:tcPr>
          <w:p w14:paraId="2804ED1B" w14:textId="77777777" w:rsidR="00E803E8" w:rsidRPr="00E803E8" w:rsidRDefault="00E803E8" w:rsidP="00E803E8">
            <w:pPr>
              <w:rPr>
                <w:lang w:eastAsia="en-GB"/>
              </w:rPr>
            </w:pPr>
            <w:r w:rsidRPr="00E803E8">
              <w:rPr>
                <w:lang w:eastAsia="en-GB"/>
              </w:rPr>
              <w:t>4.24%</w:t>
            </w:r>
          </w:p>
        </w:tc>
        <w:tc>
          <w:tcPr>
            <w:tcW w:w="2830" w:type="dxa"/>
            <w:noWrap/>
            <w:hideMark/>
          </w:tcPr>
          <w:p w14:paraId="6008EB2A" w14:textId="77777777" w:rsidR="00E803E8" w:rsidRPr="00E803E8" w:rsidRDefault="00E803E8" w:rsidP="00E803E8">
            <w:pPr>
              <w:rPr>
                <w:lang w:eastAsia="en-GB"/>
              </w:rPr>
            </w:pPr>
            <w:r w:rsidRPr="00E803E8">
              <w:rPr>
                <w:lang w:eastAsia="en-GB"/>
              </w:rPr>
              <w:t>-7.79%</w:t>
            </w:r>
          </w:p>
        </w:tc>
      </w:tr>
      <w:tr w:rsidR="00E803E8" w:rsidRPr="00E803E8" w14:paraId="6EC59E4C" w14:textId="77777777" w:rsidTr="00E803E8">
        <w:trPr>
          <w:trHeight w:val="320"/>
        </w:trPr>
        <w:tc>
          <w:tcPr>
            <w:tcW w:w="2830" w:type="dxa"/>
            <w:shd w:val="clear" w:color="auto" w:fill="A8D08D" w:themeFill="accent6" w:themeFillTint="99"/>
            <w:noWrap/>
            <w:hideMark/>
          </w:tcPr>
          <w:p w14:paraId="1D3B7FA4" w14:textId="77777777" w:rsidR="00E803E8" w:rsidRPr="00E803E8" w:rsidRDefault="00E803E8" w:rsidP="00E803E8">
            <w:pPr>
              <w:rPr>
                <w:lang w:eastAsia="en-GB"/>
              </w:rPr>
            </w:pPr>
            <w:r w:rsidRPr="00E803E8">
              <w:rPr>
                <w:lang w:eastAsia="en-GB"/>
              </w:rPr>
              <w:t>ROE</w:t>
            </w:r>
          </w:p>
        </w:tc>
        <w:tc>
          <w:tcPr>
            <w:tcW w:w="1418" w:type="dxa"/>
            <w:noWrap/>
            <w:hideMark/>
          </w:tcPr>
          <w:p w14:paraId="0E9C7020" w14:textId="77777777" w:rsidR="00E803E8" w:rsidRPr="00E803E8" w:rsidRDefault="00E803E8" w:rsidP="00E803E8">
            <w:pPr>
              <w:rPr>
                <w:lang w:eastAsia="en-GB"/>
              </w:rPr>
            </w:pPr>
            <w:r w:rsidRPr="00E803E8">
              <w:rPr>
                <w:lang w:eastAsia="en-GB"/>
              </w:rPr>
              <w:t>30.85%</w:t>
            </w:r>
          </w:p>
        </w:tc>
        <w:tc>
          <w:tcPr>
            <w:tcW w:w="1417" w:type="dxa"/>
            <w:noWrap/>
            <w:hideMark/>
          </w:tcPr>
          <w:p w14:paraId="22864249" w14:textId="77777777" w:rsidR="00E803E8" w:rsidRPr="00E803E8" w:rsidRDefault="00E803E8" w:rsidP="00E803E8">
            <w:pPr>
              <w:rPr>
                <w:lang w:eastAsia="en-GB"/>
              </w:rPr>
            </w:pPr>
            <w:r w:rsidRPr="00E803E8">
              <w:rPr>
                <w:lang w:eastAsia="en-GB"/>
              </w:rPr>
              <w:t>27.29%</w:t>
            </w:r>
          </w:p>
        </w:tc>
        <w:tc>
          <w:tcPr>
            <w:tcW w:w="2830" w:type="dxa"/>
            <w:noWrap/>
            <w:hideMark/>
          </w:tcPr>
          <w:p w14:paraId="13A9A903" w14:textId="77777777" w:rsidR="00E803E8" w:rsidRPr="00E803E8" w:rsidRDefault="00E803E8" w:rsidP="00E803E8">
            <w:pPr>
              <w:rPr>
                <w:lang w:eastAsia="en-GB"/>
              </w:rPr>
            </w:pPr>
            <w:r w:rsidRPr="00E803E8">
              <w:rPr>
                <w:lang w:eastAsia="en-GB"/>
              </w:rPr>
              <w:t>-91.34%</w:t>
            </w:r>
          </w:p>
        </w:tc>
      </w:tr>
    </w:tbl>
    <w:p w14:paraId="6B8E40F3" w14:textId="5BE643C5" w:rsidR="001F50D4" w:rsidRPr="00256D05" w:rsidRDefault="003A468E" w:rsidP="003A468E">
      <w:pPr>
        <w:pStyle w:val="Caption"/>
        <w:jc w:val="center"/>
      </w:pPr>
      <w:r>
        <w:t xml:space="preserve">Table </w:t>
      </w:r>
      <w:fldSimple w:instr=" SEQ Table \* ARABIC ">
        <w:r w:rsidR="0044449B">
          <w:rPr>
            <w:noProof/>
          </w:rPr>
          <w:t>3</w:t>
        </w:r>
      </w:fldSimple>
      <w:r>
        <w:t>: Key Financial Ratios of The City Hotel from 2021 to 2023 (</w:t>
      </w:r>
      <w:r w:rsidR="006A69BF">
        <w:t>Self Made</w:t>
      </w:r>
      <w:r>
        <w:t>)</w:t>
      </w:r>
    </w:p>
    <w:p w14:paraId="0629AD3B" w14:textId="77777777" w:rsidR="00256D05" w:rsidRPr="00256D05" w:rsidRDefault="00256D05" w:rsidP="00256D05"/>
    <w:sectPr w:rsidR="00256D05" w:rsidRPr="00256D05" w:rsidSect="00951D7F">
      <w:footerReference w:type="default" r:id="rId3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5D52DC" w14:textId="77777777" w:rsidR="00E31A98" w:rsidRDefault="00E31A98" w:rsidP="00951D7F">
      <w:pPr>
        <w:spacing w:line="240" w:lineRule="auto"/>
      </w:pPr>
      <w:r>
        <w:separator/>
      </w:r>
    </w:p>
  </w:endnote>
  <w:endnote w:type="continuationSeparator" w:id="0">
    <w:p w14:paraId="3D0C005E" w14:textId="77777777" w:rsidR="00E31A98" w:rsidRDefault="00E31A98" w:rsidP="00951D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F13788" w14:textId="64CB4360" w:rsidR="00951D7F" w:rsidRDefault="00951D7F">
    <w:pPr>
      <w:pStyle w:val="Footer"/>
      <w:jc w:val="right"/>
    </w:pPr>
  </w:p>
  <w:p w14:paraId="1E879298" w14:textId="77777777" w:rsidR="00951D7F" w:rsidRDefault="00951D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4044035"/>
      <w:docPartObj>
        <w:docPartGallery w:val="Page Numbers (Bottom of Page)"/>
        <w:docPartUnique/>
      </w:docPartObj>
    </w:sdtPr>
    <w:sdtEndPr>
      <w:rPr>
        <w:noProof/>
      </w:rPr>
    </w:sdtEndPr>
    <w:sdtContent>
      <w:p w14:paraId="3BD5E9BA" w14:textId="2C345B4E" w:rsidR="00951D7F" w:rsidRDefault="00951D7F">
        <w:pPr>
          <w:pStyle w:val="Footer"/>
          <w:jc w:val="right"/>
        </w:pPr>
        <w:r>
          <w:fldChar w:fldCharType="begin"/>
        </w:r>
        <w:r>
          <w:instrText xml:space="preserve"> PAGE   \* MERGEFORMAT </w:instrText>
        </w:r>
        <w:r>
          <w:fldChar w:fldCharType="separate"/>
        </w:r>
        <w:r w:rsidR="00112ACA">
          <w:rPr>
            <w:noProof/>
          </w:rPr>
          <w:t>12</w:t>
        </w:r>
        <w:r>
          <w:rPr>
            <w:noProof/>
          </w:rPr>
          <w:fldChar w:fldCharType="end"/>
        </w:r>
      </w:p>
    </w:sdtContent>
  </w:sdt>
  <w:p w14:paraId="18745A5E" w14:textId="77777777" w:rsidR="00951D7F" w:rsidRDefault="00951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EC5E02" w14:textId="77777777" w:rsidR="00E31A98" w:rsidRDefault="00E31A98" w:rsidP="00951D7F">
      <w:pPr>
        <w:spacing w:line="240" w:lineRule="auto"/>
      </w:pPr>
      <w:r>
        <w:separator/>
      </w:r>
    </w:p>
  </w:footnote>
  <w:footnote w:type="continuationSeparator" w:id="0">
    <w:p w14:paraId="6B185F59" w14:textId="77777777" w:rsidR="00E31A98" w:rsidRDefault="00E31A98" w:rsidP="00951D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17620"/>
    <w:multiLevelType w:val="multilevel"/>
    <w:tmpl w:val="D5D85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1349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0008"/>
    <w:rsid w:val="000248F0"/>
    <w:rsid w:val="00026049"/>
    <w:rsid w:val="00033F84"/>
    <w:rsid w:val="00044A37"/>
    <w:rsid w:val="000B5F3A"/>
    <w:rsid w:val="000E6C3F"/>
    <w:rsid w:val="00112ACA"/>
    <w:rsid w:val="00145000"/>
    <w:rsid w:val="001511EE"/>
    <w:rsid w:val="00196005"/>
    <w:rsid w:val="001A1C20"/>
    <w:rsid w:val="001B06A3"/>
    <w:rsid w:val="001C3307"/>
    <w:rsid w:val="001C7EE1"/>
    <w:rsid w:val="001F50D4"/>
    <w:rsid w:val="00200A83"/>
    <w:rsid w:val="002043B0"/>
    <w:rsid w:val="00211EF2"/>
    <w:rsid w:val="002328E1"/>
    <w:rsid w:val="00256D05"/>
    <w:rsid w:val="00257E92"/>
    <w:rsid w:val="002649A8"/>
    <w:rsid w:val="002649D8"/>
    <w:rsid w:val="00272C30"/>
    <w:rsid w:val="002821DE"/>
    <w:rsid w:val="00296713"/>
    <w:rsid w:val="002F0472"/>
    <w:rsid w:val="00332986"/>
    <w:rsid w:val="00334129"/>
    <w:rsid w:val="003716E5"/>
    <w:rsid w:val="003A468E"/>
    <w:rsid w:val="004100F3"/>
    <w:rsid w:val="00417F31"/>
    <w:rsid w:val="0044449B"/>
    <w:rsid w:val="00457AF5"/>
    <w:rsid w:val="00474A75"/>
    <w:rsid w:val="004835E3"/>
    <w:rsid w:val="00495118"/>
    <w:rsid w:val="004A1EE3"/>
    <w:rsid w:val="004C2C06"/>
    <w:rsid w:val="004E7AB2"/>
    <w:rsid w:val="004F3D66"/>
    <w:rsid w:val="00511C40"/>
    <w:rsid w:val="00552944"/>
    <w:rsid w:val="00561CC0"/>
    <w:rsid w:val="0058266B"/>
    <w:rsid w:val="005878E0"/>
    <w:rsid w:val="005A5501"/>
    <w:rsid w:val="005B5788"/>
    <w:rsid w:val="005D5FFB"/>
    <w:rsid w:val="00610B36"/>
    <w:rsid w:val="006155AB"/>
    <w:rsid w:val="00647292"/>
    <w:rsid w:val="00654024"/>
    <w:rsid w:val="0066008A"/>
    <w:rsid w:val="00665408"/>
    <w:rsid w:val="006A31C1"/>
    <w:rsid w:val="006A3C35"/>
    <w:rsid w:val="006A69BF"/>
    <w:rsid w:val="006D463A"/>
    <w:rsid w:val="006F6D6B"/>
    <w:rsid w:val="006F764A"/>
    <w:rsid w:val="00725472"/>
    <w:rsid w:val="00791A12"/>
    <w:rsid w:val="007959C7"/>
    <w:rsid w:val="007A2120"/>
    <w:rsid w:val="007B0008"/>
    <w:rsid w:val="007B05E7"/>
    <w:rsid w:val="007E14BF"/>
    <w:rsid w:val="007F3FE5"/>
    <w:rsid w:val="008014F7"/>
    <w:rsid w:val="008041B0"/>
    <w:rsid w:val="008178F4"/>
    <w:rsid w:val="008877F8"/>
    <w:rsid w:val="008A0989"/>
    <w:rsid w:val="008E30C8"/>
    <w:rsid w:val="0094169D"/>
    <w:rsid w:val="00951D7F"/>
    <w:rsid w:val="0096473E"/>
    <w:rsid w:val="009666FF"/>
    <w:rsid w:val="00977394"/>
    <w:rsid w:val="009800A4"/>
    <w:rsid w:val="0099481E"/>
    <w:rsid w:val="009A4F02"/>
    <w:rsid w:val="009E06AA"/>
    <w:rsid w:val="009E4A62"/>
    <w:rsid w:val="009F487A"/>
    <w:rsid w:val="009F4AD1"/>
    <w:rsid w:val="00A24CAA"/>
    <w:rsid w:val="00A45211"/>
    <w:rsid w:val="00A54BA9"/>
    <w:rsid w:val="00A72AAF"/>
    <w:rsid w:val="00A74985"/>
    <w:rsid w:val="00AA67A3"/>
    <w:rsid w:val="00AB5CE8"/>
    <w:rsid w:val="00B03263"/>
    <w:rsid w:val="00B23D5C"/>
    <w:rsid w:val="00B74A26"/>
    <w:rsid w:val="00BA51C5"/>
    <w:rsid w:val="00BA73EC"/>
    <w:rsid w:val="00BD62D3"/>
    <w:rsid w:val="00BF698F"/>
    <w:rsid w:val="00C15356"/>
    <w:rsid w:val="00C15E5F"/>
    <w:rsid w:val="00C703E2"/>
    <w:rsid w:val="00C823F5"/>
    <w:rsid w:val="00CA794C"/>
    <w:rsid w:val="00CC0655"/>
    <w:rsid w:val="00CC5493"/>
    <w:rsid w:val="00CE3E4F"/>
    <w:rsid w:val="00D16494"/>
    <w:rsid w:val="00D173AF"/>
    <w:rsid w:val="00D22466"/>
    <w:rsid w:val="00D816AB"/>
    <w:rsid w:val="00D921EE"/>
    <w:rsid w:val="00D95F2C"/>
    <w:rsid w:val="00D97194"/>
    <w:rsid w:val="00E31A98"/>
    <w:rsid w:val="00E52A5E"/>
    <w:rsid w:val="00E622E7"/>
    <w:rsid w:val="00E803E8"/>
    <w:rsid w:val="00E851DA"/>
    <w:rsid w:val="00E8799B"/>
    <w:rsid w:val="00E95F4A"/>
    <w:rsid w:val="00E97D07"/>
    <w:rsid w:val="00EA752D"/>
    <w:rsid w:val="00F6498A"/>
    <w:rsid w:val="00F6503B"/>
    <w:rsid w:val="00F66645"/>
    <w:rsid w:val="00F971DD"/>
    <w:rsid w:val="00FB788B"/>
    <w:rsid w:val="00FE22E9"/>
    <w:rsid w:val="00FF18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DD9D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C06"/>
    <w:pPr>
      <w:spacing w:after="0"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1F50D4"/>
    <w:pPr>
      <w:keepNext/>
      <w:spacing w:before="240" w:after="60"/>
      <w:jc w:val="left"/>
      <w:outlineLvl w:val="0"/>
    </w:pPr>
    <w:rPr>
      <w:rFonts w:eastAsia="SimSun" w:cs="Times New Roman"/>
      <w:b/>
      <w:bCs/>
      <w:kern w:val="32"/>
      <w:sz w:val="32"/>
      <w:szCs w:val="32"/>
      <w:lang w:val="en-US" w:eastAsia="zh-CN"/>
    </w:rPr>
  </w:style>
  <w:style w:type="paragraph" w:styleId="Heading2">
    <w:name w:val="heading 2"/>
    <w:basedOn w:val="Normal"/>
    <w:next w:val="Normal"/>
    <w:link w:val="Heading2Char"/>
    <w:autoRedefine/>
    <w:uiPriority w:val="9"/>
    <w:unhideWhenUsed/>
    <w:qFormat/>
    <w:rsid w:val="001F50D4"/>
    <w:pPr>
      <w:keepNext/>
      <w:keepLines/>
      <w:spacing w:before="40"/>
      <w:outlineLvl w:val="1"/>
    </w:pPr>
    <w:rPr>
      <w:rFonts w:eastAsiaTheme="majorEastAsia" w:cstheme="majorBidi"/>
      <w:b/>
      <w:color w:val="2E74B5" w:themeColor="accent5" w:themeShade="BF"/>
      <w:sz w:val="28"/>
      <w:szCs w:val="26"/>
      <w:lang w:val="en-US" w:eastAsia="zh-CN"/>
    </w:rPr>
  </w:style>
  <w:style w:type="paragraph" w:styleId="Heading3">
    <w:name w:val="heading 3"/>
    <w:basedOn w:val="Normal"/>
    <w:next w:val="Normal"/>
    <w:link w:val="Heading3Char"/>
    <w:uiPriority w:val="9"/>
    <w:unhideWhenUsed/>
    <w:qFormat/>
    <w:rsid w:val="00D97194"/>
    <w:pPr>
      <w:keepNext/>
      <w:keepLines/>
      <w:spacing w:before="280" w:after="2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A45211"/>
    <w:pPr>
      <w:keepNext/>
      <w:keepLines/>
      <w:spacing w:before="40"/>
      <w:outlineLvl w:val="3"/>
    </w:pPr>
    <w:rPr>
      <w:rFonts w:asciiTheme="majorHAnsi" w:eastAsiaTheme="majorEastAsia" w:hAnsiTheme="majorHAnsi"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0D4"/>
    <w:rPr>
      <w:rFonts w:ascii="Arial" w:eastAsia="SimSun" w:hAnsi="Arial" w:cs="Times New Roman"/>
      <w:b/>
      <w:bCs/>
      <w:color w:val="000000" w:themeColor="text1"/>
      <w:kern w:val="32"/>
      <w:sz w:val="32"/>
      <w:szCs w:val="32"/>
      <w:lang w:val="en-US" w:eastAsia="zh-CN"/>
    </w:rPr>
  </w:style>
  <w:style w:type="character" w:customStyle="1" w:styleId="Heading2Char">
    <w:name w:val="Heading 2 Char"/>
    <w:basedOn w:val="DefaultParagraphFont"/>
    <w:link w:val="Heading2"/>
    <w:uiPriority w:val="9"/>
    <w:rsid w:val="001F50D4"/>
    <w:rPr>
      <w:rFonts w:ascii="Arial" w:eastAsiaTheme="majorEastAsia" w:hAnsi="Arial" w:cstheme="majorBidi"/>
      <w:b/>
      <w:color w:val="2E74B5" w:themeColor="accent5" w:themeShade="BF"/>
      <w:sz w:val="28"/>
      <w:szCs w:val="26"/>
      <w:lang w:val="en-US" w:eastAsia="zh-CN"/>
    </w:rPr>
  </w:style>
  <w:style w:type="character" w:customStyle="1" w:styleId="Heading3Char">
    <w:name w:val="Heading 3 Char"/>
    <w:basedOn w:val="DefaultParagraphFont"/>
    <w:link w:val="Heading3"/>
    <w:uiPriority w:val="9"/>
    <w:rsid w:val="00D97194"/>
    <w:rPr>
      <w:rFonts w:ascii="Times New Roman" w:eastAsiaTheme="majorEastAsia" w:hAnsi="Times New Roman" w:cstheme="majorBidi"/>
      <w:b/>
      <w:color w:val="000000" w:themeColor="text1"/>
      <w:sz w:val="24"/>
      <w:szCs w:val="24"/>
      <w:lang w:val="en-GB"/>
    </w:rPr>
  </w:style>
  <w:style w:type="paragraph" w:styleId="NoSpacing">
    <w:name w:val="No Spacing"/>
    <w:uiPriority w:val="1"/>
    <w:qFormat/>
    <w:rsid w:val="00B23D5C"/>
    <w:pPr>
      <w:spacing w:before="120" w:after="120" w:line="240" w:lineRule="auto"/>
      <w:jc w:val="both"/>
    </w:pPr>
    <w:rPr>
      <w:rFonts w:ascii="Times New Roman" w:hAnsi="Times New Roman"/>
      <w:b/>
      <w:color w:val="000000" w:themeColor="text1"/>
      <w:sz w:val="28"/>
      <w14:ligatures w14:val="none"/>
    </w:rPr>
  </w:style>
  <w:style w:type="character" w:customStyle="1" w:styleId="Heading4Char">
    <w:name w:val="Heading 4 Char"/>
    <w:basedOn w:val="DefaultParagraphFont"/>
    <w:link w:val="Heading4"/>
    <w:uiPriority w:val="9"/>
    <w:rsid w:val="00A45211"/>
    <w:rPr>
      <w:rFonts w:asciiTheme="majorHAnsi" w:eastAsiaTheme="majorEastAsia" w:hAnsiTheme="majorHAnsi" w:cstheme="majorBidi"/>
      <w:b/>
      <w:iCs/>
      <w:color w:val="000000" w:themeColor="text1"/>
      <w:kern w:val="0"/>
      <w:sz w:val="24"/>
      <w14:ligatures w14:val="none"/>
    </w:rPr>
  </w:style>
  <w:style w:type="table" w:styleId="TableGrid">
    <w:name w:val="Table Grid"/>
    <w:basedOn w:val="TableNormal"/>
    <w:uiPriority w:val="39"/>
    <w:rsid w:val="00256D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1D7F"/>
    <w:pPr>
      <w:tabs>
        <w:tab w:val="center" w:pos="4513"/>
        <w:tab w:val="right" w:pos="9026"/>
      </w:tabs>
      <w:spacing w:line="240" w:lineRule="auto"/>
    </w:pPr>
  </w:style>
  <w:style w:type="character" w:customStyle="1" w:styleId="HeaderChar">
    <w:name w:val="Header Char"/>
    <w:basedOn w:val="DefaultParagraphFont"/>
    <w:link w:val="Header"/>
    <w:uiPriority w:val="99"/>
    <w:rsid w:val="00951D7F"/>
    <w:rPr>
      <w:rFonts w:ascii="Arial" w:hAnsi="Arial"/>
      <w:color w:val="000000" w:themeColor="text1"/>
      <w:sz w:val="24"/>
    </w:rPr>
  </w:style>
  <w:style w:type="paragraph" w:styleId="Footer">
    <w:name w:val="footer"/>
    <w:basedOn w:val="Normal"/>
    <w:link w:val="FooterChar"/>
    <w:uiPriority w:val="99"/>
    <w:unhideWhenUsed/>
    <w:rsid w:val="00951D7F"/>
    <w:pPr>
      <w:tabs>
        <w:tab w:val="center" w:pos="4513"/>
        <w:tab w:val="right" w:pos="9026"/>
      </w:tabs>
      <w:spacing w:line="240" w:lineRule="auto"/>
    </w:pPr>
  </w:style>
  <w:style w:type="character" w:customStyle="1" w:styleId="FooterChar">
    <w:name w:val="Footer Char"/>
    <w:basedOn w:val="DefaultParagraphFont"/>
    <w:link w:val="Footer"/>
    <w:uiPriority w:val="99"/>
    <w:rsid w:val="00951D7F"/>
    <w:rPr>
      <w:rFonts w:ascii="Arial" w:hAnsi="Arial"/>
      <w:color w:val="000000" w:themeColor="text1"/>
      <w:sz w:val="24"/>
    </w:rPr>
  </w:style>
  <w:style w:type="paragraph" w:styleId="TOCHeading">
    <w:name w:val="TOC Heading"/>
    <w:basedOn w:val="Heading1"/>
    <w:next w:val="Normal"/>
    <w:uiPriority w:val="39"/>
    <w:unhideWhenUsed/>
    <w:qFormat/>
    <w:rsid w:val="00951D7F"/>
    <w:pPr>
      <w:keepLines/>
      <w:spacing w:after="0" w:line="259" w:lineRule="auto"/>
      <w:outlineLvl w:val="9"/>
    </w:pPr>
    <w:rPr>
      <w:rFonts w:asciiTheme="majorHAnsi" w:eastAsiaTheme="majorEastAsia" w:hAnsiTheme="majorHAnsi" w:cstheme="majorBidi"/>
      <w:b w:val="0"/>
      <w:bCs w:val="0"/>
      <w:color w:val="2F5496" w:themeColor="accent1" w:themeShade="BF"/>
      <w:kern w:val="0"/>
      <w:lang w:eastAsia="en-US"/>
      <w14:ligatures w14:val="none"/>
    </w:rPr>
  </w:style>
  <w:style w:type="paragraph" w:styleId="TOC1">
    <w:name w:val="toc 1"/>
    <w:basedOn w:val="Normal"/>
    <w:next w:val="Normal"/>
    <w:autoRedefine/>
    <w:uiPriority w:val="39"/>
    <w:unhideWhenUsed/>
    <w:rsid w:val="00951D7F"/>
    <w:pPr>
      <w:spacing w:after="100"/>
    </w:pPr>
  </w:style>
  <w:style w:type="paragraph" w:styleId="TOC2">
    <w:name w:val="toc 2"/>
    <w:basedOn w:val="Normal"/>
    <w:next w:val="Normal"/>
    <w:autoRedefine/>
    <w:uiPriority w:val="39"/>
    <w:unhideWhenUsed/>
    <w:rsid w:val="00951D7F"/>
    <w:pPr>
      <w:spacing w:after="100"/>
      <w:ind w:left="240"/>
    </w:pPr>
  </w:style>
  <w:style w:type="character" w:styleId="Hyperlink">
    <w:name w:val="Hyperlink"/>
    <w:basedOn w:val="DefaultParagraphFont"/>
    <w:uiPriority w:val="99"/>
    <w:unhideWhenUsed/>
    <w:rsid w:val="00951D7F"/>
    <w:rPr>
      <w:color w:val="0563C1" w:themeColor="hyperlink"/>
      <w:u w:val="single"/>
    </w:rPr>
  </w:style>
  <w:style w:type="paragraph" w:styleId="Caption">
    <w:name w:val="caption"/>
    <w:basedOn w:val="Normal"/>
    <w:next w:val="Normal"/>
    <w:uiPriority w:val="35"/>
    <w:unhideWhenUsed/>
    <w:qFormat/>
    <w:rsid w:val="004F3D66"/>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F3FE5"/>
    <w:rPr>
      <w:color w:val="605E5C"/>
      <w:shd w:val="clear" w:color="auto" w:fill="E1DFDD"/>
    </w:rPr>
  </w:style>
  <w:style w:type="character" w:styleId="FollowedHyperlink">
    <w:name w:val="FollowedHyperlink"/>
    <w:basedOn w:val="DefaultParagraphFont"/>
    <w:uiPriority w:val="99"/>
    <w:semiHidden/>
    <w:unhideWhenUsed/>
    <w:rsid w:val="007F3F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95610">
      <w:bodyDiv w:val="1"/>
      <w:marLeft w:val="0"/>
      <w:marRight w:val="0"/>
      <w:marTop w:val="0"/>
      <w:marBottom w:val="0"/>
      <w:divBdr>
        <w:top w:val="none" w:sz="0" w:space="0" w:color="auto"/>
        <w:left w:val="none" w:sz="0" w:space="0" w:color="auto"/>
        <w:bottom w:val="none" w:sz="0" w:space="0" w:color="auto"/>
        <w:right w:val="none" w:sz="0" w:space="0" w:color="auto"/>
      </w:divBdr>
    </w:div>
    <w:div w:id="136076020">
      <w:bodyDiv w:val="1"/>
      <w:marLeft w:val="0"/>
      <w:marRight w:val="0"/>
      <w:marTop w:val="0"/>
      <w:marBottom w:val="0"/>
      <w:divBdr>
        <w:top w:val="none" w:sz="0" w:space="0" w:color="auto"/>
        <w:left w:val="none" w:sz="0" w:space="0" w:color="auto"/>
        <w:bottom w:val="none" w:sz="0" w:space="0" w:color="auto"/>
        <w:right w:val="none" w:sz="0" w:space="0" w:color="auto"/>
      </w:divBdr>
    </w:div>
    <w:div w:id="169873224">
      <w:bodyDiv w:val="1"/>
      <w:marLeft w:val="0"/>
      <w:marRight w:val="0"/>
      <w:marTop w:val="0"/>
      <w:marBottom w:val="0"/>
      <w:divBdr>
        <w:top w:val="none" w:sz="0" w:space="0" w:color="auto"/>
        <w:left w:val="none" w:sz="0" w:space="0" w:color="auto"/>
        <w:bottom w:val="none" w:sz="0" w:space="0" w:color="auto"/>
        <w:right w:val="none" w:sz="0" w:space="0" w:color="auto"/>
      </w:divBdr>
      <w:divsChild>
        <w:div w:id="1259295129">
          <w:marLeft w:val="0"/>
          <w:marRight w:val="0"/>
          <w:marTop w:val="0"/>
          <w:marBottom w:val="0"/>
          <w:divBdr>
            <w:top w:val="none" w:sz="0" w:space="0" w:color="auto"/>
            <w:left w:val="none" w:sz="0" w:space="0" w:color="auto"/>
            <w:bottom w:val="none" w:sz="0" w:space="0" w:color="auto"/>
            <w:right w:val="none" w:sz="0" w:space="0" w:color="auto"/>
          </w:divBdr>
        </w:div>
      </w:divsChild>
    </w:div>
    <w:div w:id="744958086">
      <w:bodyDiv w:val="1"/>
      <w:marLeft w:val="0"/>
      <w:marRight w:val="0"/>
      <w:marTop w:val="0"/>
      <w:marBottom w:val="0"/>
      <w:divBdr>
        <w:top w:val="none" w:sz="0" w:space="0" w:color="auto"/>
        <w:left w:val="none" w:sz="0" w:space="0" w:color="auto"/>
        <w:bottom w:val="none" w:sz="0" w:space="0" w:color="auto"/>
        <w:right w:val="none" w:sz="0" w:space="0" w:color="auto"/>
      </w:divBdr>
    </w:div>
    <w:div w:id="850072727">
      <w:bodyDiv w:val="1"/>
      <w:marLeft w:val="0"/>
      <w:marRight w:val="0"/>
      <w:marTop w:val="0"/>
      <w:marBottom w:val="0"/>
      <w:divBdr>
        <w:top w:val="none" w:sz="0" w:space="0" w:color="auto"/>
        <w:left w:val="none" w:sz="0" w:space="0" w:color="auto"/>
        <w:bottom w:val="none" w:sz="0" w:space="0" w:color="auto"/>
        <w:right w:val="none" w:sz="0" w:space="0" w:color="auto"/>
      </w:divBdr>
    </w:div>
    <w:div w:id="1117212892">
      <w:bodyDiv w:val="1"/>
      <w:marLeft w:val="0"/>
      <w:marRight w:val="0"/>
      <w:marTop w:val="0"/>
      <w:marBottom w:val="0"/>
      <w:divBdr>
        <w:top w:val="none" w:sz="0" w:space="0" w:color="auto"/>
        <w:left w:val="none" w:sz="0" w:space="0" w:color="auto"/>
        <w:bottom w:val="none" w:sz="0" w:space="0" w:color="auto"/>
        <w:right w:val="none" w:sz="0" w:space="0" w:color="auto"/>
      </w:divBdr>
    </w:div>
    <w:div w:id="1146702746">
      <w:bodyDiv w:val="1"/>
      <w:marLeft w:val="0"/>
      <w:marRight w:val="0"/>
      <w:marTop w:val="0"/>
      <w:marBottom w:val="0"/>
      <w:divBdr>
        <w:top w:val="none" w:sz="0" w:space="0" w:color="auto"/>
        <w:left w:val="none" w:sz="0" w:space="0" w:color="auto"/>
        <w:bottom w:val="none" w:sz="0" w:space="0" w:color="auto"/>
        <w:right w:val="none" w:sz="0" w:space="0" w:color="auto"/>
      </w:divBdr>
      <w:divsChild>
        <w:div w:id="1728525564">
          <w:marLeft w:val="0"/>
          <w:marRight w:val="0"/>
          <w:marTop w:val="0"/>
          <w:marBottom w:val="0"/>
          <w:divBdr>
            <w:top w:val="none" w:sz="0" w:space="0" w:color="auto"/>
            <w:left w:val="none" w:sz="0" w:space="0" w:color="auto"/>
            <w:bottom w:val="none" w:sz="0" w:space="0" w:color="auto"/>
            <w:right w:val="none" w:sz="0" w:space="0" w:color="auto"/>
          </w:divBdr>
        </w:div>
      </w:divsChild>
    </w:div>
    <w:div w:id="1186021031">
      <w:bodyDiv w:val="1"/>
      <w:marLeft w:val="0"/>
      <w:marRight w:val="0"/>
      <w:marTop w:val="0"/>
      <w:marBottom w:val="0"/>
      <w:divBdr>
        <w:top w:val="none" w:sz="0" w:space="0" w:color="auto"/>
        <w:left w:val="none" w:sz="0" w:space="0" w:color="auto"/>
        <w:bottom w:val="none" w:sz="0" w:space="0" w:color="auto"/>
        <w:right w:val="none" w:sz="0" w:space="0" w:color="auto"/>
      </w:divBdr>
    </w:div>
    <w:div w:id="1255093009">
      <w:bodyDiv w:val="1"/>
      <w:marLeft w:val="0"/>
      <w:marRight w:val="0"/>
      <w:marTop w:val="0"/>
      <w:marBottom w:val="0"/>
      <w:divBdr>
        <w:top w:val="none" w:sz="0" w:space="0" w:color="auto"/>
        <w:left w:val="none" w:sz="0" w:space="0" w:color="auto"/>
        <w:bottom w:val="none" w:sz="0" w:space="0" w:color="auto"/>
        <w:right w:val="none" w:sz="0" w:space="0" w:color="auto"/>
      </w:divBdr>
    </w:div>
    <w:div w:id="1315792345">
      <w:bodyDiv w:val="1"/>
      <w:marLeft w:val="0"/>
      <w:marRight w:val="0"/>
      <w:marTop w:val="0"/>
      <w:marBottom w:val="0"/>
      <w:divBdr>
        <w:top w:val="none" w:sz="0" w:space="0" w:color="auto"/>
        <w:left w:val="none" w:sz="0" w:space="0" w:color="auto"/>
        <w:bottom w:val="none" w:sz="0" w:space="0" w:color="auto"/>
        <w:right w:val="none" w:sz="0" w:space="0" w:color="auto"/>
      </w:divBdr>
    </w:div>
    <w:div w:id="1386103704">
      <w:bodyDiv w:val="1"/>
      <w:marLeft w:val="0"/>
      <w:marRight w:val="0"/>
      <w:marTop w:val="0"/>
      <w:marBottom w:val="0"/>
      <w:divBdr>
        <w:top w:val="none" w:sz="0" w:space="0" w:color="auto"/>
        <w:left w:val="none" w:sz="0" w:space="0" w:color="auto"/>
        <w:bottom w:val="none" w:sz="0" w:space="0" w:color="auto"/>
        <w:right w:val="none" w:sz="0" w:space="0" w:color="auto"/>
      </w:divBdr>
    </w:div>
    <w:div w:id="1406803145">
      <w:bodyDiv w:val="1"/>
      <w:marLeft w:val="0"/>
      <w:marRight w:val="0"/>
      <w:marTop w:val="0"/>
      <w:marBottom w:val="0"/>
      <w:divBdr>
        <w:top w:val="none" w:sz="0" w:space="0" w:color="auto"/>
        <w:left w:val="none" w:sz="0" w:space="0" w:color="auto"/>
        <w:bottom w:val="none" w:sz="0" w:space="0" w:color="auto"/>
        <w:right w:val="none" w:sz="0" w:space="0" w:color="auto"/>
      </w:divBdr>
    </w:div>
    <w:div w:id="1564100212">
      <w:bodyDiv w:val="1"/>
      <w:marLeft w:val="0"/>
      <w:marRight w:val="0"/>
      <w:marTop w:val="0"/>
      <w:marBottom w:val="0"/>
      <w:divBdr>
        <w:top w:val="none" w:sz="0" w:space="0" w:color="auto"/>
        <w:left w:val="none" w:sz="0" w:space="0" w:color="auto"/>
        <w:bottom w:val="none" w:sz="0" w:space="0" w:color="auto"/>
        <w:right w:val="none" w:sz="0" w:space="0" w:color="auto"/>
      </w:divBdr>
    </w:div>
    <w:div w:id="1720546887">
      <w:bodyDiv w:val="1"/>
      <w:marLeft w:val="0"/>
      <w:marRight w:val="0"/>
      <w:marTop w:val="0"/>
      <w:marBottom w:val="0"/>
      <w:divBdr>
        <w:top w:val="none" w:sz="0" w:space="0" w:color="auto"/>
        <w:left w:val="none" w:sz="0" w:space="0" w:color="auto"/>
        <w:bottom w:val="none" w:sz="0" w:space="0" w:color="auto"/>
        <w:right w:val="none" w:sz="0" w:space="0" w:color="auto"/>
      </w:divBdr>
    </w:div>
    <w:div w:id="1741782328">
      <w:bodyDiv w:val="1"/>
      <w:marLeft w:val="0"/>
      <w:marRight w:val="0"/>
      <w:marTop w:val="0"/>
      <w:marBottom w:val="0"/>
      <w:divBdr>
        <w:top w:val="none" w:sz="0" w:space="0" w:color="auto"/>
        <w:left w:val="none" w:sz="0" w:space="0" w:color="auto"/>
        <w:bottom w:val="none" w:sz="0" w:space="0" w:color="auto"/>
        <w:right w:val="none" w:sz="0" w:space="0" w:color="auto"/>
      </w:divBdr>
    </w:div>
    <w:div w:id="1971015362">
      <w:bodyDiv w:val="1"/>
      <w:marLeft w:val="0"/>
      <w:marRight w:val="0"/>
      <w:marTop w:val="0"/>
      <w:marBottom w:val="0"/>
      <w:divBdr>
        <w:top w:val="none" w:sz="0" w:space="0" w:color="auto"/>
        <w:left w:val="none" w:sz="0" w:space="0" w:color="auto"/>
        <w:bottom w:val="none" w:sz="0" w:space="0" w:color="auto"/>
        <w:right w:val="none" w:sz="0" w:space="0" w:color="auto"/>
      </w:divBdr>
      <w:divsChild>
        <w:div w:id="2133741046">
          <w:marLeft w:val="0"/>
          <w:marRight w:val="0"/>
          <w:marTop w:val="0"/>
          <w:marBottom w:val="0"/>
          <w:divBdr>
            <w:top w:val="none" w:sz="0" w:space="0" w:color="auto"/>
            <w:left w:val="none" w:sz="0" w:space="0" w:color="auto"/>
            <w:bottom w:val="none" w:sz="0" w:space="0" w:color="auto"/>
            <w:right w:val="none" w:sz="0" w:space="0" w:color="auto"/>
          </w:divBdr>
        </w:div>
      </w:divsChild>
    </w:div>
    <w:div w:id="2090612497">
      <w:bodyDiv w:val="1"/>
      <w:marLeft w:val="0"/>
      <w:marRight w:val="0"/>
      <w:marTop w:val="0"/>
      <w:marBottom w:val="0"/>
      <w:divBdr>
        <w:top w:val="none" w:sz="0" w:space="0" w:color="auto"/>
        <w:left w:val="none" w:sz="0" w:space="0" w:color="auto"/>
        <w:bottom w:val="none" w:sz="0" w:space="0" w:color="auto"/>
        <w:right w:val="none" w:sz="0" w:space="0" w:color="auto"/>
      </w:divBdr>
      <w:divsChild>
        <w:div w:id="11128196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onomicsonline.co.uk/competitive_markets/supply-and-demand-curves-explained.html/" TargetMode="External"/><Relationship Id="rId18" Type="http://schemas.openxmlformats.org/officeDocument/2006/relationships/hyperlink" Target="https://thuvienso.hoasen.edu.vn/handle/123456789/13085" TargetMode="External"/><Relationship Id="rId26" Type="http://schemas.openxmlformats.org/officeDocument/2006/relationships/hyperlink" Target="https://www.tandfonline.com/doi/abs/10.1080/09638180.2012.658152" TargetMode="External"/><Relationship Id="rId3" Type="http://schemas.openxmlformats.org/officeDocument/2006/relationships/styles" Target="styles.xml"/><Relationship Id="rId21" Type="http://schemas.openxmlformats.org/officeDocument/2006/relationships/hyperlink" Target="https://www.tandfonline.com/doi/abs/10.1080/09669582.2020.1758708"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heinonline.org/hol-cgi-bin/get_pdf.cgi?handle=hein.journals/jcorl37&amp;section=13" TargetMode="External"/><Relationship Id="rId25" Type="http://schemas.openxmlformats.org/officeDocument/2006/relationships/hyperlink" Target="https://creativeadviser.co.uk/bowmans-clock/" TargetMode="External"/><Relationship Id="rId33" Type="http://schemas.openxmlformats.org/officeDocument/2006/relationships/hyperlink" Target="https://www.jsr.org/hs/index.php/path/article/view/6236" TargetMode="External"/><Relationship Id="rId2" Type="http://schemas.openxmlformats.org/officeDocument/2006/relationships/numbering" Target="numbering.xml"/><Relationship Id="rId16" Type="http://schemas.openxmlformats.org/officeDocument/2006/relationships/hyperlink" Target="https://www.federalreserve.gov/econres/notes/feds-notes/drivers-of-post-pandemic-inflation-in-selected-advanced-economies-and-implications-for-the-outlook-20230113.html" TargetMode="External"/><Relationship Id="rId20" Type="http://schemas.openxmlformats.org/officeDocument/2006/relationships/hyperlink" Target="https://api.taylorfrancis.com/content/books/mono/download?identifierName=doi&amp;identifierValue=10.4324/9781003041948&amp;type=googlepdf" TargetMode="External"/><Relationship Id="rId29" Type="http://schemas.openxmlformats.org/officeDocument/2006/relationships/hyperlink" Target="https://research.cbs.dk/en/publications/management-accounting-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books.google.com/books?hl=en&amp;lr=&amp;id=AXxGEAAAQBAJ&amp;oi=fnd&amp;pg=PR9&amp;dq=Revenue+management+for+the+hospitality+industry.+&amp;ots=ccg-oyMtxA&amp;sig=rBbARtTW0u8xt5O-lxdXw2HalyU" TargetMode="External"/><Relationship Id="rId32" Type="http://schemas.openxmlformats.org/officeDocument/2006/relationships/hyperlink" Target="https://bibliotecadigital.ipb.pt/handle/10198/30160" TargetMode="External"/><Relationship Id="rId5" Type="http://schemas.openxmlformats.org/officeDocument/2006/relationships/webSettings" Target="webSettings.xml"/><Relationship Id="rId15" Type="http://schemas.openxmlformats.org/officeDocument/2006/relationships/hyperlink" Target="https://link.springer.com/article/10.1186/s40794-021-00141-7" TargetMode="External"/><Relationship Id="rId23" Type="http://schemas.openxmlformats.org/officeDocument/2006/relationships/hyperlink" Target="https://www.nature.com/articles/s41560-023-01209-8" TargetMode="External"/><Relationship Id="rId28" Type="http://schemas.openxmlformats.org/officeDocument/2006/relationships/hyperlink" Target="https://api.taylorfrancis.com/content/chapters/edit/download?identifierName=doi&amp;identifierValue=10.4324/9780080938684-4&amp;type=chapterpdf" TargetMode="External"/><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aeaweb.org/articles?id=10.1257/aer.20180260" TargetMode="External"/><Relationship Id="rId31" Type="http://schemas.openxmlformats.org/officeDocument/2006/relationships/hyperlink" Target="https://thuvienso.hoasen.edu.vn/handle/123456789/1302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ciencedirect.com/science/article/pii/S144767702400007X" TargetMode="External"/><Relationship Id="rId22" Type="http://schemas.openxmlformats.org/officeDocument/2006/relationships/hyperlink" Target="https://www.sciencedirect.com/science/article/pii/S0304405X10002229" TargetMode="External"/><Relationship Id="rId27" Type="http://schemas.openxmlformats.org/officeDocument/2006/relationships/hyperlink" Target="https://digitalcommons.usf.edu/m3publishing/vol17/iss9781732127593/3/" TargetMode="External"/><Relationship Id="rId30" Type="http://schemas.openxmlformats.org/officeDocument/2006/relationships/hyperlink" Target="https://biblio.ugent.be/publication/01HCJ29G0EZ3NV98JXVSN00BX4/file/01HCJ2DDBSQRGVHW192MDCZ73X" TargetMode="External"/><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sz="1400"/>
              <a:t>Revenue, COGS, Employee Costs, External Exp.</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Sheet1!$I$2</c:f>
              <c:strCache>
                <c:ptCount val="1"/>
                <c:pt idx="0">
                  <c:v>2021 (GBP)</c:v>
                </c:pt>
              </c:strCache>
            </c:strRef>
          </c:tx>
          <c:spPr>
            <a:solidFill>
              <a:schemeClr val="accent1"/>
            </a:solidFill>
            <a:ln>
              <a:noFill/>
            </a:ln>
            <a:effectLst/>
          </c:spPr>
          <c:invertIfNegative val="0"/>
          <c:cat>
            <c:strRef>
              <c:f>Sheet1!$J$1:$M$1</c:f>
              <c:strCache>
                <c:ptCount val="4"/>
                <c:pt idx="0">
                  <c:v>Revenue</c:v>
                </c:pt>
                <c:pt idx="1">
                  <c:v>Cost of Goods Sold</c:v>
                </c:pt>
                <c:pt idx="2">
                  <c:v>Employee Costs</c:v>
                </c:pt>
                <c:pt idx="3">
                  <c:v>External Expenses</c:v>
                </c:pt>
              </c:strCache>
            </c:strRef>
          </c:cat>
          <c:val>
            <c:numRef>
              <c:f>Sheet1!$J$2:$M$2</c:f>
              <c:numCache>
                <c:formatCode>General</c:formatCode>
                <c:ptCount val="4"/>
                <c:pt idx="0">
                  <c:v>5248290</c:v>
                </c:pt>
                <c:pt idx="1">
                  <c:v>411600</c:v>
                </c:pt>
                <c:pt idx="2">
                  <c:v>1724760</c:v>
                </c:pt>
                <c:pt idx="3">
                  <c:v>1894720</c:v>
                </c:pt>
              </c:numCache>
            </c:numRef>
          </c:val>
          <c:extLst>
            <c:ext xmlns:c16="http://schemas.microsoft.com/office/drawing/2014/chart" uri="{C3380CC4-5D6E-409C-BE32-E72D297353CC}">
              <c16:uniqueId val="{00000000-E31C-4AC7-93FB-06A86BD95611}"/>
            </c:ext>
          </c:extLst>
        </c:ser>
        <c:ser>
          <c:idx val="1"/>
          <c:order val="1"/>
          <c:tx>
            <c:strRef>
              <c:f>Sheet1!$I$3</c:f>
              <c:strCache>
                <c:ptCount val="1"/>
                <c:pt idx="0">
                  <c:v>2022 (GBP)</c:v>
                </c:pt>
              </c:strCache>
            </c:strRef>
          </c:tx>
          <c:spPr>
            <a:solidFill>
              <a:schemeClr val="accent2"/>
            </a:solidFill>
            <a:ln>
              <a:noFill/>
            </a:ln>
            <a:effectLst/>
          </c:spPr>
          <c:invertIfNegative val="0"/>
          <c:cat>
            <c:strRef>
              <c:f>Sheet1!$J$1:$M$1</c:f>
              <c:strCache>
                <c:ptCount val="4"/>
                <c:pt idx="0">
                  <c:v>Revenue</c:v>
                </c:pt>
                <c:pt idx="1">
                  <c:v>Cost of Goods Sold</c:v>
                </c:pt>
                <c:pt idx="2">
                  <c:v>Employee Costs</c:v>
                </c:pt>
                <c:pt idx="3">
                  <c:v>External Expenses</c:v>
                </c:pt>
              </c:strCache>
            </c:strRef>
          </c:cat>
          <c:val>
            <c:numRef>
              <c:f>Sheet1!$J$3:$M$3</c:f>
              <c:numCache>
                <c:formatCode>General</c:formatCode>
                <c:ptCount val="4"/>
                <c:pt idx="0">
                  <c:v>5307480</c:v>
                </c:pt>
                <c:pt idx="1">
                  <c:v>401510</c:v>
                </c:pt>
                <c:pt idx="2">
                  <c:v>1770700</c:v>
                </c:pt>
                <c:pt idx="3">
                  <c:v>1675410</c:v>
                </c:pt>
              </c:numCache>
            </c:numRef>
          </c:val>
          <c:extLst>
            <c:ext xmlns:c16="http://schemas.microsoft.com/office/drawing/2014/chart" uri="{C3380CC4-5D6E-409C-BE32-E72D297353CC}">
              <c16:uniqueId val="{00000001-E31C-4AC7-93FB-06A86BD95611}"/>
            </c:ext>
          </c:extLst>
        </c:ser>
        <c:ser>
          <c:idx val="2"/>
          <c:order val="2"/>
          <c:tx>
            <c:strRef>
              <c:f>Sheet1!$I$4</c:f>
              <c:strCache>
                <c:ptCount val="1"/>
                <c:pt idx="0">
                  <c:v>2023 (GBP)</c:v>
                </c:pt>
              </c:strCache>
            </c:strRef>
          </c:tx>
          <c:spPr>
            <a:solidFill>
              <a:schemeClr val="accent3"/>
            </a:solidFill>
            <a:ln>
              <a:noFill/>
            </a:ln>
            <a:effectLst/>
          </c:spPr>
          <c:invertIfNegative val="0"/>
          <c:cat>
            <c:strRef>
              <c:f>Sheet1!$J$1:$M$1</c:f>
              <c:strCache>
                <c:ptCount val="4"/>
                <c:pt idx="0">
                  <c:v>Revenue</c:v>
                </c:pt>
                <c:pt idx="1">
                  <c:v>Cost of Goods Sold</c:v>
                </c:pt>
                <c:pt idx="2">
                  <c:v>Employee Costs</c:v>
                </c:pt>
                <c:pt idx="3">
                  <c:v>External Expenses</c:v>
                </c:pt>
              </c:strCache>
            </c:strRef>
          </c:cat>
          <c:val>
            <c:numRef>
              <c:f>Sheet1!$J$4:$M$4</c:f>
              <c:numCache>
                <c:formatCode>General</c:formatCode>
                <c:ptCount val="4"/>
                <c:pt idx="0">
                  <c:v>2325440</c:v>
                </c:pt>
                <c:pt idx="1">
                  <c:v>176250</c:v>
                </c:pt>
                <c:pt idx="2">
                  <c:v>1233160</c:v>
                </c:pt>
                <c:pt idx="3">
                  <c:v>1071030</c:v>
                </c:pt>
              </c:numCache>
            </c:numRef>
          </c:val>
          <c:extLst>
            <c:ext xmlns:c16="http://schemas.microsoft.com/office/drawing/2014/chart" uri="{C3380CC4-5D6E-409C-BE32-E72D297353CC}">
              <c16:uniqueId val="{00000002-E31C-4AC7-93FB-06A86BD95611}"/>
            </c:ext>
          </c:extLst>
        </c:ser>
        <c:dLbls>
          <c:showLegendKey val="0"/>
          <c:showVal val="0"/>
          <c:showCatName val="0"/>
          <c:showSerName val="0"/>
          <c:showPercent val="0"/>
          <c:showBubbleSize val="0"/>
        </c:dLbls>
        <c:gapWidth val="269"/>
        <c:axId val="1185718384"/>
        <c:axId val="1185715504"/>
      </c:barChart>
      <c:catAx>
        <c:axId val="1185718384"/>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185715504"/>
        <c:crosses val="autoZero"/>
        <c:auto val="1"/>
        <c:lblAlgn val="ctr"/>
        <c:lblOffset val="100"/>
        <c:noMultiLvlLbl val="0"/>
      </c:catAx>
      <c:valAx>
        <c:axId val="118571550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57183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5B40C-3847-4096-8699-8F665EE56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3330</Words>
  <Characters>20850</Characters>
  <Application>Microsoft Office Word</Application>
  <DocSecurity>0</DocSecurity>
  <Lines>496</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2024-11-09T14:37:00Z</dcterms:created>
  <dcterms:modified xsi:type="dcterms:W3CDTF">2024-11-14T09:48:00Z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57d710ea2e97291d3145b9a2282e9475a35f8a5c99bcfbca9d2df7a529d9a82a</vt:lpwstr>
  </property>
</Properties>
</file>