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EC20A0" w14:textId="70A84E0B" w:rsidR="0083213A" w:rsidRDefault="00CC3A39">
      <w:r>
        <w:t>In up to 1000 words, compare and contrast different conceptions of environment.</w:t>
      </w:r>
    </w:p>
    <w:p w14:paraId="03C6DEE8" w14:textId="264BE474" w:rsidR="00CC3A39" w:rsidRDefault="00CC3A39">
      <w:r>
        <w:t xml:space="preserve">Environment </w:t>
      </w:r>
      <w:r w:rsidR="00BD0895">
        <w:t>conceptions</w:t>
      </w:r>
      <w:r w:rsidR="00FA60D3">
        <w:t xml:space="preserve"> can differ from individual to individual, and also between cultures. Conceptions of the environment can change the way </w:t>
      </w:r>
      <w:r w:rsidR="00475058">
        <w:t xml:space="preserve">a group of people treat that particular </w:t>
      </w:r>
      <w:r w:rsidR="0066210C">
        <w:t xml:space="preserve">area and also the way the people treat each other. </w:t>
      </w:r>
      <w:r w:rsidR="0072233F">
        <w:t xml:space="preserve"> Conceptions can differ between environment types and also within the same or similar e</w:t>
      </w:r>
      <w:r w:rsidR="00123FA2">
        <w:t>n</w:t>
      </w:r>
      <w:r w:rsidR="0072233F">
        <w:t>vironments</w:t>
      </w:r>
      <w:r w:rsidR="00123FA2">
        <w:t xml:space="preserve">. </w:t>
      </w:r>
      <w:bookmarkStart w:id="0" w:name="_GoBack"/>
      <w:bookmarkEnd w:id="0"/>
    </w:p>
    <w:p w14:paraId="1B75E064" w14:textId="01A01F03" w:rsidR="004B3043" w:rsidRDefault="00496AA9">
      <w:r>
        <w:t xml:space="preserve">The Nuer by Evans- Pritchard </w:t>
      </w:r>
      <w:sdt>
        <w:sdtPr>
          <w:id w:val="690647181"/>
          <w:citation/>
        </w:sdtPr>
        <w:sdtContent>
          <w:r>
            <w:fldChar w:fldCharType="begin"/>
          </w:r>
          <w:r>
            <w:instrText xml:space="preserve">CITATION EEE40 \n  \l 2057 </w:instrText>
          </w:r>
          <w:r>
            <w:fldChar w:fldCharType="separate"/>
          </w:r>
          <w:r w:rsidR="0084543F" w:rsidRPr="0084543F">
            <w:rPr>
              <w:noProof/>
            </w:rPr>
            <w:t>(1940)</w:t>
          </w:r>
          <w:r>
            <w:fldChar w:fldCharType="end"/>
          </w:r>
        </w:sdtContent>
      </w:sdt>
      <w:r>
        <w:t xml:space="preserve">, </w:t>
      </w:r>
      <w:r w:rsidR="00DB0BA7">
        <w:t xml:space="preserve">provides an example of how a </w:t>
      </w:r>
      <w:r w:rsidR="007128BF">
        <w:t>people’s</w:t>
      </w:r>
      <w:r w:rsidR="00DB0BA7">
        <w:t xml:space="preserve"> conception of an environment shapes their livelihood. The Nuer are a pastoral society that rely on cattle farming to survive, Pritchard states </w:t>
      </w:r>
      <w:r w:rsidR="006C7307">
        <w:t xml:space="preserve">their “herds provide them with meat, and this probably accounts in part for their lack of interest in hunting” </w:t>
      </w:r>
      <w:sdt>
        <w:sdtPr>
          <w:id w:val="-199159587"/>
          <w:citation/>
        </w:sdtPr>
        <w:sdtContent>
          <w:r w:rsidR="006C7307">
            <w:fldChar w:fldCharType="begin"/>
          </w:r>
          <w:r w:rsidR="006C7307">
            <w:instrText xml:space="preserve">CITATION EEE40 \p 73 \n  \y  \l 2057 </w:instrText>
          </w:r>
          <w:r w:rsidR="006C7307">
            <w:fldChar w:fldCharType="separate"/>
          </w:r>
          <w:r w:rsidR="0084543F" w:rsidRPr="0084543F">
            <w:rPr>
              <w:noProof/>
            </w:rPr>
            <w:t>(p. 73)</w:t>
          </w:r>
          <w:r w:rsidR="006C7307">
            <w:fldChar w:fldCharType="end"/>
          </w:r>
        </w:sdtContent>
      </w:sdt>
      <w:r w:rsidR="00F11D28">
        <w:t xml:space="preserve">. </w:t>
      </w:r>
      <w:r w:rsidR="004B3043">
        <w:t xml:space="preserve">This is a contrast to the San people who live in a similar environment </w:t>
      </w:r>
      <w:r w:rsidR="003F102F">
        <w:t>but rely on hunting. Peters-Golden explains that the main tools the San people use are “bows and arrows, spear, knives and ropes”</w:t>
      </w:r>
      <w:sdt>
        <w:sdtPr>
          <w:id w:val="-204795070"/>
          <w:citation/>
        </w:sdtPr>
        <w:sdtContent>
          <w:r w:rsidR="003F102F">
            <w:fldChar w:fldCharType="begin"/>
          </w:r>
          <w:r w:rsidR="003F102F">
            <w:instrText xml:space="preserve">CITATION Pet94 \p 101 \n  \l 2057 </w:instrText>
          </w:r>
          <w:r w:rsidR="003F102F">
            <w:fldChar w:fldCharType="separate"/>
          </w:r>
          <w:r w:rsidR="0084543F">
            <w:rPr>
              <w:noProof/>
            </w:rPr>
            <w:t xml:space="preserve"> </w:t>
          </w:r>
          <w:r w:rsidR="0084543F" w:rsidRPr="0084543F">
            <w:rPr>
              <w:noProof/>
            </w:rPr>
            <w:t>(1994, p. 101)</w:t>
          </w:r>
          <w:r w:rsidR="003F102F">
            <w:fldChar w:fldCharType="end"/>
          </w:r>
        </w:sdtContent>
      </w:sdt>
      <w:r w:rsidR="003F102F">
        <w:t>. This shows that unlike the Nuer the San have adapted their hunting pattern and style in order to increase effectiveness. While the Nuer hunt primarily with spears which is rather ineffective for the environment</w:t>
      </w:r>
      <w:sdt>
        <w:sdtPr>
          <w:id w:val="891314729"/>
          <w:citation/>
        </w:sdtPr>
        <w:sdtContent>
          <w:r w:rsidR="003F102F">
            <w:fldChar w:fldCharType="begin"/>
          </w:r>
          <w:r w:rsidR="003F102F">
            <w:instrText xml:space="preserve">CITATION EEE40 \p 73 \l 2057 </w:instrText>
          </w:r>
          <w:r w:rsidR="003F102F">
            <w:fldChar w:fldCharType="separate"/>
          </w:r>
          <w:r w:rsidR="0084543F">
            <w:rPr>
              <w:noProof/>
            </w:rPr>
            <w:t xml:space="preserve"> </w:t>
          </w:r>
          <w:r w:rsidR="0084543F" w:rsidRPr="0084543F">
            <w:rPr>
              <w:noProof/>
            </w:rPr>
            <w:t>(Evans-Pritchard, 1940, p. 73)</w:t>
          </w:r>
          <w:r w:rsidR="003F102F">
            <w:fldChar w:fldCharType="end"/>
          </w:r>
        </w:sdtContent>
      </w:sdt>
      <w:r w:rsidR="003F102F">
        <w:t>, but their dependence on the cattle provides reason for such poor hunting skills.</w:t>
      </w:r>
    </w:p>
    <w:p w14:paraId="587D6E3D" w14:textId="2191A4BF" w:rsidR="00496AA9" w:rsidRDefault="00F11D28">
      <w:r>
        <w:t>The Nuer a</w:t>
      </w:r>
      <w:r w:rsidR="001A54E4">
        <w:t>lso adapt their buildings to the environment, for example the environment they live in is prone to flooding during periods of large amounts of rain. So</w:t>
      </w:r>
      <w:r w:rsidR="00FA0869">
        <w:t>,</w:t>
      </w:r>
      <w:r w:rsidR="001A54E4">
        <w:t xml:space="preserve"> the Nuer build their homes on raised land. Evans-Pritchard </w:t>
      </w:r>
      <w:r w:rsidR="00F2386C">
        <w:t xml:space="preserve">explains this, “By making their villages on elevated ground Nuer keep themselves and their cattle above the flood” </w:t>
      </w:r>
      <w:sdt>
        <w:sdtPr>
          <w:id w:val="1135912671"/>
          <w:citation/>
        </w:sdtPr>
        <w:sdtContent>
          <w:r w:rsidR="00F2386C">
            <w:fldChar w:fldCharType="begin"/>
          </w:r>
          <w:r w:rsidR="00F2386C">
            <w:instrText xml:space="preserve">CITATION EEE40 \p 64 \n  \l 2057 </w:instrText>
          </w:r>
          <w:r w:rsidR="00F2386C">
            <w:fldChar w:fldCharType="separate"/>
          </w:r>
          <w:r w:rsidR="0084543F" w:rsidRPr="0084543F">
            <w:rPr>
              <w:noProof/>
            </w:rPr>
            <w:t>(1940, p. 64)</w:t>
          </w:r>
          <w:r w:rsidR="00F2386C">
            <w:fldChar w:fldCharType="end"/>
          </w:r>
        </w:sdtContent>
      </w:sdt>
      <w:r w:rsidR="00F2386C">
        <w:t xml:space="preserve">.  This adaptation to the environment during specific seasons is also seen in the San culture, during rainy season the San build huts with “thickly thatched roofs” and during periods of the year when the weather is less harsh they often build camps with no shelter of any kind </w:t>
      </w:r>
      <w:sdt>
        <w:sdtPr>
          <w:id w:val="-887188351"/>
          <w:citation/>
        </w:sdtPr>
        <w:sdtContent>
          <w:r w:rsidR="00F2386C">
            <w:fldChar w:fldCharType="begin"/>
          </w:r>
          <w:r w:rsidR="00F2386C">
            <w:instrText xml:space="preserve">CITATION Pet94 \p 100 \l 2057 </w:instrText>
          </w:r>
          <w:r w:rsidR="00F2386C">
            <w:fldChar w:fldCharType="separate"/>
          </w:r>
          <w:r w:rsidR="0084543F" w:rsidRPr="0084543F">
            <w:rPr>
              <w:noProof/>
            </w:rPr>
            <w:t>(Peters-Golden, 1994, p. 100)</w:t>
          </w:r>
          <w:r w:rsidR="00F2386C">
            <w:fldChar w:fldCharType="end"/>
          </w:r>
        </w:sdtContent>
      </w:sdt>
      <w:r w:rsidR="00F2386C">
        <w:t xml:space="preserve">. </w:t>
      </w:r>
    </w:p>
    <w:p w14:paraId="3E79CFC2" w14:textId="70A3815D" w:rsidR="00F2386C" w:rsidRDefault="00C17E0F">
      <w:r>
        <w:t xml:space="preserve">The cosmology of a group of people can also be affected by their conceptions of environment. For example </w:t>
      </w:r>
      <w:r w:rsidR="005A0080">
        <w:t xml:space="preserve">the Yanomamo practice animism in the sense that they believe the jaguar is almost human due to its ability to hunt them like they hunt other animals </w:t>
      </w:r>
      <w:sdt>
        <w:sdtPr>
          <w:id w:val="-1750109993"/>
          <w:citation/>
        </w:sdtPr>
        <w:sdtContent>
          <w:r w:rsidR="005A0080">
            <w:fldChar w:fldCharType="begin"/>
          </w:r>
          <w:r w:rsidR="005A0080">
            <w:instrText xml:space="preserve"> CITATION Nap68 \l 2057 </w:instrText>
          </w:r>
          <w:r w:rsidR="005A0080">
            <w:fldChar w:fldCharType="separate"/>
          </w:r>
          <w:r w:rsidR="0084543F" w:rsidRPr="0084543F">
            <w:rPr>
              <w:noProof/>
            </w:rPr>
            <w:t>(Chagnon, 1968)</w:t>
          </w:r>
          <w:r w:rsidR="005A0080">
            <w:fldChar w:fldCharType="end"/>
          </w:r>
        </w:sdtContent>
      </w:sdt>
      <w:r w:rsidR="005A0080">
        <w:t xml:space="preserve">. </w:t>
      </w:r>
      <w:r w:rsidR="0084543F">
        <w:t>This is an example of how a culture is directly affected within its cosmology by their conception of the environment. Another example of this is the Mbuti, Turnbull states that the Mbuti beli</w:t>
      </w:r>
      <w:r w:rsidR="00877293">
        <w:t xml:space="preserve">eve in a “supernatural power which they identify with the forest” </w:t>
      </w:r>
      <w:sdt>
        <w:sdtPr>
          <w:id w:val="94296102"/>
          <w:citation/>
        </w:sdtPr>
        <w:sdtContent>
          <w:r w:rsidR="00877293">
            <w:fldChar w:fldCharType="begin"/>
          </w:r>
          <w:r w:rsidR="00877293">
            <w:instrText xml:space="preserve">CITATION Col61 \p 134 \n  \l 2057 </w:instrText>
          </w:r>
          <w:r w:rsidR="00877293">
            <w:fldChar w:fldCharType="separate"/>
          </w:r>
          <w:r w:rsidR="00877293" w:rsidRPr="00877293">
            <w:rPr>
              <w:noProof/>
            </w:rPr>
            <w:t>(1961, p. 134)</w:t>
          </w:r>
          <w:r w:rsidR="00877293">
            <w:fldChar w:fldCharType="end"/>
          </w:r>
        </w:sdtContent>
      </w:sdt>
      <w:r w:rsidR="00877293">
        <w:t xml:space="preserve">. Although this isn’t quite the same as the San, this is not animism, but the fact that both groups of people despite living in completely different environments, both take parts of it and adapt it into their culture through cosmology. </w:t>
      </w:r>
    </w:p>
    <w:p w14:paraId="25DC8D4F" w14:textId="77777777" w:rsidR="00193FA4" w:rsidRDefault="00877293">
      <w:r>
        <w:t xml:space="preserve">Manipulation </w:t>
      </w:r>
      <w:r w:rsidR="004A0648">
        <w:t>of an environment, through horticulture is also common in many cultures such as the</w:t>
      </w:r>
      <w:r w:rsidR="00E15979">
        <w:t xml:space="preserve"> Yanomamo </w:t>
      </w:r>
      <w:sdt>
        <w:sdtPr>
          <w:id w:val="-1972046861"/>
          <w:citation/>
        </w:sdtPr>
        <w:sdtContent>
          <w:r w:rsidR="00E15979">
            <w:fldChar w:fldCharType="begin"/>
          </w:r>
          <w:r w:rsidR="00E15979">
            <w:instrText xml:space="preserve"> CITATION Nap68 \l 2057 </w:instrText>
          </w:r>
          <w:r w:rsidR="00E15979">
            <w:fldChar w:fldCharType="separate"/>
          </w:r>
          <w:r w:rsidR="00E15979" w:rsidRPr="00E15979">
            <w:rPr>
              <w:noProof/>
            </w:rPr>
            <w:t>(Chagnon, 1968)</w:t>
          </w:r>
          <w:r w:rsidR="00E15979">
            <w:fldChar w:fldCharType="end"/>
          </w:r>
        </w:sdtContent>
      </w:sdt>
      <w:r w:rsidR="00E15979">
        <w:t xml:space="preserve">. The Yanomamo practice the method of ‘slash and burn’, creates clear open spaces that are fertile for them to build and grow their crops. The Yanomamo strive to keep the forest out of their day to day life. They create this sense of dominion over the forest that is not present in other societies mentioned in this essay, other than the Nuer who have it only in the sense of their pastoralism of the cattle </w:t>
      </w:r>
      <w:sdt>
        <w:sdtPr>
          <w:id w:val="-15156436"/>
          <w:citation/>
        </w:sdtPr>
        <w:sdtContent>
          <w:r w:rsidR="00E15979">
            <w:fldChar w:fldCharType="begin"/>
          </w:r>
          <w:r w:rsidR="00E15979">
            <w:instrText xml:space="preserve"> CITATION EEE40 \l 2057 </w:instrText>
          </w:r>
          <w:r w:rsidR="00E15979">
            <w:fldChar w:fldCharType="separate"/>
          </w:r>
          <w:r w:rsidR="00E15979" w:rsidRPr="00E15979">
            <w:rPr>
              <w:noProof/>
            </w:rPr>
            <w:t>(Evans-Pritchard, 1940)</w:t>
          </w:r>
          <w:r w:rsidR="00E15979">
            <w:fldChar w:fldCharType="end"/>
          </w:r>
        </w:sdtContent>
      </w:sdt>
      <w:r w:rsidR="00E15979">
        <w:t xml:space="preserve">. The Yanomamo do however recognise that despite their belief </w:t>
      </w:r>
      <w:r w:rsidR="00193FA4">
        <w:t>that the land has needs, they allow it to rest and move their gardens when necessary</w:t>
      </w:r>
      <w:sdt>
        <w:sdtPr>
          <w:id w:val="-1282795949"/>
          <w:citation/>
        </w:sdtPr>
        <w:sdtContent>
          <w:r w:rsidR="00193FA4">
            <w:fldChar w:fldCharType="begin"/>
          </w:r>
          <w:r w:rsidR="00193FA4">
            <w:instrText xml:space="preserve"> CITATION Nap68 \l 2057 </w:instrText>
          </w:r>
          <w:r w:rsidR="00193FA4">
            <w:fldChar w:fldCharType="separate"/>
          </w:r>
          <w:r w:rsidR="00193FA4">
            <w:rPr>
              <w:noProof/>
            </w:rPr>
            <w:t xml:space="preserve"> </w:t>
          </w:r>
          <w:r w:rsidR="00193FA4" w:rsidRPr="00193FA4">
            <w:rPr>
              <w:noProof/>
            </w:rPr>
            <w:t>(Chagnon, 1968)</w:t>
          </w:r>
          <w:r w:rsidR="00193FA4">
            <w:fldChar w:fldCharType="end"/>
          </w:r>
        </w:sdtContent>
      </w:sdt>
      <w:r w:rsidR="00193FA4">
        <w:t xml:space="preserve">. </w:t>
      </w:r>
    </w:p>
    <w:p w14:paraId="4BA6BB3B" w14:textId="525A3481" w:rsidR="00877293" w:rsidRDefault="00193FA4">
      <w:r>
        <w:t xml:space="preserve">For many societies the conception of the environment </w:t>
      </w:r>
      <w:r w:rsidR="007128BF">
        <w:t>affects</w:t>
      </w:r>
      <w:r>
        <w:t xml:space="preserve"> gender roles. For example, female individuals within the Nuer are the “dairy maids” and the males are “herdsmen” </w:t>
      </w:r>
      <w:sdt>
        <w:sdtPr>
          <w:id w:val="-645508859"/>
          <w:citation/>
        </w:sdtPr>
        <w:sdtContent>
          <w:r>
            <w:fldChar w:fldCharType="begin"/>
          </w:r>
          <w:r>
            <w:instrText xml:space="preserve"> CITATION EEE40 \l 2057 </w:instrText>
          </w:r>
          <w:r>
            <w:fldChar w:fldCharType="separate"/>
          </w:r>
          <w:r w:rsidRPr="00193FA4">
            <w:rPr>
              <w:noProof/>
            </w:rPr>
            <w:t>(Evans-Pritchard, 1940)</w:t>
          </w:r>
          <w:r>
            <w:fldChar w:fldCharType="end"/>
          </w:r>
        </w:sdtContent>
      </w:sdt>
      <w:r>
        <w:t xml:space="preserve">. Another example is </w:t>
      </w:r>
      <w:r w:rsidR="007128BF">
        <w:t xml:space="preserve">the Yanomamo, they believe that women were “fruit” that dropped to earth for men </w:t>
      </w:r>
      <w:sdt>
        <w:sdtPr>
          <w:id w:val="-1175881825"/>
          <w:citation/>
        </w:sdtPr>
        <w:sdtContent>
          <w:r w:rsidR="007128BF">
            <w:fldChar w:fldCharType="begin"/>
          </w:r>
          <w:r w:rsidR="007128BF">
            <w:instrText xml:space="preserve"> CITATION Nap68 \l 2057 </w:instrText>
          </w:r>
          <w:r w:rsidR="007128BF">
            <w:fldChar w:fldCharType="separate"/>
          </w:r>
          <w:r w:rsidR="007128BF" w:rsidRPr="007128BF">
            <w:rPr>
              <w:noProof/>
            </w:rPr>
            <w:t>(Chagnon, 1968)</w:t>
          </w:r>
          <w:r w:rsidR="007128BF">
            <w:fldChar w:fldCharType="end"/>
          </w:r>
        </w:sdtContent>
      </w:sdt>
      <w:r w:rsidR="007128BF">
        <w:t xml:space="preserve">. These both show that the conception of environment is linked into the most basic aspects of these societies. </w:t>
      </w:r>
    </w:p>
    <w:p w14:paraId="599AA5B8" w14:textId="3A84B1C8" w:rsidR="00FA0869" w:rsidRDefault="00FA0869">
      <w:r>
        <w:t xml:space="preserve">In conclusion, conceptions of an environment are heavily reliant on the </w:t>
      </w:r>
      <w:r w:rsidR="00D448A2">
        <w:t xml:space="preserve">lifestyle of the individuals living within it and also the environment </w:t>
      </w:r>
      <w:r w:rsidR="00C17E0F">
        <w:t>impacts the cosmology of those peoples.</w:t>
      </w:r>
    </w:p>
    <w:sdt>
      <w:sdtPr>
        <w:id w:val="1345440040"/>
        <w:docPartObj>
          <w:docPartGallery w:val="Bibliographies"/>
          <w:docPartUnique/>
        </w:docPartObj>
      </w:sdtPr>
      <w:sdtEndPr>
        <w:rPr>
          <w:rFonts w:asciiTheme="minorHAnsi" w:eastAsiaTheme="minorHAnsi" w:hAnsiTheme="minorHAnsi" w:cstheme="minorBidi"/>
          <w:sz w:val="22"/>
          <w:szCs w:val="22"/>
        </w:rPr>
      </w:sdtEndPr>
      <w:sdtContent>
        <w:p w14:paraId="5EFB0E86" w14:textId="6F804D0E" w:rsidR="00496AA9" w:rsidRDefault="00496AA9">
          <w:pPr>
            <w:pStyle w:val="Heading1"/>
          </w:pPr>
          <w:r>
            <w:t>References</w:t>
          </w:r>
        </w:p>
        <w:sdt>
          <w:sdtPr>
            <w:id w:val="-573587230"/>
            <w:bibliography/>
          </w:sdtPr>
          <w:sdtContent>
            <w:p w14:paraId="68B87468" w14:textId="77777777" w:rsidR="0084543F" w:rsidRDefault="00496AA9" w:rsidP="0084543F">
              <w:pPr>
                <w:pStyle w:val="Bibliography"/>
                <w:rPr>
                  <w:noProof/>
                  <w:sz w:val="24"/>
                  <w:szCs w:val="24"/>
                </w:rPr>
              </w:pPr>
              <w:r>
                <w:fldChar w:fldCharType="begin"/>
              </w:r>
              <w:r>
                <w:instrText xml:space="preserve"> BIBLIOGRAPHY </w:instrText>
              </w:r>
              <w:r>
                <w:fldChar w:fldCharType="separate"/>
              </w:r>
              <w:r w:rsidR="0084543F">
                <w:rPr>
                  <w:noProof/>
                </w:rPr>
                <w:t xml:space="preserve">Chagnon, N., 1968. </w:t>
              </w:r>
              <w:r w:rsidR="0084543F">
                <w:rPr>
                  <w:i/>
                  <w:iCs/>
                  <w:noProof/>
                </w:rPr>
                <w:t xml:space="preserve">Yanomamo, The Fierce People. </w:t>
              </w:r>
              <w:r w:rsidR="0084543F">
                <w:rPr>
                  <w:noProof/>
                </w:rPr>
                <w:t>3rd ed. New York: CBS College Publishing.</w:t>
              </w:r>
            </w:p>
            <w:p w14:paraId="075698F2" w14:textId="77777777" w:rsidR="0084543F" w:rsidRDefault="0084543F" w:rsidP="0084543F">
              <w:pPr>
                <w:pStyle w:val="Bibliography"/>
                <w:rPr>
                  <w:noProof/>
                </w:rPr>
              </w:pPr>
              <w:r>
                <w:rPr>
                  <w:noProof/>
                </w:rPr>
                <w:t xml:space="preserve">Evans-Pritchard, E., 1940. </w:t>
              </w:r>
              <w:r>
                <w:rPr>
                  <w:i/>
                  <w:iCs/>
                  <w:noProof/>
                </w:rPr>
                <w:t xml:space="preserve">The Nuer. </w:t>
              </w:r>
              <w:r>
                <w:rPr>
                  <w:noProof/>
                </w:rPr>
                <w:t>New York; Oxford: Oxford University Press.</w:t>
              </w:r>
            </w:p>
            <w:p w14:paraId="20362341" w14:textId="77777777" w:rsidR="0084543F" w:rsidRDefault="0084543F" w:rsidP="0084543F">
              <w:pPr>
                <w:pStyle w:val="Bibliography"/>
                <w:rPr>
                  <w:noProof/>
                </w:rPr>
              </w:pPr>
              <w:r>
                <w:rPr>
                  <w:noProof/>
                </w:rPr>
                <w:t xml:space="preserve">Peters-Golden, H., 1994. The Ju'/hoansi . In: </w:t>
              </w:r>
              <w:r>
                <w:rPr>
                  <w:i/>
                  <w:iCs/>
                  <w:noProof/>
                </w:rPr>
                <w:t xml:space="preserve">Culture Sketches. </w:t>
              </w:r>
              <w:r>
                <w:rPr>
                  <w:noProof/>
                </w:rPr>
                <w:t>New York: McGraw-Hill, pp. 97-116.</w:t>
              </w:r>
            </w:p>
            <w:p w14:paraId="57F335F3" w14:textId="77777777" w:rsidR="0084543F" w:rsidRDefault="0084543F" w:rsidP="0084543F">
              <w:pPr>
                <w:pStyle w:val="Bibliography"/>
                <w:rPr>
                  <w:noProof/>
                </w:rPr>
              </w:pPr>
              <w:r>
                <w:rPr>
                  <w:noProof/>
                </w:rPr>
                <w:t xml:space="preserve">Turnbull, C., 1961. </w:t>
              </w:r>
              <w:r>
                <w:rPr>
                  <w:i/>
                  <w:iCs/>
                  <w:noProof/>
                </w:rPr>
                <w:t xml:space="preserve">The Forest People. </w:t>
              </w:r>
              <w:r>
                <w:rPr>
                  <w:noProof/>
                </w:rPr>
                <w:t>London: The Bodley Head.</w:t>
              </w:r>
            </w:p>
            <w:p w14:paraId="606907E4" w14:textId="4FC5BA13" w:rsidR="00496AA9" w:rsidRDefault="00496AA9" w:rsidP="0084543F">
              <w:r>
                <w:rPr>
                  <w:b/>
                  <w:bCs/>
                  <w:noProof/>
                </w:rPr>
                <w:fldChar w:fldCharType="end"/>
              </w:r>
            </w:p>
          </w:sdtContent>
        </w:sdt>
      </w:sdtContent>
    </w:sdt>
    <w:p w14:paraId="4887FA2D" w14:textId="7230E2E5" w:rsidR="00496AA9" w:rsidRDefault="00496AA9"/>
    <w:sectPr w:rsidR="00496A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3A39"/>
    <w:rsid w:val="00123FA2"/>
    <w:rsid w:val="00193FA4"/>
    <w:rsid w:val="001A54E4"/>
    <w:rsid w:val="003151A6"/>
    <w:rsid w:val="003F102F"/>
    <w:rsid w:val="00475058"/>
    <w:rsid w:val="00496AA9"/>
    <w:rsid w:val="004A0648"/>
    <w:rsid w:val="004B2D95"/>
    <w:rsid w:val="004B3043"/>
    <w:rsid w:val="005A0080"/>
    <w:rsid w:val="0066210C"/>
    <w:rsid w:val="006C7307"/>
    <w:rsid w:val="007128BF"/>
    <w:rsid w:val="0072233F"/>
    <w:rsid w:val="007E3468"/>
    <w:rsid w:val="0083213A"/>
    <w:rsid w:val="0084543F"/>
    <w:rsid w:val="00877293"/>
    <w:rsid w:val="00957EA4"/>
    <w:rsid w:val="00BA09D3"/>
    <w:rsid w:val="00BD0895"/>
    <w:rsid w:val="00C17E0F"/>
    <w:rsid w:val="00C9754D"/>
    <w:rsid w:val="00CC3A39"/>
    <w:rsid w:val="00D448A2"/>
    <w:rsid w:val="00DB0BA7"/>
    <w:rsid w:val="00E15979"/>
    <w:rsid w:val="00E27BBA"/>
    <w:rsid w:val="00F11D28"/>
    <w:rsid w:val="00F2386C"/>
    <w:rsid w:val="00FA0869"/>
    <w:rsid w:val="00FA60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9286E1"/>
  <w15:chartTrackingRefBased/>
  <w15:docId w15:val="{79592155-6CDA-474D-9BCA-B86A3F2BB6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7E3468"/>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3468"/>
    <w:rPr>
      <w:rFonts w:asciiTheme="majorHAnsi" w:eastAsiaTheme="majorEastAsia" w:hAnsiTheme="majorHAnsi" w:cstheme="majorBidi"/>
      <w:sz w:val="36"/>
      <w:szCs w:val="36"/>
    </w:rPr>
  </w:style>
  <w:style w:type="paragraph" w:styleId="Bibliography">
    <w:name w:val="Bibliography"/>
    <w:basedOn w:val="Normal"/>
    <w:next w:val="Normal"/>
    <w:uiPriority w:val="37"/>
    <w:unhideWhenUsed/>
    <w:rsid w:val="00496A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919742">
      <w:bodyDiv w:val="1"/>
      <w:marLeft w:val="0"/>
      <w:marRight w:val="0"/>
      <w:marTop w:val="0"/>
      <w:marBottom w:val="0"/>
      <w:divBdr>
        <w:top w:val="none" w:sz="0" w:space="0" w:color="auto"/>
        <w:left w:val="none" w:sz="0" w:space="0" w:color="auto"/>
        <w:bottom w:val="none" w:sz="0" w:space="0" w:color="auto"/>
        <w:right w:val="none" w:sz="0" w:space="0" w:color="auto"/>
      </w:divBdr>
    </w:div>
    <w:div w:id="163324599">
      <w:bodyDiv w:val="1"/>
      <w:marLeft w:val="0"/>
      <w:marRight w:val="0"/>
      <w:marTop w:val="0"/>
      <w:marBottom w:val="0"/>
      <w:divBdr>
        <w:top w:val="none" w:sz="0" w:space="0" w:color="auto"/>
        <w:left w:val="none" w:sz="0" w:space="0" w:color="auto"/>
        <w:bottom w:val="none" w:sz="0" w:space="0" w:color="auto"/>
        <w:right w:val="none" w:sz="0" w:space="0" w:color="auto"/>
      </w:divBdr>
    </w:div>
    <w:div w:id="163590696">
      <w:bodyDiv w:val="1"/>
      <w:marLeft w:val="0"/>
      <w:marRight w:val="0"/>
      <w:marTop w:val="0"/>
      <w:marBottom w:val="0"/>
      <w:divBdr>
        <w:top w:val="none" w:sz="0" w:space="0" w:color="auto"/>
        <w:left w:val="none" w:sz="0" w:space="0" w:color="auto"/>
        <w:bottom w:val="none" w:sz="0" w:space="0" w:color="auto"/>
        <w:right w:val="none" w:sz="0" w:space="0" w:color="auto"/>
      </w:divBdr>
    </w:div>
    <w:div w:id="348531351">
      <w:bodyDiv w:val="1"/>
      <w:marLeft w:val="0"/>
      <w:marRight w:val="0"/>
      <w:marTop w:val="0"/>
      <w:marBottom w:val="0"/>
      <w:divBdr>
        <w:top w:val="none" w:sz="0" w:space="0" w:color="auto"/>
        <w:left w:val="none" w:sz="0" w:space="0" w:color="auto"/>
        <w:bottom w:val="none" w:sz="0" w:space="0" w:color="auto"/>
        <w:right w:val="none" w:sz="0" w:space="0" w:color="auto"/>
      </w:divBdr>
    </w:div>
    <w:div w:id="609363328">
      <w:bodyDiv w:val="1"/>
      <w:marLeft w:val="0"/>
      <w:marRight w:val="0"/>
      <w:marTop w:val="0"/>
      <w:marBottom w:val="0"/>
      <w:divBdr>
        <w:top w:val="none" w:sz="0" w:space="0" w:color="auto"/>
        <w:left w:val="none" w:sz="0" w:space="0" w:color="auto"/>
        <w:bottom w:val="none" w:sz="0" w:space="0" w:color="auto"/>
        <w:right w:val="none" w:sz="0" w:space="0" w:color="auto"/>
      </w:divBdr>
    </w:div>
    <w:div w:id="612130386">
      <w:bodyDiv w:val="1"/>
      <w:marLeft w:val="0"/>
      <w:marRight w:val="0"/>
      <w:marTop w:val="0"/>
      <w:marBottom w:val="0"/>
      <w:divBdr>
        <w:top w:val="none" w:sz="0" w:space="0" w:color="auto"/>
        <w:left w:val="none" w:sz="0" w:space="0" w:color="auto"/>
        <w:bottom w:val="none" w:sz="0" w:space="0" w:color="auto"/>
        <w:right w:val="none" w:sz="0" w:space="0" w:color="auto"/>
      </w:divBdr>
    </w:div>
    <w:div w:id="616715923">
      <w:bodyDiv w:val="1"/>
      <w:marLeft w:val="0"/>
      <w:marRight w:val="0"/>
      <w:marTop w:val="0"/>
      <w:marBottom w:val="0"/>
      <w:divBdr>
        <w:top w:val="none" w:sz="0" w:space="0" w:color="auto"/>
        <w:left w:val="none" w:sz="0" w:space="0" w:color="auto"/>
        <w:bottom w:val="none" w:sz="0" w:space="0" w:color="auto"/>
        <w:right w:val="none" w:sz="0" w:space="0" w:color="auto"/>
      </w:divBdr>
    </w:div>
    <w:div w:id="683290987">
      <w:bodyDiv w:val="1"/>
      <w:marLeft w:val="0"/>
      <w:marRight w:val="0"/>
      <w:marTop w:val="0"/>
      <w:marBottom w:val="0"/>
      <w:divBdr>
        <w:top w:val="none" w:sz="0" w:space="0" w:color="auto"/>
        <w:left w:val="none" w:sz="0" w:space="0" w:color="auto"/>
        <w:bottom w:val="none" w:sz="0" w:space="0" w:color="auto"/>
        <w:right w:val="none" w:sz="0" w:space="0" w:color="auto"/>
      </w:divBdr>
    </w:div>
    <w:div w:id="747457643">
      <w:bodyDiv w:val="1"/>
      <w:marLeft w:val="0"/>
      <w:marRight w:val="0"/>
      <w:marTop w:val="0"/>
      <w:marBottom w:val="0"/>
      <w:divBdr>
        <w:top w:val="none" w:sz="0" w:space="0" w:color="auto"/>
        <w:left w:val="none" w:sz="0" w:space="0" w:color="auto"/>
        <w:bottom w:val="none" w:sz="0" w:space="0" w:color="auto"/>
        <w:right w:val="none" w:sz="0" w:space="0" w:color="auto"/>
      </w:divBdr>
    </w:div>
    <w:div w:id="754015725">
      <w:bodyDiv w:val="1"/>
      <w:marLeft w:val="0"/>
      <w:marRight w:val="0"/>
      <w:marTop w:val="0"/>
      <w:marBottom w:val="0"/>
      <w:divBdr>
        <w:top w:val="none" w:sz="0" w:space="0" w:color="auto"/>
        <w:left w:val="none" w:sz="0" w:space="0" w:color="auto"/>
        <w:bottom w:val="none" w:sz="0" w:space="0" w:color="auto"/>
        <w:right w:val="none" w:sz="0" w:space="0" w:color="auto"/>
      </w:divBdr>
    </w:div>
    <w:div w:id="834682215">
      <w:bodyDiv w:val="1"/>
      <w:marLeft w:val="0"/>
      <w:marRight w:val="0"/>
      <w:marTop w:val="0"/>
      <w:marBottom w:val="0"/>
      <w:divBdr>
        <w:top w:val="none" w:sz="0" w:space="0" w:color="auto"/>
        <w:left w:val="none" w:sz="0" w:space="0" w:color="auto"/>
        <w:bottom w:val="none" w:sz="0" w:space="0" w:color="auto"/>
        <w:right w:val="none" w:sz="0" w:space="0" w:color="auto"/>
      </w:divBdr>
    </w:div>
    <w:div w:id="945843003">
      <w:bodyDiv w:val="1"/>
      <w:marLeft w:val="0"/>
      <w:marRight w:val="0"/>
      <w:marTop w:val="0"/>
      <w:marBottom w:val="0"/>
      <w:divBdr>
        <w:top w:val="none" w:sz="0" w:space="0" w:color="auto"/>
        <w:left w:val="none" w:sz="0" w:space="0" w:color="auto"/>
        <w:bottom w:val="none" w:sz="0" w:space="0" w:color="auto"/>
        <w:right w:val="none" w:sz="0" w:space="0" w:color="auto"/>
      </w:divBdr>
    </w:div>
    <w:div w:id="1114448709">
      <w:bodyDiv w:val="1"/>
      <w:marLeft w:val="0"/>
      <w:marRight w:val="0"/>
      <w:marTop w:val="0"/>
      <w:marBottom w:val="0"/>
      <w:divBdr>
        <w:top w:val="none" w:sz="0" w:space="0" w:color="auto"/>
        <w:left w:val="none" w:sz="0" w:space="0" w:color="auto"/>
        <w:bottom w:val="none" w:sz="0" w:space="0" w:color="auto"/>
        <w:right w:val="none" w:sz="0" w:space="0" w:color="auto"/>
      </w:divBdr>
    </w:div>
    <w:div w:id="1255935897">
      <w:bodyDiv w:val="1"/>
      <w:marLeft w:val="0"/>
      <w:marRight w:val="0"/>
      <w:marTop w:val="0"/>
      <w:marBottom w:val="0"/>
      <w:divBdr>
        <w:top w:val="none" w:sz="0" w:space="0" w:color="auto"/>
        <w:left w:val="none" w:sz="0" w:space="0" w:color="auto"/>
        <w:bottom w:val="none" w:sz="0" w:space="0" w:color="auto"/>
        <w:right w:val="none" w:sz="0" w:space="0" w:color="auto"/>
      </w:divBdr>
    </w:div>
    <w:div w:id="1296986504">
      <w:bodyDiv w:val="1"/>
      <w:marLeft w:val="0"/>
      <w:marRight w:val="0"/>
      <w:marTop w:val="0"/>
      <w:marBottom w:val="0"/>
      <w:divBdr>
        <w:top w:val="none" w:sz="0" w:space="0" w:color="auto"/>
        <w:left w:val="none" w:sz="0" w:space="0" w:color="auto"/>
        <w:bottom w:val="none" w:sz="0" w:space="0" w:color="auto"/>
        <w:right w:val="none" w:sz="0" w:space="0" w:color="auto"/>
      </w:divBdr>
    </w:div>
    <w:div w:id="1379861449">
      <w:bodyDiv w:val="1"/>
      <w:marLeft w:val="0"/>
      <w:marRight w:val="0"/>
      <w:marTop w:val="0"/>
      <w:marBottom w:val="0"/>
      <w:divBdr>
        <w:top w:val="none" w:sz="0" w:space="0" w:color="auto"/>
        <w:left w:val="none" w:sz="0" w:space="0" w:color="auto"/>
        <w:bottom w:val="none" w:sz="0" w:space="0" w:color="auto"/>
        <w:right w:val="none" w:sz="0" w:space="0" w:color="auto"/>
      </w:divBdr>
    </w:div>
    <w:div w:id="1391490568">
      <w:bodyDiv w:val="1"/>
      <w:marLeft w:val="0"/>
      <w:marRight w:val="0"/>
      <w:marTop w:val="0"/>
      <w:marBottom w:val="0"/>
      <w:divBdr>
        <w:top w:val="none" w:sz="0" w:space="0" w:color="auto"/>
        <w:left w:val="none" w:sz="0" w:space="0" w:color="auto"/>
        <w:bottom w:val="none" w:sz="0" w:space="0" w:color="auto"/>
        <w:right w:val="none" w:sz="0" w:space="0" w:color="auto"/>
      </w:divBdr>
    </w:div>
    <w:div w:id="1392729604">
      <w:bodyDiv w:val="1"/>
      <w:marLeft w:val="0"/>
      <w:marRight w:val="0"/>
      <w:marTop w:val="0"/>
      <w:marBottom w:val="0"/>
      <w:divBdr>
        <w:top w:val="none" w:sz="0" w:space="0" w:color="auto"/>
        <w:left w:val="none" w:sz="0" w:space="0" w:color="auto"/>
        <w:bottom w:val="none" w:sz="0" w:space="0" w:color="auto"/>
        <w:right w:val="none" w:sz="0" w:space="0" w:color="auto"/>
      </w:divBdr>
    </w:div>
    <w:div w:id="1423986197">
      <w:bodyDiv w:val="1"/>
      <w:marLeft w:val="0"/>
      <w:marRight w:val="0"/>
      <w:marTop w:val="0"/>
      <w:marBottom w:val="0"/>
      <w:divBdr>
        <w:top w:val="none" w:sz="0" w:space="0" w:color="auto"/>
        <w:left w:val="none" w:sz="0" w:space="0" w:color="auto"/>
        <w:bottom w:val="none" w:sz="0" w:space="0" w:color="auto"/>
        <w:right w:val="none" w:sz="0" w:space="0" w:color="auto"/>
      </w:divBdr>
    </w:div>
    <w:div w:id="1440682447">
      <w:bodyDiv w:val="1"/>
      <w:marLeft w:val="0"/>
      <w:marRight w:val="0"/>
      <w:marTop w:val="0"/>
      <w:marBottom w:val="0"/>
      <w:divBdr>
        <w:top w:val="none" w:sz="0" w:space="0" w:color="auto"/>
        <w:left w:val="none" w:sz="0" w:space="0" w:color="auto"/>
        <w:bottom w:val="none" w:sz="0" w:space="0" w:color="auto"/>
        <w:right w:val="none" w:sz="0" w:space="0" w:color="auto"/>
      </w:divBdr>
    </w:div>
    <w:div w:id="1470248003">
      <w:bodyDiv w:val="1"/>
      <w:marLeft w:val="0"/>
      <w:marRight w:val="0"/>
      <w:marTop w:val="0"/>
      <w:marBottom w:val="0"/>
      <w:divBdr>
        <w:top w:val="none" w:sz="0" w:space="0" w:color="auto"/>
        <w:left w:val="none" w:sz="0" w:space="0" w:color="auto"/>
        <w:bottom w:val="none" w:sz="0" w:space="0" w:color="auto"/>
        <w:right w:val="none" w:sz="0" w:space="0" w:color="auto"/>
      </w:divBdr>
    </w:div>
    <w:div w:id="1479109774">
      <w:bodyDiv w:val="1"/>
      <w:marLeft w:val="0"/>
      <w:marRight w:val="0"/>
      <w:marTop w:val="0"/>
      <w:marBottom w:val="0"/>
      <w:divBdr>
        <w:top w:val="none" w:sz="0" w:space="0" w:color="auto"/>
        <w:left w:val="none" w:sz="0" w:space="0" w:color="auto"/>
        <w:bottom w:val="none" w:sz="0" w:space="0" w:color="auto"/>
        <w:right w:val="none" w:sz="0" w:space="0" w:color="auto"/>
      </w:divBdr>
    </w:div>
    <w:div w:id="1508058141">
      <w:bodyDiv w:val="1"/>
      <w:marLeft w:val="0"/>
      <w:marRight w:val="0"/>
      <w:marTop w:val="0"/>
      <w:marBottom w:val="0"/>
      <w:divBdr>
        <w:top w:val="none" w:sz="0" w:space="0" w:color="auto"/>
        <w:left w:val="none" w:sz="0" w:space="0" w:color="auto"/>
        <w:bottom w:val="none" w:sz="0" w:space="0" w:color="auto"/>
        <w:right w:val="none" w:sz="0" w:space="0" w:color="auto"/>
      </w:divBdr>
    </w:div>
    <w:div w:id="1587614236">
      <w:bodyDiv w:val="1"/>
      <w:marLeft w:val="0"/>
      <w:marRight w:val="0"/>
      <w:marTop w:val="0"/>
      <w:marBottom w:val="0"/>
      <w:divBdr>
        <w:top w:val="none" w:sz="0" w:space="0" w:color="auto"/>
        <w:left w:val="none" w:sz="0" w:space="0" w:color="auto"/>
        <w:bottom w:val="none" w:sz="0" w:space="0" w:color="auto"/>
        <w:right w:val="none" w:sz="0" w:space="0" w:color="auto"/>
      </w:divBdr>
    </w:div>
    <w:div w:id="1640258231">
      <w:bodyDiv w:val="1"/>
      <w:marLeft w:val="0"/>
      <w:marRight w:val="0"/>
      <w:marTop w:val="0"/>
      <w:marBottom w:val="0"/>
      <w:divBdr>
        <w:top w:val="none" w:sz="0" w:space="0" w:color="auto"/>
        <w:left w:val="none" w:sz="0" w:space="0" w:color="auto"/>
        <w:bottom w:val="none" w:sz="0" w:space="0" w:color="auto"/>
        <w:right w:val="none" w:sz="0" w:space="0" w:color="auto"/>
      </w:divBdr>
    </w:div>
    <w:div w:id="1650398685">
      <w:bodyDiv w:val="1"/>
      <w:marLeft w:val="0"/>
      <w:marRight w:val="0"/>
      <w:marTop w:val="0"/>
      <w:marBottom w:val="0"/>
      <w:divBdr>
        <w:top w:val="none" w:sz="0" w:space="0" w:color="auto"/>
        <w:left w:val="none" w:sz="0" w:space="0" w:color="auto"/>
        <w:bottom w:val="none" w:sz="0" w:space="0" w:color="auto"/>
        <w:right w:val="none" w:sz="0" w:space="0" w:color="auto"/>
      </w:divBdr>
    </w:div>
    <w:div w:id="1654992969">
      <w:bodyDiv w:val="1"/>
      <w:marLeft w:val="0"/>
      <w:marRight w:val="0"/>
      <w:marTop w:val="0"/>
      <w:marBottom w:val="0"/>
      <w:divBdr>
        <w:top w:val="none" w:sz="0" w:space="0" w:color="auto"/>
        <w:left w:val="none" w:sz="0" w:space="0" w:color="auto"/>
        <w:bottom w:val="none" w:sz="0" w:space="0" w:color="auto"/>
        <w:right w:val="none" w:sz="0" w:space="0" w:color="auto"/>
      </w:divBdr>
    </w:div>
    <w:div w:id="1715621414">
      <w:bodyDiv w:val="1"/>
      <w:marLeft w:val="0"/>
      <w:marRight w:val="0"/>
      <w:marTop w:val="0"/>
      <w:marBottom w:val="0"/>
      <w:divBdr>
        <w:top w:val="none" w:sz="0" w:space="0" w:color="auto"/>
        <w:left w:val="none" w:sz="0" w:space="0" w:color="auto"/>
        <w:bottom w:val="none" w:sz="0" w:space="0" w:color="auto"/>
        <w:right w:val="none" w:sz="0" w:space="0" w:color="auto"/>
      </w:divBdr>
    </w:div>
    <w:div w:id="1787580508">
      <w:bodyDiv w:val="1"/>
      <w:marLeft w:val="0"/>
      <w:marRight w:val="0"/>
      <w:marTop w:val="0"/>
      <w:marBottom w:val="0"/>
      <w:divBdr>
        <w:top w:val="none" w:sz="0" w:space="0" w:color="auto"/>
        <w:left w:val="none" w:sz="0" w:space="0" w:color="auto"/>
        <w:bottom w:val="none" w:sz="0" w:space="0" w:color="auto"/>
        <w:right w:val="none" w:sz="0" w:space="0" w:color="auto"/>
      </w:divBdr>
    </w:div>
    <w:div w:id="1796294721">
      <w:bodyDiv w:val="1"/>
      <w:marLeft w:val="0"/>
      <w:marRight w:val="0"/>
      <w:marTop w:val="0"/>
      <w:marBottom w:val="0"/>
      <w:divBdr>
        <w:top w:val="none" w:sz="0" w:space="0" w:color="auto"/>
        <w:left w:val="none" w:sz="0" w:space="0" w:color="auto"/>
        <w:bottom w:val="none" w:sz="0" w:space="0" w:color="auto"/>
        <w:right w:val="none" w:sz="0" w:space="0" w:color="auto"/>
      </w:divBdr>
    </w:div>
    <w:div w:id="1824276557">
      <w:bodyDiv w:val="1"/>
      <w:marLeft w:val="0"/>
      <w:marRight w:val="0"/>
      <w:marTop w:val="0"/>
      <w:marBottom w:val="0"/>
      <w:divBdr>
        <w:top w:val="none" w:sz="0" w:space="0" w:color="auto"/>
        <w:left w:val="none" w:sz="0" w:space="0" w:color="auto"/>
        <w:bottom w:val="none" w:sz="0" w:space="0" w:color="auto"/>
        <w:right w:val="none" w:sz="0" w:space="0" w:color="auto"/>
      </w:divBdr>
    </w:div>
    <w:div w:id="1860073817">
      <w:bodyDiv w:val="1"/>
      <w:marLeft w:val="0"/>
      <w:marRight w:val="0"/>
      <w:marTop w:val="0"/>
      <w:marBottom w:val="0"/>
      <w:divBdr>
        <w:top w:val="none" w:sz="0" w:space="0" w:color="auto"/>
        <w:left w:val="none" w:sz="0" w:space="0" w:color="auto"/>
        <w:bottom w:val="none" w:sz="0" w:space="0" w:color="auto"/>
        <w:right w:val="none" w:sz="0" w:space="0" w:color="auto"/>
      </w:divBdr>
    </w:div>
    <w:div w:id="1901820560">
      <w:bodyDiv w:val="1"/>
      <w:marLeft w:val="0"/>
      <w:marRight w:val="0"/>
      <w:marTop w:val="0"/>
      <w:marBottom w:val="0"/>
      <w:divBdr>
        <w:top w:val="none" w:sz="0" w:space="0" w:color="auto"/>
        <w:left w:val="none" w:sz="0" w:space="0" w:color="auto"/>
        <w:bottom w:val="none" w:sz="0" w:space="0" w:color="auto"/>
        <w:right w:val="none" w:sz="0" w:space="0" w:color="auto"/>
      </w:divBdr>
    </w:div>
    <w:div w:id="2020690615">
      <w:bodyDiv w:val="1"/>
      <w:marLeft w:val="0"/>
      <w:marRight w:val="0"/>
      <w:marTop w:val="0"/>
      <w:marBottom w:val="0"/>
      <w:divBdr>
        <w:top w:val="none" w:sz="0" w:space="0" w:color="auto"/>
        <w:left w:val="none" w:sz="0" w:space="0" w:color="auto"/>
        <w:bottom w:val="none" w:sz="0" w:space="0" w:color="auto"/>
        <w:right w:val="none" w:sz="0" w:space="0" w:color="auto"/>
      </w:divBdr>
    </w:div>
    <w:div w:id="2126387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EEE40</b:Tag>
    <b:SourceType>Book</b:SourceType>
    <b:Guid>{CB297848-181E-4FD9-89DC-AA6302E0D3F9}</b:Guid>
    <b:Title>The Nuer</b:Title>
    <b:Year>1940</b:Year>
    <b:City>New York; Oxford</b:City>
    <b:Publisher>Oxford University Press</b:Publisher>
    <b:Author>
      <b:Author>
        <b:NameList>
          <b:Person>
            <b:Last>Evans-Pritchard</b:Last>
            <b:First>E.E.</b:First>
          </b:Person>
        </b:NameList>
      </b:Author>
    </b:Author>
    <b:RefOrder>1</b:RefOrder>
  </b:Source>
  <b:Source>
    <b:Tag>Col61</b:Tag>
    <b:SourceType>Book</b:SourceType>
    <b:Guid>{16240675-BBE0-4EAE-9F48-41354E0FB770}</b:Guid>
    <b:Title>The Forest People</b:Title>
    <b:Year>1961</b:Year>
    <b:Author>
      <b:Author>
        <b:NameList>
          <b:Person>
            <b:Last>Turnbull</b:Last>
            <b:First>Colin</b:First>
          </b:Person>
        </b:NameList>
      </b:Author>
    </b:Author>
    <b:City>London</b:City>
    <b:Publisher>The Bodley Head</b:Publisher>
    <b:RefOrder>4</b:RefOrder>
  </b:Source>
  <b:Source>
    <b:Tag>Pet94</b:Tag>
    <b:SourceType>BookSection</b:SourceType>
    <b:Guid>{58552EDB-0B2E-4AEF-B6FC-F707E052C88B}</b:Guid>
    <b:Author>
      <b:Author>
        <b:NameList>
          <b:Person>
            <b:Last>Peters-Golden</b:Last>
            <b:First>Holly</b:First>
          </b:Person>
        </b:NameList>
      </b:Author>
    </b:Author>
    <b:Title>The Ju'/hoansi </b:Title>
    <b:Year>1994</b:Year>
    <b:City>New York</b:City>
    <b:Publisher>McGraw-Hill</b:Publisher>
    <b:BookTitle>Culture Sketches</b:BookTitle>
    <b:Pages>97-116</b:Pages>
    <b:RefOrder>2</b:RefOrder>
  </b:Source>
  <b:Source>
    <b:Tag>Nap68</b:Tag>
    <b:SourceType>Book</b:SourceType>
    <b:Guid>{A6529A88-CC91-4C6F-8D7C-CBA1EB401ACD}</b:Guid>
    <b:Author>
      <b:Author>
        <b:NameList>
          <b:Person>
            <b:Last>Chagnon</b:Last>
            <b:First>Napoleon</b:First>
          </b:Person>
        </b:NameList>
      </b:Author>
    </b:Author>
    <b:Title>Yanomamo, The Fierce People</b:Title>
    <b:Year>1968</b:Year>
    <b:City>New York</b:City>
    <b:Publisher>CBS College Publishing</b:Publisher>
    <b:Edition>3rd</b:Edition>
    <b:RefOrder>3</b:RefOrder>
  </b:Source>
</b:Sources>
</file>

<file path=customXml/itemProps1.xml><?xml version="1.0" encoding="utf-8"?>
<ds:datastoreItem xmlns:ds="http://schemas.openxmlformats.org/officeDocument/2006/customXml" ds:itemID="{520BC76B-C0C1-4940-95A3-C1564EF1E4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1559</TotalTime>
  <Pages>2</Pages>
  <Words>725</Words>
  <Characters>4133</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Naome Wrightson</dc:creator>
  <cp:keywords/>
  <dc:description/>
  <cp:lastModifiedBy>Naome Wrightson</cp:lastModifiedBy>
  <cp:revision>7</cp:revision>
  <dcterms:created xsi:type="dcterms:W3CDTF">2019-10-31T11:58:00Z</dcterms:created>
  <dcterms:modified xsi:type="dcterms:W3CDTF">2019-11-01T15:51:00Z</dcterms:modified>
</cp:coreProperties>
</file>