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250B0E">
        <w:tc>
          <w:tcPr>
            <w:tcW w:w="9922" w:type="dxa"/>
            <w:shd w:val="clear" w:color="auto" w:fill="C0C0C0"/>
          </w:tcPr>
          <w:p w14:paraId="4A9088E2" w14:textId="77777777" w:rsidR="00763CB3" w:rsidRPr="00876921" w:rsidRDefault="00763CB3" w:rsidP="00250B0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CC06466">
        <w:trPr>
          <w:gridAfter w:val="1"/>
          <w:wAfter w:w="29" w:type="dxa"/>
        </w:trPr>
        <w:tc>
          <w:tcPr>
            <w:tcW w:w="2093" w:type="dxa"/>
            <w:shd w:val="clear" w:color="auto" w:fill="auto"/>
          </w:tcPr>
          <w:p w14:paraId="2774B0F3"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1500E1B6" w:rsidR="00763CB3" w:rsidRPr="00876921" w:rsidRDefault="00250B0E"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BEN WILLMETT</w:t>
            </w:r>
          </w:p>
        </w:tc>
        <w:tc>
          <w:tcPr>
            <w:tcW w:w="2268" w:type="dxa"/>
            <w:shd w:val="clear" w:color="auto" w:fill="D9D9D9" w:themeFill="background1" w:themeFillShade="D9"/>
          </w:tcPr>
          <w:p w14:paraId="3C49D852"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F2C5431" w:rsidR="00763CB3" w:rsidRPr="00876921" w:rsidRDefault="00250B0E"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1152440</w:t>
            </w:r>
          </w:p>
        </w:tc>
      </w:tr>
      <w:tr w:rsidR="00763CB3" w:rsidRPr="00876921" w14:paraId="62602496" w14:textId="77777777" w:rsidTr="0CC06466">
        <w:trPr>
          <w:gridAfter w:val="1"/>
          <w:wAfter w:w="29" w:type="dxa"/>
        </w:trPr>
        <w:tc>
          <w:tcPr>
            <w:tcW w:w="2093" w:type="dxa"/>
            <w:shd w:val="clear" w:color="auto" w:fill="auto"/>
          </w:tcPr>
          <w:p w14:paraId="20C38791"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33FFF2A5" w:rsidR="00763CB3" w:rsidRPr="00876921" w:rsidRDefault="00250B0E"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COHORT 02/19</w:t>
            </w:r>
          </w:p>
        </w:tc>
      </w:tr>
      <w:tr w:rsidR="00763CB3" w:rsidRPr="00876921" w14:paraId="11D4B072" w14:textId="77777777" w:rsidTr="0CC06466">
        <w:trPr>
          <w:gridAfter w:val="1"/>
          <w:wAfter w:w="29" w:type="dxa"/>
        </w:trPr>
        <w:tc>
          <w:tcPr>
            <w:tcW w:w="2093" w:type="dxa"/>
            <w:shd w:val="clear" w:color="auto" w:fill="auto"/>
          </w:tcPr>
          <w:p w14:paraId="1D686F4D"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CC06466">
        <w:trPr>
          <w:gridAfter w:val="1"/>
          <w:wAfter w:w="29" w:type="dxa"/>
        </w:trPr>
        <w:tc>
          <w:tcPr>
            <w:tcW w:w="2093" w:type="dxa"/>
            <w:shd w:val="clear" w:color="auto" w:fill="auto"/>
          </w:tcPr>
          <w:p w14:paraId="2781D01F"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250B0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CC06466">
        <w:trPr>
          <w:gridAfter w:val="1"/>
          <w:wAfter w:w="29" w:type="dxa"/>
        </w:trPr>
        <w:tc>
          <w:tcPr>
            <w:tcW w:w="2093" w:type="dxa"/>
            <w:shd w:val="clear" w:color="auto" w:fill="auto"/>
          </w:tcPr>
          <w:p w14:paraId="6F089514" w14:textId="77777777" w:rsidR="00763CB3" w:rsidRPr="00876921" w:rsidRDefault="00763CB3" w:rsidP="00250B0E">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250B0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250B0E">
            <w:pPr>
              <w:spacing w:before="120" w:after="120" w:line="240" w:lineRule="auto"/>
              <w:jc w:val="both"/>
              <w:rPr>
                <w:rFonts w:ascii="Arial" w:eastAsia="Times New Roman" w:hAnsi="Arial" w:cs="Arial"/>
                <w:b/>
                <w:lang w:eastAsia="en-GB"/>
              </w:rPr>
            </w:pPr>
          </w:p>
        </w:tc>
      </w:tr>
      <w:tr w:rsidR="00763CB3" w:rsidRPr="00876921" w14:paraId="6DE58ABE" w14:textId="77777777" w:rsidTr="0CC06466">
        <w:trPr>
          <w:gridAfter w:val="1"/>
          <w:wAfter w:w="29" w:type="dxa"/>
        </w:trPr>
        <w:tc>
          <w:tcPr>
            <w:tcW w:w="2093" w:type="dxa"/>
            <w:shd w:val="clear" w:color="auto" w:fill="auto"/>
          </w:tcPr>
          <w:p w14:paraId="72386433"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69C56199"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CC06466">
        <w:trPr>
          <w:gridAfter w:val="1"/>
          <w:wAfter w:w="29" w:type="dxa"/>
        </w:trPr>
        <w:tc>
          <w:tcPr>
            <w:tcW w:w="2093" w:type="dxa"/>
            <w:shd w:val="clear" w:color="auto" w:fill="auto"/>
          </w:tcPr>
          <w:p w14:paraId="1A089A08"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81688E3" w:rsidR="00763CB3" w:rsidRPr="00876921" w:rsidRDefault="00DC3BA2" w:rsidP="00250B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w:t>
            </w:r>
            <w:r w:rsidRPr="00DC3BA2">
              <w:rPr>
                <w:rFonts w:ascii="Arial" w:eastAsia="Times New Roman" w:hAnsi="Arial" w:cs="Arial"/>
                <w:b/>
                <w:vertAlign w:val="superscript"/>
                <w:lang w:eastAsia="en-GB"/>
              </w:rPr>
              <w:t>th</w:t>
            </w:r>
            <w:r>
              <w:rPr>
                <w:rFonts w:ascii="Arial" w:eastAsia="Times New Roman" w:hAnsi="Arial" w:cs="Arial"/>
                <w:b/>
                <w:lang w:eastAsia="en-GB"/>
              </w:rPr>
              <w:t xml:space="preserve"> January 2021</w:t>
            </w:r>
          </w:p>
        </w:tc>
        <w:tc>
          <w:tcPr>
            <w:tcW w:w="2268" w:type="dxa"/>
            <w:shd w:val="clear" w:color="auto" w:fill="auto"/>
          </w:tcPr>
          <w:p w14:paraId="73ECFA60"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35DC456" w:rsidR="00763CB3" w:rsidRPr="00876921" w:rsidRDefault="3899A0CF" w:rsidP="0CC06466">
            <w:pPr>
              <w:spacing w:before="120" w:after="120" w:line="240" w:lineRule="auto"/>
              <w:jc w:val="both"/>
              <w:rPr>
                <w:rFonts w:ascii="Arial" w:eastAsia="Times New Roman" w:hAnsi="Arial" w:cs="Arial"/>
                <w:b/>
                <w:bCs/>
                <w:lang w:eastAsia="en-GB"/>
              </w:rPr>
            </w:pPr>
            <w:r w:rsidRPr="0CC06466">
              <w:rPr>
                <w:rFonts w:ascii="Arial" w:eastAsia="Times New Roman" w:hAnsi="Arial" w:cs="Arial"/>
                <w:b/>
                <w:bCs/>
                <w:lang w:eastAsia="en-GB"/>
              </w:rPr>
              <w:t>20 working days</w:t>
            </w:r>
          </w:p>
        </w:tc>
      </w:tr>
      <w:tr w:rsidR="00763CB3" w:rsidRPr="00876921" w14:paraId="06994002" w14:textId="77777777" w:rsidTr="0CC06466">
        <w:trPr>
          <w:gridAfter w:val="1"/>
          <w:wAfter w:w="29" w:type="dxa"/>
        </w:trPr>
        <w:tc>
          <w:tcPr>
            <w:tcW w:w="2093" w:type="dxa"/>
            <w:shd w:val="clear" w:color="auto" w:fill="auto"/>
          </w:tcPr>
          <w:p w14:paraId="29059159"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250B0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250B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CC06466">
        <w:trPr>
          <w:gridAfter w:val="1"/>
          <w:wAfter w:w="29" w:type="dxa"/>
        </w:trPr>
        <w:tc>
          <w:tcPr>
            <w:tcW w:w="2093" w:type="dxa"/>
            <w:shd w:val="clear" w:color="auto" w:fill="auto"/>
          </w:tcPr>
          <w:p w14:paraId="403934AA" w14:textId="77777777" w:rsidR="00763CB3" w:rsidRPr="00876921" w:rsidRDefault="00763CB3" w:rsidP="00250B0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250B0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250B0E">
            <w:pPr>
              <w:spacing w:before="120" w:after="120" w:line="240" w:lineRule="auto"/>
              <w:jc w:val="both"/>
              <w:rPr>
                <w:rFonts w:ascii="Arial" w:eastAsia="Times New Roman" w:hAnsi="Arial" w:cs="Arial"/>
                <w:lang w:eastAsia="en-GB"/>
              </w:rPr>
            </w:pPr>
          </w:p>
          <w:p w14:paraId="5ED81115" w14:textId="77777777" w:rsidR="00763CB3" w:rsidRDefault="00763CB3" w:rsidP="00250B0E">
            <w:pPr>
              <w:spacing w:before="120" w:after="120" w:line="240" w:lineRule="auto"/>
              <w:jc w:val="both"/>
              <w:rPr>
                <w:rFonts w:ascii="Arial" w:eastAsia="Times New Roman" w:hAnsi="Arial" w:cs="Arial"/>
                <w:lang w:eastAsia="en-GB"/>
              </w:rPr>
            </w:pPr>
          </w:p>
          <w:p w14:paraId="7C5C595B" w14:textId="77777777" w:rsidR="00763CB3" w:rsidRDefault="00763CB3" w:rsidP="00250B0E">
            <w:pPr>
              <w:spacing w:before="120" w:after="120" w:line="240" w:lineRule="auto"/>
              <w:jc w:val="both"/>
              <w:rPr>
                <w:rFonts w:ascii="Arial" w:eastAsia="Times New Roman" w:hAnsi="Arial" w:cs="Arial"/>
                <w:lang w:eastAsia="en-GB"/>
              </w:rPr>
            </w:pPr>
          </w:p>
          <w:p w14:paraId="1FE262E3" w14:textId="77777777" w:rsidR="00763CB3" w:rsidRDefault="00763CB3" w:rsidP="00250B0E">
            <w:pPr>
              <w:spacing w:before="120" w:after="120" w:line="240" w:lineRule="auto"/>
              <w:jc w:val="both"/>
              <w:rPr>
                <w:rFonts w:ascii="Arial" w:eastAsia="Times New Roman" w:hAnsi="Arial" w:cs="Arial"/>
                <w:lang w:eastAsia="en-GB"/>
              </w:rPr>
            </w:pPr>
          </w:p>
          <w:p w14:paraId="35664576" w14:textId="77777777" w:rsidR="00763CB3" w:rsidRDefault="00763CB3" w:rsidP="00250B0E">
            <w:pPr>
              <w:spacing w:before="120" w:after="120" w:line="240" w:lineRule="auto"/>
              <w:jc w:val="both"/>
              <w:rPr>
                <w:rFonts w:ascii="Arial" w:eastAsia="Times New Roman" w:hAnsi="Arial" w:cs="Arial"/>
                <w:lang w:eastAsia="en-GB"/>
              </w:rPr>
            </w:pPr>
          </w:p>
          <w:p w14:paraId="672540FE" w14:textId="77777777" w:rsidR="00763CB3" w:rsidRDefault="00763CB3" w:rsidP="00250B0E">
            <w:pPr>
              <w:spacing w:before="120" w:after="120" w:line="240" w:lineRule="auto"/>
              <w:jc w:val="both"/>
              <w:rPr>
                <w:rFonts w:ascii="Arial" w:eastAsia="Times New Roman" w:hAnsi="Arial" w:cs="Arial"/>
                <w:lang w:eastAsia="en-GB"/>
              </w:rPr>
            </w:pPr>
          </w:p>
          <w:p w14:paraId="4A88CCA7" w14:textId="77777777" w:rsidR="00763CB3" w:rsidRDefault="00763CB3" w:rsidP="00250B0E">
            <w:pPr>
              <w:spacing w:before="120" w:after="120" w:line="240" w:lineRule="auto"/>
              <w:jc w:val="both"/>
              <w:rPr>
                <w:rFonts w:ascii="Arial" w:eastAsia="Times New Roman" w:hAnsi="Arial" w:cs="Arial"/>
                <w:lang w:eastAsia="en-GB"/>
              </w:rPr>
            </w:pPr>
          </w:p>
          <w:p w14:paraId="4DDF27A4" w14:textId="77777777" w:rsidR="00763CB3" w:rsidRDefault="00763CB3" w:rsidP="00250B0E">
            <w:pPr>
              <w:spacing w:before="120" w:after="120" w:line="240" w:lineRule="auto"/>
              <w:jc w:val="both"/>
              <w:rPr>
                <w:rFonts w:ascii="Arial" w:eastAsia="Times New Roman" w:hAnsi="Arial" w:cs="Arial"/>
                <w:lang w:eastAsia="en-GB"/>
              </w:rPr>
            </w:pPr>
          </w:p>
          <w:p w14:paraId="043D0307" w14:textId="77777777" w:rsidR="00763CB3" w:rsidRDefault="00763CB3" w:rsidP="00250B0E">
            <w:pPr>
              <w:spacing w:before="120" w:after="120" w:line="240" w:lineRule="auto"/>
              <w:jc w:val="both"/>
              <w:rPr>
                <w:rFonts w:ascii="Arial" w:eastAsia="Times New Roman" w:hAnsi="Arial" w:cs="Arial"/>
                <w:lang w:eastAsia="en-GB"/>
              </w:rPr>
            </w:pPr>
          </w:p>
          <w:p w14:paraId="163A6606" w14:textId="77777777" w:rsidR="00763CB3" w:rsidRDefault="00763CB3" w:rsidP="00250B0E">
            <w:pPr>
              <w:spacing w:before="120" w:after="120" w:line="240" w:lineRule="auto"/>
              <w:jc w:val="both"/>
              <w:rPr>
                <w:rFonts w:ascii="Arial" w:eastAsia="Times New Roman" w:hAnsi="Arial" w:cs="Arial"/>
                <w:lang w:eastAsia="en-GB"/>
              </w:rPr>
            </w:pPr>
          </w:p>
          <w:p w14:paraId="6DA6307A" w14:textId="33A9DAC4" w:rsidR="00763CB3" w:rsidRPr="00876921" w:rsidRDefault="00763CB3" w:rsidP="00250B0E">
            <w:pPr>
              <w:spacing w:before="120" w:after="120" w:line="240" w:lineRule="auto"/>
              <w:jc w:val="both"/>
              <w:rPr>
                <w:rFonts w:ascii="Arial" w:eastAsia="Times New Roman" w:hAnsi="Arial" w:cs="Arial"/>
                <w:lang w:eastAsia="en-GB"/>
              </w:rPr>
            </w:pPr>
          </w:p>
        </w:tc>
      </w:tr>
      <w:tr w:rsidR="00763CB3" w:rsidRPr="00876921" w14:paraId="159CBF72" w14:textId="77777777" w:rsidTr="0CC06466">
        <w:tc>
          <w:tcPr>
            <w:tcW w:w="9951" w:type="dxa"/>
            <w:gridSpan w:val="5"/>
            <w:shd w:val="clear" w:color="auto" w:fill="auto"/>
          </w:tcPr>
          <w:p w14:paraId="3067DD77" w14:textId="77777777" w:rsidR="00763CB3" w:rsidRPr="00876921" w:rsidRDefault="00763CB3" w:rsidP="00250B0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250B0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CC06466">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lastRenderedPageBreak/>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250B0E">
        <w:tc>
          <w:tcPr>
            <w:tcW w:w="9781" w:type="dxa"/>
            <w:shd w:val="clear" w:color="auto" w:fill="C0C0C0"/>
          </w:tcPr>
          <w:p w14:paraId="728EF9A5" w14:textId="77777777" w:rsidR="00763CB3" w:rsidRPr="00876921" w:rsidRDefault="00763CB3" w:rsidP="00250B0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189BD4CF" w:rsidR="00FF774E" w:rsidRPr="002161A0" w:rsidRDefault="00FF774E" w:rsidP="00FF774E">
      <w:pPr>
        <w:spacing w:after="0" w:line="240" w:lineRule="auto"/>
        <w:ind w:left="426"/>
        <w:rPr>
          <w:rFonts w:ascii="Arial" w:eastAsia="Times New Roman" w:hAnsi="Arial" w:cs="Arial"/>
          <w:lang w:eastAsia="en-GB"/>
        </w:rPr>
      </w:pPr>
      <w:r w:rsidRPr="0CC06466">
        <w:rPr>
          <w:rFonts w:ascii="Arial" w:eastAsia="Times New Roman" w:hAnsi="Arial" w:cs="Arial"/>
          <w:lang w:eastAsia="en-GB"/>
        </w:rPr>
        <w:t xml:space="preserve">Students are required to complete a 1000-word essay under </w:t>
      </w:r>
      <w:r w:rsidR="6E299C66" w:rsidRPr="0CC06466">
        <w:rPr>
          <w:rFonts w:ascii="Arial" w:eastAsia="Times New Roman" w:hAnsi="Arial" w:cs="Arial"/>
          <w:lang w:eastAsia="en-GB"/>
        </w:rPr>
        <w:t xml:space="preserve">each of the </w:t>
      </w:r>
      <w:r w:rsidRPr="0CC06466">
        <w:rPr>
          <w:rFonts w:ascii="Arial" w:eastAsia="Times New Roman" w:hAnsi="Arial" w:cs="Arial"/>
          <w:lang w:eastAsia="en-GB"/>
        </w:rPr>
        <w:t>following title</w:t>
      </w:r>
      <w:r w:rsidR="5523DACC" w:rsidRPr="0CC06466">
        <w:rPr>
          <w:rFonts w:ascii="Arial" w:eastAsia="Times New Roman" w:hAnsi="Arial" w:cs="Arial"/>
          <w:lang w:eastAsia="en-GB"/>
        </w:rPr>
        <w:t>s</w:t>
      </w:r>
      <w:r w:rsidRPr="0CC06466">
        <w:rPr>
          <w:rFonts w:ascii="Arial" w:eastAsia="Times New Roman" w:hAnsi="Arial" w:cs="Arial"/>
          <w:lang w:eastAsia="en-GB"/>
        </w:rPr>
        <w:t>:</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D98B32A" w14:textId="737FA59F" w:rsidR="00FF774E" w:rsidRDefault="124B3E7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1: </w:t>
      </w:r>
      <w:r w:rsidR="00FF774E" w:rsidRPr="0CC06466">
        <w:rPr>
          <w:rFonts w:ascii="Arial" w:eastAsia="Times New Roman" w:hAnsi="Arial" w:cs="Arial"/>
          <w:lang w:eastAsia="en-GB"/>
        </w:rPr>
        <w:t>Analyse why key incidents/events have had a damaging effect on the willingness of communities to engage with the police</w:t>
      </w:r>
      <w:r w:rsidR="60DC7F1B" w:rsidRPr="0CC06466">
        <w:rPr>
          <w:rFonts w:ascii="Arial" w:eastAsia="Times New Roman" w:hAnsi="Arial" w:cs="Arial"/>
          <w:lang w:eastAsia="en-GB"/>
        </w:rPr>
        <w:t xml:space="preserve">. </w:t>
      </w:r>
      <w:r w:rsidR="00FF774E" w:rsidRPr="0CC06466">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0301CBA3" w14:textId="253DAC45" w:rsidR="00AD7A91" w:rsidRDefault="00AD7A91"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EDB64E2" w14:textId="77777777" w:rsidR="00AD7A91" w:rsidRPr="00AD7A91" w:rsidRDefault="00AD7A91" w:rsidP="00AD7A91">
      <w:pPr>
        <w:rPr>
          <w:rFonts w:ascii="Arial" w:hAnsi="Arial" w:cs="Arial"/>
        </w:rPr>
      </w:pPr>
      <w:r w:rsidRPr="00AD7A91">
        <w:rPr>
          <w:rFonts w:ascii="Arial" w:hAnsi="Arial" w:cs="Arial"/>
        </w:rPr>
        <w:t>This essay will analyse why key incidents or events have had a damaging effect on the willingness of communities to engage with the police. It will then evaluate the role of community policing in fostering and maintaining community cohesion. It will then demonstrate understanding and the application of key principles of effective community engagement.</w:t>
      </w:r>
    </w:p>
    <w:p w14:paraId="31B9F41D" w14:textId="42E0EF46" w:rsidR="00AD7A91" w:rsidRPr="00AD7A91" w:rsidRDefault="00AD7A91" w:rsidP="00AD7A91">
      <w:pPr>
        <w:rPr>
          <w:rFonts w:ascii="Arial" w:hAnsi="Arial" w:cs="Arial"/>
        </w:rPr>
      </w:pPr>
      <w:r w:rsidRPr="00AD7A91">
        <w:rPr>
          <w:rFonts w:ascii="Arial" w:hAnsi="Arial" w:cs="Arial"/>
        </w:rPr>
        <w:t>In previous years, there have been a number of key incidents and events whereby police action has had a damaging effect on the willingness of communities to engage with the police. These are often marred with failings or mishandling of incidents by the police which in turn have a detrimental effect on the communities in which the police serve.</w:t>
      </w:r>
    </w:p>
    <w:p w14:paraId="45D6D759" w14:textId="4A4822DA" w:rsidR="00AD7A91" w:rsidRPr="00AD7A91" w:rsidRDefault="00AD7A91" w:rsidP="00AD7A91">
      <w:pPr>
        <w:rPr>
          <w:rFonts w:ascii="Arial" w:hAnsi="Arial" w:cs="Arial"/>
        </w:rPr>
      </w:pPr>
      <w:r w:rsidRPr="00AD7A91">
        <w:rPr>
          <w:rFonts w:ascii="Arial" w:hAnsi="Arial" w:cs="Arial"/>
        </w:rPr>
        <w:t xml:space="preserve">One prevalent example of such an incident is the Brixton Riots of 1981. The events preceded an escalation of community tensions within the area of Lambeth between police and the black community. Following further escalations there was a subsequent disproportionate use of Stop and Search powers by Police under Sus Law against people from ethnic minorities, this was codenamed ‘‘Operation Swamp 81’’ by police. The subsequent actions resulted in rioting where there was extensive damage caused to property and both police and members of the public sustained injuries. In the aftermath of the Brixton Riots, the United Kingdom government ordered an inquiry which was conducted by Lord Scarman and is known as the ‘’Scarman Report’’, the report brought about changes such as the introduction of the Police and Criminal Evidence Act 1984. On the British Broadcasting Company (BBC) website, who discussed the events and the subsequent report state that Scarman ‘found </w:t>
      </w:r>
      <w:r w:rsidRPr="00AD7A91">
        <w:rPr>
          <w:rFonts w:ascii="Arial" w:hAnsi="Arial" w:cs="Arial"/>
          <w:color w:val="000000"/>
        </w:rPr>
        <w:t xml:space="preserve">the disorders were not planned but a spontaneous outburst of built-up resentment sparked by particular incidents. He found loss of confidence and mistrust in the police and their methods of policing. Liaison arrangements between police, community and local authority had already collapsed before the disturbances. He recommended concerted efforts to recruit more ethnic minorities into the police force, and changes in training and law enforcement’ </w:t>
      </w:r>
      <w:r w:rsidRPr="00AD7A91">
        <w:rPr>
          <w:rFonts w:ascii="Arial" w:hAnsi="Arial" w:cs="Arial"/>
          <w:color w:val="000000"/>
          <w:shd w:val="clear" w:color="auto" w:fill="FFFFFF"/>
        </w:rPr>
        <w:t>(BBC NEWS | Programmes | BBC Parliament | Q&amp;A: The Scarman Report, 2004).</w:t>
      </w:r>
      <w:r w:rsidRPr="00AD7A91">
        <w:rPr>
          <w:rFonts w:ascii="Arial" w:hAnsi="Arial" w:cs="Arial"/>
        </w:rPr>
        <w:t xml:space="preserve"> Taking this into consideration, an event of this magnitude has a profound effect on the police service and the ability of communities to engage with policing. The complete loss of trust in the police felt by communities as a result of incidents like this means there is a withdrawal of confidence and participation in supporting police and leads to a complete lack of engagement from that community. This can result in things like crimes not being reported, no willingness from communities to support any investigative processes and then increased vulnerability of people within communities as a result of the void left by no police interactions. The fallout of such key incidents has resonated throughout recent years and has been more prevalent with the occurrence of other incidents of note such as the Stephen Lawrence </w:t>
      </w:r>
      <w:r w:rsidRPr="00AD7A91">
        <w:rPr>
          <w:rFonts w:ascii="Arial" w:hAnsi="Arial" w:cs="Arial"/>
        </w:rPr>
        <w:lastRenderedPageBreak/>
        <w:t>murder, where the mishandling of the police investigation lead to public fallout and more recently the Black Lives Matters movement following the death of a black male, resulting in a police officer in America charged with murder.</w:t>
      </w:r>
    </w:p>
    <w:p w14:paraId="5E1050DD" w14:textId="77777777" w:rsidR="00AD7A91" w:rsidRPr="00AD7A91" w:rsidRDefault="00AD7A91" w:rsidP="00AD7A91">
      <w:pPr>
        <w:rPr>
          <w:rFonts w:ascii="Arial" w:hAnsi="Arial" w:cs="Arial"/>
          <w:color w:val="000000"/>
          <w:shd w:val="clear" w:color="auto" w:fill="FFFFFF"/>
        </w:rPr>
      </w:pPr>
      <w:r w:rsidRPr="00AD7A91">
        <w:rPr>
          <w:rFonts w:ascii="Arial" w:hAnsi="Arial" w:cs="Arial"/>
        </w:rPr>
        <w:t xml:space="preserve">Next, I will evaluate the role of community policing in fostering and maintaining community cohesion. Essentially, without the support of the public and the communities in which the police serve, policing would become unworkable. The police rely heavily on public cooperation to uphold the law and detect and investigate crime accordingly, without this cooperation the concept of policing by consent becomes obsolete. Neighbourhood Policing Teams (NPT) are at the forefront of fostering and maintaining community engagement. There are perceived benefits to effective community engagement. Some of these potential benefits are outlined on the ‘’College Of Policing’’ website, they state that ‘evidence has indicated that the potential benefits of effective community engagement include: an increase in public perceptions of safety, a tendency towards a reduction in disorder and anti-social behaviour, an increase in confidence and trust, and in community perceptions of the police .. </w:t>
      </w:r>
      <w:r w:rsidRPr="00AD7A91">
        <w:rPr>
          <w:rFonts w:ascii="Arial" w:hAnsi="Arial" w:cs="Arial"/>
          <w:color w:val="333333"/>
        </w:rPr>
        <w:t>an improvement in police officers’ attitudes and job satisfaction.</w:t>
      </w:r>
      <w:r w:rsidRPr="00AD7A91">
        <w:rPr>
          <w:rFonts w:ascii="Arial" w:hAnsi="Arial" w:cs="Arial"/>
        </w:rPr>
        <w:t xml:space="preserve"> </w:t>
      </w:r>
      <w:r w:rsidRPr="00AD7A91">
        <w:rPr>
          <w:rFonts w:ascii="Arial" w:hAnsi="Arial" w:cs="Arial"/>
          <w:color w:val="333333"/>
        </w:rPr>
        <w:t xml:space="preserve">All of these benefits can have a positive impact on the ability of the police to tackle crime and anti-social behaviour.’ </w:t>
      </w:r>
      <w:r w:rsidRPr="00AD7A91">
        <w:rPr>
          <w:rFonts w:ascii="Arial" w:hAnsi="Arial" w:cs="Arial"/>
          <w:color w:val="000000"/>
          <w:shd w:val="clear" w:color="auto" w:fill="FFFFFF"/>
        </w:rPr>
        <w:t>(College of Policing, 2013). These benefits highlight when the policing by consent model is effective with public cooperation, community engagement would be higher as there is a better relationship and more effective cohesion between the police and the communities in which it serves.</w:t>
      </w:r>
    </w:p>
    <w:p w14:paraId="32FB1ED4" w14:textId="4C6DD78B" w:rsidR="00AD7A91" w:rsidRPr="00AD7A91" w:rsidRDefault="00AD7A91" w:rsidP="00AD7A91">
      <w:pPr>
        <w:rPr>
          <w:rFonts w:ascii="Arial" w:hAnsi="Arial" w:cs="Arial"/>
          <w:color w:val="333333"/>
        </w:rPr>
      </w:pPr>
      <w:r w:rsidRPr="00AD7A91">
        <w:rPr>
          <w:rFonts w:ascii="Arial" w:hAnsi="Arial" w:cs="Arial"/>
          <w:color w:val="000000"/>
          <w:shd w:val="clear" w:color="auto" w:fill="FFFFFF"/>
        </w:rPr>
        <w:t>In contrast, as aforementioned a breakdown in the trust and perception of legitimacy in the police service can have long term detrimental effects as seen in the aftermath of key incidents. The ‘’College of Policing’’ website again suggests some of the implications of not having effective community cohesion or engagement. It says that the ‘r</w:t>
      </w:r>
      <w:r w:rsidRPr="00AD7A91">
        <w:rPr>
          <w:rFonts w:ascii="Arial" w:hAnsi="Arial" w:cs="Arial"/>
          <w:color w:val="333333"/>
        </w:rPr>
        <w:t xml:space="preserve">isks associated with ineffective engagement (but not limited to): a loss of public confidence in the police, a loss of legitimacy in the eyes of the public, a negative impact on strategic policing as the police are unable to predict changes in community profile, needs and priorities, increased vulnerabilities around threat, risk and harm, withdrawal of the public from participation and problem solving, leading to services that are less responsive to the needs of the public and require increased policing resources, unrealistic public expectations regarding policing services, lack of awareness of changes in the community and tensions not being identified, leading to a negative impact upon tactical policing’ </w:t>
      </w:r>
      <w:r w:rsidRPr="00AD7A91">
        <w:rPr>
          <w:rFonts w:ascii="Arial" w:hAnsi="Arial" w:cs="Arial"/>
          <w:color w:val="000000"/>
          <w:shd w:val="clear" w:color="auto" w:fill="FFFFFF"/>
        </w:rPr>
        <w:t>(College of Policing, 2013).</w:t>
      </w:r>
    </w:p>
    <w:p w14:paraId="66DA7E1C" w14:textId="77777777" w:rsidR="00AD7A91" w:rsidRPr="00AD7A91" w:rsidRDefault="00AD7A91" w:rsidP="00AD7A91">
      <w:pPr>
        <w:rPr>
          <w:rFonts w:ascii="Arial" w:hAnsi="Arial" w:cs="Arial"/>
        </w:rPr>
      </w:pPr>
      <w:r w:rsidRPr="00AD7A91">
        <w:rPr>
          <w:rFonts w:ascii="Arial" w:hAnsi="Arial" w:cs="Arial"/>
          <w:color w:val="000000"/>
          <w:shd w:val="clear" w:color="auto" w:fill="FFFFFF"/>
        </w:rPr>
        <w:t xml:space="preserve">Lastly, the key principles of effective community engagement from </w:t>
      </w:r>
      <w:r w:rsidRPr="00AD7A91">
        <w:rPr>
          <w:rFonts w:ascii="Arial" w:hAnsi="Arial" w:cs="Arial"/>
        </w:rPr>
        <w:t>fostering community engagement can be achieved through effective information gathering and getting to know the communities in which Police serve. This allows police to identify and understand the unique requirements of different communities and their perceived problems. In turn this can foster engagement by responding to concerns that meet that particular community’s needs. NPT will be at the forefront of such engagement as they learn and gather information about their respective communities and will learn to understand and engage in a way that the community requires.</w:t>
      </w:r>
    </w:p>
    <w:p w14:paraId="6724E2DE" w14:textId="77777777" w:rsidR="00AD7A91" w:rsidRPr="00AD7A91" w:rsidRDefault="00AD7A91" w:rsidP="00AD7A91">
      <w:pPr>
        <w:rPr>
          <w:rFonts w:ascii="Arial" w:hAnsi="Arial" w:cs="Arial"/>
        </w:rPr>
      </w:pPr>
      <w:r w:rsidRPr="00AD7A91">
        <w:rPr>
          <w:rFonts w:ascii="Arial" w:hAnsi="Arial" w:cs="Arial"/>
        </w:rPr>
        <w:t xml:space="preserve">To conclude, </w:t>
      </w:r>
      <w:r w:rsidRPr="00AD7A91">
        <w:rPr>
          <w:rFonts w:ascii="Arial" w:hAnsi="Arial" w:cs="Arial"/>
          <w:color w:val="000000"/>
          <w:shd w:val="clear" w:color="auto" w:fill="FFFFFF"/>
        </w:rPr>
        <w:t xml:space="preserve">I have analysed why key incidents such as the aforementioned Brixton Riots have had a damaging effect on the willingness of communities to engage with police. I have evaluated the role of community policing in fostering and maintaining community cohesion and have drawn on references to highlight the benefits and the negative aspects of failing to maintain cohesion within communities. </w:t>
      </w:r>
      <w:r w:rsidRPr="00AD7A91">
        <w:rPr>
          <w:rFonts w:ascii="Arial" w:hAnsi="Arial" w:cs="Arial"/>
        </w:rPr>
        <w:t>Lastly I have demonstrated an understanding and the application of key principles of effective community engagement by the Police and in particular NPT who are at the forefront of community led policing.</w:t>
      </w:r>
    </w:p>
    <w:p w14:paraId="0D2051AB" w14:textId="77777777" w:rsidR="00AD7A91" w:rsidRPr="00AD7A91" w:rsidRDefault="00AD7A91" w:rsidP="00AD7A91">
      <w:pPr>
        <w:rPr>
          <w:rFonts w:ascii="Arial" w:hAnsi="Arial" w:cs="Arial"/>
          <w:color w:val="000000"/>
          <w:shd w:val="clear" w:color="auto" w:fill="FFFFFF"/>
        </w:rPr>
      </w:pPr>
      <w:r w:rsidRPr="00AD7A91">
        <w:rPr>
          <w:rFonts w:ascii="Arial" w:hAnsi="Arial" w:cs="Arial"/>
        </w:rPr>
        <w:t>Word Count - 1084</w:t>
      </w:r>
    </w:p>
    <w:p w14:paraId="4A069B86" w14:textId="77777777" w:rsidR="00AD7A91" w:rsidRDefault="00AD7A91"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70D46E9" w14:textId="66D4A9D4" w:rsid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784158B" w14:textId="55BD6681" w:rsidR="00AD7A91" w:rsidRDefault="00AD7A91"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E125235" w14:textId="719B8E84" w:rsidR="00AD7A91" w:rsidRDefault="00AD7A91"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D69F2A6" w14:textId="720CF12E" w:rsidR="00FF774E" w:rsidRDefault="502D20D9" w:rsidP="00250B0E">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2: </w:t>
      </w:r>
      <w:r w:rsidR="00FF774E" w:rsidRPr="0CC06466">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r w:rsidR="0860B511" w:rsidRPr="0CC06466">
        <w:rPr>
          <w:rFonts w:ascii="Arial" w:eastAsia="Times New Roman" w:hAnsi="Arial" w:cs="Arial"/>
          <w:lang w:eastAsia="en-GB"/>
        </w:rPr>
        <w:t xml:space="preserve">. </w:t>
      </w:r>
      <w:r w:rsidR="00FF774E" w:rsidRPr="0CC06466">
        <w:rPr>
          <w:rFonts w:ascii="Arial" w:eastAsia="Times New Roman" w:hAnsi="Arial" w:cs="Arial"/>
          <w:lang w:eastAsia="en-GB"/>
        </w:rPr>
        <w:t>Explain and employ analytical products provided by intelligence specialists during</w:t>
      </w:r>
      <w:r w:rsidR="2497CF2C" w:rsidRPr="0CC06466">
        <w:rPr>
          <w:rFonts w:ascii="Arial" w:eastAsia="Times New Roman" w:hAnsi="Arial" w:cs="Arial"/>
          <w:lang w:eastAsia="en-GB"/>
        </w:rPr>
        <w:t xml:space="preserve"> </w:t>
      </w:r>
      <w:r w:rsidR="00FF774E" w:rsidRPr="0CC06466">
        <w:rPr>
          <w:rFonts w:ascii="Arial" w:eastAsia="Times New Roman" w:hAnsi="Arial" w:cs="Arial"/>
          <w:lang w:eastAsia="en-GB"/>
        </w:rPr>
        <w:t>an investigation</w:t>
      </w:r>
    </w:p>
    <w:p w14:paraId="676A80BD" w14:textId="77777777" w:rsidR="00AD7A91" w:rsidRDefault="00AD7A91" w:rsidP="00AD7A91"/>
    <w:p w14:paraId="03487E29" w14:textId="061825B0" w:rsidR="00AD7A91" w:rsidRPr="00AD7A91" w:rsidRDefault="00AD7A91" w:rsidP="00AD7A91">
      <w:pPr>
        <w:rPr>
          <w:rFonts w:ascii="Arial" w:hAnsi="Arial" w:cs="Arial"/>
        </w:rPr>
      </w:pPr>
      <w:r w:rsidRPr="00AD7A91">
        <w:rPr>
          <w:rFonts w:ascii="Arial" w:hAnsi="Arial" w:cs="Arial"/>
        </w:rPr>
        <w:t>This essay will assess the strengths and weaknesses of different policing models in relation to crime/victimisation and the public and explore crime prevent theories initiates and strategies. It will explain and employ analytical products provided by intelligence specialists during an investigation.</w:t>
      </w:r>
    </w:p>
    <w:p w14:paraId="0F1CA903" w14:textId="77777777" w:rsidR="00AD7A91" w:rsidRPr="00AD7A91" w:rsidRDefault="00AD7A91" w:rsidP="00AD7A91">
      <w:pPr>
        <w:rPr>
          <w:rFonts w:ascii="Arial" w:hAnsi="Arial" w:cs="Arial"/>
          <w:color w:val="000000"/>
        </w:rPr>
      </w:pPr>
      <w:r w:rsidRPr="00AD7A91">
        <w:rPr>
          <w:rFonts w:ascii="Arial" w:hAnsi="Arial" w:cs="Arial"/>
        </w:rPr>
        <w:t>The first policing model I will assess is the Routine Activity Theory. This was first proposed by Marcus Felson and Lawrence Cohen. The theory suggests that crime is likely to occur when three essential elements are present, these are a motivated offender a suitable target and absence of a suitable guardian.  The theory states that the absence of any element would mean crime would be less likely to occur as the opportunity to commit crime is removed or reduced. The theory also suggests that it empowers victims to decide on whether they will become victims or not by not placing themselves into situations where there is opportunity for a commission of a crime against them where all three elements would be present. The theory has been well received and applied in many contexts. One such example is in the title journal Low Self Control, Routine Activities and Fraud Victimization focusing on victimisation in the crime area of fraud, it states ‘</w:t>
      </w:r>
      <w:r w:rsidRPr="00AD7A91">
        <w:rPr>
          <w:rFonts w:ascii="Arial" w:hAnsi="Arial" w:cs="Arial"/>
          <w:color w:val="000000"/>
        </w:rPr>
        <w:t xml:space="preserve">the results of this study also support the extension of routine activity theory to the context of consumer fraud victimization. In our sample, greater participation in remote purchasing increased consumers’ exposure to fraud targeting and increased their risk of becoming fraud victims. These findings demonstrate the usefulness of routine activity theory as a “general” theory of victimization risk’ </w:t>
      </w:r>
      <w:r w:rsidRPr="00AD7A91">
        <w:rPr>
          <w:rFonts w:ascii="Arial" w:hAnsi="Arial" w:cs="Arial"/>
          <w:color w:val="000000"/>
          <w:shd w:val="clear" w:color="auto" w:fill="FFFFFF"/>
        </w:rPr>
        <w:t>(HOLTFRETER, REISIG and PRATT, 2008)</w:t>
      </w:r>
      <w:r w:rsidRPr="00AD7A91">
        <w:rPr>
          <w:rFonts w:ascii="Arial" w:hAnsi="Arial" w:cs="Arial"/>
          <w:color w:val="000000"/>
        </w:rPr>
        <w:t>.</w:t>
      </w:r>
      <w:r w:rsidRPr="00AD7A91">
        <w:rPr>
          <w:rFonts w:ascii="Arial" w:hAnsi="Arial" w:cs="Arial"/>
        </w:rPr>
        <w:t xml:space="preserve"> However this theory is not without criticism as it describes crime at the simplest form but does not offer an explanation as to why it has occurred or why what has motivated the offender, ignoring any social, environment or economic considerations. </w:t>
      </w:r>
    </w:p>
    <w:p w14:paraId="598CA1D2" w14:textId="77777777" w:rsidR="00AD7A91" w:rsidRPr="00AD7A91" w:rsidRDefault="00AD7A91" w:rsidP="00AD7A91">
      <w:pPr>
        <w:rPr>
          <w:rFonts w:ascii="Arial" w:hAnsi="Arial" w:cs="Arial"/>
          <w:shd w:val="clear" w:color="auto" w:fill="FFFFFF"/>
        </w:rPr>
      </w:pPr>
      <w:r w:rsidRPr="00AD7A91">
        <w:rPr>
          <w:rFonts w:ascii="Arial" w:hAnsi="Arial" w:cs="Arial"/>
        </w:rPr>
        <w:t>The second policing model I will assess is the Broken Window Theory. This theory was first proposed in 1982 by James Wilson and George Kelling. The use of ‘’broken windows’’ was a metaphor which represents that the visible signs of crime, disorder or anti-social behaviour (ASB) have an effect that encourages the commission of further or more serious crime on the basis that this visible evidence of crime indicates that criminal offences have little risk of detection and the behaviour is more normalised with that area. It has been suggested this model of policing has had positive effects in reducing serious crime by managing lower level disorder. In the journey titled ‘’Can Policing Disorder Reduce Crime? A Systematic Review and Meta-analysis’’ it states ‘the results of our systematic review and meta-analysis suggest that disorder policing strategies generate noteworthy crime control gains. Importantly, these strategies yielded consistent crime reduction effects across a variety of violent, property, drug, and disorder outcome measures. These findings provide support for police paying attention to social and physical disorder when seeking to reduce more serious crimes in neighborhoods.</w:t>
      </w:r>
      <w:r w:rsidRPr="00AD7A91">
        <w:rPr>
          <w:rFonts w:ascii="Arial" w:hAnsi="Arial" w:cs="Arial"/>
          <w:color w:val="000000"/>
          <w:shd w:val="clear" w:color="auto" w:fill="FFFFFF"/>
        </w:rPr>
        <w:t xml:space="preserve"> (Braga, Welsh and Schnell, 2015). However, the theory is not without criticism as stated on the website Britannica that stated </w:t>
      </w:r>
      <w:r w:rsidRPr="00AD7A91">
        <w:rPr>
          <w:rFonts w:ascii="Arial" w:hAnsi="Arial" w:cs="Arial"/>
          <w:shd w:val="clear" w:color="auto" w:fill="FFFFFF"/>
        </w:rPr>
        <w:t>‘one line of </w:t>
      </w:r>
      <w:hyperlink r:id="rId12" w:history="1">
        <w:r w:rsidRPr="00AD7A91">
          <w:rPr>
            <w:rStyle w:val="Hyperlink"/>
            <w:rFonts w:ascii="Arial" w:hAnsi="Arial" w:cs="Arial"/>
            <w:color w:val="auto"/>
            <w:u w:val="none"/>
            <w:shd w:val="clear" w:color="auto" w:fill="FFFFFF"/>
          </w:rPr>
          <w:t>criticism</w:t>
        </w:r>
      </w:hyperlink>
      <w:r w:rsidRPr="00AD7A91">
        <w:rPr>
          <w:rFonts w:ascii="Arial" w:hAnsi="Arial" w:cs="Arial"/>
          <w:shd w:val="clear" w:color="auto" w:fill="FFFFFF"/>
        </w:rPr>
        <w:t> is that there is little </w:t>
      </w:r>
      <w:hyperlink r:id="rId13" w:history="1">
        <w:r w:rsidRPr="00AD7A91">
          <w:rPr>
            <w:rStyle w:val="Hyperlink"/>
            <w:rFonts w:ascii="Arial" w:hAnsi="Arial" w:cs="Arial"/>
            <w:color w:val="auto"/>
            <w:u w:val="none"/>
            <w:shd w:val="clear" w:color="auto" w:fill="FFFFFF"/>
          </w:rPr>
          <w:t>empirical</w:t>
        </w:r>
      </w:hyperlink>
      <w:r w:rsidRPr="00AD7A91">
        <w:rPr>
          <w:rFonts w:ascii="Arial" w:hAnsi="Arial" w:cs="Arial"/>
          <w:shd w:val="clear" w:color="auto" w:fill="FFFFFF"/>
        </w:rPr>
        <w:t xml:space="preserve"> evidence that disorder, when left unchallenged, causes crime. To validate the theory in its entirety, it must be shown that disorder causes fear, that fear causes a breakdown of social controls (sometimes referred to as community cohesion), and that this breakdown of social controls in turn causes crime.’ </w:t>
      </w:r>
      <w:r w:rsidRPr="00AD7A91">
        <w:rPr>
          <w:rFonts w:ascii="Arial" w:hAnsi="Arial" w:cs="Arial"/>
          <w:color w:val="000000"/>
          <w:shd w:val="clear" w:color="auto" w:fill="FFFFFF"/>
        </w:rPr>
        <w:t>(Karmen, 2018).</w:t>
      </w:r>
    </w:p>
    <w:p w14:paraId="0328DBF2" w14:textId="77777777" w:rsidR="00AD7A91" w:rsidRPr="00AD7A91" w:rsidRDefault="00AD7A91" w:rsidP="00AD7A91">
      <w:pPr>
        <w:rPr>
          <w:rFonts w:ascii="Arial" w:hAnsi="Arial" w:cs="Arial"/>
        </w:rPr>
      </w:pPr>
      <w:r w:rsidRPr="00AD7A91">
        <w:rPr>
          <w:rFonts w:ascii="Arial" w:hAnsi="Arial" w:cs="Arial"/>
        </w:rPr>
        <w:t xml:space="preserve">Next I will explore the crime prevention theory, which is a criminological concept that focuses on crime reduction beyond just the criminal justice system. This concept encompasses the theories aforementioned and focuses employing on agencies beyond the police and criminal justice system in addressing the reasons for why crime occurs and the other factors that support their commission. Some strategies under this idea may include things like target hardening, which is essentially making adjustments to property or criminal targets to make them less likely to be the victim of crimes. A property </w:t>
      </w:r>
      <w:r w:rsidRPr="00AD7A91">
        <w:rPr>
          <w:rFonts w:ascii="Arial" w:hAnsi="Arial" w:cs="Arial"/>
        </w:rPr>
        <w:lastRenderedPageBreak/>
        <w:t xml:space="preserve">for example can have additions such as closed circuit television or security locks to make a property less likely to be the target for burglaries. </w:t>
      </w:r>
    </w:p>
    <w:p w14:paraId="518A808B" w14:textId="77777777" w:rsidR="00AD7A91" w:rsidRPr="00AD7A91" w:rsidRDefault="00AD7A91" w:rsidP="00AD7A91">
      <w:pPr>
        <w:rPr>
          <w:rFonts w:ascii="Arial" w:hAnsi="Arial" w:cs="Arial"/>
        </w:rPr>
      </w:pPr>
      <w:r w:rsidRPr="00AD7A91">
        <w:rPr>
          <w:rFonts w:ascii="Arial" w:hAnsi="Arial" w:cs="Arial"/>
        </w:rPr>
        <w:t>Lastly, I am going to explain analytical products provided by intelligence specialists during an investigation. In order to do so, I will first define intelligence. Intelligence is raw information that has been subject to processing, has been sanitised and then disseminated accordingly. Intelligence specialists a role as defined by The College of Policing which states ‘The Intelligence Officer develops and evaluates intelligence, making an assessment of the threat, risk, harm, vulnerabilities and opportunities which exist and identifying gaps. They manage the dissemination of the assessment or intelligence product, support reactive, proactive and/or crimes in action and provide advice on appropriate tactical options to support policing priorities.’ (College of Policing, n.d). The National Intelligence Model outlines four products from the analysis of intelligence. These are subject profile, problem profile, tactical assessment and strategic assessment. All of which will add value to an investigation by compiling information on any subjects including associations, risks or known criminal activities, tactical considerations for any operations such as criminal business profiling or movements and how to strategically approach any investigation based on the intelligence available. Additionally, there are further products that can assist during investigations such as risk analysis which will utilise multiple sources to determine risk to determine outcomes of police action and to predict criminal activity or analysing social trends in aid of predicting criminal activity or gathering evidence on certain demographics. All of which aid the investigative process by allowing informed decisions to be made about investigative priorities and tactical options.</w:t>
      </w:r>
    </w:p>
    <w:p w14:paraId="49724617" w14:textId="77777777" w:rsidR="00AD7A91" w:rsidRPr="00AD7A91" w:rsidRDefault="00AD7A91" w:rsidP="00AD7A91">
      <w:pPr>
        <w:rPr>
          <w:rFonts w:ascii="Arial" w:hAnsi="Arial" w:cs="Arial"/>
        </w:rPr>
      </w:pPr>
      <w:r w:rsidRPr="00AD7A91">
        <w:rPr>
          <w:rFonts w:ascii="Arial" w:hAnsi="Arial" w:cs="Arial"/>
        </w:rPr>
        <w:t>To conclude, in this essay I have assessed the strengths and weakness of different policing models in relation to crime/victimisation and the public and explored crime prevention strategies. I have explained and employed analytical products provided by intelligence specialists during an investigation outlining what intelligence is and the role of an intelligence officer whilst doing so.</w:t>
      </w:r>
    </w:p>
    <w:p w14:paraId="3FF7B8EC" w14:textId="77777777" w:rsidR="00AD7A91" w:rsidRPr="00AD7A91" w:rsidRDefault="00AD7A91" w:rsidP="00AD7A91">
      <w:pPr>
        <w:rPr>
          <w:rFonts w:ascii="Arial" w:hAnsi="Arial" w:cs="Arial"/>
        </w:rPr>
      </w:pPr>
      <w:r w:rsidRPr="00AD7A91">
        <w:rPr>
          <w:rFonts w:ascii="Arial" w:hAnsi="Arial" w:cs="Arial"/>
        </w:rPr>
        <w:t>Word Count - 988</w:t>
      </w:r>
    </w:p>
    <w:p w14:paraId="6E036E35" w14:textId="77777777" w:rsidR="00AD7A91" w:rsidRPr="00FF774E" w:rsidRDefault="00AD7A91"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3F937A44"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020469A1"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09481EFA"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6C89B565"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3F29A42C"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1F7B98F"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5BA9AE3"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12ED218"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6FF859A"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32E07682"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751BC642"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EA2ADF4" w14:textId="77777777"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1852F90" w14:textId="144DF280" w:rsidR="009E333B" w:rsidRDefault="33D7A529" w:rsidP="00250B0E">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3: </w:t>
      </w:r>
      <w:r w:rsidR="009E333B" w:rsidRPr="0CC06466">
        <w:rPr>
          <w:rFonts w:ascii="Arial" w:eastAsia="Times New Roman" w:hAnsi="Arial" w:cs="Arial"/>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131ECD0D" w14:textId="3B40B889"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30D6F865" w14:textId="77777777" w:rsidR="00AD7A91" w:rsidRPr="00AD7A91" w:rsidRDefault="00AD7A91" w:rsidP="00AD7A91">
      <w:pPr>
        <w:rPr>
          <w:rFonts w:ascii="Arial" w:hAnsi="Arial" w:cs="Arial"/>
          <w:lang w:eastAsia="en-GB"/>
        </w:rPr>
      </w:pPr>
      <w:r w:rsidRPr="00AD7A91">
        <w:rPr>
          <w:rFonts w:ascii="Arial" w:hAnsi="Arial" w:cs="Arial"/>
          <w:lang w:eastAsia="en-GB"/>
        </w:rPr>
        <w:t>This essay will critically review key issues relating to the complexity and challenges of operational policing, it will review examples of critical and major incidents and analyse the role of police within a joint emergency services operation to establish ‘best practice’.</w:t>
      </w:r>
    </w:p>
    <w:p w14:paraId="4203FA88" w14:textId="77777777" w:rsidR="00AD7A91" w:rsidRPr="00AD7A91" w:rsidRDefault="00AD7A91" w:rsidP="00AD7A91">
      <w:pPr>
        <w:rPr>
          <w:rFonts w:ascii="Arial" w:hAnsi="Arial" w:cs="Arial"/>
          <w:lang w:eastAsia="en-GB"/>
        </w:rPr>
      </w:pPr>
      <w:r w:rsidRPr="00AD7A91">
        <w:rPr>
          <w:rFonts w:ascii="Arial" w:hAnsi="Arial" w:cs="Arial"/>
          <w:lang w:eastAsia="en-GB"/>
        </w:rPr>
        <w:t>Operational policing is becoming increasingly complex as the communities that operational policing serve become increasingly sophisticated and diverse. As such, in response such diversity and complexity requires a police response that will be proportionate to the needs of the community. One such issue is that of cyber-crime, which is crime committed on a digital platform and can include fraud. Crime of such nature can be sophisticated and complicated and likely to require a degree of understanding or prior knowledge from police service members which may not always be the case. This is acknowledged by the National Police Chiefs Council (NPCC) which states ‘</w:t>
      </w:r>
      <w:r w:rsidRPr="00AD7A91">
        <w:rPr>
          <w:rFonts w:ascii="Arial" w:hAnsi="Arial" w:cs="Arial"/>
        </w:rPr>
        <w:t xml:space="preserve">As people do more and more online, the threat from cybercrime grows - whether its fraud, data theft, grooming and exploitation of children or stalking and harassment. Likewise, future technologies, such as driverless cars, virtual reality and implant technology, will pose new risks and opportunities for the police service. Policing has to focus on protecting people from this type of harm through the development’ </w:t>
      </w:r>
      <w:r w:rsidRPr="00AD7A91">
        <w:rPr>
          <w:rFonts w:ascii="Arial" w:hAnsi="Arial" w:cs="Arial"/>
          <w:color w:val="000000"/>
          <w:shd w:val="clear" w:color="auto" w:fill="FFFFFF"/>
        </w:rPr>
        <w:t xml:space="preserve">(NPCC, 2016). </w:t>
      </w:r>
      <w:r w:rsidRPr="00AD7A91">
        <w:rPr>
          <w:rFonts w:ascii="Arial" w:hAnsi="Arial" w:cs="Arial"/>
        </w:rPr>
        <w:t xml:space="preserve">Although providing complexities, the same report also acknowledges the potentials for digital technology in tackling this issue, stating ‘The increasing availability of information and new technologies offers us huge potential to improve how we protect the public. It sets new expectations about the services we provide, how they are accessed and our levels of transparency. Digitisation also offers significant potential to accelerate business processes, manage risk more effectively and revolutionise the criminal justice process’ </w:t>
      </w:r>
      <w:r w:rsidRPr="00AD7A91">
        <w:rPr>
          <w:rFonts w:ascii="Arial" w:hAnsi="Arial" w:cs="Arial"/>
          <w:color w:val="000000"/>
          <w:shd w:val="clear" w:color="auto" w:fill="FFFFFF"/>
        </w:rPr>
        <w:t>(NPCC, 2016).</w:t>
      </w:r>
    </w:p>
    <w:p w14:paraId="2DAF03F5" w14:textId="77777777" w:rsidR="00AD7A91" w:rsidRPr="00AD7A91" w:rsidRDefault="00AD7A91" w:rsidP="00AD7A91">
      <w:pPr>
        <w:rPr>
          <w:rFonts w:ascii="Arial" w:hAnsi="Arial" w:cs="Arial"/>
          <w:bCs/>
          <w:color w:val="333333"/>
        </w:rPr>
      </w:pPr>
      <w:r w:rsidRPr="00AD7A91">
        <w:rPr>
          <w:rFonts w:ascii="Arial" w:hAnsi="Arial" w:cs="Arial"/>
          <w:lang w:eastAsia="en-GB"/>
        </w:rPr>
        <w:t>Next I will review examples of critical and major incidents. First I will define the two. A critical incident, as defined by the College of Policing states ‘a</w:t>
      </w:r>
      <w:r w:rsidRPr="00AD7A91">
        <w:rPr>
          <w:rStyle w:val="Strong"/>
          <w:rFonts w:ascii="Arial" w:hAnsi="Arial" w:cs="Arial"/>
          <w:b w:val="0"/>
          <w:color w:val="333333"/>
        </w:rPr>
        <w:t>ny incident where the effectiveness of the police response is likely to have a significant impact on the confidence of the victim, their family and/or the community’ (College of Policing, nd) and then the College of Policing define a major incident as ‘an event or situation, with a range of serious consequences, which requires special arrangements to be implemented by one or more emergency responder agencies’ (College of Policing, nd). One incident I will review is known as the Manchester Arena Bombing. This occurred on 22</w:t>
      </w:r>
      <w:r w:rsidRPr="00AD7A91">
        <w:rPr>
          <w:rStyle w:val="Strong"/>
          <w:rFonts w:ascii="Arial" w:hAnsi="Arial" w:cs="Arial"/>
          <w:b w:val="0"/>
          <w:color w:val="333333"/>
          <w:vertAlign w:val="superscript"/>
        </w:rPr>
        <w:t>nd</w:t>
      </w:r>
      <w:r w:rsidRPr="00AD7A91">
        <w:rPr>
          <w:rStyle w:val="Strong"/>
          <w:rFonts w:ascii="Arial" w:hAnsi="Arial" w:cs="Arial"/>
          <w:b w:val="0"/>
          <w:color w:val="333333"/>
        </w:rPr>
        <w:t xml:space="preserve"> May 2017 where an Islamist extremist suicide bomber detonated a homemade bomb using shrapnel. This device was detonated as concert goers left an Arianna Grande concert. This resulted in the death of 23 people including the attacker and left a large number of people injured. This incident required a multi-agency approach and employed the use of a joint approach by the emergency services. In the aftermath of the incident an independent review, titled the ‘’The Kerslake Report: </w:t>
      </w:r>
      <w:r w:rsidRPr="00AD7A91">
        <w:rPr>
          <w:rFonts w:ascii="Arial" w:hAnsi="Arial" w:cs="Arial"/>
        </w:rPr>
        <w:t xml:space="preserve">An independent review into the preparedness for, and emergency response to, the Manchester Arena attack on 22nd May 2017’’ the review was largely positive in the response by emergency services stating ‘At critical points in the evening, key emergency personnel exercised sound judgement in an extremely stressful, chaotic and dangerous environment.’ </w:t>
      </w:r>
      <w:r w:rsidRPr="00AD7A91">
        <w:rPr>
          <w:rFonts w:ascii="Arial" w:hAnsi="Arial" w:cs="Arial"/>
          <w:color w:val="000000"/>
          <w:shd w:val="clear" w:color="auto" w:fill="FFFFFF"/>
        </w:rPr>
        <w:t xml:space="preserve">(Kerslake, 2018) </w:t>
      </w:r>
      <w:r w:rsidRPr="00AD7A91">
        <w:rPr>
          <w:rStyle w:val="Strong"/>
          <w:rFonts w:ascii="Arial" w:hAnsi="Arial" w:cs="Arial"/>
          <w:b w:val="0"/>
          <w:color w:val="333333"/>
        </w:rPr>
        <w:t>Although there were elements within the review praising the response of emergency services, the incident was not without its short comings and highlighted learning based on critique as a result of certain elements of the response stating ‘</w:t>
      </w:r>
      <w:r w:rsidRPr="00AD7A91">
        <w:rPr>
          <w:rFonts w:ascii="Arial" w:hAnsi="Arial" w:cs="Arial"/>
        </w:rPr>
        <w:t xml:space="preserve">The Greater Manchester Fire and Rescue Service (GMFRS) did not arrive at the scene and therefore played no meaningful role in the response to the attack for nearly two hours. This compares with an average response time for the Service of less than six minutes. The effect of this was that a valuable resource was not available to assist on the scene, particularly with the movement of those who were injured from the foyer to the Casualty Clearing Station. The Fire Service was effectively ‘outside the loop’, having no presence at the rendezvous point established by the Police, little awareness of what was happening at the Arena and only a very limited and belated presence at Strategic Gold Command.’ </w:t>
      </w:r>
      <w:r w:rsidRPr="00AD7A91">
        <w:rPr>
          <w:rFonts w:ascii="Arial" w:hAnsi="Arial" w:cs="Arial"/>
          <w:color w:val="000000"/>
          <w:shd w:val="clear" w:color="auto" w:fill="FFFFFF"/>
        </w:rPr>
        <w:t>(Kerslake, 2018).</w:t>
      </w:r>
    </w:p>
    <w:p w14:paraId="2E378B99" w14:textId="77777777" w:rsidR="00AD7A91" w:rsidRPr="00AD7A91" w:rsidRDefault="00AD7A91" w:rsidP="00AD7A91">
      <w:pPr>
        <w:rPr>
          <w:rFonts w:ascii="Arial" w:hAnsi="Arial" w:cs="Arial"/>
          <w:color w:val="000000"/>
          <w:shd w:val="clear" w:color="auto" w:fill="FFFFFF"/>
        </w:rPr>
      </w:pPr>
      <w:r w:rsidRPr="00AD7A91">
        <w:rPr>
          <w:rFonts w:ascii="Arial" w:hAnsi="Arial" w:cs="Arial"/>
          <w:lang w:eastAsia="en-GB"/>
        </w:rPr>
        <w:lastRenderedPageBreak/>
        <w:t>Certain incidents may require a multi-agency response when dealing with them which would employ other emergency services besides the Police in their response as they may have consequences that are far reaching. Such incidents would follow the Joint Emergency Service Interoperability Principles (JESIP). JESIP as described by the JESIP.org website states that ‘</w:t>
      </w:r>
      <w:r w:rsidRPr="00AD7A91">
        <w:rPr>
          <w:rFonts w:ascii="Arial" w:hAnsi="Arial" w:cs="Arial"/>
        </w:rPr>
        <w:t>JESIP models and principles have become the standard for interoperability in the UK. The JESIP </w:t>
      </w:r>
      <w:hyperlink r:id="rId14" w:tgtFrame="_blank" w:history="1">
        <w:r w:rsidRPr="00AD7A91">
          <w:rPr>
            <w:rStyle w:val="Emphasis"/>
            <w:rFonts w:ascii="Arial" w:hAnsi="Arial" w:cs="Arial"/>
            <w:i w:val="0"/>
          </w:rPr>
          <w:t>Joint Doctrine: the interoperability framework</w:t>
        </w:r>
      </w:hyperlink>
      <w:hyperlink r:id="rId15" w:history="1">
        <w:r w:rsidRPr="00AD7A91">
          <w:rPr>
            <w:rStyle w:val="Emphasis"/>
            <w:rFonts w:ascii="Arial" w:hAnsi="Arial" w:cs="Arial"/>
          </w:rPr>
          <w:t> </w:t>
        </w:r>
      </w:hyperlink>
      <w:r w:rsidRPr="00AD7A91">
        <w:rPr>
          <w:rFonts w:ascii="Arial" w:hAnsi="Arial" w:cs="Arial"/>
        </w:rPr>
        <w:t>sets out a standard approach to multi-agency working, along with training and awareness products for responding agencies to train their staff. Whilst the initial focus was on improving the response to major incidents, JESIP is scalable, so much so the </w:t>
      </w:r>
      <w:hyperlink r:id="rId16" w:history="1">
        <w:r w:rsidRPr="00AD7A91">
          <w:rPr>
            <w:rStyle w:val="Hyperlink"/>
            <w:rFonts w:ascii="Arial" w:hAnsi="Arial" w:cs="Arial"/>
            <w:color w:val="auto"/>
            <w:u w:val="none"/>
          </w:rPr>
          <w:t>five joint working principles</w:t>
        </w:r>
      </w:hyperlink>
      <w:r w:rsidRPr="00AD7A91">
        <w:rPr>
          <w:rFonts w:ascii="Arial" w:hAnsi="Arial" w:cs="Arial"/>
        </w:rPr>
        <w:t> and </w:t>
      </w:r>
      <w:hyperlink r:id="rId17" w:history="1">
        <w:r w:rsidRPr="00AD7A91">
          <w:rPr>
            <w:rStyle w:val="Hyperlink"/>
            <w:rFonts w:ascii="Arial" w:hAnsi="Arial" w:cs="Arial"/>
            <w:color w:val="auto"/>
            <w:u w:val="none"/>
          </w:rPr>
          <w:t>models</w:t>
        </w:r>
      </w:hyperlink>
      <w:r w:rsidRPr="00AD7A91">
        <w:rPr>
          <w:rFonts w:ascii="Arial" w:hAnsi="Arial" w:cs="Arial"/>
        </w:rPr>
        <w:t> can be applied to</w:t>
      </w:r>
      <w:r w:rsidRPr="00AD7A91">
        <w:rPr>
          <w:rStyle w:val="Strong"/>
          <w:rFonts w:ascii="Arial" w:hAnsi="Arial" w:cs="Arial"/>
        </w:rPr>
        <w:t> </w:t>
      </w:r>
      <w:r w:rsidRPr="00AD7A91">
        <w:rPr>
          <w:rStyle w:val="Strong"/>
          <w:rFonts w:ascii="Arial" w:hAnsi="Arial" w:cs="Arial"/>
          <w:b w:val="0"/>
        </w:rPr>
        <w:t>any type</w:t>
      </w:r>
      <w:r w:rsidRPr="00AD7A91">
        <w:rPr>
          <w:rStyle w:val="Strong"/>
          <w:rFonts w:ascii="Arial" w:hAnsi="Arial" w:cs="Arial"/>
        </w:rPr>
        <w:t> </w:t>
      </w:r>
      <w:r w:rsidRPr="00AD7A91">
        <w:rPr>
          <w:rFonts w:ascii="Arial" w:hAnsi="Arial" w:cs="Arial"/>
        </w:rPr>
        <w:t xml:space="preserve">of multi-agency incident’ </w:t>
      </w:r>
      <w:r w:rsidRPr="00AD7A91">
        <w:rPr>
          <w:rFonts w:ascii="Arial" w:hAnsi="Arial" w:cs="Arial"/>
          <w:color w:val="000000"/>
          <w:shd w:val="clear" w:color="auto" w:fill="FFFFFF"/>
        </w:rPr>
        <w:t>(JESIP - Working together, Saving Lives, n.d.). JESIP was developed to ensure that there is a shared way of working from emergency services when attending major incidents to ensure better working and more positive outcomes. The five joint working principles can be applied to any major incident and can be applied to many situations where there is a need for services to work together effectively. The principles within JESIP simply ensure there is a joint working strategy when approaching incidents where everyone understand their role and what is going to happen. The Police have core roles within their respective remit which include preservation of life, protection of protect, maintenance of order, prevention of the commission of any criminal offences and securing justice against offenders.</w:t>
      </w:r>
    </w:p>
    <w:p w14:paraId="23F32BE6" w14:textId="77777777" w:rsidR="00AD7A91" w:rsidRPr="00AD7A91" w:rsidRDefault="00AD7A91" w:rsidP="00AD7A91">
      <w:pPr>
        <w:rPr>
          <w:rFonts w:ascii="Arial" w:hAnsi="Arial" w:cs="Arial"/>
          <w:lang w:eastAsia="en-GB"/>
        </w:rPr>
      </w:pPr>
      <w:r w:rsidRPr="00AD7A91">
        <w:rPr>
          <w:rFonts w:ascii="Arial" w:hAnsi="Arial" w:cs="Arial"/>
          <w:lang w:eastAsia="en-GB"/>
        </w:rPr>
        <w:t xml:space="preserve">To conclude, this essay has critically reviewed the key issues relating to the complexity and challenges of operational policing. It has reviewed examples of critical and major incidents, using the Manchester Arena Bombings and finally analysed the role of police within a joint emergency services operation to establish ‘best practice’, explaining JESIP and the role of the police within it. </w:t>
      </w:r>
    </w:p>
    <w:p w14:paraId="42E7DCB0" w14:textId="77777777" w:rsidR="00AD7A91" w:rsidRPr="00AD7A91" w:rsidRDefault="00AD7A91" w:rsidP="00AD7A91">
      <w:pPr>
        <w:rPr>
          <w:rFonts w:ascii="Arial" w:hAnsi="Arial" w:cs="Arial"/>
        </w:rPr>
      </w:pPr>
      <w:r w:rsidRPr="00AD7A91">
        <w:rPr>
          <w:rFonts w:ascii="Arial" w:hAnsi="Arial" w:cs="Arial"/>
        </w:rPr>
        <w:t>Word Count - 997</w:t>
      </w:r>
    </w:p>
    <w:p w14:paraId="3CF43171" w14:textId="6859D584"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9612A5A" w14:textId="125672D1"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97F6DAE" w14:textId="7706C7A5" w:rsidR="00AD7A91" w:rsidRDefault="00AD7A91"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4800942" w14:textId="4F5AF469" w:rsidR="00A15ED7" w:rsidRDefault="00A15ED7"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F5F4B4A" w14:textId="33D052D3"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A0626C4" w14:textId="10686926"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096A3AF" w14:textId="62240DBC"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C2FBD57" w14:textId="6DE6A31E"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40C9E6C" w14:textId="710282D7"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86256BD" w14:textId="05864BA7"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C10E883" w14:textId="1E9DBCCB"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4606A2D" w14:textId="4D7ED13E"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52E132A" w14:textId="6C856951"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52645EE" w14:textId="0F1482E4"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0EE28B7" w14:textId="77777777" w:rsidR="00250B0E" w:rsidRDefault="00250B0E"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128C660" w14:textId="4AA8B04B" w:rsidR="009178EA" w:rsidRDefault="0A1E30FF" w:rsidP="00A15ED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4: </w:t>
      </w:r>
      <w:r w:rsidR="009178EA" w:rsidRPr="0CC06466">
        <w:rPr>
          <w:rFonts w:ascii="Arial" w:eastAsia="Times New Roman" w:hAnsi="Arial" w:cs="Arial"/>
          <w:lang w:eastAsia="en-GB"/>
        </w:rPr>
        <w:t>Analyse the potential links between terrorism and other forms of criminality and discuss how policing the roads assist in counter terrorism investigation</w:t>
      </w:r>
    </w:p>
    <w:p w14:paraId="358377B6" w14:textId="72A19079" w:rsidR="00AD7A91" w:rsidRDefault="00AD7A91"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7FAA767" w14:textId="77777777" w:rsidR="00AD7A91" w:rsidRPr="00A15ED7" w:rsidRDefault="00AD7A91" w:rsidP="00AD7A91">
      <w:pPr>
        <w:rPr>
          <w:rFonts w:ascii="Arial" w:hAnsi="Arial" w:cs="Arial"/>
        </w:rPr>
      </w:pPr>
      <w:r w:rsidRPr="00A15ED7">
        <w:rPr>
          <w:rFonts w:ascii="Arial" w:hAnsi="Arial" w:cs="Arial"/>
        </w:rPr>
        <w:t xml:space="preserve">This essay will analyse the potential links between terrorism and other forms of criminality and discuss how policing the roads assist in counter terrorism investigation. </w:t>
      </w:r>
    </w:p>
    <w:p w14:paraId="35F4CDBF" w14:textId="77777777" w:rsidR="00AD7A91" w:rsidRPr="00A15ED7" w:rsidRDefault="00AD7A91" w:rsidP="00AD7A91">
      <w:pPr>
        <w:rPr>
          <w:rFonts w:ascii="Arial" w:hAnsi="Arial" w:cs="Arial"/>
        </w:rPr>
      </w:pPr>
      <w:r w:rsidRPr="00A15ED7">
        <w:rPr>
          <w:rFonts w:ascii="Arial" w:hAnsi="Arial" w:cs="Arial"/>
        </w:rPr>
        <w:t xml:space="preserve">Firstly, I will consider what is meant by terrorism. The Crown Prosecution Service (CPS) website describes terrorism as being the ‘the use or threat of action, both in and outside of the UK, designed to influence any international government organisation or to intimidate the public.  It must also be for the purpose of advancing a political, religious, racial or ideological cause. Examples include: serious violence against a person or damage to property, endangering a person's life (other than that of the person committing the action), creating a serious risk to the health or safety of the public or a section of the public or action designed to seriously interfere with or seriously to disrupt an electronic system. </w:t>
      </w:r>
      <w:r w:rsidRPr="00A15ED7">
        <w:rPr>
          <w:rFonts w:ascii="Arial" w:hAnsi="Arial" w:cs="Arial"/>
          <w:shd w:val="clear" w:color="auto" w:fill="FFFFFF"/>
        </w:rPr>
        <w:t xml:space="preserve">(Terrorism | The Crown Prosecution Service, nd). </w:t>
      </w:r>
    </w:p>
    <w:p w14:paraId="0B85DC20" w14:textId="77777777" w:rsidR="00AD7A91" w:rsidRPr="00A15ED7" w:rsidRDefault="00AD7A91" w:rsidP="00AD7A91">
      <w:pPr>
        <w:rPr>
          <w:rFonts w:ascii="Arial" w:hAnsi="Arial" w:cs="Arial"/>
        </w:rPr>
      </w:pPr>
      <w:r w:rsidRPr="00A15ED7">
        <w:rPr>
          <w:rFonts w:ascii="Arial" w:hAnsi="Arial" w:cs="Arial"/>
          <w:lang w:eastAsia="en-GB"/>
        </w:rPr>
        <w:t>Next I will analyse the potential links between terrorism and other forms of criminality. An article titled ‘Evolutionary dynamics of organised crime and terrorist networks’ outlines that</w:t>
      </w:r>
      <w:r w:rsidRPr="00A15ED7">
        <w:rPr>
          <w:rFonts w:ascii="Arial" w:hAnsi="Arial" w:cs="Arial"/>
          <w:b/>
          <w:lang w:eastAsia="en-GB"/>
        </w:rPr>
        <w:t xml:space="preserve">  </w:t>
      </w:r>
      <w:r w:rsidRPr="00A15ED7">
        <w:rPr>
          <w:rFonts w:ascii="Arial" w:hAnsi="Arial" w:cs="Arial"/>
        </w:rPr>
        <w:t xml:space="preserve">‘Criminal organisations (COs) and terrorist networks (TNs) represent different outcomes of a similar process, whereby individuals join together into illicit groups to bring forth criminal activities at the expenses of the civil society that they want to exploit or intimidate. Despite being inspired by different objectives and modus operandi, theories have been advanced about organised crime and terrorism laying at the two extremes of a continuum, in which differences get blurred in a mix of illegal and violent activities aimed at gaining both economical power and supremacy over the states. It is not uncommon to see criminal organisations engaged in terror tactics, or terrorist networks perpetrating all sorts of criminal activities’ </w:t>
      </w:r>
      <w:r w:rsidRPr="00A15ED7">
        <w:rPr>
          <w:rFonts w:ascii="Arial" w:hAnsi="Arial" w:cs="Arial"/>
          <w:color w:val="000000"/>
          <w:shd w:val="clear" w:color="auto" w:fill="FFFFFF"/>
        </w:rPr>
        <w:t>(Martinez-Vaquero, Dolci and Trianni, 2019).</w:t>
      </w:r>
      <w:r w:rsidRPr="00A15ED7">
        <w:rPr>
          <w:rFonts w:ascii="Arial" w:hAnsi="Arial" w:cs="Arial"/>
        </w:rPr>
        <w:t xml:space="preserve"> This article highlights that although driven by different motives and reasons, criminality and terrorism overlap somewhat. The article suggests both criminality and terrorist organisations both carry out actions that further their agenda or carry out criminal activities for economical gain. </w:t>
      </w:r>
    </w:p>
    <w:p w14:paraId="295A72E5" w14:textId="77777777" w:rsidR="00AD7A91" w:rsidRPr="00A15ED7" w:rsidRDefault="00AD7A91" w:rsidP="00AD7A91">
      <w:pPr>
        <w:rPr>
          <w:rFonts w:ascii="Arial" w:hAnsi="Arial" w:cs="Arial"/>
          <w:lang w:eastAsia="en-GB"/>
        </w:rPr>
      </w:pPr>
      <w:r w:rsidRPr="00A15ED7">
        <w:rPr>
          <w:rFonts w:ascii="Arial" w:hAnsi="Arial" w:cs="Arial"/>
        </w:rPr>
        <w:t xml:space="preserve">Additionally, the links between terrorism and criminality are further discussed in a UK Government publication from HM Treasury in the titled National risk assessment of money laundering and terrorist financing 2020. The publication highlighted that certain terrorist organisations utilise criminality for a potential source of funding but not entirely, the publication states ‘following the signing of the Belfast Agreement the nature of terrorist financing changed, with paramilitaries and terrorist groups increasingly focusing on forms of organised crime; not all of this activity is specifically intended to raise funds for terrorism. DR groups in Northern Ireland (NI) continue to undertake a range of activities which provide the platform for sustained violence, including using a range of methods to raise money. This includes cigarette smuggling, fuel laundering, extortion and robbery, benefit fraud and both legitimate and semi-legitimate business activity. </w:t>
      </w:r>
      <w:r w:rsidRPr="00A15ED7">
        <w:rPr>
          <w:rFonts w:ascii="Arial" w:hAnsi="Arial" w:cs="Arial"/>
          <w:color w:val="000000"/>
          <w:shd w:val="clear" w:color="auto" w:fill="FFFFFF"/>
        </w:rPr>
        <w:t xml:space="preserve">(National risk assessment of money laundering and terrorist financing 2020, 2020). These reports reiterate that terrorism utilises criminality in order to fund operations however not in its entirety, suggesting that some criminal acts carried out are purely for the agenda of the terrorist organisational aims and not to finance the terrorist organisation itself. </w:t>
      </w:r>
    </w:p>
    <w:p w14:paraId="0DF688AC" w14:textId="77777777" w:rsidR="00AD7A91" w:rsidRPr="00A15ED7" w:rsidRDefault="00AD7A91" w:rsidP="00AD7A91">
      <w:pPr>
        <w:rPr>
          <w:rFonts w:ascii="Arial" w:hAnsi="Arial" w:cs="Arial"/>
          <w:color w:val="000000"/>
          <w:lang w:eastAsia="en-GB"/>
        </w:rPr>
      </w:pPr>
      <w:r w:rsidRPr="00A15ED7">
        <w:rPr>
          <w:rFonts w:ascii="Arial" w:hAnsi="Arial" w:cs="Arial"/>
          <w:color w:val="000000"/>
          <w:lang w:eastAsia="en-GB"/>
        </w:rPr>
        <w:t xml:space="preserve">I will now discuss how policing the roads assist in counter terrorism investigations. The roads and infrastructure within the United Kingdom is a vast transportation system. It is well established and allows travel with the utmost ease between counties and countries through a variety of roads. This can include Motorways and more rural routes. However, the established infrastructure that allows such movement also facilitates crimes which either rely or are aided by the roads in order to carry out their specific criminal activity. These can include minor motoring offences to organised crime, which aforementioned may have potential links to terrorist activity domestically and internationally. Furthermore, in recent years there have been unfortunate incidents considered acts of terror where the roads and vehicles have been used in terrorist attacks. Roads Policing Unit (RPU) are police officers responsible for policing the road. RPU rely heavily on information and intelligence to allow for effective policing of crimes prevalent on the road network. The use of technology whilst policing the roads such as automatic number plate </w:t>
      </w:r>
      <w:r w:rsidRPr="00A15ED7">
        <w:rPr>
          <w:rFonts w:ascii="Arial" w:hAnsi="Arial" w:cs="Arial"/>
          <w:color w:val="000000"/>
          <w:lang w:eastAsia="en-GB"/>
        </w:rPr>
        <w:lastRenderedPageBreak/>
        <w:t xml:space="preserve">recognition (ANPR), Controlled Circuit Television (CCTV)  and vehicle tracking, all of which allow effective ways of identifying vehicles, which would be pertinent when assisting in any counter terrorism investigations. This technology can be used with intelligence such as the Police National Computer which can place action markers (ACT) on vehicles indicating the vehicle is to be stopped and decide what action appropriate at that time. The use of such intelligence and technology can allow both a reactive and planned approach to policing the roads when supporting counter terrorism investigations. </w:t>
      </w:r>
    </w:p>
    <w:p w14:paraId="45E5DAEB" w14:textId="77777777" w:rsidR="00AD7A91" w:rsidRPr="00A15ED7" w:rsidRDefault="00AD7A91" w:rsidP="00AD7A91">
      <w:pPr>
        <w:rPr>
          <w:rFonts w:ascii="Arial" w:hAnsi="Arial" w:cs="Arial"/>
        </w:rPr>
      </w:pPr>
      <w:r w:rsidRPr="00A15ED7">
        <w:rPr>
          <w:rFonts w:ascii="Arial" w:hAnsi="Arial" w:cs="Arial"/>
        </w:rPr>
        <w:t xml:space="preserve">Finally, RPU can assist in counter terrorism investigation by way of stopping vehicles under Section 163 of the Road Traffic Act and subsequently seizing if there is a necessity to do so. RPU and advanced trained drivers can also conduct pursuits of vehicles. Pursuits can be pre-planned such as the interception of vehicles during a planned counter terrorism operation or a spontaneous pursuit as a result of a vehicle involved in terrorist activities routinely stopped as a result of intelligence from PNC and utilisation of technology such as ANPR. Spontaneous pursuits will have an initial phase and then move into a tactical phase after tactics have been ascertained. Vehicles utilised by Police for a pursuit under the initial phase are deemed appropriate if they are marked vehicles fitted with both audio and visual warning equipment or unmarked vehicles fitted with both audio and visual warning equipment driven by advance trained drivers or police motorcycles again fitted with appropriate audio and visual warning equipment. The ability by RPU to purse in both marked and unmarked vehicles would assist in any potentially covert counter terrorism investigations. </w:t>
      </w:r>
    </w:p>
    <w:p w14:paraId="1E0C3833" w14:textId="77777777" w:rsidR="00AD7A91" w:rsidRPr="00A15ED7" w:rsidRDefault="00AD7A91" w:rsidP="00AD7A91">
      <w:pPr>
        <w:rPr>
          <w:rFonts w:ascii="Arial" w:hAnsi="Arial" w:cs="Arial"/>
        </w:rPr>
      </w:pPr>
      <w:r w:rsidRPr="00A15ED7">
        <w:rPr>
          <w:rFonts w:ascii="Arial" w:hAnsi="Arial" w:cs="Arial"/>
        </w:rPr>
        <w:t>In conclusion, this essay has analysed links between terrorism and other criminality and has drawn on evidence in support of this. I feel there is a clear link between the two, however terrorism and criminality go hand in hand not only for financial gain from criminal activities but for the notoriety and forwarding of the terrorist organisations agenda. This essay has then discussed how RPU supports counter terrorism investigations and has discussed methods at the disposal of RPU in doing so.</w:t>
      </w:r>
    </w:p>
    <w:p w14:paraId="55D4B34D" w14:textId="77777777" w:rsidR="00AD7A91" w:rsidRPr="00A15ED7" w:rsidRDefault="00AD7A91" w:rsidP="00AD7A91">
      <w:pPr>
        <w:rPr>
          <w:rFonts w:ascii="Arial" w:hAnsi="Arial" w:cs="Arial"/>
        </w:rPr>
      </w:pPr>
      <w:r w:rsidRPr="00A15ED7">
        <w:rPr>
          <w:rFonts w:ascii="Arial" w:hAnsi="Arial" w:cs="Arial"/>
        </w:rPr>
        <w:t>Word Count - 1048</w:t>
      </w:r>
    </w:p>
    <w:p w14:paraId="5BEF6258" w14:textId="77777777" w:rsidR="00AD7A91" w:rsidRPr="00A6475E" w:rsidRDefault="00AD7A91" w:rsidP="00AD7A91"/>
    <w:p w14:paraId="099CADDA" w14:textId="77777777" w:rsidR="00AD7A91" w:rsidRPr="00A6475E" w:rsidRDefault="00AD7A91" w:rsidP="00AD7A91"/>
    <w:p w14:paraId="5AC63C8A" w14:textId="77777777" w:rsidR="00AD7A91" w:rsidRDefault="00AD7A91" w:rsidP="00AD7A91"/>
    <w:p w14:paraId="020D6AC1" w14:textId="77777777" w:rsidR="00AD7A91" w:rsidRDefault="00AD7A91" w:rsidP="00AD7A91"/>
    <w:p w14:paraId="3B3061E7" w14:textId="77777777" w:rsidR="00AD7A91" w:rsidRPr="009178EA" w:rsidRDefault="00AD7A91"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1414BA93"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9241C05" w:rsidR="00BB18E4" w:rsidRDefault="00BB18E4" w:rsidP="00763CB3">
      <w:pPr>
        <w:spacing w:after="0" w:line="240" w:lineRule="auto"/>
        <w:ind w:left="426"/>
        <w:jc w:val="center"/>
        <w:rPr>
          <w:rFonts w:ascii="Arial" w:eastAsia="Times New Roman" w:hAnsi="Arial" w:cs="Arial"/>
          <w:b/>
          <w:sz w:val="24"/>
          <w:szCs w:val="24"/>
          <w:lang w:eastAsia="en-GB"/>
        </w:rPr>
      </w:pPr>
    </w:p>
    <w:p w14:paraId="6953B625" w14:textId="37A963EA" w:rsidR="00250B0E" w:rsidRDefault="00250B0E" w:rsidP="00763CB3">
      <w:pPr>
        <w:spacing w:after="0" w:line="240" w:lineRule="auto"/>
        <w:ind w:left="426"/>
        <w:jc w:val="center"/>
        <w:rPr>
          <w:rFonts w:ascii="Arial" w:eastAsia="Times New Roman" w:hAnsi="Arial" w:cs="Arial"/>
          <w:b/>
          <w:sz w:val="24"/>
          <w:szCs w:val="24"/>
          <w:lang w:eastAsia="en-GB"/>
        </w:rPr>
      </w:pPr>
    </w:p>
    <w:p w14:paraId="786AD57B" w14:textId="4264CD9B" w:rsidR="00250B0E" w:rsidRDefault="00250B0E" w:rsidP="00763CB3">
      <w:pPr>
        <w:spacing w:after="0" w:line="240" w:lineRule="auto"/>
        <w:ind w:left="426"/>
        <w:jc w:val="center"/>
        <w:rPr>
          <w:rFonts w:ascii="Arial" w:eastAsia="Times New Roman" w:hAnsi="Arial" w:cs="Arial"/>
          <w:b/>
          <w:sz w:val="24"/>
          <w:szCs w:val="24"/>
          <w:lang w:eastAsia="en-GB"/>
        </w:rPr>
      </w:pPr>
    </w:p>
    <w:p w14:paraId="303095FE" w14:textId="26EF941B" w:rsidR="00250B0E" w:rsidRDefault="00250B0E" w:rsidP="00763CB3">
      <w:pPr>
        <w:spacing w:after="0" w:line="240" w:lineRule="auto"/>
        <w:ind w:left="426"/>
        <w:jc w:val="center"/>
        <w:rPr>
          <w:rFonts w:ascii="Arial" w:eastAsia="Times New Roman" w:hAnsi="Arial" w:cs="Arial"/>
          <w:b/>
          <w:sz w:val="24"/>
          <w:szCs w:val="24"/>
          <w:lang w:eastAsia="en-GB"/>
        </w:rPr>
      </w:pPr>
    </w:p>
    <w:p w14:paraId="5011871B" w14:textId="27E6E397" w:rsidR="00250B0E" w:rsidRDefault="00250B0E" w:rsidP="00763CB3">
      <w:pPr>
        <w:spacing w:after="0" w:line="240" w:lineRule="auto"/>
        <w:ind w:left="426"/>
        <w:jc w:val="center"/>
        <w:rPr>
          <w:rFonts w:ascii="Arial" w:eastAsia="Times New Roman" w:hAnsi="Arial" w:cs="Arial"/>
          <w:b/>
          <w:sz w:val="24"/>
          <w:szCs w:val="24"/>
          <w:lang w:eastAsia="en-GB"/>
        </w:rPr>
      </w:pPr>
    </w:p>
    <w:p w14:paraId="5FB5E734" w14:textId="142E7156" w:rsidR="00250B0E" w:rsidRDefault="00250B0E" w:rsidP="00763CB3">
      <w:pPr>
        <w:spacing w:after="0" w:line="240" w:lineRule="auto"/>
        <w:ind w:left="426"/>
        <w:jc w:val="center"/>
        <w:rPr>
          <w:rFonts w:ascii="Arial" w:eastAsia="Times New Roman" w:hAnsi="Arial" w:cs="Arial"/>
          <w:b/>
          <w:sz w:val="24"/>
          <w:szCs w:val="24"/>
          <w:lang w:eastAsia="en-GB"/>
        </w:rPr>
      </w:pPr>
    </w:p>
    <w:p w14:paraId="54BEB912" w14:textId="75F24AC9" w:rsidR="00250B0E" w:rsidRDefault="00250B0E" w:rsidP="00763CB3">
      <w:pPr>
        <w:spacing w:after="0" w:line="240" w:lineRule="auto"/>
        <w:ind w:left="426"/>
        <w:jc w:val="center"/>
        <w:rPr>
          <w:rFonts w:ascii="Arial" w:eastAsia="Times New Roman" w:hAnsi="Arial" w:cs="Arial"/>
          <w:b/>
          <w:sz w:val="24"/>
          <w:szCs w:val="24"/>
          <w:lang w:eastAsia="en-GB"/>
        </w:rPr>
      </w:pPr>
    </w:p>
    <w:p w14:paraId="6B2BF4B5" w14:textId="632183BE" w:rsidR="00250B0E" w:rsidRDefault="00250B0E" w:rsidP="00763CB3">
      <w:pPr>
        <w:spacing w:after="0" w:line="240" w:lineRule="auto"/>
        <w:ind w:left="426"/>
        <w:jc w:val="center"/>
        <w:rPr>
          <w:rFonts w:ascii="Arial" w:eastAsia="Times New Roman" w:hAnsi="Arial" w:cs="Arial"/>
          <w:b/>
          <w:sz w:val="24"/>
          <w:szCs w:val="24"/>
          <w:lang w:eastAsia="en-GB"/>
        </w:rPr>
      </w:pPr>
    </w:p>
    <w:p w14:paraId="17C807E9" w14:textId="06B6E0F5" w:rsidR="00250B0E" w:rsidRDefault="00250B0E" w:rsidP="00763CB3">
      <w:pPr>
        <w:spacing w:after="0" w:line="240" w:lineRule="auto"/>
        <w:ind w:left="426"/>
        <w:jc w:val="center"/>
        <w:rPr>
          <w:rFonts w:ascii="Arial" w:eastAsia="Times New Roman" w:hAnsi="Arial" w:cs="Arial"/>
          <w:b/>
          <w:sz w:val="24"/>
          <w:szCs w:val="24"/>
          <w:lang w:eastAsia="en-GB"/>
        </w:rPr>
      </w:pPr>
    </w:p>
    <w:p w14:paraId="30E0C0E4" w14:textId="6830B739" w:rsidR="00250B0E" w:rsidRDefault="00250B0E" w:rsidP="00763CB3">
      <w:pPr>
        <w:spacing w:after="0" w:line="240" w:lineRule="auto"/>
        <w:ind w:left="426"/>
        <w:jc w:val="center"/>
        <w:rPr>
          <w:rFonts w:ascii="Arial" w:eastAsia="Times New Roman" w:hAnsi="Arial" w:cs="Arial"/>
          <w:b/>
          <w:sz w:val="24"/>
          <w:szCs w:val="24"/>
          <w:lang w:eastAsia="en-GB"/>
        </w:rPr>
      </w:pPr>
    </w:p>
    <w:p w14:paraId="2FF1FDAB" w14:textId="036CF3BE" w:rsidR="00250B0E" w:rsidRDefault="00250B0E" w:rsidP="00763CB3">
      <w:pPr>
        <w:spacing w:after="0" w:line="240" w:lineRule="auto"/>
        <w:ind w:left="426"/>
        <w:jc w:val="center"/>
        <w:rPr>
          <w:rFonts w:ascii="Arial" w:eastAsia="Times New Roman" w:hAnsi="Arial" w:cs="Arial"/>
          <w:b/>
          <w:sz w:val="24"/>
          <w:szCs w:val="24"/>
          <w:lang w:eastAsia="en-GB"/>
        </w:rPr>
      </w:pPr>
    </w:p>
    <w:p w14:paraId="05CF7D52" w14:textId="0CCB9F31" w:rsidR="00250B0E" w:rsidRDefault="00250B0E" w:rsidP="00763CB3">
      <w:pPr>
        <w:spacing w:after="0" w:line="240" w:lineRule="auto"/>
        <w:ind w:left="426"/>
        <w:jc w:val="center"/>
        <w:rPr>
          <w:rFonts w:ascii="Arial" w:eastAsia="Times New Roman" w:hAnsi="Arial" w:cs="Arial"/>
          <w:b/>
          <w:sz w:val="24"/>
          <w:szCs w:val="24"/>
          <w:lang w:eastAsia="en-GB"/>
        </w:rPr>
      </w:pPr>
    </w:p>
    <w:p w14:paraId="7AA6C282" w14:textId="235AC1CE" w:rsidR="00250B0E" w:rsidRDefault="00250B0E" w:rsidP="00763CB3">
      <w:pPr>
        <w:spacing w:after="0" w:line="240" w:lineRule="auto"/>
        <w:ind w:left="426"/>
        <w:jc w:val="center"/>
        <w:rPr>
          <w:rFonts w:ascii="Arial" w:eastAsia="Times New Roman" w:hAnsi="Arial" w:cs="Arial"/>
          <w:b/>
          <w:sz w:val="24"/>
          <w:szCs w:val="24"/>
          <w:lang w:eastAsia="en-GB"/>
        </w:rPr>
      </w:pPr>
    </w:p>
    <w:p w14:paraId="3F602B4B" w14:textId="06EABB23" w:rsidR="00250B0E" w:rsidRDefault="00250B0E" w:rsidP="00250B0E">
      <w:pPr>
        <w:spacing w:after="0" w:line="240" w:lineRule="auto"/>
        <w:ind w:left="426"/>
        <w:rPr>
          <w:rFonts w:ascii="Arial" w:eastAsia="Times New Roman" w:hAnsi="Arial" w:cs="Arial"/>
          <w:b/>
          <w:sz w:val="24"/>
          <w:szCs w:val="24"/>
          <w:u w:val="single"/>
          <w:lang w:eastAsia="en-GB"/>
        </w:rPr>
      </w:pPr>
      <w:r w:rsidRPr="00250B0E">
        <w:rPr>
          <w:rFonts w:ascii="Arial" w:eastAsia="Times New Roman" w:hAnsi="Arial" w:cs="Arial"/>
          <w:b/>
          <w:sz w:val="24"/>
          <w:szCs w:val="24"/>
          <w:u w:val="single"/>
          <w:lang w:eastAsia="en-GB"/>
        </w:rPr>
        <w:lastRenderedPageBreak/>
        <w:t>Bibliography:</w:t>
      </w:r>
    </w:p>
    <w:p w14:paraId="7619D1AD" w14:textId="5F2B5850" w:rsidR="00250B0E" w:rsidRDefault="00250B0E" w:rsidP="00250B0E">
      <w:pPr>
        <w:spacing w:after="0" w:line="240" w:lineRule="auto"/>
        <w:ind w:left="426"/>
        <w:rPr>
          <w:rFonts w:ascii="Arial" w:eastAsia="Times New Roman" w:hAnsi="Arial" w:cs="Arial"/>
          <w:b/>
          <w:sz w:val="24"/>
          <w:szCs w:val="24"/>
          <w:u w:val="single"/>
          <w:lang w:eastAsia="en-GB"/>
        </w:rPr>
      </w:pPr>
    </w:p>
    <w:p w14:paraId="1CE7CD1B" w14:textId="2422DD2F"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News.bbc.co.uk. 2004. </w:t>
      </w:r>
      <w:r>
        <w:rPr>
          <w:rFonts w:ascii="Arial" w:hAnsi="Arial" w:cs="Arial"/>
          <w:i/>
          <w:iCs/>
          <w:color w:val="000000"/>
          <w:sz w:val="20"/>
          <w:szCs w:val="20"/>
          <w:shd w:val="clear" w:color="auto" w:fill="FFFFFF"/>
        </w:rPr>
        <w:t>BBC NEWS | Programmes | BBC Parliament | Q&amp;A: The Scarman Report</w:t>
      </w:r>
      <w:r>
        <w:rPr>
          <w:rFonts w:ascii="Arial" w:hAnsi="Arial" w:cs="Arial"/>
          <w:color w:val="000000"/>
          <w:sz w:val="20"/>
          <w:szCs w:val="20"/>
          <w:shd w:val="clear" w:color="auto" w:fill="FFFFFF"/>
        </w:rPr>
        <w:t>. [online] Available at: &lt;http://news.bbc.co.uk/1/hi/programmes/bbc_parliament/3631579.stm&gt; [Accessed 9 July 2021].</w:t>
      </w:r>
    </w:p>
    <w:p w14:paraId="688C22AC" w14:textId="77777777" w:rsidR="00250B0E" w:rsidRDefault="00250B0E" w:rsidP="00250B0E">
      <w:pPr>
        <w:spacing w:after="0" w:line="240" w:lineRule="auto"/>
        <w:ind w:left="426"/>
        <w:rPr>
          <w:rFonts w:ascii="Arial" w:hAnsi="Arial" w:cs="Arial"/>
          <w:color w:val="000000"/>
          <w:sz w:val="20"/>
          <w:szCs w:val="20"/>
          <w:shd w:val="clear" w:color="auto" w:fill="FFFFFF"/>
        </w:rPr>
      </w:pPr>
    </w:p>
    <w:p w14:paraId="7D80A3CF" w14:textId="72A30C3E"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Braga, A., Welsh, B. and Schnell, C., 2015. Can Policing Disorder Reduce Crime? A Systematic Review and Meta-analysis. </w:t>
      </w:r>
      <w:r>
        <w:rPr>
          <w:rFonts w:ascii="Arial" w:hAnsi="Arial" w:cs="Arial"/>
          <w:i/>
          <w:iCs/>
          <w:color w:val="000000"/>
          <w:sz w:val="20"/>
          <w:szCs w:val="20"/>
          <w:shd w:val="clear" w:color="auto" w:fill="FFFFFF"/>
        </w:rPr>
        <w:t>Journal of Research in Crime and Delinquency</w:t>
      </w:r>
      <w:r>
        <w:rPr>
          <w:rFonts w:ascii="Arial" w:hAnsi="Arial" w:cs="Arial"/>
          <w:color w:val="000000"/>
          <w:sz w:val="20"/>
          <w:szCs w:val="20"/>
          <w:shd w:val="clear" w:color="auto" w:fill="FFFFFF"/>
        </w:rPr>
        <w:t>, 52(4), pp.567-588.</w:t>
      </w:r>
    </w:p>
    <w:p w14:paraId="7419A9F2" w14:textId="084D7AC9" w:rsidR="00250B0E" w:rsidRDefault="00250B0E" w:rsidP="00250B0E">
      <w:pPr>
        <w:spacing w:after="0" w:line="240" w:lineRule="auto"/>
        <w:ind w:left="426"/>
        <w:rPr>
          <w:rFonts w:ascii="Arial" w:hAnsi="Arial" w:cs="Arial"/>
          <w:color w:val="000000"/>
          <w:sz w:val="20"/>
          <w:szCs w:val="20"/>
          <w:shd w:val="clear" w:color="auto" w:fill="FFFFFF"/>
        </w:rPr>
      </w:pPr>
    </w:p>
    <w:p w14:paraId="1F6C3296" w14:textId="439D5210"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n.d. </w:t>
      </w:r>
      <w:r>
        <w:rPr>
          <w:rFonts w:ascii="Arial" w:hAnsi="Arial" w:cs="Arial"/>
          <w:i/>
          <w:iCs/>
          <w:color w:val="000000"/>
          <w:sz w:val="20"/>
          <w:szCs w:val="20"/>
          <w:shd w:val="clear" w:color="auto" w:fill="FFFFFF"/>
        </w:rPr>
        <w:t>College of policing</w:t>
      </w:r>
      <w:r>
        <w:rPr>
          <w:rFonts w:ascii="Arial" w:hAnsi="Arial" w:cs="Arial"/>
          <w:color w:val="000000"/>
          <w:sz w:val="20"/>
          <w:szCs w:val="20"/>
          <w:shd w:val="clear" w:color="auto" w:fill="FFFFFF"/>
        </w:rPr>
        <w:t>. [online] Available at: &lt;https://www.app.college.police.uk/app-content/civil-emergencies/civil-contingencies/&gt; [Accessed 12 July 2021].</w:t>
      </w:r>
    </w:p>
    <w:p w14:paraId="05620456" w14:textId="78FC7FBB" w:rsidR="00322E2A" w:rsidRDefault="00322E2A" w:rsidP="00250B0E">
      <w:pPr>
        <w:spacing w:after="0" w:line="240" w:lineRule="auto"/>
        <w:ind w:left="426"/>
        <w:rPr>
          <w:rFonts w:ascii="Arial" w:hAnsi="Arial" w:cs="Arial"/>
          <w:color w:val="000000"/>
          <w:sz w:val="20"/>
          <w:szCs w:val="20"/>
          <w:shd w:val="clear" w:color="auto" w:fill="FFFFFF"/>
        </w:rPr>
      </w:pPr>
    </w:p>
    <w:p w14:paraId="2B74DF14" w14:textId="77777777" w:rsidR="00322E2A" w:rsidRDefault="00322E2A" w:rsidP="00322E2A">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n.d. </w:t>
      </w:r>
      <w:r>
        <w:rPr>
          <w:rFonts w:ascii="Arial" w:hAnsi="Arial" w:cs="Arial"/>
          <w:i/>
          <w:iCs/>
          <w:color w:val="000000"/>
          <w:sz w:val="20"/>
          <w:szCs w:val="20"/>
          <w:shd w:val="clear" w:color="auto" w:fill="FFFFFF"/>
        </w:rPr>
        <w:t>College of policing</w:t>
      </w:r>
      <w:r>
        <w:rPr>
          <w:rFonts w:ascii="Arial" w:hAnsi="Arial" w:cs="Arial"/>
          <w:color w:val="000000"/>
          <w:sz w:val="20"/>
          <w:szCs w:val="20"/>
          <w:shd w:val="clear" w:color="auto" w:fill="FFFFFF"/>
        </w:rPr>
        <w:t>. [online] Available at: &lt;https://www.app.college.police.uk/app-content/civil-emergencies/civil-contingencies/&gt; [Accessed 12 July 2021].</w:t>
      </w:r>
    </w:p>
    <w:p w14:paraId="09BD277E" w14:textId="77777777" w:rsidR="00322E2A" w:rsidRDefault="00322E2A" w:rsidP="00250B0E">
      <w:pPr>
        <w:spacing w:after="0" w:line="240" w:lineRule="auto"/>
        <w:ind w:left="426"/>
        <w:rPr>
          <w:rFonts w:ascii="Arial" w:hAnsi="Arial" w:cs="Arial"/>
          <w:color w:val="000000"/>
          <w:sz w:val="20"/>
          <w:szCs w:val="20"/>
          <w:shd w:val="clear" w:color="auto" w:fill="FFFFFF"/>
        </w:rPr>
      </w:pPr>
      <w:bookmarkStart w:id="0" w:name="_GoBack"/>
      <w:bookmarkEnd w:id="0"/>
    </w:p>
    <w:p w14:paraId="2264CA02" w14:textId="228CB8EB" w:rsidR="00250B0E" w:rsidRDefault="00250B0E" w:rsidP="00250B0E">
      <w:pPr>
        <w:spacing w:after="0" w:line="240" w:lineRule="auto"/>
        <w:ind w:left="426"/>
        <w:rPr>
          <w:rFonts w:ascii="Arial" w:hAnsi="Arial" w:cs="Arial"/>
          <w:color w:val="000000"/>
          <w:sz w:val="20"/>
          <w:szCs w:val="20"/>
          <w:shd w:val="clear" w:color="auto" w:fill="FFFFFF"/>
        </w:rPr>
      </w:pPr>
    </w:p>
    <w:p w14:paraId="0B9EDB34" w14:textId="4904A218"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College of Policing</w:t>
      </w:r>
      <w:r>
        <w:rPr>
          <w:rFonts w:ascii="Arial" w:hAnsi="Arial" w:cs="Arial"/>
          <w:color w:val="000000"/>
          <w:sz w:val="20"/>
          <w:szCs w:val="20"/>
          <w:shd w:val="clear" w:color="auto" w:fill="FFFFFF"/>
        </w:rPr>
        <w:t>. [online] Available at: &lt;https://www.app.college.police.uk/app-content/engagement-and-communication/engaging-with-communities/#police-effectiveness&gt; [Accessed 9 July 2021].</w:t>
      </w:r>
    </w:p>
    <w:p w14:paraId="51CB59E5" w14:textId="7471C64E" w:rsidR="00250B0E" w:rsidRDefault="00250B0E" w:rsidP="00250B0E">
      <w:pPr>
        <w:spacing w:after="0" w:line="240" w:lineRule="auto"/>
        <w:ind w:left="426"/>
        <w:rPr>
          <w:rFonts w:ascii="Arial" w:hAnsi="Arial" w:cs="Arial"/>
          <w:color w:val="000000"/>
          <w:sz w:val="20"/>
          <w:szCs w:val="20"/>
          <w:shd w:val="clear" w:color="auto" w:fill="FFFFFF"/>
        </w:rPr>
      </w:pPr>
    </w:p>
    <w:p w14:paraId="4BD18570" w14:textId="55B4A2E0"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College of Policing</w:t>
      </w:r>
      <w:r>
        <w:rPr>
          <w:rFonts w:ascii="Arial" w:hAnsi="Arial" w:cs="Arial"/>
          <w:color w:val="000000"/>
          <w:sz w:val="20"/>
          <w:szCs w:val="20"/>
          <w:shd w:val="clear" w:color="auto" w:fill="FFFFFF"/>
        </w:rPr>
        <w:t>. [online] Available at: &lt;https://www.app.college.police.uk/app-content/engagement-and-communication/engaging-with-communities/#how-to-engage-with-communities&gt; [Accessed 10 July 2021].</w:t>
      </w:r>
    </w:p>
    <w:p w14:paraId="0DD95A1F" w14:textId="0024FADD" w:rsidR="00250B0E" w:rsidRDefault="00250B0E" w:rsidP="00250B0E">
      <w:pPr>
        <w:spacing w:after="0" w:line="240" w:lineRule="auto"/>
        <w:ind w:left="426"/>
        <w:rPr>
          <w:rFonts w:ascii="Arial" w:hAnsi="Arial" w:cs="Arial"/>
          <w:color w:val="000000"/>
          <w:sz w:val="20"/>
          <w:szCs w:val="20"/>
          <w:shd w:val="clear" w:color="auto" w:fill="FFFFFF"/>
        </w:rPr>
      </w:pPr>
    </w:p>
    <w:p w14:paraId="25B89946" w14:textId="68803F04"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College of Policing, 2021. </w:t>
      </w:r>
      <w:r>
        <w:rPr>
          <w:rFonts w:ascii="Arial" w:hAnsi="Arial" w:cs="Arial"/>
          <w:i/>
          <w:iCs/>
          <w:color w:val="000000"/>
          <w:sz w:val="20"/>
          <w:szCs w:val="20"/>
          <w:shd w:val="clear" w:color="auto" w:fill="FFFFFF"/>
        </w:rPr>
        <w:t>Intelligence Officer</w:t>
      </w:r>
      <w:r>
        <w:rPr>
          <w:rFonts w:ascii="Arial" w:hAnsi="Arial" w:cs="Arial"/>
          <w:color w:val="000000"/>
          <w:sz w:val="20"/>
          <w:szCs w:val="20"/>
          <w:shd w:val="clear" w:color="auto" w:fill="FFFFFF"/>
        </w:rPr>
        <w:t>. [online] College of Policing. Available at: &lt;https://profdev.college.police.uk/professional-profile/test-3/&gt; [Accessed 12 July 2021].</w:t>
      </w:r>
    </w:p>
    <w:p w14:paraId="1AFE7A56" w14:textId="6CE2951A" w:rsidR="00250B0E" w:rsidRDefault="00250B0E" w:rsidP="00250B0E">
      <w:pPr>
        <w:spacing w:after="0" w:line="240" w:lineRule="auto"/>
        <w:ind w:left="426"/>
        <w:rPr>
          <w:rFonts w:ascii="Arial" w:hAnsi="Arial" w:cs="Arial"/>
          <w:color w:val="000000"/>
          <w:sz w:val="20"/>
          <w:szCs w:val="20"/>
          <w:shd w:val="clear" w:color="auto" w:fill="FFFFFF"/>
        </w:rPr>
      </w:pPr>
    </w:p>
    <w:p w14:paraId="4B7EE8AD" w14:textId="089AFDD3"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HOLTFRETER, K., REISIG, M. and PRATT, T., 2008. LOW SELF-CONTROL, ROUTINE ACTIVITIES, AND FRAUD VICTIMIZATION. </w:t>
      </w:r>
      <w:r>
        <w:rPr>
          <w:rFonts w:ascii="Arial" w:hAnsi="Arial" w:cs="Arial"/>
          <w:i/>
          <w:iCs/>
          <w:color w:val="000000"/>
          <w:sz w:val="20"/>
          <w:szCs w:val="20"/>
          <w:shd w:val="clear" w:color="auto" w:fill="FFFFFF"/>
        </w:rPr>
        <w:t>Criminology</w:t>
      </w:r>
      <w:r>
        <w:rPr>
          <w:rFonts w:ascii="Arial" w:hAnsi="Arial" w:cs="Arial"/>
          <w:color w:val="000000"/>
          <w:sz w:val="20"/>
          <w:szCs w:val="20"/>
          <w:shd w:val="clear" w:color="auto" w:fill="FFFFFF"/>
        </w:rPr>
        <w:t>, 46(1), pp.189-220.</w:t>
      </w:r>
    </w:p>
    <w:p w14:paraId="3D083D60" w14:textId="5BD5211F" w:rsidR="00250B0E" w:rsidRDefault="00250B0E" w:rsidP="00250B0E">
      <w:pPr>
        <w:spacing w:after="0" w:line="240" w:lineRule="auto"/>
        <w:ind w:left="426"/>
        <w:rPr>
          <w:rFonts w:ascii="Arial" w:hAnsi="Arial" w:cs="Arial"/>
          <w:color w:val="000000"/>
          <w:sz w:val="20"/>
          <w:szCs w:val="20"/>
          <w:shd w:val="clear" w:color="auto" w:fill="FFFFFF"/>
        </w:rPr>
      </w:pPr>
    </w:p>
    <w:p w14:paraId="1A648339" w14:textId="5CDD288E"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Jesip.org.uk. n.d. </w:t>
      </w:r>
      <w:r>
        <w:rPr>
          <w:rFonts w:ascii="Arial" w:hAnsi="Arial" w:cs="Arial"/>
          <w:i/>
          <w:iCs/>
          <w:color w:val="000000"/>
          <w:sz w:val="20"/>
          <w:szCs w:val="20"/>
          <w:shd w:val="clear" w:color="auto" w:fill="FFFFFF"/>
        </w:rPr>
        <w:t>JESIP - Working together, Saving Lives</w:t>
      </w:r>
      <w:r>
        <w:rPr>
          <w:rFonts w:ascii="Arial" w:hAnsi="Arial" w:cs="Arial"/>
          <w:color w:val="000000"/>
          <w:sz w:val="20"/>
          <w:szCs w:val="20"/>
          <w:shd w:val="clear" w:color="auto" w:fill="FFFFFF"/>
        </w:rPr>
        <w:t>. [online] Available at: &lt;https://jesip.org.uk/jesip-the-programme&gt; [Accessed 12 July 2021].</w:t>
      </w:r>
    </w:p>
    <w:p w14:paraId="2B69AE39" w14:textId="1A92BC0C" w:rsidR="00250B0E" w:rsidRDefault="00250B0E" w:rsidP="00250B0E">
      <w:pPr>
        <w:spacing w:after="0" w:line="240" w:lineRule="auto"/>
        <w:ind w:left="426"/>
        <w:rPr>
          <w:rFonts w:ascii="Arial" w:hAnsi="Arial" w:cs="Arial"/>
          <w:color w:val="000000"/>
          <w:sz w:val="20"/>
          <w:szCs w:val="20"/>
          <w:shd w:val="clear" w:color="auto" w:fill="FFFFFF"/>
        </w:rPr>
      </w:pPr>
    </w:p>
    <w:p w14:paraId="0A44C685" w14:textId="1B5D095B"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Karmen, A., 2018. </w:t>
      </w:r>
      <w:r>
        <w:rPr>
          <w:rFonts w:ascii="Arial" w:hAnsi="Arial" w:cs="Arial"/>
          <w:i/>
          <w:iCs/>
          <w:color w:val="000000"/>
          <w:sz w:val="20"/>
          <w:szCs w:val="20"/>
          <w:shd w:val="clear" w:color="auto" w:fill="FFFFFF"/>
        </w:rPr>
        <w:t>Victimology</w:t>
      </w:r>
      <w:r>
        <w:rPr>
          <w:rFonts w:ascii="Arial" w:hAnsi="Arial" w:cs="Arial"/>
          <w:color w:val="000000"/>
          <w:sz w:val="20"/>
          <w:szCs w:val="20"/>
          <w:shd w:val="clear" w:color="auto" w:fill="FFFFFF"/>
        </w:rPr>
        <w:t>. [online] Encyclopedia Britannica. Available at: &lt;https://www.britannica.com/topic/victimolog&gt; [Accessed 12 July 2021].</w:t>
      </w:r>
    </w:p>
    <w:p w14:paraId="5B3C9610" w14:textId="52E41D56" w:rsidR="00250B0E" w:rsidRDefault="00250B0E" w:rsidP="00250B0E">
      <w:pPr>
        <w:spacing w:after="0" w:line="240" w:lineRule="auto"/>
        <w:ind w:left="426"/>
        <w:rPr>
          <w:rFonts w:ascii="Arial" w:hAnsi="Arial" w:cs="Arial"/>
          <w:color w:val="000000"/>
          <w:sz w:val="20"/>
          <w:szCs w:val="20"/>
          <w:shd w:val="clear" w:color="auto" w:fill="FFFFFF"/>
        </w:rPr>
      </w:pPr>
    </w:p>
    <w:p w14:paraId="14463CCB" w14:textId="4BC770DF"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Kerslake, B., 2018. </w:t>
      </w:r>
      <w:r>
        <w:rPr>
          <w:rFonts w:ascii="Arial" w:hAnsi="Arial" w:cs="Arial"/>
          <w:i/>
          <w:iCs/>
          <w:color w:val="000000"/>
          <w:sz w:val="20"/>
          <w:szCs w:val="20"/>
          <w:shd w:val="clear" w:color="auto" w:fill="FFFFFF"/>
        </w:rPr>
        <w:t>Kerslake Report</w:t>
      </w:r>
      <w:r>
        <w:rPr>
          <w:rFonts w:ascii="Arial" w:hAnsi="Arial" w:cs="Arial"/>
          <w:color w:val="000000"/>
          <w:sz w:val="20"/>
          <w:szCs w:val="20"/>
          <w:shd w:val="clear" w:color="auto" w:fill="FFFFFF"/>
        </w:rPr>
        <w:t>. [online] Kerslakearenareview.co.uk. Available at: &lt;https://www.kerslakearenareview.co.uk/media/1022/kerslake_arena_review_printed_final.pdf&gt; [Accessed 12 July 2021].</w:t>
      </w:r>
    </w:p>
    <w:p w14:paraId="3D41EA10" w14:textId="44F9F2E0" w:rsidR="00250B0E" w:rsidRDefault="00250B0E" w:rsidP="00250B0E">
      <w:pPr>
        <w:spacing w:after="0" w:line="240" w:lineRule="auto"/>
        <w:ind w:left="426"/>
        <w:rPr>
          <w:rFonts w:ascii="Arial" w:hAnsi="Arial" w:cs="Arial"/>
          <w:color w:val="000000"/>
          <w:sz w:val="20"/>
          <w:szCs w:val="20"/>
          <w:shd w:val="clear" w:color="auto" w:fill="FFFFFF"/>
        </w:rPr>
      </w:pPr>
    </w:p>
    <w:p w14:paraId="43E763E6" w14:textId="366E83BC" w:rsidR="00250B0E" w:rsidRDefault="00250B0E" w:rsidP="00250B0E">
      <w:pPr>
        <w:spacing w:after="0" w:line="240" w:lineRule="auto"/>
        <w:rPr>
          <w:rFonts w:ascii="Arial" w:hAnsi="Arial" w:cs="Arial"/>
          <w:color w:val="000000"/>
          <w:sz w:val="20"/>
          <w:szCs w:val="20"/>
          <w:shd w:val="clear" w:color="auto" w:fill="FFFFFF"/>
        </w:rPr>
      </w:pPr>
    </w:p>
    <w:p w14:paraId="48C0A0CF" w14:textId="77BFD94A"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Martinez-Vaquero, L., Dolci, V. and Trianni, V., 2019. Evolutionary dynamics of organised crime and terrorist networks. </w:t>
      </w:r>
      <w:r>
        <w:rPr>
          <w:rFonts w:ascii="Arial" w:hAnsi="Arial" w:cs="Arial"/>
          <w:i/>
          <w:iCs/>
          <w:color w:val="000000"/>
          <w:sz w:val="20"/>
          <w:szCs w:val="20"/>
          <w:shd w:val="clear" w:color="auto" w:fill="FFFFFF"/>
        </w:rPr>
        <w:t>Scientific Reports</w:t>
      </w:r>
      <w:r>
        <w:rPr>
          <w:rFonts w:ascii="Arial" w:hAnsi="Arial" w:cs="Arial"/>
          <w:color w:val="000000"/>
          <w:sz w:val="20"/>
          <w:szCs w:val="20"/>
          <w:shd w:val="clear" w:color="auto" w:fill="FFFFFF"/>
        </w:rPr>
        <w:t>, 9(1).</w:t>
      </w:r>
    </w:p>
    <w:p w14:paraId="15FFE306" w14:textId="3EA42F9D" w:rsidR="00250B0E" w:rsidRDefault="00250B0E" w:rsidP="00250B0E">
      <w:pPr>
        <w:spacing w:after="0" w:line="240" w:lineRule="auto"/>
        <w:ind w:left="426"/>
        <w:rPr>
          <w:rFonts w:ascii="Arial" w:hAnsi="Arial" w:cs="Arial"/>
          <w:color w:val="000000"/>
          <w:sz w:val="20"/>
          <w:szCs w:val="20"/>
          <w:shd w:val="clear" w:color="auto" w:fill="FFFFFF"/>
        </w:rPr>
      </w:pPr>
    </w:p>
    <w:p w14:paraId="3BC36364" w14:textId="3C0A5FF6"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2020. </w:t>
      </w:r>
      <w:r>
        <w:rPr>
          <w:rFonts w:ascii="Arial" w:hAnsi="Arial" w:cs="Arial"/>
          <w:i/>
          <w:iCs/>
          <w:color w:val="000000"/>
          <w:sz w:val="20"/>
          <w:szCs w:val="20"/>
          <w:shd w:val="clear" w:color="auto" w:fill="FFFFFF"/>
        </w:rPr>
        <w:t>National risk assessment of money laundering and terrorist financing 2020</w:t>
      </w:r>
      <w:r>
        <w:rPr>
          <w:rFonts w:ascii="Arial" w:hAnsi="Arial" w:cs="Arial"/>
          <w:color w:val="000000"/>
          <w:sz w:val="20"/>
          <w:szCs w:val="20"/>
          <w:shd w:val="clear" w:color="auto" w:fill="FFFFFF"/>
        </w:rPr>
        <w:t>. [online] Available at: &lt;https://assets.publishing.service.gov.uk/government/uploads/system/uploads/attachment_data/file/945411/NRA_2020_v1.2_FOR_PUBLICATION.pdf&gt; [Accessed 9 July 2021].</w:t>
      </w:r>
    </w:p>
    <w:p w14:paraId="7510261F" w14:textId="7AAC42BB" w:rsidR="00250B0E" w:rsidRDefault="00250B0E" w:rsidP="00250B0E">
      <w:pPr>
        <w:spacing w:after="0" w:line="240" w:lineRule="auto"/>
        <w:ind w:left="426"/>
        <w:rPr>
          <w:rFonts w:ascii="Arial" w:hAnsi="Arial" w:cs="Arial"/>
          <w:color w:val="000000"/>
          <w:sz w:val="20"/>
          <w:szCs w:val="20"/>
          <w:shd w:val="clear" w:color="auto" w:fill="FFFFFF"/>
        </w:rPr>
      </w:pPr>
    </w:p>
    <w:p w14:paraId="3D88EB4E" w14:textId="21CCC95E" w:rsidR="00250B0E" w:rsidRDefault="00250B0E" w:rsidP="00250B0E">
      <w:pPr>
        <w:spacing w:after="0" w:line="240" w:lineRule="auto"/>
        <w:ind w:left="426"/>
        <w:rPr>
          <w:rFonts w:ascii="Arial" w:hAnsi="Arial" w:cs="Arial"/>
          <w:color w:val="000000"/>
          <w:sz w:val="20"/>
          <w:szCs w:val="20"/>
          <w:shd w:val="clear" w:color="auto" w:fill="FFFFFF"/>
        </w:rPr>
      </w:pPr>
      <w:r>
        <w:rPr>
          <w:rFonts w:ascii="Arial" w:hAnsi="Arial" w:cs="Arial"/>
          <w:color w:val="000000"/>
          <w:sz w:val="20"/>
          <w:szCs w:val="20"/>
          <w:shd w:val="clear" w:color="auto" w:fill="FFFFFF"/>
        </w:rPr>
        <w:t>NPCC, 2016. </w:t>
      </w:r>
      <w:r>
        <w:rPr>
          <w:rFonts w:ascii="Arial" w:hAnsi="Arial" w:cs="Arial"/>
          <w:i/>
          <w:iCs/>
          <w:color w:val="000000"/>
          <w:sz w:val="20"/>
          <w:szCs w:val="20"/>
          <w:shd w:val="clear" w:color="auto" w:fill="FFFFFF"/>
        </w:rPr>
        <w:t>Policing Vision 2025</w:t>
      </w:r>
      <w:r>
        <w:rPr>
          <w:rFonts w:ascii="Arial" w:hAnsi="Arial" w:cs="Arial"/>
          <w:color w:val="000000"/>
          <w:sz w:val="20"/>
          <w:szCs w:val="20"/>
          <w:shd w:val="clear" w:color="auto" w:fill="FFFFFF"/>
        </w:rPr>
        <w:t>. [online] Npcc.police.uk. Available at: &lt;https://www.npcc.police.uk/documents/Policing%20Vision.pdf&gt; [Accessed 12 July 2021].</w:t>
      </w:r>
    </w:p>
    <w:p w14:paraId="4855D9CA" w14:textId="75B2C033" w:rsidR="00250B0E" w:rsidRDefault="00250B0E" w:rsidP="00250B0E">
      <w:pPr>
        <w:spacing w:after="0" w:line="240" w:lineRule="auto"/>
        <w:ind w:left="426"/>
        <w:rPr>
          <w:rFonts w:ascii="Arial" w:hAnsi="Arial" w:cs="Arial"/>
          <w:color w:val="000000"/>
          <w:sz w:val="20"/>
          <w:szCs w:val="20"/>
          <w:shd w:val="clear" w:color="auto" w:fill="FFFFFF"/>
        </w:rPr>
      </w:pPr>
    </w:p>
    <w:p w14:paraId="6584513F" w14:textId="6B7E1A71" w:rsidR="00250B0E" w:rsidRPr="00250B0E" w:rsidRDefault="00250B0E" w:rsidP="00250B0E">
      <w:pPr>
        <w:spacing w:after="0" w:line="240" w:lineRule="auto"/>
        <w:ind w:left="426"/>
        <w:rPr>
          <w:rFonts w:ascii="Arial" w:eastAsia="Times New Roman" w:hAnsi="Arial" w:cs="Arial"/>
          <w:b/>
          <w:sz w:val="24"/>
          <w:szCs w:val="24"/>
          <w:u w:val="single"/>
          <w:lang w:eastAsia="en-GB"/>
        </w:rPr>
      </w:pPr>
      <w:r>
        <w:rPr>
          <w:rFonts w:ascii="Arial" w:hAnsi="Arial" w:cs="Arial"/>
          <w:color w:val="000000"/>
          <w:sz w:val="20"/>
          <w:szCs w:val="20"/>
          <w:shd w:val="clear" w:color="auto" w:fill="FFFFFF"/>
        </w:rPr>
        <w:t>NPCC, 2016. </w:t>
      </w:r>
      <w:r>
        <w:rPr>
          <w:rFonts w:ascii="Arial" w:hAnsi="Arial" w:cs="Arial"/>
          <w:i/>
          <w:iCs/>
          <w:color w:val="000000"/>
          <w:sz w:val="20"/>
          <w:szCs w:val="20"/>
          <w:shd w:val="clear" w:color="auto" w:fill="FFFFFF"/>
        </w:rPr>
        <w:t>Policing Vision 2025</w:t>
      </w:r>
      <w:r>
        <w:rPr>
          <w:rFonts w:ascii="Arial" w:hAnsi="Arial" w:cs="Arial"/>
          <w:color w:val="000000"/>
          <w:sz w:val="20"/>
          <w:szCs w:val="20"/>
          <w:shd w:val="clear" w:color="auto" w:fill="FFFFFF"/>
        </w:rPr>
        <w:t>. [online] Npcc.police.uk. Available at: &lt;https://www.npcc.police.uk/documents/Policing%20Vision.pdf&gt; [Accessed 12 July 2021].</w:t>
      </w:r>
    </w:p>
    <w:p w14:paraId="7635CB6E" w14:textId="607C5506" w:rsidR="00BB18E4" w:rsidRDefault="00BB18E4" w:rsidP="00250B0E">
      <w:pPr>
        <w:spacing w:after="0" w:line="240" w:lineRule="auto"/>
        <w:ind w:left="426"/>
        <w:rPr>
          <w:rFonts w:ascii="Arial" w:eastAsia="Times New Roman" w:hAnsi="Arial" w:cs="Arial"/>
          <w:b/>
          <w:sz w:val="24"/>
          <w:szCs w:val="24"/>
          <w:lang w:eastAsia="en-GB"/>
        </w:rPr>
      </w:pPr>
    </w:p>
    <w:p w14:paraId="1CD6A25F" w14:textId="60F47A67" w:rsidR="00250B0E" w:rsidRDefault="00250B0E" w:rsidP="00250B0E">
      <w:pPr>
        <w:spacing w:after="0" w:line="240" w:lineRule="auto"/>
        <w:ind w:left="426"/>
        <w:rPr>
          <w:rFonts w:ascii="Arial" w:eastAsia="Times New Roman" w:hAnsi="Arial" w:cs="Arial"/>
          <w:b/>
          <w:sz w:val="24"/>
          <w:szCs w:val="24"/>
          <w:lang w:eastAsia="en-GB"/>
        </w:rPr>
      </w:pPr>
      <w:r>
        <w:rPr>
          <w:rFonts w:ascii="Arial" w:hAnsi="Arial" w:cs="Arial"/>
          <w:color w:val="000000"/>
          <w:sz w:val="20"/>
          <w:szCs w:val="20"/>
          <w:shd w:val="clear" w:color="auto" w:fill="FFFFFF"/>
        </w:rPr>
        <w:t>Cps.gov.uk. 2021. </w:t>
      </w:r>
      <w:r>
        <w:rPr>
          <w:rFonts w:ascii="Arial" w:hAnsi="Arial" w:cs="Arial"/>
          <w:i/>
          <w:iCs/>
          <w:color w:val="000000"/>
          <w:sz w:val="20"/>
          <w:szCs w:val="20"/>
          <w:shd w:val="clear" w:color="auto" w:fill="FFFFFF"/>
        </w:rPr>
        <w:t>Terrorism | The Crown Prosecution Service</w:t>
      </w:r>
      <w:r>
        <w:rPr>
          <w:rFonts w:ascii="Arial" w:hAnsi="Arial" w:cs="Arial"/>
          <w:color w:val="000000"/>
          <w:sz w:val="20"/>
          <w:szCs w:val="20"/>
          <w:shd w:val="clear" w:color="auto" w:fill="FFFFFF"/>
        </w:rPr>
        <w:t>. [online] Available at: &lt;https://www.cps.gov.uk/crime-info/terrorism&gt; [Accessed 9 July 2021].</w:t>
      </w:r>
    </w:p>
    <w:p w14:paraId="279E5990" w14:textId="77777777" w:rsidR="00250B0E" w:rsidRDefault="00250B0E" w:rsidP="00763CB3">
      <w:pPr>
        <w:spacing w:after="0" w:line="240" w:lineRule="auto"/>
        <w:ind w:left="426"/>
        <w:jc w:val="center"/>
        <w:rPr>
          <w:rFonts w:ascii="Arial" w:eastAsia="Times New Roman" w:hAnsi="Arial" w:cs="Arial"/>
          <w:b/>
          <w:sz w:val="24"/>
          <w:szCs w:val="24"/>
          <w:lang w:eastAsia="en-GB"/>
        </w:rPr>
      </w:pPr>
    </w:p>
    <w:p w14:paraId="030A17F9" w14:textId="77777777" w:rsidR="00250B0E" w:rsidRDefault="00250B0E"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250B0E">
        <w:trPr>
          <w:trHeight w:val="414"/>
        </w:trPr>
        <w:tc>
          <w:tcPr>
            <w:tcW w:w="9780" w:type="dxa"/>
            <w:shd w:val="clear" w:color="auto" w:fill="D9D9D9"/>
          </w:tcPr>
          <w:p w14:paraId="07C020A7" w14:textId="77777777" w:rsidR="00763CB3" w:rsidRPr="00876921" w:rsidRDefault="00763CB3" w:rsidP="00250B0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506D7ED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i/>
          <w:iCs/>
          <w:sz w:val="24"/>
          <w:szCs w:val="24"/>
          <w:lang w:eastAsia="en-GB"/>
        </w:rPr>
        <w:t xml:space="preserve">Do not show bias in your assignment you should present a balanced argument putting forward different perspectives.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w:t>
      </w:r>
      <w:r w:rsidRPr="00876921">
        <w:rPr>
          <w:rFonts w:ascii="Arial" w:eastAsia="Times New Roman" w:hAnsi="Arial" w:cs="Arial"/>
          <w:sz w:val="24"/>
          <w:szCs w:val="24"/>
          <w:lang w:eastAsia="en-GB"/>
        </w:rPr>
        <w:lastRenderedPageBreak/>
        <w:t>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6DC653E8" w14:textId="5034F96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b/>
          <w:bCs/>
          <w:i/>
          <w:iCs/>
          <w:sz w:val="24"/>
          <w:szCs w:val="24"/>
          <w:lang w:eastAsia="en-GB"/>
        </w:rPr>
        <w:t>Guidance specific to this assessment:</w:t>
      </w:r>
      <w:r w:rsidRPr="0CC06466">
        <w:rPr>
          <w:rFonts w:ascii="Arial" w:eastAsia="Times New Roman" w:hAnsi="Arial" w:cs="Arial"/>
          <w:i/>
          <w:iCs/>
          <w:sz w:val="24"/>
          <w:szCs w:val="24"/>
          <w:lang w:eastAsia="en-GB"/>
        </w:rPr>
        <w:t xml:space="preserve"> You might use ‘real world’ examples to highlight your arguments</w:t>
      </w:r>
      <w:r w:rsidR="230E8587" w:rsidRPr="0CC06466">
        <w:rPr>
          <w:rFonts w:ascii="Arial" w:eastAsia="Times New Roman" w:hAnsi="Arial" w:cs="Arial"/>
          <w:i/>
          <w:iCs/>
          <w:sz w:val="24"/>
          <w:szCs w:val="24"/>
          <w:lang w:eastAsia="en-GB"/>
        </w:rPr>
        <w:t>.</w:t>
      </w: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250B0E">
        <w:trPr>
          <w:jc w:val="center"/>
        </w:trPr>
        <w:tc>
          <w:tcPr>
            <w:tcW w:w="10185" w:type="dxa"/>
            <w:shd w:val="clear" w:color="auto" w:fill="BFBFBF"/>
          </w:tcPr>
          <w:p w14:paraId="3321C451" w14:textId="77777777" w:rsidR="00763CB3" w:rsidRPr="00876921" w:rsidRDefault="00763CB3" w:rsidP="00250B0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AD7A91">
          <w:headerReference w:type="even" r:id="rId18"/>
          <w:headerReference w:type="default" r:id="rId19"/>
          <w:footerReference w:type="even" r:id="rId20"/>
          <w:footerReference w:type="default" r:id="rId21"/>
          <w:headerReference w:type="first" r:id="rId22"/>
          <w:footerReference w:type="first" r:id="rId23"/>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250B0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250B0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250B0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250B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250B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250B0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250B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250B0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250B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15056E90" w14:textId="77777777" w:rsidTr="00250B0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250B0E">
            <w:pPr>
              <w:spacing w:after="120" w:line="240" w:lineRule="auto"/>
              <w:rPr>
                <w:rFonts w:ascii="Arial" w:eastAsia="Times New Roman" w:hAnsi="Arial" w:cs="Arial"/>
                <w:sz w:val="14"/>
                <w:szCs w:val="14"/>
                <w:lang w:eastAsia="en-GB"/>
              </w:rPr>
            </w:pPr>
          </w:p>
          <w:p w14:paraId="1E37F862" w14:textId="77777777" w:rsidR="00763CB3" w:rsidRPr="00876921" w:rsidRDefault="00763CB3" w:rsidP="00250B0E">
            <w:pPr>
              <w:spacing w:after="120" w:line="240" w:lineRule="auto"/>
              <w:rPr>
                <w:rFonts w:ascii="Arial" w:eastAsia="Times New Roman" w:hAnsi="Arial" w:cs="Arial"/>
                <w:sz w:val="14"/>
                <w:szCs w:val="14"/>
                <w:lang w:eastAsia="en-GB"/>
              </w:rPr>
            </w:pPr>
          </w:p>
          <w:p w14:paraId="64408B43" w14:textId="77777777" w:rsidR="00763CB3" w:rsidRPr="00876921" w:rsidRDefault="00763CB3" w:rsidP="00250B0E">
            <w:pPr>
              <w:spacing w:after="120" w:line="240" w:lineRule="auto"/>
              <w:rPr>
                <w:rFonts w:ascii="Arial" w:eastAsia="Times New Roman" w:hAnsi="Arial" w:cs="Arial"/>
                <w:sz w:val="14"/>
                <w:szCs w:val="14"/>
                <w:lang w:eastAsia="en-GB"/>
              </w:rPr>
            </w:pPr>
          </w:p>
          <w:p w14:paraId="1B2B6401" w14:textId="77777777" w:rsidR="00763CB3" w:rsidRPr="00876921" w:rsidRDefault="00763CB3" w:rsidP="00250B0E">
            <w:pPr>
              <w:spacing w:after="120" w:line="240" w:lineRule="auto"/>
              <w:rPr>
                <w:rFonts w:ascii="Arial" w:eastAsia="Times New Roman" w:hAnsi="Arial" w:cs="Arial"/>
                <w:sz w:val="14"/>
                <w:szCs w:val="14"/>
                <w:lang w:eastAsia="en-GB"/>
              </w:rPr>
            </w:pPr>
          </w:p>
          <w:p w14:paraId="6AA84BF5" w14:textId="77777777" w:rsidR="00763CB3" w:rsidRPr="00876921" w:rsidRDefault="00763CB3" w:rsidP="00250B0E">
            <w:pPr>
              <w:spacing w:after="120" w:line="240" w:lineRule="auto"/>
              <w:rPr>
                <w:rFonts w:ascii="Arial" w:eastAsia="Times New Roman" w:hAnsi="Arial" w:cs="Arial"/>
                <w:sz w:val="14"/>
                <w:szCs w:val="14"/>
                <w:lang w:eastAsia="en-GB"/>
              </w:rPr>
            </w:pPr>
          </w:p>
          <w:p w14:paraId="5576EECA"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231CDB5E" w14:textId="77777777" w:rsidTr="00250B0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250B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2B444BDD" w14:textId="77777777" w:rsidTr="00250B0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250B0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250B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4D781A77" w14:textId="77777777" w:rsidTr="00250B0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250B0E">
            <w:pPr>
              <w:spacing w:after="120" w:line="240" w:lineRule="auto"/>
              <w:rPr>
                <w:rFonts w:ascii="Arial" w:eastAsia="Times New Roman" w:hAnsi="Arial" w:cs="Arial"/>
                <w:sz w:val="14"/>
                <w:szCs w:val="14"/>
                <w:lang w:eastAsia="en-GB"/>
              </w:rPr>
            </w:pPr>
          </w:p>
          <w:p w14:paraId="24DDABF5" w14:textId="77777777" w:rsidR="00763CB3" w:rsidRPr="00876921" w:rsidRDefault="00763CB3" w:rsidP="00250B0E">
            <w:pPr>
              <w:spacing w:after="120" w:line="240" w:lineRule="auto"/>
              <w:rPr>
                <w:rFonts w:ascii="Arial" w:eastAsia="Times New Roman" w:hAnsi="Arial" w:cs="Arial"/>
                <w:sz w:val="14"/>
                <w:szCs w:val="14"/>
                <w:lang w:eastAsia="en-GB"/>
              </w:rPr>
            </w:pPr>
          </w:p>
          <w:p w14:paraId="671A95C4" w14:textId="77777777" w:rsidR="00763CB3" w:rsidRPr="00876921" w:rsidRDefault="00763CB3" w:rsidP="00250B0E">
            <w:pPr>
              <w:spacing w:after="120" w:line="240" w:lineRule="auto"/>
              <w:rPr>
                <w:rFonts w:ascii="Arial" w:eastAsia="Times New Roman" w:hAnsi="Arial" w:cs="Arial"/>
                <w:sz w:val="14"/>
                <w:szCs w:val="14"/>
                <w:lang w:eastAsia="en-GB"/>
              </w:rPr>
            </w:pPr>
          </w:p>
          <w:p w14:paraId="01F07026" w14:textId="77777777" w:rsidR="00763CB3" w:rsidRPr="00876921" w:rsidRDefault="00763CB3" w:rsidP="00250B0E">
            <w:pPr>
              <w:spacing w:after="120" w:line="240" w:lineRule="auto"/>
              <w:rPr>
                <w:rFonts w:ascii="Arial" w:eastAsia="Times New Roman" w:hAnsi="Arial" w:cs="Arial"/>
                <w:sz w:val="14"/>
                <w:szCs w:val="14"/>
                <w:lang w:eastAsia="en-GB"/>
              </w:rPr>
            </w:pPr>
          </w:p>
          <w:p w14:paraId="000B2385" w14:textId="77777777" w:rsidR="00763CB3" w:rsidRPr="00876921" w:rsidRDefault="00763CB3" w:rsidP="00250B0E">
            <w:pPr>
              <w:spacing w:after="120" w:line="240" w:lineRule="auto"/>
              <w:rPr>
                <w:rFonts w:ascii="Arial" w:eastAsia="Times New Roman" w:hAnsi="Arial" w:cs="Arial"/>
                <w:sz w:val="14"/>
                <w:szCs w:val="14"/>
                <w:lang w:eastAsia="en-GB"/>
              </w:rPr>
            </w:pPr>
          </w:p>
          <w:p w14:paraId="465E6442"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650802C2" w14:textId="77777777" w:rsidTr="00250B0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250B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0300CAC5" w14:textId="77777777" w:rsidTr="00250B0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250B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250B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690DCDBC" w14:textId="77777777" w:rsidTr="00250B0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250B0E">
            <w:pPr>
              <w:spacing w:after="120" w:line="240" w:lineRule="auto"/>
              <w:rPr>
                <w:rFonts w:ascii="Arial" w:eastAsia="Times New Roman" w:hAnsi="Arial" w:cs="Arial"/>
                <w:sz w:val="14"/>
                <w:szCs w:val="14"/>
                <w:lang w:eastAsia="en-GB"/>
              </w:rPr>
            </w:pPr>
          </w:p>
          <w:p w14:paraId="6702EAFE" w14:textId="77777777" w:rsidR="00763CB3" w:rsidRPr="00876921" w:rsidRDefault="00763CB3" w:rsidP="00250B0E">
            <w:pPr>
              <w:spacing w:after="120" w:line="240" w:lineRule="auto"/>
              <w:rPr>
                <w:rFonts w:ascii="Arial" w:eastAsia="Times New Roman" w:hAnsi="Arial" w:cs="Arial"/>
                <w:sz w:val="14"/>
                <w:szCs w:val="14"/>
                <w:lang w:eastAsia="en-GB"/>
              </w:rPr>
            </w:pPr>
          </w:p>
          <w:p w14:paraId="75FE031D" w14:textId="77777777" w:rsidR="00763CB3" w:rsidRPr="00876921" w:rsidRDefault="00763CB3" w:rsidP="00250B0E">
            <w:pPr>
              <w:spacing w:after="120" w:line="240" w:lineRule="auto"/>
              <w:rPr>
                <w:rFonts w:ascii="Arial" w:eastAsia="Times New Roman" w:hAnsi="Arial" w:cs="Arial"/>
                <w:sz w:val="14"/>
                <w:szCs w:val="14"/>
                <w:lang w:eastAsia="en-GB"/>
              </w:rPr>
            </w:pPr>
          </w:p>
          <w:p w14:paraId="2CCA5E81" w14:textId="77777777" w:rsidR="00763CB3" w:rsidRPr="00876921" w:rsidRDefault="00763CB3" w:rsidP="00250B0E">
            <w:pPr>
              <w:spacing w:after="120" w:line="240" w:lineRule="auto"/>
              <w:rPr>
                <w:rFonts w:ascii="Arial" w:eastAsia="Times New Roman" w:hAnsi="Arial" w:cs="Arial"/>
                <w:sz w:val="14"/>
                <w:szCs w:val="14"/>
                <w:lang w:eastAsia="en-GB"/>
              </w:rPr>
            </w:pPr>
          </w:p>
          <w:p w14:paraId="6A985526" w14:textId="77777777" w:rsidR="00763CB3" w:rsidRPr="00876921" w:rsidRDefault="00763CB3" w:rsidP="00250B0E">
            <w:pPr>
              <w:spacing w:after="120" w:line="240" w:lineRule="auto"/>
              <w:rPr>
                <w:rFonts w:ascii="Arial" w:eastAsia="Times New Roman" w:hAnsi="Arial" w:cs="Arial"/>
                <w:sz w:val="14"/>
                <w:szCs w:val="14"/>
                <w:lang w:eastAsia="en-GB"/>
              </w:rPr>
            </w:pPr>
          </w:p>
          <w:p w14:paraId="71078E49"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18778F53" w14:textId="77777777" w:rsidTr="00250B0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250B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14FB157F" w14:textId="77777777" w:rsidTr="00250B0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250B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250B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303A4DB5" w14:textId="77777777" w:rsidTr="00250B0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250B0E">
            <w:pPr>
              <w:spacing w:after="120" w:line="240" w:lineRule="auto"/>
              <w:rPr>
                <w:rFonts w:ascii="Arial" w:eastAsia="Times New Roman" w:hAnsi="Arial" w:cs="Arial"/>
                <w:sz w:val="14"/>
                <w:szCs w:val="14"/>
                <w:lang w:eastAsia="en-GB"/>
              </w:rPr>
            </w:pPr>
          </w:p>
          <w:p w14:paraId="2F28982A" w14:textId="77777777" w:rsidR="00763CB3" w:rsidRPr="00876921" w:rsidRDefault="00763CB3" w:rsidP="00250B0E">
            <w:pPr>
              <w:spacing w:after="120" w:line="240" w:lineRule="auto"/>
              <w:rPr>
                <w:rFonts w:ascii="Arial" w:eastAsia="Times New Roman" w:hAnsi="Arial" w:cs="Arial"/>
                <w:sz w:val="14"/>
                <w:szCs w:val="14"/>
                <w:lang w:eastAsia="en-GB"/>
              </w:rPr>
            </w:pPr>
          </w:p>
          <w:p w14:paraId="43624C9D" w14:textId="77777777" w:rsidR="00763CB3" w:rsidRPr="00876921" w:rsidRDefault="00763CB3" w:rsidP="00250B0E">
            <w:pPr>
              <w:spacing w:after="120" w:line="240" w:lineRule="auto"/>
              <w:rPr>
                <w:rFonts w:ascii="Arial" w:eastAsia="Times New Roman" w:hAnsi="Arial" w:cs="Arial"/>
                <w:sz w:val="14"/>
                <w:szCs w:val="14"/>
                <w:lang w:eastAsia="en-GB"/>
              </w:rPr>
            </w:pPr>
          </w:p>
          <w:p w14:paraId="2D21F635" w14:textId="77777777" w:rsidR="00763CB3" w:rsidRPr="00876921" w:rsidRDefault="00763CB3" w:rsidP="00250B0E">
            <w:pPr>
              <w:spacing w:after="120" w:line="240" w:lineRule="auto"/>
              <w:rPr>
                <w:rFonts w:ascii="Arial" w:eastAsia="Times New Roman" w:hAnsi="Arial" w:cs="Arial"/>
                <w:sz w:val="14"/>
                <w:szCs w:val="14"/>
                <w:lang w:eastAsia="en-GB"/>
              </w:rPr>
            </w:pPr>
          </w:p>
          <w:p w14:paraId="0AEF1A8F" w14:textId="77777777" w:rsidR="00763CB3" w:rsidRPr="00876921" w:rsidRDefault="00763CB3" w:rsidP="00250B0E">
            <w:pPr>
              <w:spacing w:after="120" w:line="240" w:lineRule="auto"/>
              <w:rPr>
                <w:rFonts w:ascii="Arial" w:eastAsia="Times New Roman" w:hAnsi="Arial" w:cs="Arial"/>
                <w:sz w:val="14"/>
                <w:szCs w:val="14"/>
                <w:lang w:eastAsia="en-GB"/>
              </w:rPr>
            </w:pPr>
          </w:p>
          <w:p w14:paraId="11DAA87C"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5411B7BD" w14:textId="77777777" w:rsidTr="00250B0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250B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3DB014CC" w14:textId="77777777" w:rsidTr="00250B0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250B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250B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16E1BECD" w14:textId="77777777" w:rsidTr="00250B0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250B0E">
            <w:pPr>
              <w:spacing w:after="120" w:line="240" w:lineRule="auto"/>
              <w:rPr>
                <w:rFonts w:ascii="Arial" w:eastAsia="Times New Roman" w:hAnsi="Arial" w:cs="Arial"/>
                <w:sz w:val="14"/>
                <w:szCs w:val="14"/>
                <w:lang w:eastAsia="en-GB"/>
              </w:rPr>
            </w:pPr>
          </w:p>
          <w:p w14:paraId="47E24EAC" w14:textId="77777777" w:rsidR="00763CB3" w:rsidRPr="00876921" w:rsidRDefault="00763CB3" w:rsidP="00250B0E">
            <w:pPr>
              <w:spacing w:after="120" w:line="240" w:lineRule="auto"/>
              <w:rPr>
                <w:rFonts w:ascii="Arial" w:eastAsia="Times New Roman" w:hAnsi="Arial" w:cs="Arial"/>
                <w:sz w:val="14"/>
                <w:szCs w:val="14"/>
                <w:lang w:eastAsia="en-GB"/>
              </w:rPr>
            </w:pPr>
          </w:p>
          <w:p w14:paraId="4FF10648" w14:textId="77777777" w:rsidR="00763CB3" w:rsidRPr="00876921" w:rsidRDefault="00763CB3" w:rsidP="00250B0E">
            <w:pPr>
              <w:spacing w:after="120" w:line="240" w:lineRule="auto"/>
              <w:rPr>
                <w:rFonts w:ascii="Arial" w:eastAsia="Times New Roman" w:hAnsi="Arial" w:cs="Arial"/>
                <w:sz w:val="14"/>
                <w:szCs w:val="14"/>
                <w:lang w:eastAsia="en-GB"/>
              </w:rPr>
            </w:pPr>
          </w:p>
          <w:p w14:paraId="6C8AE446" w14:textId="77777777" w:rsidR="00763CB3" w:rsidRPr="00876921" w:rsidRDefault="00763CB3" w:rsidP="00250B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r w:rsidR="00763CB3" w:rsidRPr="00876921" w14:paraId="0A5E6F61" w14:textId="77777777" w:rsidTr="00250B0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250B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250B0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250B0E">
        <w:trPr>
          <w:cantSplit/>
        </w:trPr>
        <w:tc>
          <w:tcPr>
            <w:tcW w:w="6062" w:type="dxa"/>
            <w:vMerge w:val="restart"/>
            <w:shd w:val="pct15" w:color="auto" w:fill="auto"/>
            <w:vAlign w:val="center"/>
          </w:tcPr>
          <w:p w14:paraId="2A698409" w14:textId="77777777" w:rsidR="00763CB3" w:rsidRPr="00876921" w:rsidRDefault="00763CB3" w:rsidP="00250B0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250B0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250B0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250B0E">
        <w:trPr>
          <w:cantSplit/>
        </w:trPr>
        <w:tc>
          <w:tcPr>
            <w:tcW w:w="6062" w:type="dxa"/>
            <w:vMerge/>
            <w:vAlign w:val="bottom"/>
          </w:tcPr>
          <w:p w14:paraId="4FA23D15" w14:textId="77777777" w:rsidR="00763CB3" w:rsidRPr="00876921" w:rsidRDefault="00763CB3" w:rsidP="00250B0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250B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250B0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250B0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250B0E">
        <w:trPr>
          <w:cantSplit/>
        </w:trPr>
        <w:tc>
          <w:tcPr>
            <w:tcW w:w="6062" w:type="dxa"/>
            <w:vMerge/>
            <w:vAlign w:val="bottom"/>
          </w:tcPr>
          <w:p w14:paraId="20C32F00" w14:textId="77777777" w:rsidR="00763CB3" w:rsidRPr="00876921" w:rsidRDefault="00763CB3" w:rsidP="00250B0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250B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250B0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250B0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AD7A91">
          <w:headerReference w:type="even" r:id="rId24"/>
          <w:headerReference w:type="default" r:id="rId25"/>
          <w:footerReference w:type="even" r:id="rId26"/>
          <w:footerReference w:type="default" r:id="rId27"/>
          <w:headerReference w:type="first" r:id="rId28"/>
          <w:footerReference w:type="first" r:id="rId29"/>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AD7A91">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250B0E">
        <w:tc>
          <w:tcPr>
            <w:tcW w:w="13858" w:type="dxa"/>
            <w:shd w:val="clear" w:color="auto" w:fill="FF99FF"/>
          </w:tcPr>
          <w:p w14:paraId="259AD24D" w14:textId="77777777" w:rsidR="00763CB3" w:rsidRPr="00876921" w:rsidRDefault="00763CB3" w:rsidP="00250B0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250B0E">
        <w:tc>
          <w:tcPr>
            <w:tcW w:w="13948" w:type="dxa"/>
            <w:shd w:val="clear" w:color="auto" w:fill="FF99FF"/>
          </w:tcPr>
          <w:p w14:paraId="29F10AD7" w14:textId="77777777" w:rsidR="00763CB3" w:rsidRPr="00876921" w:rsidRDefault="00763CB3" w:rsidP="00250B0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250B0E">
        <w:tc>
          <w:tcPr>
            <w:tcW w:w="13948" w:type="dxa"/>
            <w:shd w:val="clear" w:color="auto" w:fill="FFCCFF"/>
          </w:tcPr>
          <w:p w14:paraId="0226AEB2" w14:textId="77777777" w:rsidR="00763CB3" w:rsidRPr="00876921" w:rsidRDefault="00763CB3" w:rsidP="00250B0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250B0E">
        <w:trPr>
          <w:tblHeader/>
        </w:trPr>
        <w:tc>
          <w:tcPr>
            <w:tcW w:w="1735" w:type="dxa"/>
            <w:shd w:val="clear" w:color="auto" w:fill="FF99FF"/>
          </w:tcPr>
          <w:p w14:paraId="5D20E49C" w14:textId="77777777" w:rsidR="00763CB3" w:rsidRPr="00876921" w:rsidRDefault="00763CB3" w:rsidP="00250B0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250B0E">
        <w:trPr>
          <w:tblHeader/>
        </w:trPr>
        <w:tc>
          <w:tcPr>
            <w:tcW w:w="1735" w:type="dxa"/>
            <w:shd w:val="clear" w:color="auto" w:fill="FF99FF"/>
          </w:tcPr>
          <w:p w14:paraId="0347254A" w14:textId="77777777" w:rsidR="00763CB3" w:rsidRPr="00876921" w:rsidRDefault="00763CB3" w:rsidP="00250B0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250B0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250B0E">
        <w:tc>
          <w:tcPr>
            <w:tcW w:w="1735" w:type="dxa"/>
            <w:shd w:val="clear" w:color="auto" w:fill="FF99FF"/>
          </w:tcPr>
          <w:p w14:paraId="71C450BC" w14:textId="77777777" w:rsidR="00763CB3" w:rsidRPr="00876921" w:rsidRDefault="00763CB3" w:rsidP="00250B0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250B0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250B0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250B0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250B0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250B0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250B0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250B0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250B0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250B0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250B0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250B0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250B0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250B0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250B0E">
        <w:tc>
          <w:tcPr>
            <w:tcW w:w="1735" w:type="dxa"/>
            <w:shd w:val="clear" w:color="auto" w:fill="FF99FF"/>
          </w:tcPr>
          <w:p w14:paraId="4FE4FE1D" w14:textId="77777777" w:rsidR="00763CB3" w:rsidRPr="00876921" w:rsidRDefault="00763CB3" w:rsidP="00250B0E">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250B0E">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250B0E">
        <w:tc>
          <w:tcPr>
            <w:tcW w:w="1735" w:type="dxa"/>
            <w:shd w:val="clear" w:color="auto" w:fill="FF99FF"/>
          </w:tcPr>
          <w:p w14:paraId="57DE407D" w14:textId="77777777" w:rsidR="00763CB3" w:rsidRPr="00876921" w:rsidRDefault="00763CB3" w:rsidP="00250B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250B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250B0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250B0E">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250B0E">
            <w:pPr>
              <w:rPr>
                <w:rFonts w:ascii="Arial" w:hAnsi="Arial" w:cs="Arial"/>
                <w:lang w:eastAsia="en-GB"/>
              </w:rPr>
            </w:pPr>
          </w:p>
        </w:tc>
        <w:tc>
          <w:tcPr>
            <w:tcW w:w="1736" w:type="dxa"/>
          </w:tcPr>
          <w:p w14:paraId="334AA25E"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250B0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250B0E">
            <w:pPr>
              <w:rPr>
                <w:rFonts w:ascii="Arial" w:hAnsi="Arial" w:cs="Arial"/>
                <w:lang w:eastAsia="en-GB"/>
              </w:rPr>
            </w:pPr>
          </w:p>
          <w:p w14:paraId="6857A9B4" w14:textId="77777777" w:rsidR="00763CB3" w:rsidRPr="00876921" w:rsidRDefault="00763CB3" w:rsidP="00250B0E">
            <w:pPr>
              <w:rPr>
                <w:rFonts w:ascii="Arial" w:hAnsi="Arial" w:cs="Arial"/>
                <w:lang w:eastAsia="en-GB"/>
              </w:rPr>
            </w:pPr>
          </w:p>
        </w:tc>
        <w:tc>
          <w:tcPr>
            <w:tcW w:w="1736" w:type="dxa"/>
          </w:tcPr>
          <w:p w14:paraId="06165D40"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250B0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250B0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250B0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250B0E">
        <w:tc>
          <w:tcPr>
            <w:tcW w:w="1735" w:type="dxa"/>
            <w:shd w:val="clear" w:color="auto" w:fill="FF99FF"/>
          </w:tcPr>
          <w:p w14:paraId="45A5EF91" w14:textId="77777777" w:rsidR="00763CB3" w:rsidRPr="00876921" w:rsidRDefault="00763CB3" w:rsidP="00250B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250B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250B0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250B0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250B0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250B0E">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250B0E">
            <w:pPr>
              <w:rPr>
                <w:rFonts w:ascii="Arial" w:hAnsi="Arial" w:cs="Arial"/>
                <w:lang w:eastAsia="en-GB"/>
              </w:rPr>
            </w:pPr>
          </w:p>
          <w:p w14:paraId="7E9F40FE" w14:textId="77777777" w:rsidR="00763CB3" w:rsidRPr="00876921" w:rsidRDefault="00763CB3" w:rsidP="00250B0E">
            <w:pPr>
              <w:rPr>
                <w:rFonts w:ascii="Arial" w:hAnsi="Arial" w:cs="Arial"/>
                <w:lang w:eastAsia="en-GB"/>
              </w:rPr>
            </w:pPr>
          </w:p>
        </w:tc>
        <w:tc>
          <w:tcPr>
            <w:tcW w:w="1736" w:type="dxa"/>
          </w:tcPr>
          <w:p w14:paraId="3E8D471C"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250B0E">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250B0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250B0E">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250B0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250B0E">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250B0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250B0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250B0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250B0E">
        <w:tc>
          <w:tcPr>
            <w:tcW w:w="1735" w:type="dxa"/>
            <w:shd w:val="clear" w:color="auto" w:fill="FF99FF"/>
          </w:tcPr>
          <w:p w14:paraId="53FBBC19" w14:textId="77777777" w:rsidR="00763CB3" w:rsidRPr="00876921" w:rsidRDefault="00763CB3" w:rsidP="00250B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250B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250B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250B0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250B0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250B0E">
            <w:pPr>
              <w:rPr>
                <w:rFonts w:ascii="Arial" w:hAnsi="Arial" w:cs="Arial"/>
                <w:lang w:eastAsia="en-GB"/>
              </w:rPr>
            </w:pPr>
          </w:p>
          <w:p w14:paraId="7437BB87" w14:textId="77777777" w:rsidR="00763CB3" w:rsidRPr="00876921" w:rsidRDefault="00763CB3" w:rsidP="00250B0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250B0E">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250B0E">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250B0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250B0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250B0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250B0E">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250B0E">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250B0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250B0E">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250B0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AD7A91">
      <w:headerReference w:type="even" r:id="rId36"/>
      <w:headerReference w:type="default" r:id="rId37"/>
      <w:footerReference w:type="even" r:id="rId38"/>
      <w:footerReference w:type="default" r:id="rId39"/>
      <w:headerReference w:type="first" r:id="rId40"/>
      <w:footerReference w:type="first" r:id="rId41"/>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250B0E" w:rsidRDefault="00250B0E">
      <w:pPr>
        <w:spacing w:after="0" w:line="240" w:lineRule="auto"/>
      </w:pPr>
      <w:r>
        <w:separator/>
      </w:r>
    </w:p>
  </w:endnote>
  <w:endnote w:type="continuationSeparator" w:id="0">
    <w:p w14:paraId="0D55CABB" w14:textId="77777777" w:rsidR="00250B0E" w:rsidRDefault="0025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13812" w14:textId="4D7770AE" w:rsidR="00250B0E" w:rsidRDefault="00322E2A" w:rsidP="00322E2A">
    <w:pPr>
      <w:pStyle w:val="Footer"/>
      <w:rPr>
        <w:color w:val="000000"/>
        <w:sz w:val="17"/>
      </w:rPr>
    </w:pPr>
    <w:bookmarkStart w:id="3" w:name="TITUS1FooterEvenPages"/>
    <w:r>
      <w:rPr>
        <w:color w:val="000000"/>
        <w:sz w:val="17"/>
      </w:rPr>
      <w:t> </w:t>
    </w:r>
  </w:p>
  <w:bookmarkEnd w:id="3"/>
  <w:p w14:paraId="3D207FA3" w14:textId="65DB970A" w:rsidR="00250B0E" w:rsidRDefault="00250B0E" w:rsidP="00AD7A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2E2A">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2E2A">
      <w:rPr>
        <w:b/>
        <w:noProof/>
      </w:rPr>
      <w:t>21</w:t>
    </w:r>
    <w:r>
      <w:rPr>
        <w:b/>
        <w:sz w:val="24"/>
        <w:szCs w:val="24"/>
      </w:rPr>
      <w:fldChar w:fldCharType="end"/>
    </w:r>
  </w:p>
  <w:p w14:paraId="22CD7359" w14:textId="77777777" w:rsidR="00250B0E" w:rsidRDefault="00250B0E" w:rsidP="00AD7A91">
    <w:pPr>
      <w:pStyle w:val="Footer"/>
      <w:jc w:val="right"/>
      <w:rPr>
        <w:sz w:val="16"/>
      </w:rPr>
    </w:pPr>
  </w:p>
  <w:p w14:paraId="5BDB6E87" w14:textId="77777777" w:rsidR="00250B0E" w:rsidRDefault="00250B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99BD3" w14:textId="12824D8B" w:rsidR="00250B0E" w:rsidRDefault="00322E2A" w:rsidP="00322E2A">
    <w:pPr>
      <w:pStyle w:val="Footer"/>
      <w:rPr>
        <w:color w:val="000000"/>
        <w:sz w:val="17"/>
      </w:rPr>
    </w:pPr>
    <w:bookmarkStart w:id="4" w:name="TITUS1FooterPrimary"/>
    <w:r>
      <w:rPr>
        <w:color w:val="000000"/>
        <w:sz w:val="17"/>
      </w:rPr>
      <w:t> </w:t>
    </w:r>
  </w:p>
  <w:bookmarkEnd w:id="4"/>
  <w:p w14:paraId="74CEE6CC" w14:textId="2DE3BB71" w:rsidR="00250B0E" w:rsidRDefault="00250B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2E2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2E2A">
      <w:rPr>
        <w:b/>
        <w:noProof/>
      </w:rPr>
      <w:t>21</w:t>
    </w:r>
    <w:r>
      <w:rPr>
        <w:b/>
        <w:sz w:val="24"/>
        <w:szCs w:val="24"/>
      </w:rPr>
      <w:fldChar w:fldCharType="end"/>
    </w:r>
  </w:p>
  <w:p w14:paraId="40790BA2" w14:textId="77777777" w:rsidR="00250B0E" w:rsidRDefault="00250B0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FCCA4" w14:textId="3B6A70F4" w:rsidR="00250B0E" w:rsidRDefault="00322E2A" w:rsidP="00322E2A">
    <w:pPr>
      <w:pStyle w:val="Footer"/>
      <w:rPr>
        <w:color w:val="000000"/>
        <w:sz w:val="17"/>
      </w:rPr>
    </w:pPr>
    <w:bookmarkStart w:id="6" w:name="TITUS1FooterFirstPage"/>
    <w:r>
      <w:rPr>
        <w:color w:val="000000"/>
        <w:sz w:val="17"/>
      </w:rPr>
      <w:t> </w:t>
    </w:r>
  </w:p>
  <w:bookmarkEnd w:id="6"/>
  <w:p w14:paraId="2194D09E" w14:textId="667E117C" w:rsidR="00250B0E" w:rsidRDefault="00250B0E" w:rsidP="00AD7A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2E2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2E2A">
      <w:rPr>
        <w:b/>
        <w:noProof/>
      </w:rPr>
      <w:t>21</w:t>
    </w:r>
    <w:r>
      <w:rPr>
        <w:b/>
        <w:sz w:val="24"/>
        <w:szCs w:val="24"/>
      </w:rPr>
      <w:fldChar w:fldCharType="end"/>
    </w:r>
  </w:p>
  <w:p w14:paraId="65140EB2" w14:textId="77777777" w:rsidR="00250B0E" w:rsidRDefault="00250B0E" w:rsidP="00AD7A91">
    <w:pPr>
      <w:pStyle w:val="Footer"/>
      <w:jc w:val="right"/>
      <w:rPr>
        <w:sz w:val="16"/>
      </w:rPr>
    </w:pPr>
  </w:p>
  <w:p w14:paraId="3363C473" w14:textId="77777777" w:rsidR="00250B0E" w:rsidRDefault="00250B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94157" w14:textId="3A81125C" w:rsidR="00250B0E" w:rsidRDefault="00322E2A" w:rsidP="00322E2A">
    <w:pPr>
      <w:pStyle w:val="Footer"/>
      <w:rPr>
        <w:color w:val="000000"/>
        <w:sz w:val="17"/>
      </w:rPr>
    </w:pPr>
    <w:bookmarkStart w:id="9" w:name="TITUS2FooterEvenPages"/>
    <w:r>
      <w:rPr>
        <w:color w:val="000000"/>
        <w:sz w:val="17"/>
      </w:rPr>
      <w:t> </w:t>
    </w:r>
  </w:p>
  <w:bookmarkEnd w:id="9"/>
  <w:p w14:paraId="0CA258EF" w14:textId="77777777" w:rsidR="00250B0E" w:rsidRDefault="00250B0E" w:rsidP="00AD7A91">
    <w:pPr>
      <w:pStyle w:val="Footer"/>
      <w:jc w:val="center"/>
    </w:pPr>
  </w:p>
  <w:p w14:paraId="689C8CA8" w14:textId="5B1DBA80" w:rsidR="00250B0E" w:rsidRDefault="00250B0E" w:rsidP="00AD7A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22E2A">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22E2A">
      <w:rPr>
        <w:b/>
        <w:noProof/>
      </w:rPr>
      <w:t>21</w:t>
    </w:r>
    <w:r>
      <w:rPr>
        <w:b/>
        <w:sz w:val="24"/>
        <w:szCs w:val="24"/>
      </w:rPr>
      <w:fldChar w:fldCharType="end"/>
    </w:r>
  </w:p>
  <w:p w14:paraId="58CCF228" w14:textId="77777777" w:rsidR="00250B0E" w:rsidRDefault="00250B0E" w:rsidP="00AD7A91">
    <w:pPr>
      <w:pStyle w:val="Footer"/>
      <w:jc w:val="right"/>
      <w:rPr>
        <w:sz w:val="16"/>
      </w:rPr>
    </w:pPr>
  </w:p>
  <w:p w14:paraId="4972BC4D" w14:textId="77777777" w:rsidR="00250B0E" w:rsidRDefault="00250B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2EC1B7AD" w:rsidR="00250B0E" w:rsidRDefault="00322E2A" w:rsidP="00322E2A">
    <w:pPr>
      <w:pStyle w:val="Footer"/>
      <w:rPr>
        <w:color w:val="000000"/>
        <w:sz w:val="17"/>
      </w:rPr>
    </w:pPr>
    <w:bookmarkStart w:id="10" w:name="TITUS2FooterPrimary"/>
    <w:r>
      <w:rPr>
        <w:color w:val="000000"/>
        <w:sz w:val="17"/>
      </w:rPr>
      <w:t> </w:t>
    </w:r>
  </w:p>
  <w:bookmarkEnd w:id="10"/>
  <w:p w14:paraId="4A4274C1" w14:textId="77777777" w:rsidR="00250B0E" w:rsidRDefault="00250B0E">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15BDE" w14:textId="0363F096" w:rsidR="00250B0E" w:rsidRDefault="00322E2A" w:rsidP="00322E2A">
    <w:pPr>
      <w:pStyle w:val="Footer"/>
      <w:rPr>
        <w:color w:val="000000"/>
        <w:sz w:val="17"/>
      </w:rPr>
    </w:pPr>
    <w:bookmarkStart w:id="12" w:name="TITUS2FooterFirstPage"/>
    <w:r>
      <w:rPr>
        <w:color w:val="000000"/>
        <w:sz w:val="17"/>
      </w:rPr>
      <w:t> </w:t>
    </w:r>
  </w:p>
  <w:bookmarkEnd w:id="12"/>
  <w:p w14:paraId="1DF32552" w14:textId="77777777" w:rsidR="00250B0E" w:rsidRDefault="00250B0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B6449" w14:textId="354E8ECC" w:rsidR="00250B0E" w:rsidRDefault="00322E2A" w:rsidP="00322E2A">
    <w:pPr>
      <w:pStyle w:val="Footer"/>
      <w:rPr>
        <w:color w:val="000000"/>
        <w:sz w:val="17"/>
      </w:rPr>
    </w:pPr>
    <w:bookmarkStart w:id="15" w:name="TITUS3FooterEvenPages"/>
    <w:r>
      <w:rPr>
        <w:color w:val="000000"/>
        <w:sz w:val="17"/>
      </w:rPr>
      <w:t> </w:t>
    </w:r>
  </w:p>
  <w:bookmarkEnd w:id="15"/>
  <w:p w14:paraId="05B72692" w14:textId="77777777" w:rsidR="00250B0E" w:rsidRDefault="00250B0E" w:rsidP="00AD7A91">
    <w:pPr>
      <w:pStyle w:val="Footer"/>
      <w:jc w:val="center"/>
    </w:pPr>
  </w:p>
  <w:p w14:paraId="1A83476C" w14:textId="77777777" w:rsidR="00250B0E" w:rsidRDefault="00250B0E" w:rsidP="00AD7A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3957BA4C" w14:textId="77777777" w:rsidR="00250B0E" w:rsidRDefault="00250B0E" w:rsidP="00AD7A91">
    <w:pPr>
      <w:pStyle w:val="Footer"/>
      <w:jc w:val="right"/>
      <w:rPr>
        <w:sz w:val="16"/>
      </w:rPr>
    </w:pPr>
  </w:p>
  <w:p w14:paraId="7592DB0F" w14:textId="77777777" w:rsidR="00250B0E" w:rsidRDefault="00250B0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4DE52" w14:textId="1D015BE4" w:rsidR="00250B0E" w:rsidRDefault="00322E2A" w:rsidP="00322E2A">
    <w:pPr>
      <w:pStyle w:val="Footer"/>
      <w:rPr>
        <w:color w:val="000000"/>
        <w:sz w:val="17"/>
      </w:rPr>
    </w:pPr>
    <w:bookmarkStart w:id="16" w:name="TITUS3FooterPrimary"/>
    <w:r>
      <w:rPr>
        <w:color w:val="000000"/>
        <w:sz w:val="17"/>
      </w:rPr>
      <w:t> </w:t>
    </w:r>
  </w:p>
  <w:bookmarkEnd w:id="16"/>
  <w:p w14:paraId="1230F7FB" w14:textId="77777777" w:rsidR="00250B0E" w:rsidRDefault="00250B0E">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C7272" w14:textId="28F25762" w:rsidR="00250B0E" w:rsidRDefault="00322E2A" w:rsidP="00322E2A">
    <w:pPr>
      <w:pStyle w:val="Footer"/>
      <w:rPr>
        <w:color w:val="000000"/>
        <w:sz w:val="17"/>
      </w:rPr>
    </w:pPr>
    <w:bookmarkStart w:id="18" w:name="TITUS3FooterFirstPage"/>
    <w:r>
      <w:rPr>
        <w:color w:val="000000"/>
        <w:sz w:val="17"/>
      </w:rPr>
      <w:t> </w:t>
    </w:r>
  </w:p>
  <w:bookmarkEnd w:id="18"/>
  <w:p w14:paraId="268053C2" w14:textId="77777777" w:rsidR="00250B0E" w:rsidRDefault="00250B0E" w:rsidP="00AD7A91">
    <w:pPr>
      <w:pStyle w:val="Footer"/>
      <w:jc w:val="right"/>
      <w:rPr>
        <w:sz w:val="16"/>
      </w:rPr>
    </w:pPr>
  </w:p>
  <w:p w14:paraId="6193D271" w14:textId="77777777" w:rsidR="00250B0E" w:rsidRDefault="00250B0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65035" w14:textId="68345819" w:rsidR="00250B0E" w:rsidRDefault="00322E2A" w:rsidP="00322E2A">
    <w:pPr>
      <w:pStyle w:val="Footer"/>
      <w:rPr>
        <w:color w:val="000000"/>
        <w:sz w:val="17"/>
      </w:rPr>
    </w:pPr>
    <w:bookmarkStart w:id="21" w:name="TITUS4FooterEvenPages"/>
    <w:r>
      <w:rPr>
        <w:color w:val="000000"/>
        <w:sz w:val="17"/>
      </w:rPr>
      <w:t> </w:t>
    </w:r>
  </w:p>
  <w:bookmarkEnd w:id="21"/>
  <w:p w14:paraId="20C330A9" w14:textId="77777777" w:rsidR="00250B0E" w:rsidRDefault="00250B0E" w:rsidP="00AD7A91">
    <w:pPr>
      <w:pStyle w:val="Footer"/>
      <w:jc w:val="center"/>
    </w:pPr>
  </w:p>
  <w:p w14:paraId="76AFB0FB" w14:textId="77777777" w:rsidR="00250B0E" w:rsidRDefault="00250B0E" w:rsidP="00AD7A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4D258212" w14:textId="77777777" w:rsidR="00250B0E" w:rsidRDefault="00250B0E" w:rsidP="00AD7A91">
    <w:pPr>
      <w:pStyle w:val="Footer"/>
      <w:jc w:val="right"/>
      <w:rPr>
        <w:sz w:val="16"/>
      </w:rPr>
    </w:pPr>
  </w:p>
  <w:p w14:paraId="32FBD42A" w14:textId="77777777" w:rsidR="00250B0E" w:rsidRDefault="00250B0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B8F10" w14:textId="5AB212C7" w:rsidR="00250B0E" w:rsidRDefault="00322E2A" w:rsidP="00322E2A">
    <w:pPr>
      <w:pStyle w:val="Footer"/>
      <w:rPr>
        <w:color w:val="000000"/>
        <w:sz w:val="17"/>
      </w:rPr>
    </w:pPr>
    <w:bookmarkStart w:id="22" w:name="TITUS4FooterPrimary"/>
    <w:r>
      <w:rPr>
        <w:color w:val="000000"/>
        <w:sz w:val="17"/>
      </w:rPr>
      <w:t> </w:t>
    </w:r>
  </w:p>
  <w:bookmarkEnd w:id="22"/>
  <w:p w14:paraId="18503F82" w14:textId="77777777" w:rsidR="00250B0E" w:rsidRDefault="00250B0E">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C4FAF" w14:textId="4A7DEA0F" w:rsidR="00250B0E" w:rsidRDefault="00322E2A" w:rsidP="00322E2A">
    <w:pPr>
      <w:pStyle w:val="Footer"/>
      <w:rPr>
        <w:color w:val="000000"/>
        <w:sz w:val="17"/>
      </w:rPr>
    </w:pPr>
    <w:bookmarkStart w:id="24" w:name="TITUS4FooterFirstPage"/>
    <w:r>
      <w:rPr>
        <w:color w:val="000000"/>
        <w:sz w:val="17"/>
      </w:rPr>
      <w:t> </w:t>
    </w:r>
  </w:p>
  <w:bookmarkEnd w:id="24"/>
  <w:p w14:paraId="41FD4A64" w14:textId="77777777" w:rsidR="00250B0E" w:rsidRDefault="00250B0E" w:rsidP="00AD7A91">
    <w:pPr>
      <w:pStyle w:val="Footer"/>
      <w:jc w:val="right"/>
      <w:rPr>
        <w:sz w:val="16"/>
      </w:rPr>
    </w:pPr>
  </w:p>
  <w:p w14:paraId="1E70E2A0" w14:textId="77777777" w:rsidR="00250B0E" w:rsidRDefault="00250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250B0E" w:rsidRDefault="00250B0E">
      <w:pPr>
        <w:spacing w:after="0" w:line="240" w:lineRule="auto"/>
      </w:pPr>
      <w:r>
        <w:separator/>
      </w:r>
    </w:p>
  </w:footnote>
  <w:footnote w:type="continuationSeparator" w:id="0">
    <w:p w14:paraId="68E41288" w14:textId="77777777" w:rsidR="00250B0E" w:rsidRDefault="00250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CD451" w14:textId="4850DF7E" w:rsidR="00250B0E" w:rsidRDefault="00322E2A" w:rsidP="00322E2A">
    <w:pPr>
      <w:pStyle w:val="Header"/>
      <w:rPr>
        <w:color w:val="000000"/>
        <w:sz w:val="17"/>
      </w:rPr>
    </w:pPr>
    <w:bookmarkStart w:id="1" w:name="TITUS1HeaderEvenPages"/>
    <w:r>
      <w:rPr>
        <w:color w:val="000000"/>
        <w:sz w:val="17"/>
      </w:rPr>
      <w:t> </w:t>
    </w:r>
  </w:p>
  <w:bookmarkEnd w:id="1"/>
  <w:p w14:paraId="3B917E6D" w14:textId="77777777" w:rsidR="00250B0E" w:rsidRDefault="00250B0E" w:rsidP="00A15ED7">
    <w:pPr>
      <w:pStyle w:val="Header"/>
    </w:pPr>
  </w:p>
  <w:p w14:paraId="05AB634B" w14:textId="77777777" w:rsidR="00250B0E" w:rsidRDefault="00250B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DE410" w14:textId="7B0F734C" w:rsidR="00250B0E" w:rsidRDefault="00322E2A" w:rsidP="00322E2A">
    <w:pPr>
      <w:pStyle w:val="Header"/>
      <w:rPr>
        <w:color w:val="000000"/>
        <w:sz w:val="17"/>
      </w:rPr>
    </w:pPr>
    <w:bookmarkStart w:id="2" w:name="TITUS1HeaderPrimary"/>
    <w:r>
      <w:rPr>
        <w:color w:val="000000"/>
        <w:sz w:val="17"/>
      </w:rPr>
      <w:t> </w:t>
    </w:r>
  </w:p>
  <w:bookmarkEnd w:id="2"/>
  <w:p w14:paraId="33641589" w14:textId="77777777" w:rsidR="00250B0E" w:rsidRDefault="00250B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CD03A" w14:textId="16140E9B" w:rsidR="00250B0E" w:rsidRDefault="00322E2A" w:rsidP="00322E2A">
    <w:pPr>
      <w:pStyle w:val="Header"/>
      <w:rPr>
        <w:color w:val="000000"/>
        <w:sz w:val="17"/>
      </w:rPr>
    </w:pPr>
    <w:bookmarkStart w:id="5" w:name="TITUS1HeaderFirstPage"/>
    <w:r>
      <w:rPr>
        <w:color w:val="000000"/>
        <w:sz w:val="17"/>
      </w:rPr>
      <w:t> </w:t>
    </w:r>
  </w:p>
  <w:bookmarkEnd w:id="5"/>
  <w:p w14:paraId="3612B4E7" w14:textId="77777777" w:rsidR="00250B0E" w:rsidRDefault="00250B0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9748C" w14:textId="41879B82" w:rsidR="00250B0E" w:rsidRDefault="00322E2A" w:rsidP="00322E2A">
    <w:pPr>
      <w:pStyle w:val="Header"/>
      <w:rPr>
        <w:color w:val="000000"/>
        <w:sz w:val="17"/>
      </w:rPr>
    </w:pPr>
    <w:bookmarkStart w:id="7" w:name="TITUS2HeaderEvenPages"/>
    <w:r>
      <w:rPr>
        <w:color w:val="000000"/>
        <w:sz w:val="17"/>
      </w:rPr>
      <w:t> </w:t>
    </w:r>
  </w:p>
  <w:bookmarkEnd w:id="7"/>
  <w:p w14:paraId="093C7C27" w14:textId="77777777" w:rsidR="00250B0E" w:rsidRDefault="00250B0E" w:rsidP="00AD7A91">
    <w:pPr>
      <w:pStyle w:val="Header"/>
    </w:pPr>
  </w:p>
  <w:p w14:paraId="7241B789" w14:textId="77777777" w:rsidR="00250B0E" w:rsidRDefault="00250B0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E40B8" w14:textId="5266B331" w:rsidR="00250B0E" w:rsidRDefault="00322E2A" w:rsidP="00322E2A">
    <w:pPr>
      <w:pStyle w:val="Header"/>
      <w:rPr>
        <w:color w:val="000000"/>
        <w:sz w:val="17"/>
      </w:rPr>
    </w:pPr>
    <w:bookmarkStart w:id="8" w:name="TITUS2HeaderPrimary"/>
    <w:r>
      <w:rPr>
        <w:color w:val="000000"/>
        <w:sz w:val="17"/>
      </w:rPr>
      <w:t> </w:t>
    </w:r>
  </w:p>
  <w:bookmarkEnd w:id="8"/>
  <w:p w14:paraId="3614F385" w14:textId="77777777" w:rsidR="00250B0E" w:rsidRDefault="00250B0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7BC6" w14:textId="496EF7AA" w:rsidR="00250B0E" w:rsidRDefault="00322E2A" w:rsidP="00322E2A">
    <w:pPr>
      <w:pStyle w:val="Header"/>
      <w:rPr>
        <w:color w:val="000000"/>
        <w:sz w:val="17"/>
      </w:rPr>
    </w:pPr>
    <w:bookmarkStart w:id="11" w:name="TITUS2HeaderFirstPage"/>
    <w:r>
      <w:rPr>
        <w:color w:val="000000"/>
        <w:sz w:val="17"/>
      </w:rPr>
      <w:t> </w:t>
    </w:r>
  </w:p>
  <w:bookmarkEnd w:id="11"/>
  <w:p w14:paraId="1EFD5610" w14:textId="77777777" w:rsidR="00250B0E" w:rsidRDefault="00250B0E" w:rsidP="00AD7A91">
    <w:pPr>
      <w:pStyle w:val="Header"/>
    </w:pPr>
  </w:p>
  <w:p w14:paraId="7CCC8857" w14:textId="77777777" w:rsidR="00250B0E" w:rsidRDefault="00250B0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DBD8B" w14:textId="4B38997D" w:rsidR="00250B0E" w:rsidRDefault="00322E2A" w:rsidP="00322E2A">
    <w:pPr>
      <w:pStyle w:val="Header"/>
      <w:rPr>
        <w:color w:val="000000"/>
        <w:sz w:val="17"/>
      </w:rPr>
    </w:pPr>
    <w:bookmarkStart w:id="13" w:name="TITUS3HeaderEvenPages"/>
    <w:r>
      <w:rPr>
        <w:color w:val="000000"/>
        <w:sz w:val="17"/>
      </w:rPr>
      <w:t> </w:t>
    </w:r>
  </w:p>
  <w:bookmarkEnd w:id="13"/>
  <w:p w14:paraId="53B0724B" w14:textId="77777777" w:rsidR="00250B0E" w:rsidRDefault="00250B0E" w:rsidP="00AD7A91">
    <w:pPr>
      <w:pStyle w:val="Header"/>
    </w:pPr>
  </w:p>
  <w:p w14:paraId="428D4427" w14:textId="77777777" w:rsidR="00250B0E" w:rsidRDefault="00250B0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6FA87" w14:textId="17CB0731" w:rsidR="00250B0E" w:rsidRDefault="00322E2A" w:rsidP="00322E2A">
    <w:pPr>
      <w:pStyle w:val="Header"/>
      <w:rPr>
        <w:color w:val="000000"/>
        <w:sz w:val="17"/>
      </w:rPr>
    </w:pPr>
    <w:bookmarkStart w:id="14" w:name="TITUS3HeaderPrimary"/>
    <w:r>
      <w:rPr>
        <w:color w:val="000000"/>
        <w:sz w:val="17"/>
      </w:rPr>
      <w:t> </w:t>
    </w:r>
  </w:p>
  <w:bookmarkEnd w:id="14"/>
  <w:p w14:paraId="66A6E9C9" w14:textId="77777777" w:rsidR="00250B0E" w:rsidRDefault="00250B0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9AE47" w14:textId="68B4D9D3" w:rsidR="00250B0E" w:rsidRDefault="00322E2A" w:rsidP="00322E2A">
    <w:pPr>
      <w:pStyle w:val="Header"/>
      <w:rPr>
        <w:color w:val="000000"/>
        <w:sz w:val="17"/>
      </w:rPr>
    </w:pPr>
    <w:bookmarkStart w:id="17" w:name="TITUS3HeaderFirstPage"/>
    <w:r>
      <w:rPr>
        <w:color w:val="000000"/>
        <w:sz w:val="17"/>
      </w:rPr>
      <w:t> </w:t>
    </w:r>
  </w:p>
  <w:bookmarkEnd w:id="17"/>
  <w:p w14:paraId="102FC0AC" w14:textId="77777777" w:rsidR="00250B0E" w:rsidRDefault="00250B0E" w:rsidP="00AD7A91">
    <w:pPr>
      <w:pStyle w:val="Header"/>
    </w:pPr>
  </w:p>
  <w:p w14:paraId="55F19F87" w14:textId="77777777" w:rsidR="00250B0E" w:rsidRDefault="00250B0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D2D5" w14:textId="5DB80887" w:rsidR="00250B0E" w:rsidRDefault="00322E2A" w:rsidP="00322E2A">
    <w:pPr>
      <w:pStyle w:val="Header"/>
      <w:rPr>
        <w:color w:val="000000"/>
        <w:sz w:val="17"/>
      </w:rPr>
    </w:pPr>
    <w:bookmarkStart w:id="19" w:name="TITUS4HeaderEvenPages"/>
    <w:r>
      <w:rPr>
        <w:color w:val="000000"/>
        <w:sz w:val="17"/>
      </w:rPr>
      <w:t> </w:t>
    </w:r>
  </w:p>
  <w:bookmarkEnd w:id="19"/>
  <w:p w14:paraId="68F407EA" w14:textId="77777777" w:rsidR="00250B0E" w:rsidRDefault="00250B0E" w:rsidP="00AD7A91">
    <w:pPr>
      <w:pStyle w:val="Header"/>
    </w:pPr>
  </w:p>
  <w:p w14:paraId="24C1ED21" w14:textId="77777777" w:rsidR="00250B0E" w:rsidRDefault="00250B0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0480B" w14:textId="5699BA4B" w:rsidR="00250B0E" w:rsidRDefault="00322E2A" w:rsidP="00322E2A">
    <w:pPr>
      <w:pStyle w:val="Header"/>
      <w:rPr>
        <w:color w:val="000000"/>
        <w:sz w:val="17"/>
      </w:rPr>
    </w:pPr>
    <w:bookmarkStart w:id="20" w:name="TITUS4HeaderPrimary"/>
    <w:r>
      <w:rPr>
        <w:color w:val="000000"/>
        <w:sz w:val="17"/>
      </w:rPr>
      <w:t> </w:t>
    </w:r>
  </w:p>
  <w:bookmarkEnd w:id="20"/>
  <w:p w14:paraId="495E1050" w14:textId="77777777" w:rsidR="00250B0E" w:rsidRDefault="00250B0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47E3F" w14:textId="11245BE0" w:rsidR="00250B0E" w:rsidRDefault="00322E2A" w:rsidP="00322E2A">
    <w:pPr>
      <w:pStyle w:val="Header"/>
      <w:rPr>
        <w:color w:val="000000"/>
        <w:sz w:val="17"/>
      </w:rPr>
    </w:pPr>
    <w:bookmarkStart w:id="23" w:name="TITUS4HeaderFirstPage"/>
    <w:r>
      <w:rPr>
        <w:color w:val="000000"/>
        <w:sz w:val="17"/>
      </w:rPr>
      <w:t> </w:t>
    </w:r>
  </w:p>
  <w:bookmarkEnd w:id="23"/>
  <w:p w14:paraId="64ED2DC9" w14:textId="77777777" w:rsidR="00250B0E" w:rsidRDefault="00250B0E" w:rsidP="00AD7A91">
    <w:pPr>
      <w:pStyle w:val="Header"/>
    </w:pPr>
  </w:p>
  <w:p w14:paraId="1F837D58" w14:textId="77777777" w:rsidR="00250B0E" w:rsidRDefault="00250B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934C2"/>
    <w:rsid w:val="00250B0E"/>
    <w:rsid w:val="002C458D"/>
    <w:rsid w:val="00322E2A"/>
    <w:rsid w:val="004F1098"/>
    <w:rsid w:val="00536896"/>
    <w:rsid w:val="00621EDF"/>
    <w:rsid w:val="00763CB3"/>
    <w:rsid w:val="00795C11"/>
    <w:rsid w:val="00810ADD"/>
    <w:rsid w:val="00846F01"/>
    <w:rsid w:val="00893149"/>
    <w:rsid w:val="009178EA"/>
    <w:rsid w:val="009E333B"/>
    <w:rsid w:val="00A15ED7"/>
    <w:rsid w:val="00A741C5"/>
    <w:rsid w:val="00AD7A91"/>
    <w:rsid w:val="00B8357D"/>
    <w:rsid w:val="00BB18E4"/>
    <w:rsid w:val="00CF7B26"/>
    <w:rsid w:val="00D76CF9"/>
    <w:rsid w:val="00DC3BA2"/>
    <w:rsid w:val="00F84916"/>
    <w:rsid w:val="00FF774E"/>
    <w:rsid w:val="0860B511"/>
    <w:rsid w:val="0A1E30FF"/>
    <w:rsid w:val="0CC06466"/>
    <w:rsid w:val="124B3E78"/>
    <w:rsid w:val="1A3706BB"/>
    <w:rsid w:val="230E8587"/>
    <w:rsid w:val="2497CF2C"/>
    <w:rsid w:val="26429D2F"/>
    <w:rsid w:val="3025346F"/>
    <w:rsid w:val="33D7A529"/>
    <w:rsid w:val="3899A0CF"/>
    <w:rsid w:val="502D20D9"/>
    <w:rsid w:val="5523DACC"/>
    <w:rsid w:val="60DC7F1B"/>
    <w:rsid w:val="6837A979"/>
    <w:rsid w:val="6E29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unhideWhenUsed/>
    <w:rsid w:val="00AD7A91"/>
    <w:rPr>
      <w:color w:val="0000FF"/>
      <w:u w:val="single"/>
    </w:rPr>
  </w:style>
  <w:style w:type="character" w:styleId="Emphasis">
    <w:name w:val="Emphasis"/>
    <w:basedOn w:val="DefaultParagraphFont"/>
    <w:uiPriority w:val="20"/>
    <w:qFormat/>
    <w:rsid w:val="00AD7A91"/>
    <w:rPr>
      <w:i/>
      <w:iCs/>
    </w:rPr>
  </w:style>
  <w:style w:type="character" w:styleId="Strong">
    <w:name w:val="Strong"/>
    <w:basedOn w:val="DefaultParagraphFont"/>
    <w:uiPriority w:val="22"/>
    <w:qFormat/>
    <w:rsid w:val="00AD7A91"/>
    <w:rPr>
      <w:b/>
      <w:bCs/>
    </w:rPr>
  </w:style>
  <w:style w:type="paragraph" w:styleId="Header">
    <w:name w:val="header"/>
    <w:basedOn w:val="Normal"/>
    <w:link w:val="HeaderChar"/>
    <w:uiPriority w:val="99"/>
    <w:unhideWhenUsed/>
    <w:rsid w:val="00AD7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rriam-webster.com/dictionary/empirical" TargetMode="External"/><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merriam-webster.com/dictionary/criticism" TargetMode="External"/><Relationship Id="rId17" Type="http://schemas.openxmlformats.org/officeDocument/2006/relationships/hyperlink" Target="https://jesip.org.uk/joint-decision-model" TargetMode="External"/><Relationship Id="rId25" Type="http://schemas.openxmlformats.org/officeDocument/2006/relationships/header" Target="header5.xml"/><Relationship Id="rId33" Type="http://schemas.openxmlformats.org/officeDocument/2006/relationships/footer" Target="footer8.xm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yperlink" Target="https://jesip.org.uk/five-principles" TargetMode="External"/><Relationship Id="rId20" Type="http://schemas.openxmlformats.org/officeDocument/2006/relationships/footer" Target="footer1.xml"/><Relationship Id="rId29" Type="http://schemas.openxmlformats.org/officeDocument/2006/relationships/footer" Target="footer6.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styles" Target="styles.xml"/><Relationship Id="rId15" Type="http://schemas.openxmlformats.org/officeDocument/2006/relationships/hyperlink" Target="http://www.jesip.org.uk/joint-doctrine"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image" Target="media/image1.png"/><Relationship Id="rId19" Type="http://schemas.openxmlformats.org/officeDocument/2006/relationships/header" Target="header2.xml"/><Relationship Id="rId31"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jesip.org.uk/uploads/media/pdf/JESIP_Joint_Doctrine-The_Interoperability_Framework_%5bedition_2-July-2016%5d.pdf"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http://purl.org/dc/dcmitype/"/>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infopath/2007/PartnerControl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8404</Words>
  <Characters>47909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Willmett,Benjamin swp6550</cp:lastModifiedBy>
  <cp:revision>5</cp:revision>
  <cp:lastPrinted>2020-03-18T13:24:00Z</cp:lastPrinted>
  <dcterms:created xsi:type="dcterms:W3CDTF">2020-10-07T10:22:00Z</dcterms:created>
  <dcterms:modified xsi:type="dcterms:W3CDTF">2021-07-12T10:43:00Z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2ca50a91-57c3-43c7-9164-60d4e0bba354</vt:lpwstr>
  </property>
  <property fmtid="{D5CDD505-2E9C-101B-9397-08002B2CF9AE}" pid="4" name="Classification">
    <vt:lpwstr>OFFICIAL</vt:lpwstr>
  </property>
  <property fmtid="{D5CDD505-2E9C-101B-9397-08002B2CF9AE}" pid="5" name="Visibility">
    <vt:lpwstr>NOT VISIBLE</vt:lpwstr>
  </property>
</Properties>
</file>