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71606" w14:textId="77777777" w:rsidR="007B6F4B" w:rsidRPr="00B44054" w:rsidRDefault="007B6F4B" w:rsidP="00C33807">
      <w:pPr>
        <w:spacing w:before="1200" w:line="360" w:lineRule="auto"/>
        <w:rPr>
          <w:color w:val="000000" w:themeColor="text1"/>
        </w:rPr>
      </w:pPr>
    </w:p>
    <w:p w14:paraId="4F44C42A" w14:textId="77777777" w:rsidR="007B6F4B" w:rsidRPr="00B44054" w:rsidRDefault="0099243F" w:rsidP="00C33807">
      <w:pPr>
        <w:spacing w:line="360" w:lineRule="auto"/>
        <w:jc w:val="center"/>
        <w:rPr>
          <w:color w:val="000000" w:themeColor="text1"/>
        </w:rPr>
      </w:pPr>
      <w:r>
        <w:rPr>
          <w:b/>
          <w:bCs/>
          <w:color w:val="000000" w:themeColor="text1"/>
        </w:rPr>
        <w:t>UNDERSTANDING THE IMPORTANCE OF STAKEHOLDER ENGAGEMENT</w:t>
      </w:r>
    </w:p>
    <w:p w14:paraId="1C264CE3" w14:textId="77777777" w:rsidR="007B6F4B" w:rsidRPr="00B44054" w:rsidRDefault="0099243F" w:rsidP="00C33807">
      <w:pPr>
        <w:spacing w:before="200" w:line="360" w:lineRule="auto"/>
        <w:jc w:val="center"/>
        <w:rPr>
          <w:color w:val="000000" w:themeColor="text1"/>
        </w:rPr>
      </w:pPr>
      <w:r>
        <w:rPr>
          <w:b/>
          <w:bCs/>
          <w:color w:val="000000" w:themeColor="text1"/>
        </w:rPr>
        <w:t>IN THE SUCCESSFUL COMMENCEMENT AND COMPLETION OF A PROJECT</w:t>
      </w:r>
    </w:p>
    <w:p w14:paraId="04605AD7" w14:textId="77777777" w:rsidR="007B6F4B" w:rsidRPr="00B44054" w:rsidRDefault="007B6F4B" w:rsidP="00C33807">
      <w:pPr>
        <w:spacing w:before="400" w:line="360" w:lineRule="auto"/>
        <w:rPr>
          <w:color w:val="000000" w:themeColor="text1"/>
        </w:rPr>
      </w:pPr>
    </w:p>
    <w:p w14:paraId="7F898A52" w14:textId="77777777" w:rsidR="007B6F4B" w:rsidRPr="00B44054" w:rsidRDefault="0099243F" w:rsidP="00C33807">
      <w:pPr>
        <w:spacing w:line="360" w:lineRule="auto"/>
        <w:jc w:val="center"/>
        <w:rPr>
          <w:color w:val="000000" w:themeColor="text1"/>
        </w:rPr>
      </w:pPr>
      <w:r>
        <w:rPr>
          <w:i/>
          <w:iCs/>
          <w:color w:val="000000" w:themeColor="text1"/>
        </w:rPr>
        <w:t>Project: Launch of “ConnectPlus”</w:t>
      </w:r>
    </w:p>
    <w:p w14:paraId="5A8C7009" w14:textId="77777777" w:rsidR="007B6F4B" w:rsidRPr="00B44054" w:rsidRDefault="0099243F" w:rsidP="00C33807">
      <w:pPr>
        <w:spacing w:before="100" w:line="360" w:lineRule="auto"/>
        <w:jc w:val="center"/>
        <w:rPr>
          <w:color w:val="000000" w:themeColor="text1"/>
        </w:rPr>
      </w:pPr>
      <w:r>
        <w:rPr>
          <w:color w:val="000000" w:themeColor="text1"/>
        </w:rPr>
        <w:t>Next-Generation AI-Driven Customer Loyalty &amp; Engagement Platform</w:t>
      </w:r>
    </w:p>
    <w:p w14:paraId="58B2FA09" w14:textId="77777777" w:rsidR="007B6F4B" w:rsidRPr="00B44054" w:rsidRDefault="0099243F" w:rsidP="00C33807">
      <w:pPr>
        <w:spacing w:before="300" w:line="360" w:lineRule="auto"/>
        <w:jc w:val="center"/>
        <w:rPr>
          <w:color w:val="000000" w:themeColor="text1"/>
        </w:rPr>
      </w:pPr>
      <w:r>
        <w:rPr>
          <w:b/>
          <w:bCs/>
          <w:color w:val="000000" w:themeColor="text1"/>
        </w:rPr>
        <w:t>Organisation: J Sainsbury plc (Sainsbury’s)</w:t>
      </w:r>
    </w:p>
    <w:p w14:paraId="652F1345" w14:textId="77777777" w:rsidR="007B6F4B" w:rsidRPr="00B44054" w:rsidRDefault="0099243F" w:rsidP="00C33807">
      <w:pPr>
        <w:spacing w:before="100" w:line="360" w:lineRule="auto"/>
        <w:jc w:val="center"/>
        <w:rPr>
          <w:color w:val="000000" w:themeColor="text1"/>
        </w:rPr>
      </w:pPr>
      <w:r>
        <w:rPr>
          <w:color w:val="000000" w:themeColor="text1"/>
        </w:rPr>
        <w:t>Leading UK Supermarket and Retail Group</w:t>
      </w:r>
    </w:p>
    <w:p w14:paraId="5A031C66" w14:textId="77777777" w:rsidR="007B6F4B" w:rsidRPr="00B44054" w:rsidRDefault="007B6F4B" w:rsidP="00C33807">
      <w:pPr>
        <w:spacing w:before="600" w:line="360" w:lineRule="auto"/>
        <w:rPr>
          <w:color w:val="000000" w:themeColor="text1"/>
        </w:rPr>
      </w:pPr>
    </w:p>
    <w:p w14:paraId="44656932" w14:textId="77777777" w:rsidR="007B6F4B" w:rsidRPr="00B44054" w:rsidRDefault="0099243F" w:rsidP="00C33807">
      <w:pPr>
        <w:spacing w:line="360" w:lineRule="auto"/>
        <w:jc w:val="center"/>
        <w:rPr>
          <w:color w:val="000000" w:themeColor="text1"/>
        </w:rPr>
      </w:pPr>
      <w:r>
        <w:rPr>
          <w:color w:val="000000" w:themeColor="text1"/>
        </w:rPr>
        <w:t>Student Name: Alex Valentin Ismail</w:t>
      </w:r>
    </w:p>
    <w:p w14:paraId="01816B79" w14:textId="77777777" w:rsidR="007B6F4B" w:rsidRPr="00B44054" w:rsidRDefault="0099243F" w:rsidP="00C33807">
      <w:pPr>
        <w:spacing w:before="80" w:line="360" w:lineRule="auto"/>
        <w:jc w:val="center"/>
        <w:rPr>
          <w:color w:val="000000" w:themeColor="text1"/>
        </w:rPr>
      </w:pPr>
      <w:r>
        <w:rPr>
          <w:color w:val="000000" w:themeColor="text1"/>
        </w:rPr>
        <w:t>Student ID: 2435353</w:t>
      </w:r>
    </w:p>
    <w:p w14:paraId="5D04BF4C" w14:textId="77777777" w:rsidR="007B6F4B" w:rsidRPr="00B44054" w:rsidRDefault="0099243F" w:rsidP="00C33807">
      <w:pPr>
        <w:spacing w:before="80" w:line="360" w:lineRule="auto"/>
        <w:jc w:val="center"/>
        <w:rPr>
          <w:color w:val="000000" w:themeColor="text1"/>
        </w:rPr>
      </w:pPr>
      <w:r>
        <w:rPr>
          <w:color w:val="000000" w:themeColor="text1"/>
        </w:rPr>
        <w:t>Module: LCLM5001 – Understanding and Engaging Stakeholders</w:t>
      </w:r>
    </w:p>
    <w:p w14:paraId="1FA9B362" w14:textId="77777777" w:rsidR="007B6F4B" w:rsidRPr="00B44054" w:rsidRDefault="0099243F" w:rsidP="00C33807">
      <w:pPr>
        <w:spacing w:before="200" w:line="360" w:lineRule="auto"/>
        <w:jc w:val="center"/>
        <w:rPr>
          <w:color w:val="000000" w:themeColor="text1"/>
        </w:rPr>
      </w:pPr>
      <w:r>
        <w:rPr>
          <w:color w:val="000000" w:themeColor="text1"/>
        </w:rPr>
        <w:t>Module Leader: Eric Osei / Nadeem Mirza</w:t>
      </w:r>
    </w:p>
    <w:p w14:paraId="4C538C18" w14:textId="77777777" w:rsidR="007B6F4B" w:rsidRPr="00B44054" w:rsidRDefault="0099243F" w:rsidP="00C33807">
      <w:pPr>
        <w:spacing w:line="360" w:lineRule="auto"/>
        <w:rPr>
          <w:color w:val="000000" w:themeColor="text1"/>
        </w:rPr>
      </w:pPr>
      <w:r>
        <w:rPr>
          <w:color w:val="000000" w:themeColor="text1"/>
        </w:rPr>
        <w:br w:type="page"/>
      </w:r>
    </w:p>
    <w:p w14:paraId="3C325839" w14:textId="77777777" w:rsidR="007B6F4B" w:rsidRDefault="0099243F" w:rsidP="00C33807">
      <w:pPr>
        <w:pStyle w:val="Heading1"/>
        <w:spacing w:line="360" w:lineRule="auto"/>
        <w:rPr>
          <w:color w:val="000000" w:themeColor="text1"/>
          <w:sz w:val="22"/>
          <w:szCs w:val="22"/>
        </w:rPr>
      </w:pPr>
      <w:r>
        <w:rPr>
          <w:color w:val="000000" w:themeColor="text1"/>
          <w:sz w:val="22"/>
          <w:szCs w:val="22"/>
        </w:rPr>
        <w:lastRenderedPageBreak/>
        <w:t>Table of Contents</w:t>
      </w:r>
    </w:p>
    <w:p w14:paraId="5FFA1A44" w14:textId="500917C3" w:rsidR="00C53B28" w:rsidRDefault="00C53B28" w:rsidP="00C33807">
      <w:pPr>
        <w:pStyle w:val="Heading1"/>
        <w:spacing w:line="360" w:lineRule="auto"/>
        <w:rPr>
          <w:b w:val="0"/>
          <w:bCs w:val="0"/>
          <w:color w:val="000000" w:themeColor="text1"/>
          <w:sz w:val="22"/>
          <w:szCs w:val="22"/>
        </w:rPr>
      </w:pPr>
      <w:r>
        <w:rPr>
          <w:b w:val="0"/>
          <w:bCs w:val="0"/>
          <w:color w:val="000000" w:themeColor="text1"/>
          <w:sz w:val="22"/>
          <w:szCs w:val="22"/>
        </w:rPr>
        <w:t>Title page……………………………………………………………</w:t>
      </w:r>
      <w:r w:rsidR="00502A1F">
        <w:rPr>
          <w:b w:val="0"/>
          <w:bCs w:val="0"/>
          <w:color w:val="000000" w:themeColor="text1"/>
          <w:sz w:val="22"/>
          <w:szCs w:val="22"/>
        </w:rPr>
        <w:t>……….</w:t>
      </w:r>
      <w:r>
        <w:rPr>
          <w:b w:val="0"/>
          <w:bCs w:val="0"/>
          <w:color w:val="000000" w:themeColor="text1"/>
          <w:sz w:val="22"/>
          <w:szCs w:val="22"/>
        </w:rPr>
        <w:t>…</w:t>
      </w:r>
      <w:r w:rsidR="00502A1F">
        <w:rPr>
          <w:b w:val="0"/>
          <w:bCs w:val="0"/>
          <w:color w:val="000000" w:themeColor="text1"/>
          <w:sz w:val="22"/>
          <w:szCs w:val="22"/>
        </w:rPr>
        <w:t>……</w:t>
      </w:r>
      <w:r>
        <w:rPr>
          <w:b w:val="0"/>
          <w:bCs w:val="0"/>
          <w:color w:val="000000" w:themeColor="text1"/>
          <w:sz w:val="22"/>
          <w:szCs w:val="22"/>
        </w:rPr>
        <w:t>…</w:t>
      </w:r>
      <w:r w:rsidR="00502A1F">
        <w:rPr>
          <w:b w:val="0"/>
          <w:bCs w:val="0"/>
          <w:color w:val="000000" w:themeColor="text1"/>
          <w:sz w:val="22"/>
          <w:szCs w:val="22"/>
        </w:rPr>
        <w:t>.</w:t>
      </w:r>
      <w:r>
        <w:rPr>
          <w:b w:val="0"/>
          <w:bCs w:val="0"/>
          <w:color w:val="000000" w:themeColor="text1"/>
          <w:sz w:val="22"/>
          <w:szCs w:val="22"/>
        </w:rPr>
        <w:t>…</w:t>
      </w:r>
      <w:r w:rsidR="00502A1F">
        <w:rPr>
          <w:b w:val="0"/>
          <w:bCs w:val="0"/>
          <w:color w:val="000000" w:themeColor="text1"/>
          <w:sz w:val="22"/>
          <w:szCs w:val="22"/>
        </w:rPr>
        <w:t>.</w:t>
      </w:r>
      <w:r w:rsidR="009607AF">
        <w:rPr>
          <w:b w:val="0"/>
          <w:bCs w:val="0"/>
          <w:color w:val="000000" w:themeColor="text1"/>
          <w:sz w:val="22"/>
          <w:szCs w:val="22"/>
        </w:rPr>
        <w:t>1</w:t>
      </w:r>
    </w:p>
    <w:p w14:paraId="11F46731" w14:textId="4ED6D8AB" w:rsidR="009607AF" w:rsidRPr="00C53B28" w:rsidRDefault="009607AF" w:rsidP="00C33807">
      <w:pPr>
        <w:pStyle w:val="Heading1"/>
        <w:spacing w:line="360" w:lineRule="auto"/>
        <w:rPr>
          <w:b w:val="0"/>
          <w:bCs w:val="0"/>
          <w:color w:val="000000" w:themeColor="text1"/>
          <w:sz w:val="22"/>
          <w:szCs w:val="22"/>
        </w:rPr>
      </w:pPr>
      <w:r>
        <w:rPr>
          <w:b w:val="0"/>
          <w:bCs w:val="0"/>
          <w:color w:val="000000" w:themeColor="text1"/>
          <w:sz w:val="22"/>
          <w:szCs w:val="22"/>
        </w:rPr>
        <w:t>Table of Contents…………………………………………………………</w:t>
      </w:r>
      <w:r w:rsidR="00DF5BCB">
        <w:rPr>
          <w:b w:val="0"/>
          <w:bCs w:val="0"/>
          <w:color w:val="000000" w:themeColor="text1"/>
          <w:sz w:val="22"/>
          <w:szCs w:val="22"/>
        </w:rPr>
        <w:t>…</w:t>
      </w:r>
      <w:r w:rsidR="00502A1F">
        <w:rPr>
          <w:b w:val="0"/>
          <w:bCs w:val="0"/>
          <w:color w:val="000000" w:themeColor="text1"/>
          <w:sz w:val="22"/>
          <w:szCs w:val="22"/>
        </w:rPr>
        <w:t>…………….</w:t>
      </w:r>
      <w:r>
        <w:rPr>
          <w:b w:val="0"/>
          <w:bCs w:val="0"/>
          <w:color w:val="000000" w:themeColor="text1"/>
          <w:sz w:val="22"/>
          <w:szCs w:val="22"/>
        </w:rPr>
        <w:t>2/3</w:t>
      </w:r>
    </w:p>
    <w:p w14:paraId="4C91A986" w14:textId="3DF17E91" w:rsidR="00512C7E" w:rsidRPr="00C53B28" w:rsidRDefault="00512C7E" w:rsidP="00C33807">
      <w:pPr>
        <w:pStyle w:val="Heading1"/>
        <w:spacing w:line="360" w:lineRule="auto"/>
        <w:rPr>
          <w:b w:val="0"/>
          <w:bCs w:val="0"/>
          <w:color w:val="000000" w:themeColor="text1"/>
          <w:sz w:val="22"/>
          <w:szCs w:val="22"/>
        </w:rPr>
      </w:pPr>
      <w:r>
        <w:rPr>
          <w:b w:val="0"/>
          <w:bCs w:val="0"/>
          <w:color w:val="000000" w:themeColor="text1"/>
          <w:sz w:val="22"/>
          <w:szCs w:val="22"/>
        </w:rPr>
        <w:t>Executive Summary……………………………………………………</w:t>
      </w:r>
      <w:r w:rsidR="00502A1F">
        <w:rPr>
          <w:b w:val="0"/>
          <w:bCs w:val="0"/>
          <w:color w:val="000000" w:themeColor="text1"/>
          <w:sz w:val="22"/>
          <w:szCs w:val="22"/>
        </w:rPr>
        <w:t>……….</w:t>
      </w:r>
      <w:r>
        <w:rPr>
          <w:b w:val="0"/>
          <w:bCs w:val="0"/>
          <w:color w:val="000000" w:themeColor="text1"/>
          <w:sz w:val="22"/>
          <w:szCs w:val="22"/>
        </w:rPr>
        <w:t>…</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4</w:t>
      </w:r>
    </w:p>
    <w:p w14:paraId="3C3A4122" w14:textId="00DA54B4" w:rsidR="00512C7E" w:rsidRPr="00C53B28" w:rsidRDefault="00512C7E" w:rsidP="00C33807">
      <w:pPr>
        <w:pStyle w:val="Heading1"/>
        <w:spacing w:line="360" w:lineRule="auto"/>
        <w:rPr>
          <w:b w:val="0"/>
          <w:bCs w:val="0"/>
          <w:color w:val="000000" w:themeColor="text1"/>
          <w:sz w:val="22"/>
          <w:szCs w:val="22"/>
        </w:rPr>
      </w:pPr>
      <w:r>
        <w:rPr>
          <w:b w:val="0"/>
          <w:bCs w:val="0"/>
          <w:color w:val="000000" w:themeColor="text1"/>
          <w:sz w:val="22"/>
          <w:szCs w:val="22"/>
        </w:rPr>
        <w:t>1. Introduction………………………………………………………………</w:t>
      </w:r>
      <w:r w:rsidR="00502A1F">
        <w:rPr>
          <w:b w:val="0"/>
          <w:bCs w:val="0"/>
          <w:color w:val="000000" w:themeColor="text1"/>
          <w:sz w:val="22"/>
          <w:szCs w:val="22"/>
        </w:rPr>
        <w:t>………….…....</w:t>
      </w:r>
      <w:r w:rsidR="009A0FF9">
        <w:rPr>
          <w:b w:val="0"/>
          <w:bCs w:val="0"/>
          <w:color w:val="000000" w:themeColor="text1"/>
          <w:sz w:val="22"/>
          <w:szCs w:val="22"/>
        </w:rPr>
        <w:t>4</w:t>
      </w:r>
    </w:p>
    <w:p w14:paraId="176B1E20" w14:textId="607C5D98" w:rsidR="00512C7E" w:rsidRPr="00C53B28" w:rsidRDefault="00512C7E" w:rsidP="00C33807">
      <w:pPr>
        <w:pStyle w:val="Heading2"/>
        <w:spacing w:line="360" w:lineRule="auto"/>
        <w:rPr>
          <w:b w:val="0"/>
          <w:bCs w:val="0"/>
          <w:color w:val="000000" w:themeColor="text1"/>
          <w:sz w:val="22"/>
          <w:szCs w:val="22"/>
        </w:rPr>
      </w:pPr>
      <w:r>
        <w:rPr>
          <w:b w:val="0"/>
          <w:bCs w:val="0"/>
          <w:color w:val="000000" w:themeColor="text1"/>
          <w:sz w:val="22"/>
          <w:szCs w:val="22"/>
        </w:rPr>
        <w:t>1.1 About Sainsbury’s………………………………………………………</w:t>
      </w:r>
      <w:r w:rsidR="00502A1F">
        <w:rPr>
          <w:b w:val="0"/>
          <w:bCs w:val="0"/>
          <w:color w:val="000000" w:themeColor="text1"/>
          <w:sz w:val="22"/>
          <w:szCs w:val="22"/>
        </w:rPr>
        <w:t>……….………</w:t>
      </w:r>
      <w:r w:rsidR="009A0FF9">
        <w:rPr>
          <w:b w:val="0"/>
          <w:bCs w:val="0"/>
          <w:color w:val="000000" w:themeColor="text1"/>
          <w:sz w:val="22"/>
          <w:szCs w:val="22"/>
        </w:rPr>
        <w:t>4/5</w:t>
      </w:r>
    </w:p>
    <w:p w14:paraId="36BD5513" w14:textId="34B34B5F" w:rsidR="00512C7E" w:rsidRPr="00C53B28" w:rsidRDefault="00512C7E" w:rsidP="00C33807">
      <w:pPr>
        <w:pStyle w:val="Heading2"/>
        <w:spacing w:line="360" w:lineRule="auto"/>
        <w:rPr>
          <w:b w:val="0"/>
          <w:bCs w:val="0"/>
          <w:color w:val="000000" w:themeColor="text1"/>
          <w:sz w:val="22"/>
          <w:szCs w:val="22"/>
        </w:rPr>
      </w:pPr>
      <w:r>
        <w:rPr>
          <w:b w:val="0"/>
          <w:bCs w:val="0"/>
          <w:color w:val="000000" w:themeColor="text1"/>
          <w:sz w:val="22"/>
          <w:szCs w:val="22"/>
        </w:rPr>
        <w:t xml:space="preserve">1.2 The </w:t>
      </w:r>
      <w:proofErr w:type="spellStart"/>
      <w:r>
        <w:rPr>
          <w:b w:val="0"/>
          <w:bCs w:val="0"/>
          <w:color w:val="000000" w:themeColor="text1"/>
          <w:sz w:val="22"/>
          <w:szCs w:val="22"/>
        </w:rPr>
        <w:t>ConnectPlus</w:t>
      </w:r>
      <w:proofErr w:type="spellEnd"/>
      <w:r>
        <w:rPr>
          <w:b w:val="0"/>
          <w:bCs w:val="0"/>
          <w:color w:val="000000" w:themeColor="text1"/>
          <w:sz w:val="22"/>
          <w:szCs w:val="22"/>
        </w:rPr>
        <w:t xml:space="preserve"> Project……………………………………………………</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5</w:t>
      </w:r>
    </w:p>
    <w:p w14:paraId="6CC32F7D" w14:textId="2E485978" w:rsidR="00512C7E" w:rsidRPr="00C53B28" w:rsidRDefault="00512C7E" w:rsidP="00C33807">
      <w:pPr>
        <w:pStyle w:val="Heading2"/>
        <w:spacing w:line="360" w:lineRule="auto"/>
        <w:rPr>
          <w:b w:val="0"/>
          <w:bCs w:val="0"/>
          <w:color w:val="000000" w:themeColor="text1"/>
          <w:sz w:val="22"/>
          <w:szCs w:val="22"/>
        </w:rPr>
      </w:pPr>
      <w:r>
        <w:rPr>
          <w:b w:val="0"/>
          <w:bCs w:val="0"/>
          <w:color w:val="000000" w:themeColor="text1"/>
          <w:sz w:val="22"/>
          <w:szCs w:val="22"/>
        </w:rPr>
        <w:t>1.3 Purpose and Scope of This Report………………………………………</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5</w:t>
      </w:r>
    </w:p>
    <w:p w14:paraId="2D641CC2" w14:textId="49E640BD" w:rsidR="00512C7E" w:rsidRPr="00C53B28" w:rsidRDefault="00512C7E" w:rsidP="00C33807">
      <w:pPr>
        <w:pStyle w:val="Heading1"/>
        <w:spacing w:line="360" w:lineRule="auto"/>
        <w:rPr>
          <w:b w:val="0"/>
          <w:bCs w:val="0"/>
          <w:color w:val="000000" w:themeColor="text1"/>
          <w:sz w:val="22"/>
          <w:szCs w:val="22"/>
        </w:rPr>
      </w:pPr>
      <w:r>
        <w:rPr>
          <w:b w:val="0"/>
          <w:bCs w:val="0"/>
          <w:color w:val="000000" w:themeColor="text1"/>
          <w:sz w:val="22"/>
          <w:szCs w:val="22"/>
        </w:rPr>
        <w:t>2. SMART Objectives for Stakeholder Engagement…………………………</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5</w:t>
      </w:r>
    </w:p>
    <w:p w14:paraId="7231709E" w14:textId="3A5CDEFD" w:rsidR="007C6F75" w:rsidRPr="00C53B28" w:rsidRDefault="007C6F75" w:rsidP="00C33807">
      <w:pPr>
        <w:pStyle w:val="Heading2"/>
        <w:spacing w:line="360" w:lineRule="auto"/>
        <w:rPr>
          <w:b w:val="0"/>
          <w:bCs w:val="0"/>
          <w:color w:val="000000" w:themeColor="text1"/>
          <w:sz w:val="22"/>
          <w:szCs w:val="22"/>
        </w:rPr>
      </w:pPr>
      <w:r>
        <w:rPr>
          <w:b w:val="0"/>
          <w:bCs w:val="0"/>
          <w:color w:val="000000" w:themeColor="text1"/>
          <w:sz w:val="22"/>
          <w:szCs w:val="22"/>
        </w:rPr>
        <w:t xml:space="preserve">2.1 Figure 1: SWOT Analysis for Stakeholder Engagement in the </w:t>
      </w:r>
      <w:proofErr w:type="spellStart"/>
      <w:r>
        <w:rPr>
          <w:b w:val="0"/>
          <w:bCs w:val="0"/>
          <w:color w:val="000000" w:themeColor="text1"/>
          <w:sz w:val="22"/>
          <w:szCs w:val="22"/>
        </w:rPr>
        <w:t>ConnectPlus</w:t>
      </w:r>
      <w:proofErr w:type="spellEnd"/>
      <w:r>
        <w:rPr>
          <w:b w:val="0"/>
          <w:bCs w:val="0"/>
          <w:color w:val="000000" w:themeColor="text1"/>
          <w:sz w:val="22"/>
          <w:szCs w:val="22"/>
        </w:rPr>
        <w:t xml:space="preserve"> Project…………………</w:t>
      </w:r>
      <w:r w:rsidR="009A0FF9">
        <w:rPr>
          <w:b w:val="0"/>
          <w:bCs w:val="0"/>
          <w:color w:val="000000" w:themeColor="text1"/>
          <w:sz w:val="22"/>
          <w:szCs w:val="22"/>
        </w:rPr>
        <w:t>……………………………………………………………</w:t>
      </w:r>
      <w:r w:rsidR="00502A1F">
        <w:rPr>
          <w:b w:val="0"/>
          <w:bCs w:val="0"/>
          <w:color w:val="000000" w:themeColor="text1"/>
          <w:sz w:val="22"/>
          <w:szCs w:val="22"/>
        </w:rPr>
        <w:t>………</w:t>
      </w:r>
      <w:r w:rsidR="003E1654">
        <w:rPr>
          <w:b w:val="0"/>
          <w:bCs w:val="0"/>
          <w:color w:val="000000" w:themeColor="text1"/>
          <w:sz w:val="22"/>
          <w:szCs w:val="22"/>
        </w:rPr>
        <w:t>….</w:t>
      </w:r>
      <w:r w:rsidR="009A0FF9">
        <w:rPr>
          <w:b w:val="0"/>
          <w:bCs w:val="0"/>
          <w:color w:val="000000" w:themeColor="text1"/>
          <w:sz w:val="22"/>
          <w:szCs w:val="22"/>
        </w:rPr>
        <w:t>6/7</w:t>
      </w:r>
    </w:p>
    <w:p w14:paraId="2279C979" w14:textId="0F2363F1" w:rsidR="007C6F75" w:rsidRPr="00C53B28" w:rsidRDefault="007C6F75" w:rsidP="00C33807">
      <w:pPr>
        <w:pStyle w:val="Heading1"/>
        <w:spacing w:line="360" w:lineRule="auto"/>
        <w:rPr>
          <w:b w:val="0"/>
          <w:bCs w:val="0"/>
          <w:color w:val="000000" w:themeColor="text1"/>
          <w:sz w:val="22"/>
          <w:szCs w:val="22"/>
        </w:rPr>
      </w:pPr>
      <w:r>
        <w:rPr>
          <w:b w:val="0"/>
          <w:bCs w:val="0"/>
          <w:color w:val="000000" w:themeColor="text1"/>
          <w:sz w:val="22"/>
          <w:szCs w:val="22"/>
        </w:rPr>
        <w:t>3. Identification and Categorisation of Key Stakeholders……………………………</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7</w:t>
      </w:r>
    </w:p>
    <w:p w14:paraId="73A4A773" w14:textId="22A50650"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3.1 Internal Stakeholders…………………………………………………</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7/8</w:t>
      </w:r>
    </w:p>
    <w:p w14:paraId="6D0E6E82" w14:textId="500CC001"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3.2 External Stakeholders…………………………………………………</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8</w:t>
      </w:r>
    </w:p>
    <w:p w14:paraId="2255A7B8" w14:textId="13937E4B"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3.3 Figure 2: Mendelow’s Power/Interest Matrix……………………………………</w:t>
      </w:r>
      <w:r w:rsidR="00502A1F">
        <w:rPr>
          <w:b w:val="0"/>
          <w:bCs w:val="0"/>
          <w:color w:val="000000" w:themeColor="text1"/>
          <w:sz w:val="22"/>
          <w:szCs w:val="22"/>
        </w:rPr>
        <w:t>….</w:t>
      </w:r>
      <w:r>
        <w:rPr>
          <w:b w:val="0"/>
          <w:bCs w:val="0"/>
          <w:color w:val="000000" w:themeColor="text1"/>
          <w:sz w:val="22"/>
          <w:szCs w:val="22"/>
        </w:rPr>
        <w:t>…</w:t>
      </w:r>
      <w:r w:rsidR="009A0FF9">
        <w:rPr>
          <w:b w:val="0"/>
          <w:bCs w:val="0"/>
          <w:color w:val="000000" w:themeColor="text1"/>
          <w:sz w:val="22"/>
          <w:szCs w:val="22"/>
        </w:rPr>
        <w:t>8/9</w:t>
      </w:r>
    </w:p>
    <w:p w14:paraId="7C097BB6" w14:textId="69A89F72"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3.4 Table 1: Stakeholder Salience Model………………………………………………….</w:t>
      </w:r>
      <w:r w:rsidR="009A0FF9">
        <w:rPr>
          <w:b w:val="0"/>
          <w:bCs w:val="0"/>
          <w:color w:val="000000" w:themeColor="text1"/>
          <w:sz w:val="22"/>
          <w:szCs w:val="22"/>
        </w:rPr>
        <w:t>9</w:t>
      </w:r>
    </w:p>
    <w:p w14:paraId="6BD95D4E" w14:textId="409CC816" w:rsidR="000339DB" w:rsidRPr="00C53B28" w:rsidRDefault="000339DB" w:rsidP="00C33807">
      <w:pPr>
        <w:pStyle w:val="Heading2"/>
        <w:spacing w:line="360" w:lineRule="auto"/>
        <w:rPr>
          <w:b w:val="0"/>
          <w:bCs w:val="0"/>
          <w:color w:val="000000" w:themeColor="text1"/>
          <w:sz w:val="22"/>
          <w:szCs w:val="22"/>
        </w:rPr>
      </w:pPr>
      <w:r w:rsidRPr="007F4FF8">
        <w:rPr>
          <w:b w:val="0"/>
          <w:bCs w:val="0"/>
          <w:color w:val="000000" w:themeColor="text1"/>
          <w:sz w:val="22"/>
          <w:szCs w:val="22"/>
        </w:rPr>
        <w:t xml:space="preserve">3.5 Table 2: RACI Matrix for Key </w:t>
      </w:r>
      <w:proofErr w:type="spellStart"/>
      <w:r w:rsidRPr="007F4FF8">
        <w:rPr>
          <w:b w:val="0"/>
          <w:bCs w:val="0"/>
          <w:color w:val="000000" w:themeColor="text1"/>
          <w:sz w:val="22"/>
          <w:szCs w:val="22"/>
        </w:rPr>
        <w:t>ConnectPlus</w:t>
      </w:r>
      <w:proofErr w:type="spellEnd"/>
      <w:r w:rsidRPr="007F4FF8">
        <w:rPr>
          <w:b w:val="0"/>
          <w:bCs w:val="0"/>
          <w:color w:val="000000" w:themeColor="text1"/>
          <w:sz w:val="22"/>
          <w:szCs w:val="22"/>
        </w:rPr>
        <w:t xml:space="preserve"> Activities……………………………</w:t>
      </w:r>
      <w:r w:rsidR="00502A1F" w:rsidRPr="007F4FF8">
        <w:rPr>
          <w:b w:val="0"/>
          <w:bCs w:val="0"/>
          <w:color w:val="000000" w:themeColor="text1"/>
          <w:sz w:val="22"/>
          <w:szCs w:val="22"/>
        </w:rPr>
        <w:t>…</w:t>
      </w:r>
      <w:r w:rsidR="00502A1F">
        <w:rPr>
          <w:b w:val="0"/>
          <w:bCs w:val="0"/>
          <w:color w:val="000000" w:themeColor="text1"/>
          <w:sz w:val="22"/>
          <w:szCs w:val="22"/>
        </w:rPr>
        <w:t>.</w:t>
      </w:r>
      <w:r w:rsidR="009A0FF9">
        <w:rPr>
          <w:b w:val="0"/>
          <w:bCs w:val="0"/>
          <w:color w:val="000000" w:themeColor="text1"/>
          <w:sz w:val="22"/>
          <w:szCs w:val="22"/>
        </w:rPr>
        <w:t>10</w:t>
      </w:r>
    </w:p>
    <w:p w14:paraId="250C7CF3" w14:textId="4ABDFEAE" w:rsidR="000339DB" w:rsidRPr="00C53B28" w:rsidRDefault="000339DB" w:rsidP="00C33807">
      <w:pPr>
        <w:pStyle w:val="Heading1"/>
        <w:spacing w:line="360" w:lineRule="auto"/>
        <w:rPr>
          <w:b w:val="0"/>
          <w:bCs w:val="0"/>
          <w:color w:val="000000" w:themeColor="text1"/>
          <w:sz w:val="22"/>
          <w:szCs w:val="22"/>
        </w:rPr>
      </w:pPr>
      <w:r w:rsidRPr="007F4FF8">
        <w:rPr>
          <w:b w:val="0"/>
          <w:bCs w:val="0"/>
          <w:color w:val="000000" w:themeColor="text1"/>
          <w:sz w:val="22"/>
          <w:szCs w:val="22"/>
        </w:rPr>
        <w:t>4. Roles, Responsibilities, Benefits and Challenges of Key Stakeholders……………</w:t>
      </w:r>
      <w:r w:rsidR="007F4FF8">
        <w:rPr>
          <w:b w:val="0"/>
          <w:bCs w:val="0"/>
          <w:color w:val="000000" w:themeColor="text1"/>
          <w:sz w:val="22"/>
          <w:szCs w:val="22"/>
        </w:rPr>
        <w:t>10/11/12</w:t>
      </w:r>
    </w:p>
    <w:p w14:paraId="37C7CE90" w14:textId="28F1160A" w:rsidR="000339DB" w:rsidRPr="00C53B28" w:rsidRDefault="000339DB" w:rsidP="00C33807">
      <w:pPr>
        <w:pStyle w:val="Heading1"/>
        <w:spacing w:line="360" w:lineRule="auto"/>
        <w:rPr>
          <w:b w:val="0"/>
          <w:bCs w:val="0"/>
          <w:color w:val="000000" w:themeColor="text1"/>
          <w:sz w:val="22"/>
          <w:szCs w:val="22"/>
        </w:rPr>
      </w:pPr>
      <w:r>
        <w:rPr>
          <w:b w:val="0"/>
          <w:bCs w:val="0"/>
          <w:color w:val="000000" w:themeColor="text1"/>
          <w:sz w:val="22"/>
          <w:szCs w:val="22"/>
        </w:rPr>
        <w:t>5. Process for Engaging Stakeholders and Managing Conflict………………………</w:t>
      </w:r>
      <w:r w:rsidR="00502A1F">
        <w:rPr>
          <w:b w:val="0"/>
          <w:bCs w:val="0"/>
          <w:color w:val="000000" w:themeColor="text1"/>
          <w:sz w:val="22"/>
          <w:szCs w:val="22"/>
        </w:rPr>
        <w:t>...</w:t>
      </w:r>
      <w:r>
        <w:rPr>
          <w:b w:val="0"/>
          <w:bCs w:val="0"/>
          <w:color w:val="000000" w:themeColor="text1"/>
          <w:sz w:val="22"/>
          <w:szCs w:val="22"/>
        </w:rPr>
        <w:t>.</w:t>
      </w:r>
      <w:r w:rsidR="007F4FF8">
        <w:rPr>
          <w:b w:val="0"/>
          <w:bCs w:val="0"/>
          <w:color w:val="000000" w:themeColor="text1"/>
          <w:sz w:val="22"/>
          <w:szCs w:val="22"/>
        </w:rPr>
        <w:t>12</w:t>
      </w:r>
    </w:p>
    <w:p w14:paraId="2F912245" w14:textId="1271425C"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5.1 Figure 3: SWANS and OWANS Framework………………………………</w:t>
      </w:r>
      <w:r w:rsidR="00502A1F">
        <w:rPr>
          <w:b w:val="0"/>
          <w:bCs w:val="0"/>
          <w:color w:val="000000" w:themeColor="text1"/>
          <w:sz w:val="22"/>
          <w:szCs w:val="22"/>
        </w:rPr>
        <w:t>…………</w:t>
      </w:r>
      <w:r>
        <w:rPr>
          <w:b w:val="0"/>
          <w:bCs w:val="0"/>
          <w:color w:val="000000" w:themeColor="text1"/>
          <w:sz w:val="22"/>
          <w:szCs w:val="22"/>
        </w:rPr>
        <w:t>.</w:t>
      </w:r>
      <w:r w:rsidR="007F4FF8">
        <w:rPr>
          <w:b w:val="0"/>
          <w:bCs w:val="0"/>
          <w:color w:val="000000" w:themeColor="text1"/>
          <w:sz w:val="22"/>
          <w:szCs w:val="22"/>
        </w:rPr>
        <w:t>12</w:t>
      </w:r>
    </w:p>
    <w:p w14:paraId="67CAD747" w14:textId="77413031"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lastRenderedPageBreak/>
        <w:t>5.2 Table 3: Tailored Communication Plan……………………………………</w:t>
      </w:r>
      <w:r w:rsidR="00502A1F">
        <w:rPr>
          <w:b w:val="0"/>
          <w:bCs w:val="0"/>
          <w:color w:val="000000" w:themeColor="text1"/>
          <w:sz w:val="22"/>
          <w:szCs w:val="22"/>
        </w:rPr>
        <w:t>…………</w:t>
      </w:r>
      <w:r>
        <w:rPr>
          <w:b w:val="0"/>
          <w:bCs w:val="0"/>
          <w:color w:val="000000" w:themeColor="text1"/>
          <w:sz w:val="22"/>
          <w:szCs w:val="22"/>
        </w:rPr>
        <w:t>.</w:t>
      </w:r>
      <w:r w:rsidR="007F4FF8">
        <w:rPr>
          <w:b w:val="0"/>
          <w:bCs w:val="0"/>
          <w:color w:val="000000" w:themeColor="text1"/>
          <w:sz w:val="22"/>
          <w:szCs w:val="22"/>
        </w:rPr>
        <w:t>12</w:t>
      </w:r>
      <w:r w:rsidR="009607AF">
        <w:rPr>
          <w:b w:val="0"/>
          <w:bCs w:val="0"/>
          <w:color w:val="000000" w:themeColor="text1"/>
          <w:sz w:val="22"/>
          <w:szCs w:val="22"/>
        </w:rPr>
        <w:t>/13</w:t>
      </w:r>
    </w:p>
    <w:p w14:paraId="3A8A175F" w14:textId="1AE2AEE8"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5.3 Table 4: Seven-Stage Stakeholder Engagement Process………………………</w:t>
      </w:r>
      <w:r w:rsidR="00502A1F">
        <w:rPr>
          <w:b w:val="0"/>
          <w:bCs w:val="0"/>
          <w:color w:val="000000" w:themeColor="text1"/>
          <w:sz w:val="22"/>
          <w:szCs w:val="22"/>
        </w:rPr>
        <w:t>.</w:t>
      </w:r>
      <w:r>
        <w:rPr>
          <w:b w:val="0"/>
          <w:bCs w:val="0"/>
          <w:color w:val="000000" w:themeColor="text1"/>
          <w:sz w:val="22"/>
          <w:szCs w:val="22"/>
        </w:rPr>
        <w:t>…</w:t>
      </w:r>
      <w:r w:rsidR="007F4FF8" w:rsidRPr="009607AF">
        <w:rPr>
          <w:b w:val="0"/>
          <w:bCs w:val="0"/>
          <w:color w:val="000000" w:themeColor="text1"/>
          <w:sz w:val="22"/>
          <w:szCs w:val="22"/>
        </w:rPr>
        <w:t>13/14</w:t>
      </w:r>
    </w:p>
    <w:p w14:paraId="760EF1C5" w14:textId="257DABDB"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5.4 Managing Conflict Constructively………………………………………………</w:t>
      </w:r>
      <w:r w:rsidR="00502A1F">
        <w:rPr>
          <w:b w:val="0"/>
          <w:bCs w:val="0"/>
          <w:color w:val="000000" w:themeColor="text1"/>
          <w:sz w:val="22"/>
          <w:szCs w:val="22"/>
        </w:rPr>
        <w:t>………</w:t>
      </w:r>
      <w:r>
        <w:rPr>
          <w:b w:val="0"/>
          <w:bCs w:val="0"/>
          <w:color w:val="000000" w:themeColor="text1"/>
          <w:sz w:val="22"/>
          <w:szCs w:val="22"/>
        </w:rPr>
        <w:t>.</w:t>
      </w:r>
      <w:r w:rsidR="009607AF" w:rsidRPr="009607AF">
        <w:rPr>
          <w:b w:val="0"/>
          <w:bCs w:val="0"/>
          <w:color w:val="000000" w:themeColor="text1"/>
          <w:sz w:val="22"/>
          <w:szCs w:val="22"/>
        </w:rPr>
        <w:t>14</w:t>
      </w:r>
    </w:p>
    <w:p w14:paraId="0D2CD4FB" w14:textId="128B857B" w:rsidR="000339DB" w:rsidRPr="00C53B28" w:rsidRDefault="000339DB" w:rsidP="00C33807">
      <w:pPr>
        <w:pStyle w:val="Heading1"/>
        <w:spacing w:line="360" w:lineRule="auto"/>
        <w:rPr>
          <w:b w:val="0"/>
          <w:bCs w:val="0"/>
          <w:color w:val="000000" w:themeColor="text1"/>
          <w:sz w:val="22"/>
          <w:szCs w:val="22"/>
        </w:rPr>
      </w:pPr>
      <w:r>
        <w:rPr>
          <w:b w:val="0"/>
          <w:bCs w:val="0"/>
          <w:color w:val="000000" w:themeColor="text1"/>
          <w:sz w:val="22"/>
          <w:szCs w:val="22"/>
        </w:rPr>
        <w:t>6. Evaluating the Impact of Sustainable Stakeholder Engagement on Business Performance…………</w:t>
      </w:r>
      <w:r w:rsidR="009607AF">
        <w:rPr>
          <w:b w:val="0"/>
          <w:bCs w:val="0"/>
          <w:color w:val="000000" w:themeColor="text1"/>
          <w:sz w:val="22"/>
          <w:szCs w:val="22"/>
        </w:rPr>
        <w:t>14</w:t>
      </w:r>
    </w:p>
    <w:p w14:paraId="3D10D856" w14:textId="02F956CF"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6.1 Table 5: Impact Pathways of Sustainable Stakeholder Engagement………</w:t>
      </w:r>
      <w:r w:rsidR="00502A1F">
        <w:rPr>
          <w:b w:val="0"/>
          <w:bCs w:val="0"/>
          <w:color w:val="000000" w:themeColor="text1"/>
          <w:sz w:val="22"/>
          <w:szCs w:val="22"/>
        </w:rPr>
        <w:t>…………………</w:t>
      </w:r>
      <w:r>
        <w:rPr>
          <w:b w:val="0"/>
          <w:bCs w:val="0"/>
          <w:color w:val="000000" w:themeColor="text1"/>
          <w:sz w:val="22"/>
          <w:szCs w:val="22"/>
        </w:rPr>
        <w:t>.</w:t>
      </w:r>
      <w:r w:rsidR="009607AF">
        <w:rPr>
          <w:b w:val="0"/>
          <w:bCs w:val="0"/>
          <w:color w:val="000000" w:themeColor="text1"/>
          <w:sz w:val="22"/>
          <w:szCs w:val="22"/>
        </w:rPr>
        <w:t>14/15</w:t>
      </w:r>
    </w:p>
    <w:p w14:paraId="207025D7" w14:textId="66C37767" w:rsidR="000339DB" w:rsidRPr="00C53B28" w:rsidRDefault="000339DB" w:rsidP="00C33807">
      <w:pPr>
        <w:pStyle w:val="Heading1"/>
        <w:spacing w:line="360" w:lineRule="auto"/>
        <w:rPr>
          <w:b w:val="0"/>
          <w:bCs w:val="0"/>
          <w:color w:val="000000" w:themeColor="text1"/>
          <w:sz w:val="22"/>
          <w:szCs w:val="22"/>
        </w:rPr>
      </w:pPr>
      <w:r>
        <w:rPr>
          <w:b w:val="0"/>
          <w:bCs w:val="0"/>
          <w:color w:val="000000" w:themeColor="text1"/>
          <w:sz w:val="22"/>
          <w:szCs w:val="22"/>
        </w:rPr>
        <w:t>7. Recommendations and Conclusion…………………………</w:t>
      </w:r>
      <w:r w:rsidR="00502A1F">
        <w:rPr>
          <w:b w:val="0"/>
          <w:bCs w:val="0"/>
          <w:color w:val="000000" w:themeColor="text1"/>
          <w:sz w:val="22"/>
          <w:szCs w:val="22"/>
        </w:rPr>
        <w:t>………………………………….</w:t>
      </w:r>
      <w:r w:rsidR="009607AF">
        <w:rPr>
          <w:b w:val="0"/>
          <w:bCs w:val="0"/>
          <w:color w:val="000000" w:themeColor="text1"/>
          <w:sz w:val="22"/>
          <w:szCs w:val="22"/>
        </w:rPr>
        <w:t>15</w:t>
      </w:r>
    </w:p>
    <w:p w14:paraId="4945CC35" w14:textId="6A54F859"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7.1 Recommendations………………………………………</w:t>
      </w:r>
      <w:r w:rsidR="00502A1F">
        <w:rPr>
          <w:b w:val="0"/>
          <w:bCs w:val="0"/>
          <w:color w:val="000000" w:themeColor="text1"/>
          <w:sz w:val="22"/>
          <w:szCs w:val="22"/>
        </w:rPr>
        <w:t>……………………………………….</w:t>
      </w:r>
      <w:r>
        <w:rPr>
          <w:b w:val="0"/>
          <w:bCs w:val="0"/>
          <w:color w:val="000000" w:themeColor="text1"/>
          <w:sz w:val="22"/>
          <w:szCs w:val="22"/>
        </w:rPr>
        <w:t>…</w:t>
      </w:r>
      <w:r w:rsidR="009607AF">
        <w:rPr>
          <w:b w:val="0"/>
          <w:bCs w:val="0"/>
          <w:color w:val="000000" w:themeColor="text1"/>
          <w:sz w:val="22"/>
          <w:szCs w:val="22"/>
        </w:rPr>
        <w:t>15/16</w:t>
      </w:r>
    </w:p>
    <w:p w14:paraId="105F1350" w14:textId="11226E0E" w:rsidR="000339DB" w:rsidRPr="00C53B28" w:rsidRDefault="000339DB" w:rsidP="00C33807">
      <w:pPr>
        <w:pStyle w:val="Heading2"/>
        <w:spacing w:line="360" w:lineRule="auto"/>
        <w:rPr>
          <w:b w:val="0"/>
          <w:bCs w:val="0"/>
          <w:color w:val="000000" w:themeColor="text1"/>
          <w:sz w:val="22"/>
          <w:szCs w:val="22"/>
        </w:rPr>
      </w:pPr>
      <w:r>
        <w:rPr>
          <w:b w:val="0"/>
          <w:bCs w:val="0"/>
          <w:color w:val="000000" w:themeColor="text1"/>
          <w:sz w:val="22"/>
          <w:szCs w:val="22"/>
        </w:rPr>
        <w:t>7.2 Conclusion………………………………………………</w:t>
      </w:r>
      <w:r w:rsidR="00502A1F">
        <w:rPr>
          <w:b w:val="0"/>
          <w:bCs w:val="0"/>
          <w:color w:val="000000" w:themeColor="text1"/>
          <w:sz w:val="22"/>
          <w:szCs w:val="22"/>
        </w:rPr>
        <w:t>…………………………………….</w:t>
      </w:r>
      <w:r>
        <w:rPr>
          <w:b w:val="0"/>
          <w:bCs w:val="0"/>
          <w:color w:val="000000" w:themeColor="text1"/>
          <w:sz w:val="22"/>
          <w:szCs w:val="22"/>
        </w:rPr>
        <w:t>…….</w:t>
      </w:r>
      <w:r w:rsidR="009607AF">
        <w:rPr>
          <w:b w:val="0"/>
          <w:bCs w:val="0"/>
          <w:color w:val="000000" w:themeColor="text1"/>
          <w:sz w:val="22"/>
          <w:szCs w:val="22"/>
        </w:rPr>
        <w:t>16</w:t>
      </w:r>
    </w:p>
    <w:p w14:paraId="388CDA70" w14:textId="1E8631B4" w:rsidR="000339DB" w:rsidRPr="00C53B28" w:rsidRDefault="000339DB" w:rsidP="00C33807">
      <w:pPr>
        <w:pStyle w:val="Heading1"/>
        <w:spacing w:line="360" w:lineRule="auto"/>
        <w:rPr>
          <w:b w:val="0"/>
          <w:bCs w:val="0"/>
          <w:color w:val="000000" w:themeColor="text1"/>
          <w:sz w:val="22"/>
          <w:szCs w:val="22"/>
        </w:rPr>
      </w:pPr>
      <w:r>
        <w:rPr>
          <w:b w:val="0"/>
          <w:bCs w:val="0"/>
          <w:color w:val="000000" w:themeColor="text1"/>
          <w:sz w:val="22"/>
          <w:szCs w:val="22"/>
        </w:rPr>
        <w:t>References………………………………</w:t>
      </w:r>
      <w:r w:rsidR="00502A1F">
        <w:rPr>
          <w:b w:val="0"/>
          <w:bCs w:val="0"/>
          <w:color w:val="000000" w:themeColor="text1"/>
          <w:sz w:val="22"/>
          <w:szCs w:val="22"/>
        </w:rPr>
        <w:t>……………………………………………………………..</w:t>
      </w:r>
      <w:r>
        <w:rPr>
          <w:b w:val="0"/>
          <w:bCs w:val="0"/>
          <w:color w:val="000000" w:themeColor="text1"/>
          <w:sz w:val="22"/>
          <w:szCs w:val="22"/>
        </w:rPr>
        <w:t>.</w:t>
      </w:r>
      <w:r w:rsidR="009607AF">
        <w:rPr>
          <w:b w:val="0"/>
          <w:bCs w:val="0"/>
          <w:color w:val="000000" w:themeColor="text1"/>
          <w:sz w:val="22"/>
          <w:szCs w:val="22"/>
        </w:rPr>
        <w:t>17/18</w:t>
      </w:r>
    </w:p>
    <w:p w14:paraId="6B51B4AA" w14:textId="77777777" w:rsidR="000339DB" w:rsidRPr="00C53B28" w:rsidRDefault="000339DB" w:rsidP="00C33807">
      <w:pPr>
        <w:pStyle w:val="Heading2"/>
        <w:spacing w:line="360" w:lineRule="auto"/>
        <w:rPr>
          <w:b w:val="0"/>
          <w:bCs w:val="0"/>
          <w:color w:val="000000" w:themeColor="text1"/>
          <w:sz w:val="22"/>
          <w:szCs w:val="22"/>
        </w:rPr>
      </w:pPr>
    </w:p>
    <w:p w14:paraId="2EF1E15A" w14:textId="77777777" w:rsidR="000339DB" w:rsidRPr="00C53B28" w:rsidRDefault="000339DB" w:rsidP="00C33807">
      <w:pPr>
        <w:pStyle w:val="Heading2"/>
        <w:spacing w:line="360" w:lineRule="auto"/>
        <w:rPr>
          <w:b w:val="0"/>
          <w:bCs w:val="0"/>
          <w:color w:val="000000" w:themeColor="text1"/>
          <w:sz w:val="22"/>
          <w:szCs w:val="22"/>
        </w:rPr>
      </w:pPr>
    </w:p>
    <w:p w14:paraId="72C6A21B" w14:textId="77777777" w:rsidR="000339DB" w:rsidRPr="00C53B28" w:rsidRDefault="000339DB" w:rsidP="00C33807">
      <w:pPr>
        <w:pStyle w:val="Heading1"/>
        <w:spacing w:line="360" w:lineRule="auto"/>
        <w:rPr>
          <w:b w:val="0"/>
          <w:bCs w:val="0"/>
          <w:color w:val="000000" w:themeColor="text1"/>
          <w:sz w:val="22"/>
          <w:szCs w:val="22"/>
        </w:rPr>
      </w:pPr>
    </w:p>
    <w:p w14:paraId="03C7BB7C" w14:textId="77777777" w:rsidR="000339DB" w:rsidRPr="00B44054" w:rsidRDefault="000339DB" w:rsidP="00C33807">
      <w:pPr>
        <w:pStyle w:val="Heading2"/>
        <w:spacing w:line="360" w:lineRule="auto"/>
        <w:rPr>
          <w:color w:val="000000" w:themeColor="text1"/>
          <w:sz w:val="22"/>
          <w:szCs w:val="22"/>
        </w:rPr>
      </w:pPr>
    </w:p>
    <w:p w14:paraId="4741A983" w14:textId="77777777" w:rsidR="000339DB" w:rsidRPr="00B44054" w:rsidRDefault="000339DB" w:rsidP="00C33807">
      <w:pPr>
        <w:pStyle w:val="Heading1"/>
        <w:spacing w:line="360" w:lineRule="auto"/>
        <w:rPr>
          <w:color w:val="000000" w:themeColor="text1"/>
          <w:sz w:val="22"/>
          <w:szCs w:val="22"/>
        </w:rPr>
      </w:pPr>
    </w:p>
    <w:p w14:paraId="15A2448F" w14:textId="77777777" w:rsidR="000339DB" w:rsidRPr="00B44054" w:rsidRDefault="000339DB" w:rsidP="00C33807">
      <w:pPr>
        <w:pStyle w:val="Heading2"/>
        <w:spacing w:line="360" w:lineRule="auto"/>
        <w:rPr>
          <w:color w:val="000000" w:themeColor="text1"/>
          <w:sz w:val="22"/>
          <w:szCs w:val="22"/>
        </w:rPr>
      </w:pPr>
    </w:p>
    <w:p w14:paraId="0B5FD22E" w14:textId="77777777" w:rsidR="000339DB" w:rsidRPr="00B44054" w:rsidRDefault="000339DB" w:rsidP="00C33807">
      <w:pPr>
        <w:pStyle w:val="Heading2"/>
        <w:spacing w:line="360" w:lineRule="auto"/>
        <w:rPr>
          <w:color w:val="000000" w:themeColor="text1"/>
          <w:sz w:val="22"/>
          <w:szCs w:val="22"/>
        </w:rPr>
      </w:pPr>
    </w:p>
    <w:p w14:paraId="18E594CC" w14:textId="77777777" w:rsidR="000339DB" w:rsidRPr="00B44054" w:rsidRDefault="000339DB" w:rsidP="00C33807">
      <w:pPr>
        <w:pStyle w:val="Heading2"/>
        <w:spacing w:line="360" w:lineRule="auto"/>
        <w:rPr>
          <w:color w:val="000000" w:themeColor="text1"/>
          <w:sz w:val="22"/>
          <w:szCs w:val="22"/>
        </w:rPr>
      </w:pPr>
    </w:p>
    <w:p w14:paraId="66F1DD7C" w14:textId="77777777" w:rsidR="000339DB" w:rsidRPr="00B44054" w:rsidRDefault="000339DB" w:rsidP="00C33807">
      <w:pPr>
        <w:pStyle w:val="Heading2"/>
        <w:spacing w:line="360" w:lineRule="auto"/>
        <w:rPr>
          <w:color w:val="000000" w:themeColor="text1"/>
          <w:sz w:val="22"/>
          <w:szCs w:val="22"/>
        </w:rPr>
      </w:pPr>
    </w:p>
    <w:p w14:paraId="7C6AFDA2" w14:textId="77777777" w:rsidR="000339DB" w:rsidRPr="00B44054" w:rsidRDefault="000339DB" w:rsidP="00C33807">
      <w:pPr>
        <w:pStyle w:val="Heading1"/>
        <w:spacing w:line="360" w:lineRule="auto"/>
        <w:rPr>
          <w:color w:val="000000" w:themeColor="text1"/>
          <w:sz w:val="22"/>
          <w:szCs w:val="22"/>
        </w:rPr>
      </w:pPr>
    </w:p>
    <w:p w14:paraId="376AF004" w14:textId="77777777" w:rsidR="00396577" w:rsidRPr="00B44054" w:rsidRDefault="00396577" w:rsidP="00C33807">
      <w:pPr>
        <w:pStyle w:val="Heading1"/>
        <w:spacing w:line="360" w:lineRule="auto"/>
        <w:rPr>
          <w:color w:val="000000" w:themeColor="text1"/>
          <w:sz w:val="22"/>
          <w:szCs w:val="22"/>
        </w:rPr>
      </w:pPr>
    </w:p>
    <w:p w14:paraId="6DD9E6B3" w14:textId="32EC89B0" w:rsidR="007B6F4B" w:rsidRPr="00B44054" w:rsidRDefault="0099243F" w:rsidP="00C33807">
      <w:pPr>
        <w:pStyle w:val="Heading1"/>
        <w:spacing w:line="360" w:lineRule="auto"/>
        <w:rPr>
          <w:color w:val="000000" w:themeColor="text1"/>
          <w:sz w:val="22"/>
          <w:szCs w:val="22"/>
        </w:rPr>
      </w:pPr>
      <w:r>
        <w:rPr>
          <w:color w:val="000000" w:themeColor="text1"/>
          <w:sz w:val="22"/>
          <w:szCs w:val="22"/>
        </w:rPr>
        <w:lastRenderedPageBreak/>
        <w:t>Executive Summary</w:t>
      </w:r>
    </w:p>
    <w:p w14:paraId="5B7440C9" w14:textId="77777777" w:rsidR="007B6F4B" w:rsidRPr="00B44054" w:rsidRDefault="0099243F" w:rsidP="00C33807">
      <w:pPr>
        <w:spacing w:line="360" w:lineRule="auto"/>
        <w:rPr>
          <w:color w:val="000000" w:themeColor="text1"/>
        </w:rPr>
      </w:pPr>
      <w:r>
        <w:rPr>
          <w:color w:val="000000" w:themeColor="text1"/>
        </w:rPr>
        <w:t>This report examines the critical role of stakeholder engagement in the successful design, launch, and long-term adoption of ConnectPlus, Sainsbury’s new AI-driven customer loyalty and engagement platform. As Project Manager, I am responsible for ensuring that key internal and external stakeholders are identified, prioritised, engaged, and aligned throughout the six-month rollout across Sainsbury’s UK operations.</w:t>
      </w:r>
    </w:p>
    <w:p w14:paraId="15E63E42" w14:textId="09480B5B" w:rsidR="007B6F4B" w:rsidRPr="00B44054" w:rsidRDefault="0099243F" w:rsidP="00C33807">
      <w:pPr>
        <w:spacing w:before="120" w:line="360" w:lineRule="auto"/>
        <w:rPr>
          <w:color w:val="000000" w:themeColor="text1"/>
        </w:rPr>
      </w:pPr>
      <w:r>
        <w:rPr>
          <w:color w:val="000000" w:themeColor="text1"/>
        </w:rPr>
        <w:t>Drawing on established stakeholder theory (Freeman, 1984; Mitchell, Agle and Wood, 1997) and practical frameworks from Bourne (2010) and Jeffery (2009), the report applies Mendelow’s Power/Interest Matrix and the Salience Model to categorise stakeholders. It outlines a seven-stage engagement process, supported by RACI matrices, SWANS/OWANS alignment, the 4Cs model, and tailored communication plans. Lessons from real-world cases; BAE Systems’ long-term union relations, Marks &amp; Spencer’s Plan A supply-chain collaboration, LG Electronics’ shift from communication to genuine engagement, and Cargill’s multi-stakeholder sustainability work inform the approach.</w:t>
      </w:r>
    </w:p>
    <w:p w14:paraId="3CEF1848" w14:textId="77777777" w:rsidR="007B6F4B" w:rsidRPr="00B44054" w:rsidRDefault="0099243F" w:rsidP="00C33807">
      <w:pPr>
        <w:spacing w:before="120" w:line="360" w:lineRule="auto"/>
        <w:rPr>
          <w:color w:val="000000" w:themeColor="text1"/>
        </w:rPr>
      </w:pPr>
      <w:r>
        <w:rPr>
          <w:color w:val="000000" w:themeColor="text1"/>
        </w:rPr>
        <w:t>The analysis demonstrates that sustainable, ethically grounded stakeholder engagement reduces project risk, builds trust, improves customer retention within the Nectar base, strengthens Sainsbury’s employer and brand reputation, enhances organisational capability, and supports regulatory compliance. Challenges such as engagement fatigue, resource intensity, and measuring “soft” outcomes like trust are acknowledged and mitigated through prioritisation and realistic metrics.</w:t>
      </w:r>
    </w:p>
    <w:p w14:paraId="3B8365BD" w14:textId="77777777" w:rsidR="007B6F4B" w:rsidRPr="00B44054" w:rsidRDefault="0099243F" w:rsidP="00C33807">
      <w:pPr>
        <w:spacing w:before="120" w:line="360" w:lineRule="auto"/>
        <w:rPr>
          <w:color w:val="000000" w:themeColor="text1"/>
        </w:rPr>
      </w:pPr>
      <w:r>
        <w:rPr>
          <w:color w:val="000000" w:themeColor="text1"/>
        </w:rPr>
        <w:t>Key recommendations include establishing a permanent ConnectPlus Stakeholder Council, investing in a lightweight digital engagement platform, mandating SWANS/OWANS refresh workshops at every major gate, building cross-cultural and change-management capability, and treating data ethics and privacy as core brand differentiators rather than mere compliance requirements.</w:t>
      </w:r>
    </w:p>
    <w:p w14:paraId="3AE2C67F" w14:textId="77777777" w:rsidR="007B6F4B" w:rsidRPr="00B44054" w:rsidRDefault="0099243F" w:rsidP="00C33807">
      <w:pPr>
        <w:pStyle w:val="Heading1"/>
        <w:spacing w:line="360" w:lineRule="auto"/>
        <w:rPr>
          <w:color w:val="000000" w:themeColor="text1"/>
          <w:sz w:val="22"/>
          <w:szCs w:val="22"/>
        </w:rPr>
      </w:pPr>
      <w:r>
        <w:rPr>
          <w:color w:val="000000" w:themeColor="text1"/>
          <w:sz w:val="22"/>
          <w:szCs w:val="22"/>
        </w:rPr>
        <w:t>1. Introduction</w:t>
      </w:r>
    </w:p>
    <w:p w14:paraId="28E5D0E0"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1.1 About Sainsbury’s</w:t>
      </w:r>
    </w:p>
    <w:p w14:paraId="138AF9F1" w14:textId="7FDF28BF" w:rsidR="007B6F4B" w:rsidRPr="00B44054" w:rsidRDefault="0099243F" w:rsidP="00C33807">
      <w:pPr>
        <w:spacing w:line="360" w:lineRule="auto"/>
        <w:rPr>
          <w:color w:val="000000" w:themeColor="text1"/>
        </w:rPr>
      </w:pPr>
      <w:r>
        <w:rPr>
          <w:color w:val="000000" w:themeColor="text1"/>
        </w:rPr>
        <w:t>J Sainsbury plc (commonly known as Sainsbury’s) is one of the United Kingdom’s leading supermarket and retail groups. Founded in 1869 by John James and Mary Ann Sainsbury with a single dairy shop on Drury Lane in London, the company has grown into a FTSE 100 organisation operating over 600 supermarkets and approximately 885 convenience stores, employing around 140,000 colleagues (J Sainsbury plc, 2025). It also owns Argos, Habitat, and the Tu clothing brand, and runs one of the UK’s most successful multi-partner loyalty schemes Nectar with approximately 24 million active users.</w:t>
      </w:r>
    </w:p>
    <w:p w14:paraId="55A360DA" w14:textId="09A927D4" w:rsidR="007B6F4B" w:rsidRPr="00B44054" w:rsidRDefault="0099243F" w:rsidP="00C33807">
      <w:pPr>
        <w:spacing w:before="120" w:line="360" w:lineRule="auto"/>
        <w:rPr>
          <w:color w:val="000000" w:themeColor="text1"/>
        </w:rPr>
      </w:pPr>
      <w:r>
        <w:rPr>
          <w:color w:val="000000" w:themeColor="text1"/>
        </w:rPr>
        <w:t xml:space="preserve">Sainsbury’s is currently executing its “Next Level Sainsbury’s” strategy (2024), which emphasises digital transformation and innovation acceleration, sustainability leadership with net-zero ambitions, </w:t>
      </w:r>
      <w:r>
        <w:rPr>
          <w:color w:val="000000" w:themeColor="text1"/>
        </w:rPr>
        <w:lastRenderedPageBreak/>
        <w:t>data-driven personalisation through Nectar expansion, a cultural shift towards agility, customer-centricity and inclusion, and operational excellence. The strategy explicitly recognises that success depends not only on technology and processes but on the active engagement, trust, and collaboration of a wide range of stakeholders.</w:t>
      </w:r>
    </w:p>
    <w:p w14:paraId="77C75DEA"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1.2 The ConnectPlus Project</w:t>
      </w:r>
    </w:p>
    <w:p w14:paraId="366AC83A" w14:textId="77777777" w:rsidR="007B6F4B" w:rsidRPr="00B44054" w:rsidRDefault="0099243F" w:rsidP="00C33807">
      <w:pPr>
        <w:spacing w:line="360" w:lineRule="auto"/>
        <w:rPr>
          <w:color w:val="000000" w:themeColor="text1"/>
        </w:rPr>
      </w:pPr>
      <w:r>
        <w:rPr>
          <w:color w:val="000000" w:themeColor="text1"/>
        </w:rPr>
        <w:t>ConnectPlus represents the next major evolution of Sainsbury’s digital customer relationship strategy. Planned for phased launch in six months, the platform will integrate advanced AI-driven personalised recommendations, an enhanced mobile-first rewards experience, real-time customer insight tools, and a seamless omnichannel journey across Sainsbury’s, Argos, and online channels. The commercial objectives are clear: increase customer retention and lifetime value within the existing Nectar base, generate higher-quality first-party data in a fully privacy-compliant manner, differentiate Sainsbury’s against competitors such as Tesco Clubcard and pure-play online retailers, and create a platform that can be further developed for potential international or partner markets.</w:t>
      </w:r>
    </w:p>
    <w:p w14:paraId="39903A67" w14:textId="6A4900BF" w:rsidR="007B6F4B" w:rsidRPr="00B44054" w:rsidRDefault="0099243F" w:rsidP="00C33807">
      <w:pPr>
        <w:spacing w:before="120" w:line="360" w:lineRule="auto"/>
        <w:rPr>
          <w:color w:val="000000" w:themeColor="text1"/>
        </w:rPr>
      </w:pPr>
      <w:r>
        <w:rPr>
          <w:color w:val="000000" w:themeColor="text1"/>
        </w:rPr>
        <w:t>Technical delivery alone will not guarantee success. The active support, cooperation, and genuine buy-in of stakeholders from the Board and technology partners through to frontline store colleagues, Nectar customers, regulators, investors, and local communities will be decisive. As Project Manager, I am responsible for ensuring that all key stakeholders are properly identified, analysed, engaged, and kept aligned throughout the project lifecycle.</w:t>
      </w:r>
    </w:p>
    <w:p w14:paraId="6D1D5962"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1.3 Purpose and Scope of This Report</w:t>
      </w:r>
    </w:p>
    <w:p w14:paraId="19FAE7E2" w14:textId="77777777" w:rsidR="007B6F4B" w:rsidRPr="00B44054" w:rsidRDefault="0099243F" w:rsidP="00C33807">
      <w:pPr>
        <w:spacing w:line="360" w:lineRule="auto"/>
        <w:rPr>
          <w:color w:val="000000" w:themeColor="text1"/>
        </w:rPr>
      </w:pPr>
      <w:r>
        <w:rPr>
          <w:color w:val="000000" w:themeColor="text1"/>
        </w:rPr>
        <w:t>This report adopts a practical yet critically informed project-management perspective. It sets clear SMART objectives for the engagement workstream, identifies and categorises stakeholders using proven frameworks, explains their roles and the value they bring (or risks they pose), details a robust engagement and conflict-management process, evaluates the performance impact of doing engagement well, and concludes with concrete recommendations. Academic theory is combined with lessons from well-documented industry cases so that the recommendations are both rigorous and actionable for senior management and the Board.</w:t>
      </w:r>
    </w:p>
    <w:p w14:paraId="499E9681" w14:textId="77777777" w:rsidR="007B6F4B" w:rsidRPr="00B44054" w:rsidRDefault="0099243F" w:rsidP="00C33807">
      <w:pPr>
        <w:pStyle w:val="Heading1"/>
        <w:spacing w:line="360" w:lineRule="auto"/>
        <w:rPr>
          <w:color w:val="000000" w:themeColor="text1"/>
          <w:sz w:val="22"/>
          <w:szCs w:val="22"/>
        </w:rPr>
      </w:pPr>
      <w:r>
        <w:rPr>
          <w:color w:val="000000" w:themeColor="text1"/>
          <w:sz w:val="22"/>
          <w:szCs w:val="22"/>
        </w:rPr>
        <w:t>2. SMART Objectives for Stakeholder Engagement</w:t>
      </w:r>
    </w:p>
    <w:p w14:paraId="64009EB0" w14:textId="77777777" w:rsidR="007B6F4B" w:rsidRPr="00B44054" w:rsidRDefault="0099243F" w:rsidP="00C33807">
      <w:pPr>
        <w:spacing w:line="360" w:lineRule="auto"/>
        <w:rPr>
          <w:color w:val="000000" w:themeColor="text1"/>
        </w:rPr>
      </w:pPr>
      <w:r>
        <w:rPr>
          <w:color w:val="000000" w:themeColor="text1"/>
        </w:rPr>
        <w:t>To keep the engagement workstream focused and measurable, the following SMART objectives have been set:</w:t>
      </w:r>
    </w:p>
    <w:p w14:paraId="06D4BF40" w14:textId="77777777" w:rsidR="007B6F4B" w:rsidRPr="00B44054" w:rsidRDefault="0099243F" w:rsidP="00C33807">
      <w:pPr>
        <w:pStyle w:val="ListParagraph"/>
        <w:numPr>
          <w:ilvl w:val="0"/>
          <w:numId w:val="2"/>
        </w:numPr>
        <w:spacing w:line="360" w:lineRule="auto"/>
        <w:rPr>
          <w:color w:val="000000" w:themeColor="text1"/>
        </w:rPr>
      </w:pPr>
      <w:r>
        <w:rPr>
          <w:b/>
          <w:bCs/>
          <w:color w:val="000000" w:themeColor="text1"/>
        </w:rPr>
        <w:t xml:space="preserve">Specific: </w:t>
      </w:r>
      <w:r>
        <w:rPr>
          <w:color w:val="000000" w:themeColor="text1"/>
        </w:rPr>
        <w:t>Identify, map, and prioritise all material internal and external stakeholders for ConnectPlus within the first four weeks, using at least two complementary frameworks (Mendelow’s Power/Interest Matrix and the Salience Model).</w:t>
      </w:r>
    </w:p>
    <w:p w14:paraId="2AB9B0A6" w14:textId="77777777" w:rsidR="007B6F4B" w:rsidRPr="00B44054" w:rsidRDefault="0099243F" w:rsidP="00C33807">
      <w:pPr>
        <w:pStyle w:val="ListParagraph"/>
        <w:numPr>
          <w:ilvl w:val="0"/>
          <w:numId w:val="2"/>
        </w:numPr>
        <w:spacing w:line="360" w:lineRule="auto"/>
        <w:rPr>
          <w:color w:val="000000" w:themeColor="text1"/>
        </w:rPr>
      </w:pPr>
      <w:r>
        <w:rPr>
          <w:b/>
          <w:bCs/>
          <w:color w:val="000000" w:themeColor="text1"/>
        </w:rPr>
        <w:lastRenderedPageBreak/>
        <w:t xml:space="preserve">Measurable: </w:t>
      </w:r>
      <w:r>
        <w:rPr>
          <w:color w:val="000000" w:themeColor="text1"/>
        </w:rPr>
        <w:t>Achieve at least 85% “supportive or highly supportive” rating on stakeholder pulse surveys at the end of months 2, 4, and 6; secure formal sign-off on data-privacy and ethical-AI frameworks from the Data Protection Officer and Legal before pilot launch.</w:t>
      </w:r>
    </w:p>
    <w:p w14:paraId="30BAA533" w14:textId="77777777" w:rsidR="007B6F4B" w:rsidRPr="00B44054" w:rsidRDefault="0099243F" w:rsidP="00C33807">
      <w:pPr>
        <w:pStyle w:val="ListParagraph"/>
        <w:numPr>
          <w:ilvl w:val="0"/>
          <w:numId w:val="2"/>
        </w:numPr>
        <w:spacing w:line="360" w:lineRule="auto"/>
        <w:rPr>
          <w:color w:val="000000" w:themeColor="text1"/>
        </w:rPr>
      </w:pPr>
      <w:r>
        <w:rPr>
          <w:b/>
          <w:bCs/>
          <w:color w:val="000000" w:themeColor="text1"/>
        </w:rPr>
        <w:t xml:space="preserve">Achievable: </w:t>
      </w:r>
      <w:r>
        <w:rPr>
          <w:color w:val="000000" w:themeColor="text1"/>
        </w:rPr>
        <w:t>Produce a complete RACI matrix, communication plan, and conflict-escalation protocol co-created with key departmental leads and formally endorsed by the Project Sponsor.</w:t>
      </w:r>
    </w:p>
    <w:p w14:paraId="036067A7" w14:textId="77777777" w:rsidR="007B6F4B" w:rsidRPr="00B44054" w:rsidRDefault="0099243F" w:rsidP="00C33807">
      <w:pPr>
        <w:pStyle w:val="ListParagraph"/>
        <w:numPr>
          <w:ilvl w:val="0"/>
          <w:numId w:val="2"/>
        </w:numPr>
        <w:spacing w:line="360" w:lineRule="auto"/>
        <w:rPr>
          <w:color w:val="000000" w:themeColor="text1"/>
        </w:rPr>
      </w:pPr>
      <w:r>
        <w:rPr>
          <w:b/>
          <w:bCs/>
          <w:color w:val="000000" w:themeColor="text1"/>
        </w:rPr>
        <w:t xml:space="preserve">Relevant: </w:t>
      </w:r>
      <w:r>
        <w:rPr>
          <w:color w:val="000000" w:themeColor="text1"/>
        </w:rPr>
        <w:t>Ensure every engagement activity directly supports ConnectPlus commercial goals (retention, data quality, brand differentiation) and Sainsbury’s wider ESG and customer commitments under the Next Level strategy.</w:t>
      </w:r>
    </w:p>
    <w:p w14:paraId="24752825" w14:textId="77777777" w:rsidR="007B6F4B" w:rsidRPr="00B44054" w:rsidRDefault="0099243F" w:rsidP="00C33807">
      <w:pPr>
        <w:pStyle w:val="ListParagraph"/>
        <w:numPr>
          <w:ilvl w:val="0"/>
          <w:numId w:val="2"/>
        </w:numPr>
        <w:spacing w:line="360" w:lineRule="auto"/>
        <w:rPr>
          <w:color w:val="000000" w:themeColor="text1"/>
        </w:rPr>
      </w:pPr>
      <w:r>
        <w:rPr>
          <w:b/>
          <w:bCs/>
          <w:color w:val="000000" w:themeColor="text1"/>
        </w:rPr>
        <w:t xml:space="preserve">Time-bound: </w:t>
      </w:r>
      <w:r>
        <w:rPr>
          <w:color w:val="000000" w:themeColor="text1"/>
        </w:rPr>
        <w:t>Complete full stakeholder analysis and baseline engagement plan by end of Week 4; run first store-colleague and cultural-adaptation workshops by end of Month 3; achieve “go-live ready” stakeholder alignment score by Week 22.</w:t>
      </w:r>
    </w:p>
    <w:p w14:paraId="3D91C8F1"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2.1 SWOT Analysis for Stakeholder Engagement in the ConnectPlus Project</w:t>
      </w:r>
    </w:p>
    <w:p w14:paraId="1CD6938E" w14:textId="77777777" w:rsidR="007B6F4B" w:rsidRPr="00B44054" w:rsidRDefault="0099243F" w:rsidP="00C33807">
      <w:pPr>
        <w:spacing w:line="360" w:lineRule="auto"/>
        <w:rPr>
          <w:color w:val="000000" w:themeColor="text1"/>
        </w:rPr>
      </w:pPr>
      <w:r>
        <w:rPr>
          <w:color w:val="000000" w:themeColor="text1"/>
        </w:rPr>
        <w:t>A SWOT analysis provides a structured overview of the internal and external factors that will influence the success of stakeholder engagement for ConnectPlus. It helps identify where Sainsbury’s can leverage existing strengths (such as the mature Nectar programme and strong brand trust) while addressing weaknesses in change readiness across stores. Externally, it highlights opportunities created by growing consumer demand for ethical personalisation and regulatory emphasis on data transparency, alongside threats from competitor loyalty schemes and potential engagement fatigue.</w:t>
      </w:r>
    </w:p>
    <w:p w14:paraId="6EE7656E" w14:textId="4627621D" w:rsidR="007B6F4B" w:rsidRPr="00B44054" w:rsidRDefault="0099243F" w:rsidP="00C33807">
      <w:pPr>
        <w:spacing w:before="120" w:line="360" w:lineRule="auto"/>
        <w:rPr>
          <w:color w:val="000000" w:themeColor="text1"/>
        </w:rPr>
      </w:pPr>
      <w:r>
        <w:rPr>
          <w:b/>
          <w:bCs/>
          <w:color w:val="000000" w:themeColor="text1"/>
        </w:rPr>
        <w:t>Figure 1: SWOT Analysis for Stakeholder Engagement in the ConnectPlus Project at Sainsbury’s</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40"/>
        <w:gridCol w:w="5040"/>
      </w:tblGrid>
      <w:tr w:rsidR="007B6F4B" w:rsidRPr="00B44054" w14:paraId="6CEB9EE8" w14:textId="77777777" w:rsidTr="00DC2809">
        <w:tc>
          <w:tcPr>
            <w:tcW w:w="5040" w:type="dxa"/>
            <w:tcBorders>
              <w:top w:val="single" w:sz="1" w:space="0" w:color="CCCCCC"/>
              <w:left w:val="single" w:sz="1" w:space="0" w:color="CCCCCC"/>
              <w:bottom w:val="single" w:sz="1" w:space="0" w:color="CCCCCC"/>
              <w:right w:val="single" w:sz="1" w:space="0" w:color="CCCCCC"/>
            </w:tcBorders>
            <w:shd w:val="clear" w:color="auto" w:fill="8DD873" w:themeFill="accent6" w:themeFillTint="99"/>
            <w:tcMar>
              <w:top w:w="60" w:type="dxa"/>
              <w:left w:w="80" w:type="dxa"/>
              <w:bottom w:w="60" w:type="dxa"/>
              <w:right w:w="80" w:type="dxa"/>
            </w:tcMar>
            <w:vAlign w:val="center"/>
          </w:tcPr>
          <w:p w14:paraId="3E2B2BAA" w14:textId="77777777" w:rsidR="007B6F4B" w:rsidRPr="00B44054" w:rsidRDefault="0099243F" w:rsidP="00C33807">
            <w:pPr>
              <w:spacing w:line="360" w:lineRule="auto"/>
              <w:jc w:val="center"/>
              <w:rPr>
                <w:color w:val="000000" w:themeColor="text1"/>
              </w:rPr>
            </w:pPr>
            <w:r>
              <w:rPr>
                <w:b/>
                <w:bCs/>
                <w:color w:val="000000" w:themeColor="text1"/>
              </w:rPr>
              <w:t>STRENGTHS (Internal)</w:t>
            </w:r>
          </w:p>
        </w:tc>
        <w:tc>
          <w:tcPr>
            <w:tcW w:w="5040" w:type="dxa"/>
            <w:tcBorders>
              <w:top w:val="single" w:sz="1" w:space="0" w:color="CCCCCC"/>
              <w:left w:val="single" w:sz="1" w:space="0" w:color="CCCCCC"/>
              <w:bottom w:val="single" w:sz="1" w:space="0" w:color="CCCCCC"/>
              <w:right w:val="single" w:sz="1" w:space="0" w:color="CCCCCC"/>
            </w:tcBorders>
            <w:shd w:val="clear" w:color="auto" w:fill="FF7989"/>
            <w:tcMar>
              <w:top w:w="60" w:type="dxa"/>
              <w:left w:w="80" w:type="dxa"/>
              <w:bottom w:w="60" w:type="dxa"/>
              <w:right w:w="80" w:type="dxa"/>
            </w:tcMar>
            <w:vAlign w:val="center"/>
          </w:tcPr>
          <w:p w14:paraId="1936F898" w14:textId="77777777" w:rsidR="007B6F4B" w:rsidRPr="00B44054" w:rsidRDefault="0099243F" w:rsidP="00C33807">
            <w:pPr>
              <w:spacing w:line="360" w:lineRule="auto"/>
              <w:jc w:val="center"/>
              <w:rPr>
                <w:color w:val="000000" w:themeColor="text1"/>
              </w:rPr>
            </w:pPr>
            <w:r>
              <w:rPr>
                <w:b/>
                <w:bCs/>
                <w:color w:val="000000" w:themeColor="text1"/>
              </w:rPr>
              <w:t>WEAKNESSES (Internal)</w:t>
            </w:r>
          </w:p>
        </w:tc>
      </w:tr>
      <w:tr w:rsidR="007B6F4B" w:rsidRPr="00B44054" w14:paraId="0B3FFDA6" w14:textId="77777777">
        <w:tc>
          <w:tcPr>
            <w:tcW w:w="5040" w:type="dxa"/>
            <w:tcBorders>
              <w:top w:val="single" w:sz="1" w:space="0" w:color="2E75B6"/>
              <w:left w:val="single" w:sz="1" w:space="0" w:color="2E75B6"/>
              <w:bottom w:val="single" w:sz="1" w:space="0" w:color="2E75B6"/>
              <w:right w:val="single" w:sz="1" w:space="0" w:color="2E75B6"/>
            </w:tcBorders>
            <w:tcMar>
              <w:top w:w="60" w:type="dxa"/>
              <w:left w:w="80" w:type="dxa"/>
              <w:bottom w:w="60" w:type="dxa"/>
              <w:right w:w="80" w:type="dxa"/>
            </w:tcMar>
          </w:tcPr>
          <w:p w14:paraId="263C1342" w14:textId="77777777" w:rsidR="007B6F4B" w:rsidRPr="00B44054" w:rsidRDefault="0099243F" w:rsidP="00C33807">
            <w:pPr>
              <w:spacing w:line="360" w:lineRule="auto"/>
              <w:rPr>
                <w:color w:val="000000" w:themeColor="text1"/>
              </w:rPr>
            </w:pPr>
            <w:r>
              <w:rPr>
                <w:color w:val="000000" w:themeColor="text1"/>
              </w:rPr>
              <w:t>• Mature and trusted Nectar loyalty programme with 24m+ active users</w:t>
            </w:r>
          </w:p>
          <w:p w14:paraId="69BB90E2" w14:textId="77777777" w:rsidR="007B6F4B" w:rsidRPr="00B44054" w:rsidRDefault="0099243F" w:rsidP="00C33807">
            <w:pPr>
              <w:spacing w:line="360" w:lineRule="auto"/>
              <w:rPr>
                <w:color w:val="000000" w:themeColor="text1"/>
              </w:rPr>
            </w:pPr>
            <w:r>
              <w:rPr>
                <w:color w:val="000000" w:themeColor="text1"/>
              </w:rPr>
              <w:t>• Strong existing data capabilities and customer insight infrastructure</w:t>
            </w:r>
          </w:p>
          <w:p w14:paraId="5BB219FF" w14:textId="77777777" w:rsidR="007B6F4B" w:rsidRPr="00B44054" w:rsidRDefault="0099243F" w:rsidP="00C33807">
            <w:pPr>
              <w:spacing w:line="360" w:lineRule="auto"/>
              <w:rPr>
                <w:color w:val="000000" w:themeColor="text1"/>
              </w:rPr>
            </w:pPr>
            <w:r>
              <w:rPr>
                <w:color w:val="000000" w:themeColor="text1"/>
              </w:rPr>
              <w:t>• Established brand trust and high customer footfall across 1,500+ stores</w:t>
            </w:r>
          </w:p>
          <w:p w14:paraId="5A9C3B0E" w14:textId="77777777" w:rsidR="007B6F4B" w:rsidRPr="00B44054" w:rsidRDefault="0099243F" w:rsidP="00C33807">
            <w:pPr>
              <w:spacing w:line="360" w:lineRule="auto"/>
              <w:rPr>
                <w:color w:val="000000" w:themeColor="text1"/>
              </w:rPr>
            </w:pPr>
            <w:r>
              <w:rPr>
                <w:color w:val="000000" w:themeColor="text1"/>
              </w:rPr>
              <w:t>• Recent experience with large-scale transformation (Next Level Strategy)</w:t>
            </w:r>
          </w:p>
          <w:p w14:paraId="369265BF" w14:textId="77777777" w:rsidR="007B6F4B" w:rsidRPr="00B44054" w:rsidRDefault="0099243F" w:rsidP="00C33807">
            <w:pPr>
              <w:spacing w:line="360" w:lineRule="auto"/>
              <w:rPr>
                <w:color w:val="000000" w:themeColor="text1"/>
              </w:rPr>
            </w:pPr>
            <w:r>
              <w:rPr>
                <w:color w:val="000000" w:themeColor="text1"/>
              </w:rPr>
              <w:t>• Dedicated sustainability and inclusion agenda that resonates with stakeholders</w:t>
            </w:r>
          </w:p>
        </w:tc>
        <w:tc>
          <w:tcPr>
            <w:tcW w:w="5040" w:type="dxa"/>
            <w:tcBorders>
              <w:top w:val="single" w:sz="1" w:space="0" w:color="2E75B6"/>
              <w:left w:val="single" w:sz="1" w:space="0" w:color="2E75B6"/>
              <w:bottom w:val="single" w:sz="1" w:space="0" w:color="2E75B6"/>
              <w:right w:val="single" w:sz="1" w:space="0" w:color="2E75B6"/>
            </w:tcBorders>
            <w:tcMar>
              <w:top w:w="60" w:type="dxa"/>
              <w:left w:w="80" w:type="dxa"/>
              <w:bottom w:w="60" w:type="dxa"/>
              <w:right w:w="80" w:type="dxa"/>
            </w:tcMar>
          </w:tcPr>
          <w:p w14:paraId="29562C2D" w14:textId="77777777" w:rsidR="007B6F4B" w:rsidRPr="00B44054" w:rsidRDefault="0099243F" w:rsidP="00C33807">
            <w:pPr>
              <w:spacing w:line="360" w:lineRule="auto"/>
              <w:rPr>
                <w:color w:val="000000" w:themeColor="text1"/>
              </w:rPr>
            </w:pPr>
            <w:r>
              <w:rPr>
                <w:color w:val="000000" w:themeColor="text1"/>
              </w:rPr>
              <w:t>• Potential change fatigue from multiple concurrent transformation initiatives</w:t>
            </w:r>
          </w:p>
          <w:p w14:paraId="69E98161" w14:textId="77777777" w:rsidR="007B6F4B" w:rsidRPr="00B44054" w:rsidRDefault="0099243F" w:rsidP="00C33807">
            <w:pPr>
              <w:spacing w:line="360" w:lineRule="auto"/>
              <w:rPr>
                <w:color w:val="000000" w:themeColor="text1"/>
              </w:rPr>
            </w:pPr>
            <w:r>
              <w:rPr>
                <w:color w:val="000000" w:themeColor="text1"/>
              </w:rPr>
              <w:t>• Varying levels of digital maturity and engagement capability across store teams</w:t>
            </w:r>
          </w:p>
          <w:p w14:paraId="3E154792" w14:textId="77777777" w:rsidR="007B6F4B" w:rsidRPr="00B44054" w:rsidRDefault="0099243F" w:rsidP="00C33807">
            <w:pPr>
              <w:spacing w:line="360" w:lineRule="auto"/>
              <w:rPr>
                <w:color w:val="000000" w:themeColor="text1"/>
              </w:rPr>
            </w:pPr>
            <w:r>
              <w:rPr>
                <w:color w:val="000000" w:themeColor="text1"/>
              </w:rPr>
              <w:t>• Historical siloed working between central functions (IT, Marketing, Operations)</w:t>
            </w:r>
          </w:p>
          <w:p w14:paraId="51678401" w14:textId="77777777" w:rsidR="007B6F4B" w:rsidRPr="00B44054" w:rsidRDefault="0099243F" w:rsidP="00C33807">
            <w:pPr>
              <w:spacing w:line="360" w:lineRule="auto"/>
              <w:rPr>
                <w:color w:val="000000" w:themeColor="text1"/>
              </w:rPr>
            </w:pPr>
            <w:r>
              <w:rPr>
                <w:color w:val="000000" w:themeColor="text1"/>
              </w:rPr>
              <w:t>• Limited recent experience of large-scale external stakeholder co-creation on digital products</w:t>
            </w:r>
          </w:p>
        </w:tc>
      </w:tr>
      <w:tr w:rsidR="007B6F4B" w:rsidRPr="00B44054" w14:paraId="5BA11A2A" w14:textId="77777777" w:rsidTr="00DC2809">
        <w:tc>
          <w:tcPr>
            <w:tcW w:w="5040" w:type="dxa"/>
            <w:tcBorders>
              <w:top w:val="single" w:sz="1" w:space="0" w:color="CCCCCC"/>
              <w:left w:val="single" w:sz="1" w:space="0" w:color="CCCCCC"/>
              <w:bottom w:val="single" w:sz="1" w:space="0" w:color="CCCCCC"/>
              <w:right w:val="single" w:sz="1" w:space="0" w:color="CCCCCC"/>
            </w:tcBorders>
            <w:shd w:val="clear" w:color="auto" w:fill="00B0F0"/>
            <w:tcMar>
              <w:top w:w="60" w:type="dxa"/>
              <w:left w:w="80" w:type="dxa"/>
              <w:bottom w:w="60" w:type="dxa"/>
              <w:right w:w="80" w:type="dxa"/>
            </w:tcMar>
            <w:vAlign w:val="center"/>
          </w:tcPr>
          <w:p w14:paraId="30F27045" w14:textId="77777777" w:rsidR="007B6F4B" w:rsidRPr="00B44054" w:rsidRDefault="0099243F" w:rsidP="00C33807">
            <w:pPr>
              <w:spacing w:line="360" w:lineRule="auto"/>
              <w:jc w:val="center"/>
              <w:rPr>
                <w:color w:val="000000" w:themeColor="text1"/>
              </w:rPr>
            </w:pPr>
            <w:r>
              <w:rPr>
                <w:b/>
                <w:bCs/>
                <w:color w:val="000000" w:themeColor="text1"/>
              </w:rPr>
              <w:t>OPPORTUNITIES (External)</w:t>
            </w:r>
          </w:p>
        </w:tc>
        <w:tc>
          <w:tcPr>
            <w:tcW w:w="5040" w:type="dxa"/>
            <w:tcBorders>
              <w:top w:val="single" w:sz="1" w:space="0" w:color="CCCCCC"/>
              <w:left w:val="single" w:sz="1" w:space="0" w:color="CCCCCC"/>
              <w:bottom w:val="single" w:sz="1" w:space="0" w:color="CCCCCC"/>
              <w:right w:val="single" w:sz="1" w:space="0" w:color="CCCCCC"/>
            </w:tcBorders>
            <w:shd w:val="clear" w:color="auto" w:fill="FF3F56"/>
            <w:tcMar>
              <w:top w:w="60" w:type="dxa"/>
              <w:left w:w="80" w:type="dxa"/>
              <w:bottom w:w="60" w:type="dxa"/>
              <w:right w:w="80" w:type="dxa"/>
            </w:tcMar>
            <w:vAlign w:val="center"/>
          </w:tcPr>
          <w:p w14:paraId="5FC9CBED" w14:textId="77777777" w:rsidR="007B6F4B" w:rsidRPr="00B44054" w:rsidRDefault="0099243F" w:rsidP="00C33807">
            <w:pPr>
              <w:spacing w:line="360" w:lineRule="auto"/>
              <w:jc w:val="center"/>
              <w:rPr>
                <w:color w:val="000000" w:themeColor="text1"/>
              </w:rPr>
            </w:pPr>
            <w:r>
              <w:rPr>
                <w:b/>
                <w:bCs/>
                <w:color w:val="000000" w:themeColor="text1"/>
              </w:rPr>
              <w:t>THREATS (External)</w:t>
            </w:r>
          </w:p>
        </w:tc>
      </w:tr>
      <w:tr w:rsidR="007B6F4B" w:rsidRPr="00B44054" w14:paraId="48836846" w14:textId="77777777">
        <w:tc>
          <w:tcPr>
            <w:tcW w:w="5040" w:type="dxa"/>
            <w:tcBorders>
              <w:top w:val="single" w:sz="1" w:space="0" w:color="2E75B6"/>
              <w:left w:val="single" w:sz="1" w:space="0" w:color="2E75B6"/>
              <w:bottom w:val="single" w:sz="1" w:space="0" w:color="2E75B6"/>
              <w:right w:val="single" w:sz="1" w:space="0" w:color="2E75B6"/>
            </w:tcBorders>
            <w:tcMar>
              <w:top w:w="60" w:type="dxa"/>
              <w:left w:w="80" w:type="dxa"/>
              <w:bottom w:w="60" w:type="dxa"/>
              <w:right w:w="80" w:type="dxa"/>
            </w:tcMar>
          </w:tcPr>
          <w:p w14:paraId="4E7599A5" w14:textId="77777777" w:rsidR="007B6F4B" w:rsidRPr="00B44054" w:rsidRDefault="0099243F" w:rsidP="00C33807">
            <w:pPr>
              <w:spacing w:line="360" w:lineRule="auto"/>
              <w:rPr>
                <w:color w:val="000000" w:themeColor="text1"/>
              </w:rPr>
            </w:pPr>
            <w:r>
              <w:rPr>
                <w:color w:val="000000" w:themeColor="text1"/>
              </w:rPr>
              <w:lastRenderedPageBreak/>
              <w:t>• Rising consumer demand for ethical, transparent and personalised experiences</w:t>
            </w:r>
          </w:p>
          <w:p w14:paraId="1094275C" w14:textId="77777777" w:rsidR="007B6F4B" w:rsidRPr="00B44054" w:rsidRDefault="0099243F" w:rsidP="00C33807">
            <w:pPr>
              <w:spacing w:line="360" w:lineRule="auto"/>
              <w:rPr>
                <w:color w:val="000000" w:themeColor="text1"/>
              </w:rPr>
            </w:pPr>
            <w:r>
              <w:rPr>
                <w:color w:val="000000" w:themeColor="text1"/>
              </w:rPr>
              <w:t>• Regulatory tailwinds around data transparency and AI ethics (Sainsbury’s can lead)</w:t>
            </w:r>
          </w:p>
          <w:p w14:paraId="1EB6B4CA" w14:textId="77777777" w:rsidR="007B6F4B" w:rsidRPr="00B44054" w:rsidRDefault="0099243F" w:rsidP="00C33807">
            <w:pPr>
              <w:spacing w:line="360" w:lineRule="auto"/>
              <w:rPr>
                <w:color w:val="000000" w:themeColor="text1"/>
              </w:rPr>
            </w:pPr>
            <w:r>
              <w:rPr>
                <w:color w:val="000000" w:themeColor="text1"/>
              </w:rPr>
              <w:t>• Potential for deeper partnerships with tech/AI vendors and academic institutions</w:t>
            </w:r>
          </w:p>
          <w:p w14:paraId="62425DFB" w14:textId="77777777" w:rsidR="007B6F4B" w:rsidRPr="00B44054" w:rsidRDefault="0099243F" w:rsidP="00C33807">
            <w:pPr>
              <w:spacing w:line="360" w:lineRule="auto"/>
              <w:rPr>
                <w:color w:val="000000" w:themeColor="text1"/>
              </w:rPr>
            </w:pPr>
            <w:r>
              <w:rPr>
                <w:color w:val="000000" w:themeColor="text1"/>
              </w:rPr>
              <w:t>• Growing importance of ESG credentials in investor and customer decision-making</w:t>
            </w:r>
          </w:p>
        </w:tc>
        <w:tc>
          <w:tcPr>
            <w:tcW w:w="5040" w:type="dxa"/>
            <w:tcBorders>
              <w:top w:val="single" w:sz="1" w:space="0" w:color="2E75B6"/>
              <w:left w:val="single" w:sz="1" w:space="0" w:color="2E75B6"/>
              <w:bottom w:val="single" w:sz="1" w:space="0" w:color="2E75B6"/>
              <w:right w:val="single" w:sz="1" w:space="0" w:color="2E75B6"/>
            </w:tcBorders>
            <w:tcMar>
              <w:top w:w="60" w:type="dxa"/>
              <w:left w:w="80" w:type="dxa"/>
              <w:bottom w:w="60" w:type="dxa"/>
              <w:right w:w="80" w:type="dxa"/>
            </w:tcMar>
          </w:tcPr>
          <w:p w14:paraId="271C53A8" w14:textId="77777777" w:rsidR="007B6F4B" w:rsidRPr="00B44054" w:rsidRDefault="0099243F" w:rsidP="00C33807">
            <w:pPr>
              <w:spacing w:line="360" w:lineRule="auto"/>
              <w:rPr>
                <w:color w:val="000000" w:themeColor="text1"/>
              </w:rPr>
            </w:pPr>
            <w:r>
              <w:rPr>
                <w:color w:val="000000" w:themeColor="text1"/>
              </w:rPr>
              <w:t>• Intense competition from Tesco Clubcard and other advanced loyalty programmes</w:t>
            </w:r>
          </w:p>
          <w:p w14:paraId="04C215F9" w14:textId="77777777" w:rsidR="007B6F4B" w:rsidRPr="00B44054" w:rsidRDefault="0099243F" w:rsidP="00C33807">
            <w:pPr>
              <w:spacing w:line="360" w:lineRule="auto"/>
              <w:rPr>
                <w:color w:val="000000" w:themeColor="text1"/>
              </w:rPr>
            </w:pPr>
            <w:r>
              <w:rPr>
                <w:color w:val="000000" w:themeColor="text1"/>
              </w:rPr>
              <w:t>• Heightened public and regulatory scrutiny of data use and AI personalisation</w:t>
            </w:r>
          </w:p>
          <w:p w14:paraId="24D19EF1" w14:textId="77777777" w:rsidR="007B6F4B" w:rsidRPr="00B44054" w:rsidRDefault="0099243F" w:rsidP="00C33807">
            <w:pPr>
              <w:spacing w:line="360" w:lineRule="auto"/>
              <w:rPr>
                <w:color w:val="000000" w:themeColor="text1"/>
              </w:rPr>
            </w:pPr>
            <w:r>
              <w:rPr>
                <w:color w:val="000000" w:themeColor="text1"/>
              </w:rPr>
              <w:t>• Risk of stakeholder fatigue or backlash if engagement feels tokenistic</w:t>
            </w:r>
          </w:p>
          <w:p w14:paraId="18CB40D8" w14:textId="77777777" w:rsidR="007B6F4B" w:rsidRPr="00B44054" w:rsidRDefault="0099243F" w:rsidP="00C33807">
            <w:pPr>
              <w:spacing w:line="360" w:lineRule="auto"/>
              <w:rPr>
                <w:color w:val="000000" w:themeColor="text1"/>
              </w:rPr>
            </w:pPr>
            <w:r>
              <w:rPr>
                <w:color w:val="000000" w:themeColor="text1"/>
              </w:rPr>
              <w:t>• Economic pressures that may reduce customer willingness to engage with new platforms</w:t>
            </w:r>
          </w:p>
        </w:tc>
      </w:tr>
    </w:tbl>
    <w:p w14:paraId="74441C0B" w14:textId="7497210A" w:rsidR="007B6F4B" w:rsidRPr="00B44054" w:rsidRDefault="0099243F" w:rsidP="00C33807">
      <w:pPr>
        <w:spacing w:before="80" w:line="360" w:lineRule="auto"/>
        <w:jc w:val="center"/>
        <w:rPr>
          <w:color w:val="000000" w:themeColor="text1"/>
        </w:rPr>
      </w:pPr>
      <w:r>
        <w:rPr>
          <w:i/>
          <w:iCs/>
          <w:color w:val="000000" w:themeColor="text1"/>
        </w:rPr>
        <w:t>Figure 1: SWOT Analysis for Stakeholder Engagement in the ConnectPlus Project at Sainsbury’s</w:t>
      </w:r>
    </w:p>
    <w:p w14:paraId="73F4D14C" w14:textId="77777777" w:rsidR="007B6F4B" w:rsidRPr="00B44054" w:rsidRDefault="0099243F" w:rsidP="00C33807">
      <w:pPr>
        <w:pStyle w:val="Heading1"/>
        <w:spacing w:line="360" w:lineRule="auto"/>
        <w:rPr>
          <w:color w:val="000000" w:themeColor="text1"/>
          <w:sz w:val="22"/>
          <w:szCs w:val="22"/>
        </w:rPr>
      </w:pPr>
      <w:r>
        <w:rPr>
          <w:color w:val="000000" w:themeColor="text1"/>
          <w:sz w:val="22"/>
          <w:szCs w:val="22"/>
        </w:rPr>
        <w:t>3. Identification and Categorisation of Key Stakeholders</w:t>
      </w:r>
    </w:p>
    <w:p w14:paraId="120E41D4" w14:textId="77777777" w:rsidR="007B6F4B" w:rsidRPr="00B44054" w:rsidRDefault="0099243F" w:rsidP="00C33807">
      <w:pPr>
        <w:spacing w:line="360" w:lineRule="auto"/>
        <w:rPr>
          <w:color w:val="000000" w:themeColor="text1"/>
        </w:rPr>
      </w:pPr>
      <w:r>
        <w:rPr>
          <w:color w:val="000000" w:themeColor="text1"/>
        </w:rPr>
        <w:t>Effective engagement begins with rigorous identification. Following Bourne’s (2010) five-step Stakeholder Circle approach, the project team first produced a long list of potential stakeholders through brainstorming and then refined it by examining mutuality (what each stakeholder contributes and expects in return) and the direction of their influence. Two complementary frameworks were applied to prioritise attention: Mendelow’s classic Power/Interest Matrix and Mitchell, Agle and Wood’s (1997) Salience Model.</w:t>
      </w:r>
    </w:p>
    <w:p w14:paraId="4800272D"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3.1 Internal Stakeholders</w:t>
      </w:r>
    </w:p>
    <w:p w14:paraId="48EBB5ED" w14:textId="77777777" w:rsidR="007B6F4B" w:rsidRPr="00B44054" w:rsidRDefault="0099243F" w:rsidP="00C33807">
      <w:pPr>
        <w:spacing w:line="360" w:lineRule="auto"/>
        <w:rPr>
          <w:color w:val="000000" w:themeColor="text1"/>
        </w:rPr>
      </w:pPr>
      <w:r>
        <w:rPr>
          <w:color w:val="000000" w:themeColor="text1"/>
        </w:rPr>
        <w:t>Internal stakeholders operate inside Sainsbury’s organisational boundary and usually have higher day-to-day proximity:</w:t>
      </w:r>
    </w:p>
    <w:p w14:paraId="15AF1101"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Board of Directors and Chief Executive: ultimate strategic oversight and resource decisions (definitive stakeholders).</w:t>
      </w:r>
    </w:p>
    <w:p w14:paraId="782C06E9"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Project Sponsor (Chief Digital or Customer Officer): day-to-day executive ownership and main escalation route.</w:t>
      </w:r>
    </w:p>
    <w:p w14:paraId="4C1217A6"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IT, Digital and Technology teams plus Product Owners: technical build and integration with existing Nectar, ERP, CRM, and store systems.</w:t>
      </w:r>
    </w:p>
    <w:p w14:paraId="6D2210A5"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Marketing, CRM, Nectar and Customer Experience teams: brand voice, campaign design, and loyalty mechanics.</w:t>
      </w:r>
    </w:p>
    <w:p w14:paraId="4EE585DF"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Data Protection Officer, Legal and Compliance: GDPR, UK GDPR, data ethics, and AI governance.</w:t>
      </w:r>
    </w:p>
    <w:p w14:paraId="564DA6A2"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Store Operations, Fulfilment, Argos colleagues and Frontline Store Managers: essential for consistent omnichannel delivery and successful change adoption.</w:t>
      </w:r>
    </w:p>
    <w:p w14:paraId="7BFE80E5"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HR, Finance and Internal Audit: budgeting, training, financial controls, and cultural change support.</w:t>
      </w:r>
    </w:p>
    <w:p w14:paraId="6DA3CE8B"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lastRenderedPageBreak/>
        <w:t>3.2 External Stakeholders</w:t>
      </w:r>
    </w:p>
    <w:p w14:paraId="4037A65A" w14:textId="77777777" w:rsidR="007B6F4B" w:rsidRPr="00B44054" w:rsidRDefault="0099243F" w:rsidP="00C33807">
      <w:pPr>
        <w:spacing w:line="360" w:lineRule="auto"/>
        <w:rPr>
          <w:color w:val="000000" w:themeColor="text1"/>
        </w:rPr>
      </w:pPr>
      <w:r>
        <w:rPr>
          <w:color w:val="000000" w:themeColor="text1"/>
        </w:rPr>
        <w:t>External stakeholders are equally important, particularly because ConnectPlus involves customer data and builds on the Nectar ecosystem:</w:t>
      </w:r>
    </w:p>
    <w:p w14:paraId="31F5AE47"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Customers (Nectar cardholders and prospective users): the ultimate judges of whether the platform delivers real value.</w:t>
      </w:r>
    </w:p>
    <w:p w14:paraId="392B9CA1"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Technology and AI vendors/system integrators: providers of recommendation engines and mobile infrastructure.</w:t>
      </w:r>
    </w:p>
    <w:p w14:paraId="5924A73A"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Regulators (Information Commissioner’s Office, Competition and Markets Authority): guardians of the organisation’s licence to operate.</w:t>
      </w:r>
    </w:p>
    <w:p w14:paraId="6E3034A2"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Investors and institutional shareholders: interested in digital return on investment and ESG risk.</w:t>
      </w:r>
    </w:p>
    <w:p w14:paraId="4A601F84"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Media, consumer groups and NGOs (especially those focused on privacy, AI ethics, and retail employment).</w:t>
      </w:r>
    </w:p>
    <w:p w14:paraId="64A5DDBF" w14:textId="77777777" w:rsidR="007B6F4B" w:rsidRPr="00B44054" w:rsidRDefault="0099243F" w:rsidP="00C33807">
      <w:pPr>
        <w:pStyle w:val="ListParagraph"/>
        <w:numPr>
          <w:ilvl w:val="0"/>
          <w:numId w:val="3"/>
        </w:numPr>
        <w:spacing w:line="360" w:lineRule="auto"/>
        <w:rPr>
          <w:color w:val="000000" w:themeColor="text1"/>
        </w:rPr>
      </w:pPr>
      <w:r>
        <w:rPr>
          <w:color w:val="000000" w:themeColor="text1"/>
        </w:rPr>
        <w:t>Local communities near key stores and distribution centres (particularly in the West Midlands and Birmingham region).</w:t>
      </w:r>
    </w:p>
    <w:p w14:paraId="4A38DD93" w14:textId="25E27A4C" w:rsidR="007B6F4B" w:rsidRPr="00B44054" w:rsidRDefault="0099243F" w:rsidP="00C33807">
      <w:pPr>
        <w:pStyle w:val="Heading2"/>
        <w:spacing w:line="360" w:lineRule="auto"/>
        <w:rPr>
          <w:color w:val="000000" w:themeColor="text1"/>
          <w:sz w:val="22"/>
          <w:szCs w:val="22"/>
        </w:rPr>
      </w:pPr>
      <w:r>
        <w:rPr>
          <w:color w:val="000000" w:themeColor="text1"/>
          <w:sz w:val="22"/>
          <w:szCs w:val="22"/>
        </w:rPr>
        <w:t>3.3 Figure 2: Mendelow’s Power/Interest Matrix</w:t>
      </w:r>
    </w:p>
    <w:p w14:paraId="02992D8B" w14:textId="00DBCE9F" w:rsidR="007B6F4B" w:rsidRPr="00B44054" w:rsidRDefault="0099243F" w:rsidP="00C33807">
      <w:pPr>
        <w:spacing w:line="360" w:lineRule="auto"/>
        <w:rPr>
          <w:color w:val="000000" w:themeColor="text1"/>
        </w:rPr>
      </w:pPr>
      <w:r>
        <w:rPr>
          <w:color w:val="000000" w:themeColor="text1"/>
        </w:rPr>
        <w:t>Figure 2 below presents the prioritised positioning of the most material stakeholders using Mendelow’s classic Power/Interest Matrix. Stakeholders in the top-right “Key Players” quadrant receive the highest level of engagement – co-creation workshops, weekly steering meetings and shared decision rights. Those in the “Keep Satisfied” quadrant receive regular high-level briefings so that their power is not used against the project. “Keep Informed” stakeholders receive targeted, transparent updates that maintain their interest without overwhelming them. Minimal-effort stakeholders are monitored but do not consume large amounts of project resource.</w:t>
      </w:r>
    </w:p>
    <w:p w14:paraId="4974D881" w14:textId="77777777" w:rsidR="007B6F4B" w:rsidRPr="00B44054" w:rsidRDefault="0099243F" w:rsidP="00C33807">
      <w:pPr>
        <w:spacing w:before="120" w:line="360" w:lineRule="auto"/>
        <w:rPr>
          <w:color w:val="000000" w:themeColor="text1"/>
        </w:rPr>
      </w:pPr>
      <w:r>
        <w:rPr>
          <w:i/>
          <w:iCs/>
          <w:color w:val="000000" w:themeColor="text1"/>
        </w:rPr>
        <w:t>This matrix is treated as a living document and will be reviewed at every major stage gate because power and interest can shift quickly as the project moves from design into pilot and full launch.</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686"/>
        <w:gridCol w:w="3394"/>
      </w:tblGrid>
      <w:tr w:rsidR="007B6F4B" w:rsidRPr="00B44054" w14:paraId="3D3639D9" w14:textId="77777777" w:rsidTr="009607AF">
        <w:tc>
          <w:tcPr>
            <w:tcW w:w="5040" w:type="dxa"/>
            <w:tcBorders>
              <w:top w:val="single" w:sz="1" w:space="0" w:color="CCCCCC"/>
              <w:left w:val="single" w:sz="1" w:space="0" w:color="CCCCCC"/>
              <w:bottom w:val="single" w:sz="1" w:space="0" w:color="CCCCCC"/>
              <w:right w:val="single" w:sz="1" w:space="0" w:color="CCCCCC"/>
            </w:tcBorders>
            <w:shd w:val="clear" w:color="auto" w:fill="CED0FE"/>
            <w:tcMar>
              <w:top w:w="60" w:type="dxa"/>
              <w:left w:w="80" w:type="dxa"/>
              <w:bottom w:w="60" w:type="dxa"/>
              <w:right w:w="80" w:type="dxa"/>
            </w:tcMar>
            <w:vAlign w:val="center"/>
          </w:tcPr>
          <w:p w14:paraId="22A2B0BF" w14:textId="77777777" w:rsidR="007B6F4B" w:rsidRPr="00B44054" w:rsidRDefault="0099243F" w:rsidP="00C33807">
            <w:pPr>
              <w:spacing w:line="360" w:lineRule="auto"/>
              <w:jc w:val="center"/>
              <w:rPr>
                <w:color w:val="000000" w:themeColor="text1"/>
              </w:rPr>
            </w:pPr>
            <w:r>
              <w:rPr>
                <w:b/>
                <w:bCs/>
                <w:color w:val="000000" w:themeColor="text1"/>
              </w:rPr>
              <w:t>LOW INTEREST</w:t>
            </w:r>
          </w:p>
        </w:tc>
        <w:tc>
          <w:tcPr>
            <w:tcW w:w="5040" w:type="dxa"/>
            <w:tcBorders>
              <w:top w:val="single" w:sz="1" w:space="0" w:color="CCCCCC"/>
              <w:left w:val="single" w:sz="1" w:space="0" w:color="CCCCCC"/>
              <w:bottom w:val="single" w:sz="1" w:space="0" w:color="CCCCCC"/>
              <w:right w:val="single" w:sz="1" w:space="0" w:color="CCCCCC"/>
            </w:tcBorders>
            <w:shd w:val="clear" w:color="auto" w:fill="CED0FE"/>
            <w:tcMar>
              <w:top w:w="60" w:type="dxa"/>
              <w:left w:w="80" w:type="dxa"/>
              <w:bottom w:w="60" w:type="dxa"/>
              <w:right w:w="80" w:type="dxa"/>
            </w:tcMar>
            <w:vAlign w:val="center"/>
          </w:tcPr>
          <w:p w14:paraId="56635EBC" w14:textId="77777777" w:rsidR="007B6F4B" w:rsidRPr="00B44054" w:rsidRDefault="0099243F" w:rsidP="00C33807">
            <w:pPr>
              <w:spacing w:line="360" w:lineRule="auto"/>
              <w:jc w:val="center"/>
              <w:rPr>
                <w:color w:val="000000" w:themeColor="text1"/>
              </w:rPr>
            </w:pPr>
            <w:r>
              <w:rPr>
                <w:b/>
                <w:bCs/>
                <w:color w:val="000000" w:themeColor="text1"/>
              </w:rPr>
              <w:t>HIGH INTEREST</w:t>
            </w:r>
          </w:p>
        </w:tc>
      </w:tr>
      <w:tr w:rsidR="007B6F4B" w:rsidRPr="00B44054" w14:paraId="227BF743" w14:textId="77777777" w:rsidTr="00DC2809">
        <w:tc>
          <w:tcPr>
            <w:tcW w:w="5040" w:type="dxa"/>
            <w:tcBorders>
              <w:top w:val="single" w:sz="1" w:space="0" w:color="2E75B6"/>
              <w:left w:val="single" w:sz="1" w:space="0" w:color="2E75B6"/>
              <w:bottom w:val="single" w:sz="1" w:space="0" w:color="2E75B6"/>
              <w:right w:val="single" w:sz="1" w:space="0" w:color="2E75B6"/>
            </w:tcBorders>
            <w:shd w:val="clear" w:color="auto" w:fill="FFC000"/>
            <w:tcMar>
              <w:top w:w="80" w:type="dxa"/>
              <w:left w:w="100" w:type="dxa"/>
              <w:bottom w:w="80" w:type="dxa"/>
              <w:right w:w="100" w:type="dxa"/>
            </w:tcMar>
          </w:tcPr>
          <w:p w14:paraId="645614B8" w14:textId="77777777" w:rsidR="007B6F4B" w:rsidRPr="00B44054" w:rsidRDefault="0099243F" w:rsidP="00C33807">
            <w:pPr>
              <w:spacing w:line="360" w:lineRule="auto"/>
              <w:jc w:val="center"/>
              <w:rPr>
                <w:color w:val="000000" w:themeColor="text1"/>
              </w:rPr>
            </w:pPr>
            <w:r>
              <w:rPr>
                <w:b/>
                <w:bCs/>
                <w:color w:val="000000" w:themeColor="text1"/>
              </w:rPr>
              <w:t>KEEP INFORMED</w:t>
            </w:r>
          </w:p>
          <w:p w14:paraId="5565BD58" w14:textId="77777777" w:rsidR="007B6F4B" w:rsidRPr="00B44054" w:rsidRDefault="0099243F" w:rsidP="00C33807">
            <w:pPr>
              <w:spacing w:line="360" w:lineRule="auto"/>
              <w:rPr>
                <w:color w:val="000000" w:themeColor="text1"/>
              </w:rPr>
            </w:pPr>
            <w:r>
              <w:rPr>
                <w:color w:val="000000" w:themeColor="text1"/>
              </w:rPr>
              <w:t>• Frontline Store Colleagues &amp; Managers</w:t>
            </w:r>
          </w:p>
          <w:p w14:paraId="3B1DC564" w14:textId="77777777" w:rsidR="007B6F4B" w:rsidRPr="00B44054" w:rsidRDefault="0099243F" w:rsidP="00C33807">
            <w:pPr>
              <w:spacing w:line="360" w:lineRule="auto"/>
              <w:rPr>
                <w:color w:val="000000" w:themeColor="text1"/>
              </w:rPr>
            </w:pPr>
            <w:r>
              <w:rPr>
                <w:color w:val="000000" w:themeColor="text1"/>
              </w:rPr>
              <w:t>• Local Communities (West Midlands)</w:t>
            </w:r>
          </w:p>
          <w:p w14:paraId="002A60CD" w14:textId="77777777" w:rsidR="007B6F4B" w:rsidRPr="00B44054" w:rsidRDefault="0099243F" w:rsidP="00C33807">
            <w:pPr>
              <w:spacing w:line="360" w:lineRule="auto"/>
              <w:rPr>
                <w:color w:val="000000" w:themeColor="text1"/>
              </w:rPr>
            </w:pPr>
            <w:r>
              <w:rPr>
                <w:color w:val="000000" w:themeColor="text1"/>
              </w:rPr>
              <w:t>• Some Media &amp; Consumer Groups</w:t>
            </w:r>
          </w:p>
          <w:p w14:paraId="74D05948" w14:textId="77777777" w:rsidR="007B6F4B" w:rsidRPr="00B44054" w:rsidRDefault="0099243F" w:rsidP="00C33807">
            <w:pPr>
              <w:spacing w:line="360" w:lineRule="auto"/>
              <w:rPr>
                <w:color w:val="000000" w:themeColor="text1"/>
              </w:rPr>
            </w:pPr>
            <w:r>
              <w:rPr>
                <w:i/>
                <w:iCs/>
                <w:color w:val="000000" w:themeColor="text1"/>
              </w:rPr>
              <w:t>Action: Targeted updates, newsletters, store champion briefings</w:t>
            </w:r>
          </w:p>
        </w:tc>
        <w:tc>
          <w:tcPr>
            <w:tcW w:w="5040" w:type="dxa"/>
            <w:tcBorders>
              <w:top w:val="single" w:sz="1" w:space="0" w:color="2E75B6"/>
              <w:left w:val="single" w:sz="1" w:space="0" w:color="2E75B6"/>
              <w:bottom w:val="single" w:sz="1" w:space="0" w:color="2E75B6"/>
              <w:right w:val="single" w:sz="1" w:space="0" w:color="2E75B6"/>
            </w:tcBorders>
            <w:shd w:val="clear" w:color="auto" w:fill="D888D4"/>
            <w:tcMar>
              <w:top w:w="80" w:type="dxa"/>
              <w:left w:w="100" w:type="dxa"/>
              <w:bottom w:w="80" w:type="dxa"/>
              <w:right w:w="100" w:type="dxa"/>
            </w:tcMar>
          </w:tcPr>
          <w:p w14:paraId="77FE23ED" w14:textId="77777777" w:rsidR="007B6F4B" w:rsidRPr="00B44054" w:rsidRDefault="0099243F" w:rsidP="00C33807">
            <w:pPr>
              <w:spacing w:line="360" w:lineRule="auto"/>
              <w:jc w:val="center"/>
              <w:rPr>
                <w:color w:val="000000" w:themeColor="text1"/>
              </w:rPr>
            </w:pPr>
            <w:r>
              <w:rPr>
                <w:b/>
                <w:bCs/>
                <w:color w:val="000000" w:themeColor="text1"/>
              </w:rPr>
              <w:t>KEY PLAYERS</w:t>
            </w:r>
          </w:p>
          <w:p w14:paraId="6BB54497" w14:textId="77777777" w:rsidR="007B6F4B" w:rsidRPr="00B44054" w:rsidRDefault="0099243F" w:rsidP="00C33807">
            <w:pPr>
              <w:spacing w:line="360" w:lineRule="auto"/>
              <w:rPr>
                <w:color w:val="000000" w:themeColor="text1"/>
              </w:rPr>
            </w:pPr>
            <w:r>
              <w:rPr>
                <w:color w:val="000000" w:themeColor="text1"/>
              </w:rPr>
              <w:t>• Board of Directors &amp; CEO</w:t>
            </w:r>
          </w:p>
          <w:p w14:paraId="24153AAF" w14:textId="77777777" w:rsidR="007B6F4B" w:rsidRPr="00B44054" w:rsidRDefault="0099243F" w:rsidP="00C33807">
            <w:pPr>
              <w:spacing w:line="360" w:lineRule="auto"/>
              <w:rPr>
                <w:color w:val="000000" w:themeColor="text1"/>
              </w:rPr>
            </w:pPr>
            <w:r>
              <w:rPr>
                <w:color w:val="000000" w:themeColor="text1"/>
              </w:rPr>
              <w:t>• Project Sponsor (CDO)</w:t>
            </w:r>
          </w:p>
          <w:p w14:paraId="5D791FB8" w14:textId="77777777" w:rsidR="007B6F4B" w:rsidRPr="00B44054" w:rsidRDefault="0099243F" w:rsidP="00C33807">
            <w:pPr>
              <w:spacing w:line="360" w:lineRule="auto"/>
              <w:rPr>
                <w:color w:val="000000" w:themeColor="text1"/>
              </w:rPr>
            </w:pPr>
            <w:r>
              <w:rPr>
                <w:color w:val="000000" w:themeColor="text1"/>
              </w:rPr>
              <w:t>• Key Nectar Customers &amp; Segments</w:t>
            </w:r>
          </w:p>
          <w:p w14:paraId="0AC2AF03" w14:textId="77777777" w:rsidR="007B6F4B" w:rsidRPr="00B44054" w:rsidRDefault="0099243F" w:rsidP="00C33807">
            <w:pPr>
              <w:spacing w:line="360" w:lineRule="auto"/>
              <w:rPr>
                <w:color w:val="000000" w:themeColor="text1"/>
              </w:rPr>
            </w:pPr>
            <w:r>
              <w:rPr>
                <w:color w:val="000000" w:themeColor="text1"/>
              </w:rPr>
              <w:t>• ICO &amp; CMA Regulators</w:t>
            </w:r>
          </w:p>
          <w:p w14:paraId="69C0BF68" w14:textId="77777777" w:rsidR="007B6F4B" w:rsidRPr="00B44054" w:rsidRDefault="0099243F" w:rsidP="00C33807">
            <w:pPr>
              <w:spacing w:line="360" w:lineRule="auto"/>
              <w:rPr>
                <w:color w:val="000000" w:themeColor="text1"/>
              </w:rPr>
            </w:pPr>
            <w:r>
              <w:rPr>
                <w:i/>
                <w:iCs/>
                <w:color w:val="000000" w:themeColor="text1"/>
              </w:rPr>
              <w:t>Action: Co-creation workshops, weekly steering, joint decisions</w:t>
            </w:r>
          </w:p>
        </w:tc>
      </w:tr>
      <w:tr w:rsidR="007B6F4B" w:rsidRPr="00B44054" w14:paraId="739128C9" w14:textId="77777777" w:rsidTr="00DC2809">
        <w:tc>
          <w:tcPr>
            <w:tcW w:w="5040" w:type="dxa"/>
            <w:tcBorders>
              <w:top w:val="single" w:sz="1" w:space="0" w:color="2E75B6"/>
              <w:left w:val="single" w:sz="1" w:space="0" w:color="2E75B6"/>
              <w:bottom w:val="single" w:sz="1" w:space="0" w:color="2E75B6"/>
              <w:right w:val="single" w:sz="1" w:space="0" w:color="2E75B6"/>
            </w:tcBorders>
            <w:shd w:val="clear" w:color="auto" w:fill="FFC000"/>
            <w:tcMar>
              <w:top w:w="80" w:type="dxa"/>
              <w:left w:w="100" w:type="dxa"/>
              <w:bottom w:w="80" w:type="dxa"/>
              <w:right w:w="100" w:type="dxa"/>
            </w:tcMar>
          </w:tcPr>
          <w:p w14:paraId="08C99032" w14:textId="77777777" w:rsidR="007B6F4B" w:rsidRPr="00B44054" w:rsidRDefault="0099243F" w:rsidP="00C33807">
            <w:pPr>
              <w:spacing w:line="360" w:lineRule="auto"/>
              <w:jc w:val="center"/>
              <w:rPr>
                <w:color w:val="000000" w:themeColor="text1"/>
              </w:rPr>
            </w:pPr>
            <w:r>
              <w:rPr>
                <w:b/>
                <w:bCs/>
                <w:color w:val="000000" w:themeColor="text1"/>
              </w:rPr>
              <w:lastRenderedPageBreak/>
              <w:t>MINIMAL EFFORT</w:t>
            </w:r>
          </w:p>
          <w:p w14:paraId="37AD9340" w14:textId="77777777" w:rsidR="007B6F4B" w:rsidRPr="00B44054" w:rsidRDefault="0099243F" w:rsidP="00C33807">
            <w:pPr>
              <w:spacing w:line="360" w:lineRule="auto"/>
              <w:rPr>
                <w:color w:val="000000" w:themeColor="text1"/>
              </w:rPr>
            </w:pPr>
            <w:r>
              <w:rPr>
                <w:color w:val="000000" w:themeColor="text1"/>
              </w:rPr>
              <w:t>• General Public (non-Nectar)</w:t>
            </w:r>
          </w:p>
          <w:p w14:paraId="18F6C3DC" w14:textId="77777777" w:rsidR="007B6F4B" w:rsidRPr="00B44054" w:rsidRDefault="0099243F" w:rsidP="00C33807">
            <w:pPr>
              <w:spacing w:line="360" w:lineRule="auto"/>
              <w:rPr>
                <w:color w:val="000000" w:themeColor="text1"/>
              </w:rPr>
            </w:pPr>
            <w:r>
              <w:rPr>
                <w:color w:val="000000" w:themeColor="text1"/>
              </w:rPr>
              <w:t>• Distant Suppliers (non-critical)</w:t>
            </w:r>
          </w:p>
          <w:p w14:paraId="4DC49EF2" w14:textId="77777777" w:rsidR="007B6F4B" w:rsidRPr="00B44054" w:rsidRDefault="0099243F" w:rsidP="00C33807">
            <w:pPr>
              <w:spacing w:line="360" w:lineRule="auto"/>
              <w:rPr>
                <w:color w:val="000000" w:themeColor="text1"/>
              </w:rPr>
            </w:pPr>
            <w:r>
              <w:rPr>
                <w:i/>
                <w:iCs/>
                <w:color w:val="000000" w:themeColor="text1"/>
              </w:rPr>
              <w:t>Action: Monitor only; low resource allocation</w:t>
            </w:r>
          </w:p>
        </w:tc>
        <w:tc>
          <w:tcPr>
            <w:tcW w:w="5040" w:type="dxa"/>
            <w:tcBorders>
              <w:top w:val="single" w:sz="1" w:space="0" w:color="2E75B6"/>
              <w:left w:val="single" w:sz="1" w:space="0" w:color="2E75B6"/>
              <w:bottom w:val="single" w:sz="1" w:space="0" w:color="2E75B6"/>
              <w:right w:val="single" w:sz="1" w:space="0" w:color="2E75B6"/>
            </w:tcBorders>
            <w:shd w:val="clear" w:color="auto" w:fill="D888D4"/>
            <w:tcMar>
              <w:top w:w="80" w:type="dxa"/>
              <w:left w:w="100" w:type="dxa"/>
              <w:bottom w:w="80" w:type="dxa"/>
              <w:right w:w="100" w:type="dxa"/>
            </w:tcMar>
          </w:tcPr>
          <w:p w14:paraId="0B128375" w14:textId="77777777" w:rsidR="007B6F4B" w:rsidRPr="00B44054" w:rsidRDefault="0099243F" w:rsidP="00C33807">
            <w:pPr>
              <w:spacing w:line="360" w:lineRule="auto"/>
              <w:jc w:val="center"/>
              <w:rPr>
                <w:color w:val="000000" w:themeColor="text1"/>
              </w:rPr>
            </w:pPr>
            <w:r>
              <w:rPr>
                <w:b/>
                <w:bCs/>
                <w:color w:val="000000" w:themeColor="text1"/>
              </w:rPr>
              <w:t>KEEP SATISFIED</w:t>
            </w:r>
          </w:p>
          <w:p w14:paraId="6049D54D" w14:textId="77777777" w:rsidR="007B6F4B" w:rsidRPr="00B44054" w:rsidRDefault="0099243F" w:rsidP="00C33807">
            <w:pPr>
              <w:spacing w:line="360" w:lineRule="auto"/>
              <w:rPr>
                <w:color w:val="000000" w:themeColor="text1"/>
              </w:rPr>
            </w:pPr>
            <w:r>
              <w:rPr>
                <w:color w:val="000000" w:themeColor="text1"/>
              </w:rPr>
              <w:t>• Institutional Investors &amp; Shareholders</w:t>
            </w:r>
          </w:p>
          <w:p w14:paraId="0B88D4DA" w14:textId="77777777" w:rsidR="007B6F4B" w:rsidRPr="00B44054" w:rsidRDefault="0099243F" w:rsidP="00C33807">
            <w:pPr>
              <w:spacing w:line="360" w:lineRule="auto"/>
              <w:rPr>
                <w:color w:val="000000" w:themeColor="text1"/>
              </w:rPr>
            </w:pPr>
            <w:r>
              <w:rPr>
                <w:color w:val="000000" w:themeColor="text1"/>
              </w:rPr>
              <w:t>• Major Technology &amp; AI Vendors</w:t>
            </w:r>
          </w:p>
          <w:p w14:paraId="1B5A5590" w14:textId="77777777" w:rsidR="007B6F4B" w:rsidRPr="00B44054" w:rsidRDefault="0099243F" w:rsidP="00C33807">
            <w:pPr>
              <w:spacing w:line="360" w:lineRule="auto"/>
              <w:rPr>
                <w:color w:val="000000" w:themeColor="text1"/>
              </w:rPr>
            </w:pPr>
            <w:r>
              <w:rPr>
                <w:i/>
                <w:iCs/>
                <w:color w:val="000000" w:themeColor="text1"/>
              </w:rPr>
              <w:t>Action: Regular high-level briefings; manage expectations</w:t>
            </w:r>
          </w:p>
        </w:tc>
      </w:tr>
      <w:tr w:rsidR="007B6F4B" w:rsidRPr="00B44054" w14:paraId="1EA0B5A1" w14:textId="77777777" w:rsidTr="009607AF">
        <w:trPr>
          <w:gridAfter w:val="1"/>
          <w:wAfter w:w="5040" w:type="dxa"/>
        </w:trPr>
        <w:tc>
          <w:tcPr>
            <w:tcW w:w="10080" w:type="dxa"/>
            <w:tcBorders>
              <w:top w:val="single" w:sz="1" w:space="0" w:color="CCCCCC"/>
              <w:left w:val="single" w:sz="1" w:space="0" w:color="CCCCCC"/>
              <w:bottom w:val="single" w:sz="1" w:space="0" w:color="CCCCCC"/>
              <w:right w:val="single" w:sz="1" w:space="0" w:color="CCCCCC"/>
            </w:tcBorders>
            <w:shd w:val="clear" w:color="auto" w:fill="CED0FE"/>
            <w:tcMar>
              <w:top w:w="60" w:type="dxa"/>
              <w:left w:w="80" w:type="dxa"/>
              <w:bottom w:w="60" w:type="dxa"/>
              <w:right w:w="80" w:type="dxa"/>
            </w:tcMar>
            <w:vAlign w:val="center"/>
          </w:tcPr>
          <w:p w14:paraId="22D69F0F" w14:textId="77777777" w:rsidR="007B6F4B" w:rsidRPr="00B44054" w:rsidRDefault="0099243F" w:rsidP="00C33807">
            <w:pPr>
              <w:spacing w:line="360" w:lineRule="auto"/>
              <w:jc w:val="center"/>
              <w:rPr>
                <w:color w:val="000000" w:themeColor="text1"/>
              </w:rPr>
            </w:pPr>
            <w:r>
              <w:rPr>
                <w:b/>
                <w:bCs/>
                <w:color w:val="000000" w:themeColor="text1"/>
              </w:rPr>
              <w:t>LOW POWER ←――――――――――→ HIGH POWER</w:t>
            </w:r>
          </w:p>
        </w:tc>
      </w:tr>
    </w:tbl>
    <w:p w14:paraId="1664974A" w14:textId="5E8CC3FF" w:rsidR="007B6F4B" w:rsidRPr="00B44054" w:rsidRDefault="0099243F" w:rsidP="00C33807">
      <w:pPr>
        <w:spacing w:before="80" w:line="360" w:lineRule="auto"/>
        <w:jc w:val="center"/>
        <w:rPr>
          <w:color w:val="000000" w:themeColor="text1"/>
        </w:rPr>
      </w:pPr>
      <w:r>
        <w:rPr>
          <w:i/>
          <w:iCs/>
          <w:color w:val="000000" w:themeColor="text1"/>
        </w:rPr>
        <w:t>Figure 2: Mendelow’s Power/Interest Matrix for the ConnectPlus Project at Sainsbury’s (Adapted from Mendelow, 1991; Bourne, 2010)</w:t>
      </w:r>
    </w:p>
    <w:p w14:paraId="2C0CB565" w14:textId="52476482" w:rsidR="007B6F4B" w:rsidRPr="00B44054" w:rsidRDefault="0099243F" w:rsidP="00C33807">
      <w:pPr>
        <w:pStyle w:val="Heading2"/>
        <w:spacing w:line="360" w:lineRule="auto"/>
        <w:rPr>
          <w:color w:val="000000" w:themeColor="text1"/>
          <w:sz w:val="22"/>
          <w:szCs w:val="22"/>
        </w:rPr>
      </w:pPr>
      <w:r>
        <w:rPr>
          <w:color w:val="000000" w:themeColor="text1"/>
          <w:sz w:val="22"/>
          <w:szCs w:val="22"/>
        </w:rPr>
        <w:t>3.4 Table 1: Stakeholder Salience Model</w:t>
      </w:r>
    </w:p>
    <w:p w14:paraId="7E97B06A" w14:textId="77777777" w:rsidR="007B6F4B" w:rsidRPr="00B44054" w:rsidRDefault="0099243F" w:rsidP="00C33807">
      <w:pPr>
        <w:spacing w:line="360" w:lineRule="auto"/>
        <w:rPr>
          <w:color w:val="000000" w:themeColor="text1"/>
        </w:rPr>
      </w:pPr>
      <w:r>
        <w:rPr>
          <w:color w:val="000000" w:themeColor="text1"/>
        </w:rPr>
        <w:t>While Mendelow is excellent for prioritisation, the Salience Model (Mitchell, Agle and Wood, 1997) adds useful extra detail by combining three attributes: power (the ability to impose one’s will), legitimacy (whether the claim is perceived as valid) and urgency (how time-sensitive and critical the claim is). Definitive stakeholders possess all three attributes and must receive continuous attention. Expectant stakeholders (two attributes) need active management. Latent stakeholders (only one attribute) are watched carefully because they can quickly gain additional attributes if circumstances change.</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20"/>
        <w:gridCol w:w="2520"/>
        <w:gridCol w:w="2472"/>
        <w:gridCol w:w="2568"/>
      </w:tblGrid>
      <w:tr w:rsidR="007B6F4B" w:rsidRPr="00B44054" w14:paraId="5EE09F3A" w14:textId="77777777" w:rsidTr="00DC2809">
        <w:tc>
          <w:tcPr>
            <w:tcW w:w="252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1C57D2B6" w14:textId="77777777" w:rsidR="007B6F4B" w:rsidRPr="00B44054" w:rsidRDefault="0099243F" w:rsidP="00C33807">
            <w:pPr>
              <w:spacing w:line="360" w:lineRule="auto"/>
              <w:jc w:val="center"/>
              <w:rPr>
                <w:color w:val="000000" w:themeColor="text1"/>
              </w:rPr>
            </w:pPr>
            <w:r>
              <w:rPr>
                <w:b/>
                <w:bCs/>
                <w:color w:val="000000" w:themeColor="text1"/>
              </w:rPr>
              <w:t>Category</w:t>
            </w:r>
          </w:p>
        </w:tc>
        <w:tc>
          <w:tcPr>
            <w:tcW w:w="252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703B61DD" w14:textId="77777777" w:rsidR="007B6F4B" w:rsidRPr="00B44054" w:rsidRDefault="0099243F" w:rsidP="00C33807">
            <w:pPr>
              <w:spacing w:line="360" w:lineRule="auto"/>
              <w:jc w:val="center"/>
              <w:rPr>
                <w:color w:val="000000" w:themeColor="text1"/>
              </w:rPr>
            </w:pPr>
            <w:r>
              <w:rPr>
                <w:b/>
                <w:bCs/>
                <w:color w:val="000000" w:themeColor="text1"/>
              </w:rPr>
              <w:t>Attributes</w:t>
            </w:r>
          </w:p>
        </w:tc>
        <w:tc>
          <w:tcPr>
            <w:tcW w:w="2472"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31263BA5" w14:textId="77777777" w:rsidR="007B6F4B" w:rsidRPr="00B44054" w:rsidRDefault="0099243F" w:rsidP="00C33807">
            <w:pPr>
              <w:spacing w:line="360" w:lineRule="auto"/>
              <w:jc w:val="center"/>
              <w:rPr>
                <w:color w:val="000000" w:themeColor="text1"/>
              </w:rPr>
            </w:pPr>
            <w:r>
              <w:rPr>
                <w:b/>
                <w:bCs/>
                <w:color w:val="000000" w:themeColor="text1"/>
              </w:rPr>
              <w:t>Key Examples at Sainsbury’s</w:t>
            </w:r>
          </w:p>
        </w:tc>
        <w:tc>
          <w:tcPr>
            <w:tcW w:w="2568"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22CAF333" w14:textId="77777777" w:rsidR="007B6F4B" w:rsidRPr="00B44054" w:rsidRDefault="0099243F" w:rsidP="00C33807">
            <w:pPr>
              <w:spacing w:line="360" w:lineRule="auto"/>
              <w:jc w:val="center"/>
              <w:rPr>
                <w:color w:val="000000" w:themeColor="text1"/>
              </w:rPr>
            </w:pPr>
            <w:r>
              <w:rPr>
                <w:b/>
                <w:bCs/>
                <w:color w:val="000000" w:themeColor="text1"/>
              </w:rPr>
              <w:t>Engagement Approach</w:t>
            </w:r>
          </w:p>
        </w:tc>
      </w:tr>
      <w:tr w:rsidR="007B6F4B" w:rsidRPr="00B44054" w14:paraId="54F4ADA6" w14:textId="77777777" w:rsidTr="00235E15">
        <w:tc>
          <w:tcPr>
            <w:tcW w:w="2520" w:type="dxa"/>
            <w:tcBorders>
              <w:top w:val="single" w:sz="1" w:space="0" w:color="CCCCCC"/>
              <w:left w:val="single" w:sz="1" w:space="0" w:color="CCCCCC"/>
              <w:bottom w:val="single" w:sz="1" w:space="0" w:color="CCCCCC"/>
              <w:right w:val="single" w:sz="1" w:space="0" w:color="CCCCCC"/>
            </w:tcBorders>
            <w:shd w:val="clear" w:color="auto" w:fill="52DAEC"/>
            <w:tcMar>
              <w:top w:w="60" w:type="dxa"/>
              <w:left w:w="80" w:type="dxa"/>
              <w:bottom w:w="60" w:type="dxa"/>
              <w:right w:w="80" w:type="dxa"/>
            </w:tcMar>
            <w:vAlign w:val="center"/>
          </w:tcPr>
          <w:p w14:paraId="6A495AA5" w14:textId="77777777" w:rsidR="007B6F4B" w:rsidRPr="00B44054" w:rsidRDefault="0099243F" w:rsidP="00C33807">
            <w:pPr>
              <w:spacing w:line="360" w:lineRule="auto"/>
              <w:jc w:val="center"/>
              <w:rPr>
                <w:color w:val="000000" w:themeColor="text1"/>
              </w:rPr>
            </w:pPr>
            <w:r>
              <w:rPr>
                <w:b/>
                <w:bCs/>
                <w:color w:val="000000" w:themeColor="text1"/>
              </w:rPr>
              <w:t>Definitive</w:t>
            </w:r>
          </w:p>
        </w:tc>
        <w:tc>
          <w:tcPr>
            <w:tcW w:w="2520" w:type="dxa"/>
            <w:tcBorders>
              <w:top w:val="single" w:sz="1" w:space="0" w:color="CCCCCC"/>
              <w:left w:val="single" w:sz="1" w:space="0" w:color="CCCCCC"/>
              <w:bottom w:val="single" w:sz="1" w:space="0" w:color="CCCCCC"/>
              <w:right w:val="single" w:sz="1" w:space="0" w:color="CCCCCC"/>
            </w:tcBorders>
            <w:shd w:val="clear" w:color="auto" w:fill="52DAEC"/>
            <w:tcMar>
              <w:top w:w="60" w:type="dxa"/>
              <w:left w:w="80" w:type="dxa"/>
              <w:bottom w:w="60" w:type="dxa"/>
              <w:right w:w="80" w:type="dxa"/>
            </w:tcMar>
            <w:vAlign w:val="center"/>
          </w:tcPr>
          <w:p w14:paraId="1B275F55" w14:textId="77777777" w:rsidR="007B6F4B" w:rsidRPr="00B44054" w:rsidRDefault="0099243F" w:rsidP="00C33807">
            <w:pPr>
              <w:spacing w:line="360" w:lineRule="auto"/>
              <w:rPr>
                <w:color w:val="000000" w:themeColor="text1"/>
              </w:rPr>
            </w:pPr>
            <w:r>
              <w:rPr>
                <w:color w:val="000000" w:themeColor="text1"/>
              </w:rPr>
              <w:t>Power + Legitimacy + Urgency</w:t>
            </w:r>
          </w:p>
        </w:tc>
        <w:tc>
          <w:tcPr>
            <w:tcW w:w="2472" w:type="dxa"/>
            <w:tcBorders>
              <w:top w:val="single" w:sz="1" w:space="0" w:color="CCCCCC"/>
              <w:left w:val="single" w:sz="1" w:space="0" w:color="CCCCCC"/>
              <w:bottom w:val="single" w:sz="1" w:space="0" w:color="CCCCCC"/>
              <w:right w:val="single" w:sz="1" w:space="0" w:color="CCCCCC"/>
            </w:tcBorders>
            <w:shd w:val="clear" w:color="auto" w:fill="52DAEC"/>
            <w:tcMar>
              <w:top w:w="60" w:type="dxa"/>
              <w:left w:w="80" w:type="dxa"/>
              <w:bottom w:w="60" w:type="dxa"/>
              <w:right w:w="80" w:type="dxa"/>
            </w:tcMar>
            <w:vAlign w:val="center"/>
          </w:tcPr>
          <w:p w14:paraId="50810F3A" w14:textId="77777777" w:rsidR="007B6F4B" w:rsidRPr="00B44054" w:rsidRDefault="0099243F" w:rsidP="00C33807">
            <w:pPr>
              <w:spacing w:line="360" w:lineRule="auto"/>
              <w:rPr>
                <w:color w:val="000000" w:themeColor="text1"/>
              </w:rPr>
            </w:pPr>
            <w:r>
              <w:rPr>
                <w:color w:val="000000" w:themeColor="text1"/>
              </w:rPr>
              <w:t>Board, Project Sponsor, Key Customers, ICO/CMA</w:t>
            </w:r>
          </w:p>
        </w:tc>
        <w:tc>
          <w:tcPr>
            <w:tcW w:w="2568" w:type="dxa"/>
            <w:tcBorders>
              <w:top w:val="single" w:sz="1" w:space="0" w:color="CCCCCC"/>
              <w:left w:val="single" w:sz="1" w:space="0" w:color="CCCCCC"/>
              <w:bottom w:val="single" w:sz="1" w:space="0" w:color="CCCCCC"/>
              <w:right w:val="single" w:sz="1" w:space="0" w:color="CCCCCC"/>
            </w:tcBorders>
            <w:shd w:val="clear" w:color="auto" w:fill="52DAEC"/>
            <w:tcMar>
              <w:top w:w="60" w:type="dxa"/>
              <w:left w:w="80" w:type="dxa"/>
              <w:bottom w:w="60" w:type="dxa"/>
              <w:right w:w="80" w:type="dxa"/>
            </w:tcMar>
            <w:vAlign w:val="center"/>
          </w:tcPr>
          <w:p w14:paraId="02320BA0" w14:textId="77777777" w:rsidR="007B6F4B" w:rsidRPr="00B44054" w:rsidRDefault="0099243F" w:rsidP="00C33807">
            <w:pPr>
              <w:spacing w:line="360" w:lineRule="auto"/>
              <w:rPr>
                <w:color w:val="000000" w:themeColor="text1"/>
              </w:rPr>
            </w:pPr>
            <w:r>
              <w:rPr>
                <w:color w:val="000000" w:themeColor="text1"/>
              </w:rPr>
              <w:t>Continuous attention, joint decision-making, weekly updates</w:t>
            </w:r>
          </w:p>
        </w:tc>
      </w:tr>
      <w:tr w:rsidR="007B6F4B" w:rsidRPr="00B44054" w14:paraId="076B8E64" w14:textId="77777777" w:rsidTr="00235E15">
        <w:tc>
          <w:tcPr>
            <w:tcW w:w="2520" w:type="dxa"/>
            <w:tcBorders>
              <w:top w:val="single" w:sz="1" w:space="0" w:color="CCCCCC"/>
              <w:left w:val="single" w:sz="1" w:space="0" w:color="CCCCCC"/>
              <w:bottom w:val="single" w:sz="1" w:space="0" w:color="CCCCCC"/>
              <w:right w:val="single" w:sz="1" w:space="0" w:color="CCCCCC"/>
            </w:tcBorders>
            <w:shd w:val="clear" w:color="auto" w:fill="D86DCB" w:themeFill="accent5" w:themeFillTint="99"/>
            <w:tcMar>
              <w:top w:w="60" w:type="dxa"/>
              <w:left w:w="80" w:type="dxa"/>
              <w:bottom w:w="60" w:type="dxa"/>
              <w:right w:w="80" w:type="dxa"/>
            </w:tcMar>
            <w:vAlign w:val="center"/>
          </w:tcPr>
          <w:p w14:paraId="49B69FCF" w14:textId="77777777" w:rsidR="007B6F4B" w:rsidRPr="00B44054" w:rsidRDefault="0099243F" w:rsidP="00C33807">
            <w:pPr>
              <w:spacing w:line="360" w:lineRule="auto"/>
              <w:jc w:val="center"/>
              <w:rPr>
                <w:color w:val="000000" w:themeColor="text1"/>
              </w:rPr>
            </w:pPr>
            <w:r>
              <w:rPr>
                <w:b/>
                <w:bCs/>
                <w:color w:val="000000" w:themeColor="text1"/>
              </w:rPr>
              <w:t>Expectant (Dominant)</w:t>
            </w:r>
          </w:p>
        </w:tc>
        <w:tc>
          <w:tcPr>
            <w:tcW w:w="2520" w:type="dxa"/>
            <w:tcBorders>
              <w:top w:val="single" w:sz="1" w:space="0" w:color="CCCCCC"/>
              <w:left w:val="single" w:sz="1" w:space="0" w:color="CCCCCC"/>
              <w:bottom w:val="single" w:sz="1" w:space="0" w:color="CCCCCC"/>
              <w:right w:val="single" w:sz="1" w:space="0" w:color="CCCCCC"/>
            </w:tcBorders>
            <w:shd w:val="clear" w:color="auto" w:fill="D86DCB" w:themeFill="accent5" w:themeFillTint="99"/>
            <w:tcMar>
              <w:top w:w="60" w:type="dxa"/>
              <w:left w:w="80" w:type="dxa"/>
              <w:bottom w:w="60" w:type="dxa"/>
              <w:right w:w="80" w:type="dxa"/>
            </w:tcMar>
            <w:vAlign w:val="center"/>
          </w:tcPr>
          <w:p w14:paraId="7E1DA542" w14:textId="77777777" w:rsidR="007B6F4B" w:rsidRPr="00B44054" w:rsidRDefault="0099243F" w:rsidP="00C33807">
            <w:pPr>
              <w:spacing w:line="360" w:lineRule="auto"/>
              <w:rPr>
                <w:color w:val="000000" w:themeColor="text1"/>
              </w:rPr>
            </w:pPr>
            <w:r>
              <w:rPr>
                <w:color w:val="000000" w:themeColor="text1"/>
              </w:rPr>
              <w:t>Power + Legitimacy</w:t>
            </w:r>
          </w:p>
        </w:tc>
        <w:tc>
          <w:tcPr>
            <w:tcW w:w="2472" w:type="dxa"/>
            <w:tcBorders>
              <w:top w:val="single" w:sz="1" w:space="0" w:color="CCCCCC"/>
              <w:left w:val="single" w:sz="1" w:space="0" w:color="CCCCCC"/>
              <w:bottom w:val="single" w:sz="1" w:space="0" w:color="CCCCCC"/>
              <w:right w:val="single" w:sz="1" w:space="0" w:color="CCCCCC"/>
            </w:tcBorders>
            <w:shd w:val="clear" w:color="auto" w:fill="D86DCB" w:themeFill="accent5" w:themeFillTint="99"/>
            <w:tcMar>
              <w:top w:w="60" w:type="dxa"/>
              <w:left w:w="80" w:type="dxa"/>
              <w:bottom w:w="60" w:type="dxa"/>
              <w:right w:w="80" w:type="dxa"/>
            </w:tcMar>
            <w:vAlign w:val="center"/>
          </w:tcPr>
          <w:p w14:paraId="5259C5BE" w14:textId="77777777" w:rsidR="007B6F4B" w:rsidRPr="00B44054" w:rsidRDefault="0099243F" w:rsidP="00C33807">
            <w:pPr>
              <w:spacing w:line="360" w:lineRule="auto"/>
              <w:rPr>
                <w:color w:val="000000" w:themeColor="text1"/>
              </w:rPr>
            </w:pPr>
            <w:r>
              <w:rPr>
                <w:color w:val="000000" w:themeColor="text1"/>
              </w:rPr>
              <w:t>Institutional Investors, Major Tech Vendors</w:t>
            </w:r>
          </w:p>
        </w:tc>
        <w:tc>
          <w:tcPr>
            <w:tcW w:w="2568" w:type="dxa"/>
            <w:tcBorders>
              <w:top w:val="single" w:sz="1" w:space="0" w:color="CCCCCC"/>
              <w:left w:val="single" w:sz="1" w:space="0" w:color="CCCCCC"/>
              <w:bottom w:val="single" w:sz="1" w:space="0" w:color="CCCCCC"/>
              <w:right w:val="single" w:sz="1" w:space="0" w:color="CCCCCC"/>
            </w:tcBorders>
            <w:shd w:val="clear" w:color="auto" w:fill="D888D4"/>
            <w:tcMar>
              <w:top w:w="60" w:type="dxa"/>
              <w:left w:w="80" w:type="dxa"/>
              <w:bottom w:w="60" w:type="dxa"/>
              <w:right w:w="80" w:type="dxa"/>
            </w:tcMar>
            <w:vAlign w:val="center"/>
          </w:tcPr>
          <w:p w14:paraId="5903F219" w14:textId="77777777" w:rsidR="007B6F4B" w:rsidRPr="00B44054" w:rsidRDefault="0099243F" w:rsidP="00C33807">
            <w:pPr>
              <w:spacing w:line="360" w:lineRule="auto"/>
              <w:rPr>
                <w:color w:val="000000" w:themeColor="text1"/>
              </w:rPr>
            </w:pPr>
            <w:r>
              <w:rPr>
                <w:color w:val="000000" w:themeColor="text1"/>
              </w:rPr>
              <w:t>Regular high-level briefings; manage expectations proactively</w:t>
            </w:r>
          </w:p>
        </w:tc>
      </w:tr>
      <w:tr w:rsidR="007B6F4B" w:rsidRPr="00B44054" w14:paraId="5D8F762C" w14:textId="77777777" w:rsidTr="00DC2809">
        <w:tc>
          <w:tcPr>
            <w:tcW w:w="2520" w:type="dxa"/>
            <w:tcBorders>
              <w:top w:val="single" w:sz="1" w:space="0" w:color="CCCCCC"/>
              <w:left w:val="single" w:sz="1" w:space="0" w:color="CCCCCC"/>
              <w:bottom w:val="single" w:sz="1" w:space="0" w:color="CCCCCC"/>
              <w:right w:val="single" w:sz="1" w:space="0" w:color="CCCCCC"/>
            </w:tcBorders>
            <w:shd w:val="clear" w:color="auto" w:fill="BD9191"/>
            <w:tcMar>
              <w:top w:w="60" w:type="dxa"/>
              <w:left w:w="80" w:type="dxa"/>
              <w:bottom w:w="60" w:type="dxa"/>
              <w:right w:w="80" w:type="dxa"/>
            </w:tcMar>
            <w:vAlign w:val="center"/>
          </w:tcPr>
          <w:p w14:paraId="4442359F" w14:textId="77777777" w:rsidR="007B6F4B" w:rsidRPr="00B44054" w:rsidRDefault="0099243F" w:rsidP="00C33807">
            <w:pPr>
              <w:spacing w:line="360" w:lineRule="auto"/>
              <w:jc w:val="center"/>
              <w:rPr>
                <w:color w:val="000000" w:themeColor="text1"/>
              </w:rPr>
            </w:pPr>
            <w:r>
              <w:rPr>
                <w:b/>
                <w:bCs/>
                <w:color w:val="000000" w:themeColor="text1"/>
              </w:rPr>
              <w:t>Expectant (Dangerous)</w:t>
            </w:r>
          </w:p>
        </w:tc>
        <w:tc>
          <w:tcPr>
            <w:tcW w:w="2520" w:type="dxa"/>
            <w:tcBorders>
              <w:top w:val="single" w:sz="1" w:space="0" w:color="CCCCCC"/>
              <w:left w:val="single" w:sz="1" w:space="0" w:color="CCCCCC"/>
              <w:bottom w:val="single" w:sz="1" w:space="0" w:color="CCCCCC"/>
              <w:right w:val="single" w:sz="1" w:space="0" w:color="CCCCCC"/>
            </w:tcBorders>
            <w:shd w:val="clear" w:color="auto" w:fill="BD9191"/>
            <w:tcMar>
              <w:top w:w="60" w:type="dxa"/>
              <w:left w:w="80" w:type="dxa"/>
              <w:bottom w:w="60" w:type="dxa"/>
              <w:right w:w="80" w:type="dxa"/>
            </w:tcMar>
            <w:vAlign w:val="center"/>
          </w:tcPr>
          <w:p w14:paraId="3B0FDD71" w14:textId="77777777" w:rsidR="007B6F4B" w:rsidRPr="00B44054" w:rsidRDefault="0099243F" w:rsidP="00C33807">
            <w:pPr>
              <w:spacing w:line="360" w:lineRule="auto"/>
              <w:rPr>
                <w:color w:val="000000" w:themeColor="text1"/>
              </w:rPr>
            </w:pPr>
            <w:r>
              <w:rPr>
                <w:color w:val="000000" w:themeColor="text1"/>
              </w:rPr>
              <w:t>Power + Urgency</w:t>
            </w:r>
          </w:p>
        </w:tc>
        <w:tc>
          <w:tcPr>
            <w:tcW w:w="2472" w:type="dxa"/>
            <w:tcBorders>
              <w:top w:val="single" w:sz="1" w:space="0" w:color="CCCCCC"/>
              <w:left w:val="single" w:sz="1" w:space="0" w:color="CCCCCC"/>
              <w:bottom w:val="single" w:sz="1" w:space="0" w:color="CCCCCC"/>
              <w:right w:val="single" w:sz="1" w:space="0" w:color="CCCCCC"/>
            </w:tcBorders>
            <w:shd w:val="clear" w:color="auto" w:fill="BD9191"/>
            <w:tcMar>
              <w:top w:w="60" w:type="dxa"/>
              <w:left w:w="80" w:type="dxa"/>
              <w:bottom w:w="60" w:type="dxa"/>
              <w:right w:w="80" w:type="dxa"/>
            </w:tcMar>
            <w:vAlign w:val="center"/>
          </w:tcPr>
          <w:p w14:paraId="6AAF193B" w14:textId="77777777" w:rsidR="007B6F4B" w:rsidRPr="00B44054" w:rsidRDefault="0099243F" w:rsidP="00C33807">
            <w:pPr>
              <w:spacing w:line="360" w:lineRule="auto"/>
              <w:rPr>
                <w:color w:val="000000" w:themeColor="text1"/>
              </w:rPr>
            </w:pPr>
            <w:r>
              <w:rPr>
                <w:color w:val="000000" w:themeColor="text1"/>
              </w:rPr>
              <w:t>Certain NGOs / Activists (if issue escalates)</w:t>
            </w:r>
          </w:p>
        </w:tc>
        <w:tc>
          <w:tcPr>
            <w:tcW w:w="2568" w:type="dxa"/>
            <w:tcBorders>
              <w:top w:val="single" w:sz="1" w:space="0" w:color="CCCCCC"/>
              <w:left w:val="single" w:sz="1" w:space="0" w:color="CCCCCC"/>
              <w:bottom w:val="single" w:sz="1" w:space="0" w:color="CCCCCC"/>
              <w:right w:val="single" w:sz="1" w:space="0" w:color="CCCCCC"/>
            </w:tcBorders>
            <w:shd w:val="clear" w:color="auto" w:fill="BD9191"/>
            <w:tcMar>
              <w:top w:w="60" w:type="dxa"/>
              <w:left w:w="80" w:type="dxa"/>
              <w:bottom w:w="60" w:type="dxa"/>
              <w:right w:w="80" w:type="dxa"/>
            </w:tcMar>
            <w:vAlign w:val="center"/>
          </w:tcPr>
          <w:p w14:paraId="5A67DCD3" w14:textId="77777777" w:rsidR="007B6F4B" w:rsidRPr="00B44054" w:rsidRDefault="0099243F" w:rsidP="00C33807">
            <w:pPr>
              <w:spacing w:line="360" w:lineRule="auto"/>
              <w:rPr>
                <w:color w:val="000000" w:themeColor="text1"/>
              </w:rPr>
            </w:pPr>
            <w:r>
              <w:rPr>
                <w:color w:val="000000" w:themeColor="text1"/>
              </w:rPr>
              <w:t>Monitor closely; prepare rapid response protocols</w:t>
            </w:r>
          </w:p>
        </w:tc>
      </w:tr>
      <w:tr w:rsidR="007B6F4B" w:rsidRPr="00B44054" w14:paraId="52D233A6" w14:textId="77777777" w:rsidTr="00235E15">
        <w:tc>
          <w:tcPr>
            <w:tcW w:w="2520" w:type="dxa"/>
            <w:tcBorders>
              <w:top w:val="single" w:sz="1" w:space="0" w:color="CCCCCC"/>
              <w:left w:val="single" w:sz="1" w:space="0" w:color="CCCCCC"/>
              <w:bottom w:val="single" w:sz="1" w:space="0" w:color="CCCCCC"/>
              <w:right w:val="single" w:sz="1" w:space="0" w:color="CCCCCC"/>
            </w:tcBorders>
            <w:shd w:val="clear" w:color="auto" w:fill="8DD873" w:themeFill="accent6" w:themeFillTint="99"/>
            <w:tcMar>
              <w:top w:w="60" w:type="dxa"/>
              <w:left w:w="80" w:type="dxa"/>
              <w:bottom w:w="60" w:type="dxa"/>
              <w:right w:w="80" w:type="dxa"/>
            </w:tcMar>
            <w:vAlign w:val="center"/>
          </w:tcPr>
          <w:p w14:paraId="63B568EC" w14:textId="77777777" w:rsidR="007B6F4B" w:rsidRPr="00B44054" w:rsidRDefault="0099243F" w:rsidP="00C33807">
            <w:pPr>
              <w:spacing w:line="360" w:lineRule="auto"/>
              <w:jc w:val="center"/>
              <w:rPr>
                <w:color w:val="000000" w:themeColor="text1"/>
              </w:rPr>
            </w:pPr>
            <w:r>
              <w:rPr>
                <w:b/>
                <w:bCs/>
                <w:color w:val="000000" w:themeColor="text1"/>
              </w:rPr>
              <w:t>Expectant (Dependent)</w:t>
            </w:r>
          </w:p>
        </w:tc>
        <w:tc>
          <w:tcPr>
            <w:tcW w:w="2520" w:type="dxa"/>
            <w:tcBorders>
              <w:top w:val="single" w:sz="1" w:space="0" w:color="CCCCCC"/>
              <w:left w:val="single" w:sz="1" w:space="0" w:color="CCCCCC"/>
              <w:bottom w:val="single" w:sz="1" w:space="0" w:color="CCCCCC"/>
              <w:right w:val="single" w:sz="1" w:space="0" w:color="CCCCCC"/>
            </w:tcBorders>
            <w:shd w:val="clear" w:color="auto" w:fill="8DD873" w:themeFill="accent6" w:themeFillTint="99"/>
            <w:tcMar>
              <w:top w:w="60" w:type="dxa"/>
              <w:left w:w="80" w:type="dxa"/>
              <w:bottom w:w="60" w:type="dxa"/>
              <w:right w:w="80" w:type="dxa"/>
            </w:tcMar>
            <w:vAlign w:val="center"/>
          </w:tcPr>
          <w:p w14:paraId="41871800" w14:textId="77777777" w:rsidR="007B6F4B" w:rsidRPr="00B44054" w:rsidRDefault="0099243F" w:rsidP="00C33807">
            <w:pPr>
              <w:spacing w:line="360" w:lineRule="auto"/>
              <w:rPr>
                <w:color w:val="000000" w:themeColor="text1"/>
              </w:rPr>
            </w:pPr>
            <w:r>
              <w:rPr>
                <w:color w:val="000000" w:themeColor="text1"/>
              </w:rPr>
              <w:t>Legitimacy + Urgency</w:t>
            </w:r>
          </w:p>
        </w:tc>
        <w:tc>
          <w:tcPr>
            <w:tcW w:w="2472" w:type="dxa"/>
            <w:tcBorders>
              <w:top w:val="single" w:sz="1" w:space="0" w:color="CCCCCC"/>
              <w:left w:val="single" w:sz="1" w:space="0" w:color="CCCCCC"/>
              <w:bottom w:val="single" w:sz="1" w:space="0" w:color="CCCCCC"/>
              <w:right w:val="single" w:sz="1" w:space="0" w:color="CCCCCC"/>
            </w:tcBorders>
            <w:shd w:val="clear" w:color="auto" w:fill="8DD873" w:themeFill="accent6" w:themeFillTint="99"/>
            <w:tcMar>
              <w:top w:w="60" w:type="dxa"/>
              <w:left w:w="80" w:type="dxa"/>
              <w:bottom w:w="60" w:type="dxa"/>
              <w:right w:w="80" w:type="dxa"/>
            </w:tcMar>
            <w:vAlign w:val="center"/>
          </w:tcPr>
          <w:p w14:paraId="76B091E9" w14:textId="77777777" w:rsidR="007B6F4B" w:rsidRPr="00B44054" w:rsidRDefault="0099243F" w:rsidP="00C33807">
            <w:pPr>
              <w:spacing w:line="360" w:lineRule="auto"/>
              <w:rPr>
                <w:color w:val="000000" w:themeColor="text1"/>
              </w:rPr>
            </w:pPr>
            <w:r>
              <w:rPr>
                <w:color w:val="000000" w:themeColor="text1"/>
              </w:rPr>
              <w:t>Frontline Colleagues, Privacy-focused Customer Segments</w:t>
            </w:r>
          </w:p>
        </w:tc>
        <w:tc>
          <w:tcPr>
            <w:tcW w:w="2568" w:type="dxa"/>
            <w:tcBorders>
              <w:top w:val="single" w:sz="1" w:space="0" w:color="CCCCCC"/>
              <w:left w:val="single" w:sz="1" w:space="0" w:color="CCCCCC"/>
              <w:bottom w:val="single" w:sz="1" w:space="0" w:color="CCCCCC"/>
              <w:right w:val="single" w:sz="1" w:space="0" w:color="CCCCCC"/>
            </w:tcBorders>
            <w:shd w:val="clear" w:color="auto" w:fill="8DD873" w:themeFill="accent6" w:themeFillTint="99"/>
            <w:tcMar>
              <w:top w:w="60" w:type="dxa"/>
              <w:left w:w="80" w:type="dxa"/>
              <w:bottom w:w="60" w:type="dxa"/>
              <w:right w:w="80" w:type="dxa"/>
            </w:tcMar>
            <w:vAlign w:val="center"/>
          </w:tcPr>
          <w:p w14:paraId="6EDA96A5" w14:textId="77777777" w:rsidR="007B6F4B" w:rsidRPr="00B44054" w:rsidRDefault="0099243F" w:rsidP="00C33807">
            <w:pPr>
              <w:spacing w:line="360" w:lineRule="auto"/>
              <w:rPr>
                <w:color w:val="000000" w:themeColor="text1"/>
              </w:rPr>
            </w:pPr>
            <w:r>
              <w:rPr>
                <w:color w:val="000000" w:themeColor="text1"/>
              </w:rPr>
              <w:t>Empower through champions; provide clear channels for voice</w:t>
            </w:r>
          </w:p>
        </w:tc>
      </w:tr>
      <w:tr w:rsidR="007B6F4B" w:rsidRPr="00B44054" w14:paraId="0804443F" w14:textId="77777777" w:rsidTr="00235E15">
        <w:tc>
          <w:tcPr>
            <w:tcW w:w="2520" w:type="dxa"/>
            <w:tcBorders>
              <w:top w:val="single" w:sz="1" w:space="0" w:color="CCCCCC"/>
              <w:left w:val="single" w:sz="1" w:space="0" w:color="CCCCCC"/>
              <w:bottom w:val="single" w:sz="1" w:space="0" w:color="CCCCCC"/>
              <w:right w:val="single" w:sz="1" w:space="0" w:color="CCCCCC"/>
            </w:tcBorders>
            <w:shd w:val="clear" w:color="auto" w:fill="9D97A7"/>
            <w:tcMar>
              <w:top w:w="60" w:type="dxa"/>
              <w:left w:w="80" w:type="dxa"/>
              <w:bottom w:w="60" w:type="dxa"/>
              <w:right w:w="80" w:type="dxa"/>
            </w:tcMar>
            <w:vAlign w:val="center"/>
          </w:tcPr>
          <w:p w14:paraId="65143CF2" w14:textId="77777777" w:rsidR="007B6F4B" w:rsidRPr="00B44054" w:rsidRDefault="0099243F" w:rsidP="00C33807">
            <w:pPr>
              <w:spacing w:line="360" w:lineRule="auto"/>
              <w:jc w:val="center"/>
              <w:rPr>
                <w:color w:val="000000" w:themeColor="text1"/>
              </w:rPr>
            </w:pPr>
            <w:r>
              <w:rPr>
                <w:b/>
                <w:bCs/>
                <w:color w:val="000000" w:themeColor="text1"/>
              </w:rPr>
              <w:lastRenderedPageBreak/>
              <w:t>Latent</w:t>
            </w:r>
          </w:p>
        </w:tc>
        <w:tc>
          <w:tcPr>
            <w:tcW w:w="2520" w:type="dxa"/>
            <w:tcBorders>
              <w:top w:val="single" w:sz="1" w:space="0" w:color="CCCCCC"/>
              <w:left w:val="single" w:sz="1" w:space="0" w:color="CCCCCC"/>
              <w:bottom w:val="single" w:sz="1" w:space="0" w:color="CCCCCC"/>
              <w:right w:val="single" w:sz="1" w:space="0" w:color="CCCCCC"/>
            </w:tcBorders>
            <w:shd w:val="clear" w:color="auto" w:fill="9D97A7"/>
            <w:tcMar>
              <w:top w:w="60" w:type="dxa"/>
              <w:left w:w="80" w:type="dxa"/>
              <w:bottom w:w="60" w:type="dxa"/>
              <w:right w:w="80" w:type="dxa"/>
            </w:tcMar>
            <w:vAlign w:val="center"/>
          </w:tcPr>
          <w:p w14:paraId="5473015B" w14:textId="77777777" w:rsidR="007B6F4B" w:rsidRPr="00B44054" w:rsidRDefault="0099243F" w:rsidP="00C33807">
            <w:pPr>
              <w:spacing w:line="360" w:lineRule="auto"/>
              <w:rPr>
                <w:color w:val="000000" w:themeColor="text1"/>
              </w:rPr>
            </w:pPr>
            <w:r>
              <w:rPr>
                <w:color w:val="000000" w:themeColor="text1"/>
              </w:rPr>
              <w:t>Only one attribute</w:t>
            </w:r>
          </w:p>
        </w:tc>
        <w:tc>
          <w:tcPr>
            <w:tcW w:w="2472" w:type="dxa"/>
            <w:tcBorders>
              <w:top w:val="single" w:sz="1" w:space="0" w:color="CCCCCC"/>
              <w:left w:val="single" w:sz="1" w:space="0" w:color="CCCCCC"/>
              <w:bottom w:val="single" w:sz="1" w:space="0" w:color="CCCCCC"/>
              <w:right w:val="single" w:sz="1" w:space="0" w:color="CCCCCC"/>
            </w:tcBorders>
            <w:shd w:val="clear" w:color="auto" w:fill="9D97A7"/>
            <w:tcMar>
              <w:top w:w="60" w:type="dxa"/>
              <w:left w:w="80" w:type="dxa"/>
              <w:bottom w:w="60" w:type="dxa"/>
              <w:right w:w="80" w:type="dxa"/>
            </w:tcMar>
            <w:vAlign w:val="center"/>
          </w:tcPr>
          <w:p w14:paraId="5B07DA0C" w14:textId="77777777" w:rsidR="007B6F4B" w:rsidRPr="00B44054" w:rsidRDefault="0099243F" w:rsidP="00C33807">
            <w:pPr>
              <w:spacing w:line="360" w:lineRule="auto"/>
              <w:rPr>
                <w:color w:val="000000" w:themeColor="text1"/>
              </w:rPr>
            </w:pPr>
            <w:r>
              <w:rPr>
                <w:color w:val="000000" w:themeColor="text1"/>
              </w:rPr>
              <w:t>General Public, Distant Suppliers, Some Media</w:t>
            </w:r>
          </w:p>
        </w:tc>
        <w:tc>
          <w:tcPr>
            <w:tcW w:w="2568" w:type="dxa"/>
            <w:tcBorders>
              <w:top w:val="single" w:sz="1" w:space="0" w:color="CCCCCC"/>
              <w:left w:val="single" w:sz="1" w:space="0" w:color="CCCCCC"/>
              <w:bottom w:val="single" w:sz="1" w:space="0" w:color="CCCCCC"/>
              <w:right w:val="single" w:sz="1" w:space="0" w:color="CCCCCC"/>
            </w:tcBorders>
            <w:shd w:val="clear" w:color="auto" w:fill="9D97A7"/>
            <w:tcMar>
              <w:top w:w="60" w:type="dxa"/>
              <w:left w:w="80" w:type="dxa"/>
              <w:bottom w:w="60" w:type="dxa"/>
              <w:right w:w="80" w:type="dxa"/>
            </w:tcMar>
            <w:vAlign w:val="center"/>
          </w:tcPr>
          <w:p w14:paraId="5744DDF7" w14:textId="77777777" w:rsidR="007B6F4B" w:rsidRPr="00B44054" w:rsidRDefault="0099243F" w:rsidP="00C33807">
            <w:pPr>
              <w:spacing w:line="360" w:lineRule="auto"/>
              <w:rPr>
                <w:color w:val="000000" w:themeColor="text1"/>
              </w:rPr>
            </w:pPr>
            <w:r>
              <w:rPr>
                <w:color w:val="000000" w:themeColor="text1"/>
              </w:rPr>
              <w:t>Monitor for attribute acquisition; low resource unless triggered</w:t>
            </w:r>
          </w:p>
        </w:tc>
      </w:tr>
    </w:tbl>
    <w:p w14:paraId="26BACD80" w14:textId="78C8D75C" w:rsidR="007B6F4B" w:rsidRPr="00B44054" w:rsidRDefault="00EC23D0" w:rsidP="00C33807">
      <w:pPr>
        <w:spacing w:before="80" w:line="360" w:lineRule="auto"/>
        <w:jc w:val="center"/>
        <w:rPr>
          <w:color w:val="000000" w:themeColor="text1"/>
        </w:rPr>
      </w:pPr>
      <w:r>
        <w:rPr>
          <w:i/>
          <w:iCs/>
          <w:color w:val="000000" w:themeColor="text1"/>
        </w:rPr>
        <w:t>Table 1: Stakeholder Salience Model applied to ConnectPlus (Mitchell, Agle &amp; Wood, 1997; adapted for Sainsbury’s context)</w:t>
      </w:r>
    </w:p>
    <w:p w14:paraId="676A6C35" w14:textId="6041ED06" w:rsidR="007B6F4B" w:rsidRPr="00B44054" w:rsidRDefault="0099243F" w:rsidP="00C33807">
      <w:pPr>
        <w:pStyle w:val="Heading2"/>
        <w:spacing w:line="360" w:lineRule="auto"/>
        <w:rPr>
          <w:color w:val="000000" w:themeColor="text1"/>
          <w:sz w:val="22"/>
          <w:szCs w:val="22"/>
        </w:rPr>
      </w:pPr>
      <w:r>
        <w:rPr>
          <w:color w:val="000000" w:themeColor="text1"/>
          <w:sz w:val="22"/>
          <w:szCs w:val="22"/>
        </w:rPr>
        <w:t>3.5 Table 2: RACI Matrix for Key ConnectPlus Activities</w:t>
      </w:r>
    </w:p>
    <w:p w14:paraId="78C61CBE" w14:textId="06C5B318" w:rsidR="007B6F4B" w:rsidRPr="00B44054" w:rsidRDefault="0099243F" w:rsidP="00C33807">
      <w:pPr>
        <w:spacing w:line="360" w:lineRule="auto"/>
        <w:rPr>
          <w:color w:val="000000" w:themeColor="text1"/>
        </w:rPr>
      </w:pPr>
      <w:r>
        <w:rPr>
          <w:color w:val="000000" w:themeColor="text1"/>
        </w:rPr>
        <w:t>Unclear roles are a classic source of conflict and delay. Table 2 presents a simplified RACI matrix for the most critical workstreams of ConnectPlus. The Project Manager remains Accountable for overall success while Responsibility for specific activities is given to the specialists who actually perform the work.</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318"/>
        <w:gridCol w:w="1665"/>
        <w:gridCol w:w="1665"/>
        <w:gridCol w:w="1762"/>
        <w:gridCol w:w="1670"/>
      </w:tblGrid>
      <w:tr w:rsidR="007B6F4B" w:rsidRPr="00B44054" w14:paraId="2572FD99" w14:textId="77777777" w:rsidTr="007578B0">
        <w:tc>
          <w:tcPr>
            <w:tcW w:w="336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6349B003" w14:textId="77777777" w:rsidR="007B6F4B" w:rsidRPr="00B44054" w:rsidRDefault="0099243F" w:rsidP="00C33807">
            <w:pPr>
              <w:spacing w:line="360" w:lineRule="auto"/>
              <w:jc w:val="center"/>
              <w:rPr>
                <w:color w:val="000000" w:themeColor="text1"/>
              </w:rPr>
            </w:pPr>
            <w:r>
              <w:rPr>
                <w:b/>
                <w:bCs/>
                <w:color w:val="000000" w:themeColor="text1"/>
              </w:rPr>
              <w:t>Activity / Workstream</w:t>
            </w:r>
          </w:p>
        </w:tc>
        <w:tc>
          <w:tcPr>
            <w:tcW w:w="168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1CF26132" w14:textId="77777777" w:rsidR="007B6F4B" w:rsidRPr="00B44054" w:rsidRDefault="0099243F" w:rsidP="00C33807">
            <w:pPr>
              <w:spacing w:line="360" w:lineRule="auto"/>
              <w:jc w:val="center"/>
              <w:rPr>
                <w:color w:val="000000" w:themeColor="text1"/>
              </w:rPr>
            </w:pPr>
            <w:r>
              <w:rPr>
                <w:b/>
                <w:bCs/>
                <w:color w:val="000000" w:themeColor="text1"/>
              </w:rPr>
              <w:t>Project Manager</w:t>
            </w:r>
          </w:p>
        </w:tc>
        <w:tc>
          <w:tcPr>
            <w:tcW w:w="168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1987898B" w14:textId="77777777" w:rsidR="007B6F4B" w:rsidRPr="00B44054" w:rsidRDefault="0099243F" w:rsidP="00C33807">
            <w:pPr>
              <w:spacing w:line="360" w:lineRule="auto"/>
              <w:jc w:val="center"/>
              <w:rPr>
                <w:color w:val="000000" w:themeColor="text1"/>
              </w:rPr>
            </w:pPr>
            <w:r>
              <w:rPr>
                <w:b/>
                <w:bCs/>
                <w:color w:val="000000" w:themeColor="text1"/>
              </w:rPr>
              <w:t>IT/Digital Lead</w:t>
            </w:r>
          </w:p>
        </w:tc>
        <w:tc>
          <w:tcPr>
            <w:tcW w:w="168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7FB44CD2" w14:textId="77777777" w:rsidR="007B6F4B" w:rsidRPr="00B44054" w:rsidRDefault="0099243F" w:rsidP="00C33807">
            <w:pPr>
              <w:spacing w:line="360" w:lineRule="auto"/>
              <w:jc w:val="center"/>
              <w:rPr>
                <w:color w:val="000000" w:themeColor="text1"/>
              </w:rPr>
            </w:pPr>
            <w:r>
              <w:rPr>
                <w:b/>
                <w:bCs/>
                <w:color w:val="000000" w:themeColor="text1"/>
              </w:rPr>
              <w:t>Marketing/CRM</w:t>
            </w:r>
          </w:p>
        </w:tc>
        <w:tc>
          <w:tcPr>
            <w:tcW w:w="168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42F3FE63" w14:textId="77777777" w:rsidR="007B6F4B" w:rsidRPr="00B44054" w:rsidRDefault="0099243F" w:rsidP="00C33807">
            <w:pPr>
              <w:spacing w:line="360" w:lineRule="auto"/>
              <w:jc w:val="center"/>
              <w:rPr>
                <w:color w:val="000000" w:themeColor="text1"/>
              </w:rPr>
            </w:pPr>
            <w:r>
              <w:rPr>
                <w:b/>
                <w:bCs/>
                <w:color w:val="000000" w:themeColor="text1"/>
              </w:rPr>
              <w:t>DPO/Legal</w:t>
            </w:r>
          </w:p>
        </w:tc>
      </w:tr>
      <w:tr w:rsidR="007B6F4B" w:rsidRPr="00B44054" w14:paraId="183B594D" w14:textId="77777777">
        <w:tc>
          <w:tcPr>
            <w:tcW w:w="336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777A40F" w14:textId="77777777" w:rsidR="007B6F4B" w:rsidRPr="00693852" w:rsidRDefault="0099243F" w:rsidP="00C33807">
            <w:pPr>
              <w:spacing w:line="360" w:lineRule="auto"/>
              <w:rPr>
                <w:color w:val="000000" w:themeColor="text1"/>
              </w:rPr>
            </w:pPr>
            <w:r>
              <w:rPr>
                <w:color w:val="000000" w:themeColor="text1"/>
              </w:rPr>
              <w:t>Data Privacy &amp; Ethical AI Framework</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3DDA63E" w14:textId="77777777" w:rsidR="007B6F4B" w:rsidRPr="00693852" w:rsidRDefault="0099243F" w:rsidP="00C33807">
            <w:pPr>
              <w:spacing w:line="360" w:lineRule="auto"/>
              <w:jc w:val="center"/>
              <w:rPr>
                <w:b/>
                <w:bCs/>
                <w:color w:val="000000" w:themeColor="text1"/>
              </w:rPr>
            </w:pPr>
            <w:r>
              <w:rPr>
                <w:b/>
                <w:bCs/>
                <w:color w:val="000000" w:themeColor="text1"/>
              </w:rPr>
              <w:t>A</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93F8DB5"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62C5C42"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EDBFB10" w14:textId="77777777" w:rsidR="007B6F4B" w:rsidRPr="00693852" w:rsidRDefault="0099243F" w:rsidP="00C33807">
            <w:pPr>
              <w:spacing w:line="360" w:lineRule="auto"/>
              <w:jc w:val="center"/>
              <w:rPr>
                <w:b/>
                <w:bCs/>
                <w:color w:val="000000" w:themeColor="text1"/>
              </w:rPr>
            </w:pPr>
            <w:r>
              <w:rPr>
                <w:b/>
                <w:bCs/>
                <w:color w:val="000000" w:themeColor="text1"/>
              </w:rPr>
              <w:t>R / A</w:t>
            </w:r>
          </w:p>
        </w:tc>
      </w:tr>
      <w:tr w:rsidR="007B6F4B" w:rsidRPr="00B44054" w14:paraId="5E319A88" w14:textId="77777777">
        <w:tc>
          <w:tcPr>
            <w:tcW w:w="336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7DD9333" w14:textId="77777777" w:rsidR="007B6F4B" w:rsidRPr="00693852" w:rsidRDefault="0099243F" w:rsidP="00C33807">
            <w:pPr>
              <w:spacing w:line="360" w:lineRule="auto"/>
              <w:rPr>
                <w:color w:val="000000" w:themeColor="text1"/>
              </w:rPr>
            </w:pPr>
            <w:r>
              <w:rPr>
                <w:color w:val="000000" w:themeColor="text1"/>
              </w:rPr>
              <w:t>Technical Build &amp; Integration (Nectar/Store Systems)</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A64D628" w14:textId="77777777" w:rsidR="007B6F4B" w:rsidRPr="00693852" w:rsidRDefault="0099243F" w:rsidP="00C33807">
            <w:pPr>
              <w:spacing w:line="360" w:lineRule="auto"/>
              <w:jc w:val="center"/>
              <w:rPr>
                <w:b/>
                <w:bCs/>
                <w:color w:val="000000" w:themeColor="text1"/>
              </w:rPr>
            </w:pPr>
            <w:r>
              <w:rPr>
                <w:b/>
                <w:bCs/>
                <w:color w:val="000000" w:themeColor="text1"/>
              </w:rPr>
              <w:t>A</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9789313" w14:textId="77777777" w:rsidR="007B6F4B" w:rsidRPr="00693852" w:rsidRDefault="0099243F" w:rsidP="00C33807">
            <w:pPr>
              <w:spacing w:line="360" w:lineRule="auto"/>
              <w:jc w:val="center"/>
              <w:rPr>
                <w:b/>
                <w:bCs/>
                <w:color w:val="000000" w:themeColor="text1"/>
              </w:rPr>
            </w:pPr>
            <w:r>
              <w:rPr>
                <w:b/>
                <w:bCs/>
                <w:color w:val="000000" w:themeColor="text1"/>
              </w:rPr>
              <w:t>R</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1AF11E0"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44D8D46" w14:textId="77777777" w:rsidR="007B6F4B" w:rsidRPr="00693852" w:rsidRDefault="0099243F" w:rsidP="00C33807">
            <w:pPr>
              <w:spacing w:line="360" w:lineRule="auto"/>
              <w:jc w:val="center"/>
              <w:rPr>
                <w:b/>
                <w:bCs/>
                <w:color w:val="000000" w:themeColor="text1"/>
              </w:rPr>
            </w:pPr>
            <w:r>
              <w:rPr>
                <w:b/>
                <w:bCs/>
                <w:color w:val="000000" w:themeColor="text1"/>
              </w:rPr>
              <w:t>C</w:t>
            </w:r>
          </w:p>
        </w:tc>
      </w:tr>
      <w:tr w:rsidR="007B6F4B" w:rsidRPr="00B44054" w14:paraId="71D60424" w14:textId="77777777">
        <w:tc>
          <w:tcPr>
            <w:tcW w:w="336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0024706" w14:textId="77777777" w:rsidR="007B6F4B" w:rsidRPr="00693852" w:rsidRDefault="0099243F" w:rsidP="00C33807">
            <w:pPr>
              <w:spacing w:line="360" w:lineRule="auto"/>
              <w:rPr>
                <w:color w:val="000000" w:themeColor="text1"/>
              </w:rPr>
            </w:pPr>
            <w:r>
              <w:rPr>
                <w:color w:val="000000" w:themeColor="text1"/>
              </w:rPr>
              <w:t>Customer Co-Creation Panels &amp; Reward Design</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626B6F12" w14:textId="77777777" w:rsidR="007B6F4B" w:rsidRPr="00693852" w:rsidRDefault="0099243F" w:rsidP="00C33807">
            <w:pPr>
              <w:spacing w:line="360" w:lineRule="auto"/>
              <w:jc w:val="center"/>
              <w:rPr>
                <w:b/>
                <w:bCs/>
                <w:color w:val="000000" w:themeColor="text1"/>
              </w:rPr>
            </w:pPr>
            <w:r>
              <w:rPr>
                <w:b/>
                <w:bCs/>
                <w:color w:val="000000" w:themeColor="text1"/>
              </w:rPr>
              <w:t>A</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E90E0BA"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270A1B96" w14:textId="77777777" w:rsidR="007B6F4B" w:rsidRPr="00693852" w:rsidRDefault="0099243F" w:rsidP="00C33807">
            <w:pPr>
              <w:spacing w:line="360" w:lineRule="auto"/>
              <w:jc w:val="center"/>
              <w:rPr>
                <w:b/>
                <w:bCs/>
                <w:color w:val="000000" w:themeColor="text1"/>
              </w:rPr>
            </w:pPr>
            <w:r>
              <w:rPr>
                <w:b/>
                <w:bCs/>
                <w:color w:val="000000" w:themeColor="text1"/>
              </w:rPr>
              <w:t>R</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9D0FF11" w14:textId="77777777" w:rsidR="007B6F4B" w:rsidRPr="00693852" w:rsidRDefault="0099243F" w:rsidP="00C33807">
            <w:pPr>
              <w:spacing w:line="360" w:lineRule="auto"/>
              <w:jc w:val="center"/>
              <w:rPr>
                <w:b/>
                <w:bCs/>
                <w:color w:val="000000" w:themeColor="text1"/>
              </w:rPr>
            </w:pPr>
            <w:r>
              <w:rPr>
                <w:b/>
                <w:bCs/>
                <w:color w:val="000000" w:themeColor="text1"/>
              </w:rPr>
              <w:t>C</w:t>
            </w:r>
          </w:p>
        </w:tc>
      </w:tr>
      <w:tr w:rsidR="007B6F4B" w:rsidRPr="00B44054" w14:paraId="567D371D" w14:textId="77777777">
        <w:tc>
          <w:tcPr>
            <w:tcW w:w="336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A69D888" w14:textId="77777777" w:rsidR="007B6F4B" w:rsidRPr="00693852" w:rsidRDefault="0099243F" w:rsidP="00C33807">
            <w:pPr>
              <w:spacing w:line="360" w:lineRule="auto"/>
              <w:rPr>
                <w:color w:val="000000" w:themeColor="text1"/>
              </w:rPr>
            </w:pPr>
            <w:r>
              <w:rPr>
                <w:color w:val="000000" w:themeColor="text1"/>
              </w:rPr>
              <w:t>Store Colleague Training &amp; Champion Programme</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9A4B233" w14:textId="77777777" w:rsidR="007B6F4B" w:rsidRPr="00693852" w:rsidRDefault="0099243F" w:rsidP="00C33807">
            <w:pPr>
              <w:spacing w:line="360" w:lineRule="auto"/>
              <w:jc w:val="center"/>
              <w:rPr>
                <w:b/>
                <w:bCs/>
                <w:color w:val="000000" w:themeColor="text1"/>
              </w:rPr>
            </w:pPr>
            <w:r>
              <w:rPr>
                <w:b/>
                <w:bCs/>
                <w:color w:val="000000" w:themeColor="text1"/>
              </w:rPr>
              <w:t>A</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E550B5F"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6FA201DE"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52E90FE" w14:textId="77777777" w:rsidR="007B6F4B" w:rsidRPr="00693852" w:rsidRDefault="0099243F" w:rsidP="00C33807">
            <w:pPr>
              <w:spacing w:line="360" w:lineRule="auto"/>
              <w:jc w:val="center"/>
              <w:rPr>
                <w:b/>
                <w:bCs/>
                <w:color w:val="000000" w:themeColor="text1"/>
              </w:rPr>
            </w:pPr>
            <w:r>
              <w:rPr>
                <w:b/>
                <w:bCs/>
                <w:color w:val="000000" w:themeColor="text1"/>
              </w:rPr>
              <w:t>I</w:t>
            </w:r>
          </w:p>
        </w:tc>
      </w:tr>
      <w:tr w:rsidR="007B6F4B" w:rsidRPr="00B44054" w14:paraId="6F183EE6" w14:textId="77777777">
        <w:tc>
          <w:tcPr>
            <w:tcW w:w="336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CB84162" w14:textId="77777777" w:rsidR="007B6F4B" w:rsidRPr="00693852" w:rsidRDefault="0099243F" w:rsidP="00C33807">
            <w:pPr>
              <w:spacing w:line="360" w:lineRule="auto"/>
              <w:rPr>
                <w:color w:val="000000" w:themeColor="text1"/>
              </w:rPr>
            </w:pPr>
            <w:r>
              <w:rPr>
                <w:color w:val="000000" w:themeColor="text1"/>
              </w:rPr>
              <w:t>Pilot Launch &amp; Go-Live Readiness</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63B10B04" w14:textId="77777777" w:rsidR="007B6F4B" w:rsidRPr="00693852" w:rsidRDefault="0099243F" w:rsidP="00C33807">
            <w:pPr>
              <w:spacing w:line="360" w:lineRule="auto"/>
              <w:jc w:val="center"/>
              <w:rPr>
                <w:b/>
                <w:bCs/>
                <w:color w:val="000000" w:themeColor="text1"/>
              </w:rPr>
            </w:pPr>
            <w:r>
              <w:rPr>
                <w:b/>
                <w:bCs/>
                <w:color w:val="000000" w:themeColor="text1"/>
              </w:rPr>
              <w:t>A / R</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A007E0F" w14:textId="77777777" w:rsidR="007B6F4B" w:rsidRPr="00693852" w:rsidRDefault="0099243F" w:rsidP="00C33807">
            <w:pPr>
              <w:spacing w:line="360" w:lineRule="auto"/>
              <w:jc w:val="center"/>
              <w:rPr>
                <w:b/>
                <w:bCs/>
                <w:color w:val="000000" w:themeColor="text1"/>
              </w:rPr>
            </w:pPr>
            <w:r>
              <w:rPr>
                <w:b/>
                <w:bCs/>
                <w:color w:val="000000" w:themeColor="text1"/>
              </w:rPr>
              <w:t>R</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FF0C49E" w14:textId="77777777" w:rsidR="007B6F4B" w:rsidRPr="00693852" w:rsidRDefault="0099243F" w:rsidP="00C33807">
            <w:pPr>
              <w:spacing w:line="360" w:lineRule="auto"/>
              <w:jc w:val="center"/>
              <w:rPr>
                <w:b/>
                <w:bCs/>
                <w:color w:val="000000" w:themeColor="text1"/>
              </w:rPr>
            </w:pPr>
            <w:r>
              <w:rPr>
                <w:b/>
                <w:bCs/>
                <w:color w:val="000000" w:themeColor="text1"/>
              </w:rPr>
              <w:t>R</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2B39998" w14:textId="77777777" w:rsidR="007B6F4B" w:rsidRPr="00693852" w:rsidRDefault="0099243F" w:rsidP="00C33807">
            <w:pPr>
              <w:spacing w:line="360" w:lineRule="auto"/>
              <w:jc w:val="center"/>
              <w:rPr>
                <w:b/>
                <w:bCs/>
                <w:color w:val="000000" w:themeColor="text1"/>
              </w:rPr>
            </w:pPr>
            <w:r>
              <w:rPr>
                <w:b/>
                <w:bCs/>
                <w:color w:val="000000" w:themeColor="text1"/>
              </w:rPr>
              <w:t>C</w:t>
            </w:r>
          </w:p>
        </w:tc>
      </w:tr>
      <w:tr w:rsidR="007B6F4B" w:rsidRPr="00B44054" w14:paraId="457F2C36" w14:textId="77777777">
        <w:tc>
          <w:tcPr>
            <w:tcW w:w="336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031DFF0" w14:textId="77777777" w:rsidR="007B6F4B" w:rsidRPr="00693852" w:rsidRDefault="0099243F" w:rsidP="00C33807">
            <w:pPr>
              <w:spacing w:line="360" w:lineRule="auto"/>
              <w:rPr>
                <w:color w:val="000000" w:themeColor="text1"/>
              </w:rPr>
            </w:pPr>
            <w:r>
              <w:rPr>
                <w:color w:val="000000" w:themeColor="text1"/>
              </w:rPr>
              <w:t>Stakeholder Communication &amp; Reporting</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6468C0B1" w14:textId="77777777" w:rsidR="007B6F4B" w:rsidRPr="00693852" w:rsidRDefault="0099243F" w:rsidP="00C33807">
            <w:pPr>
              <w:spacing w:line="360" w:lineRule="auto"/>
              <w:jc w:val="center"/>
              <w:rPr>
                <w:b/>
                <w:bCs/>
                <w:color w:val="000000" w:themeColor="text1"/>
              </w:rPr>
            </w:pPr>
            <w:r>
              <w:rPr>
                <w:b/>
                <w:bCs/>
                <w:color w:val="000000" w:themeColor="text1"/>
              </w:rPr>
              <w:t>A</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21B54395"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1EE7994" w14:textId="77777777" w:rsidR="007B6F4B" w:rsidRPr="00693852" w:rsidRDefault="0099243F" w:rsidP="00C33807">
            <w:pPr>
              <w:spacing w:line="360" w:lineRule="auto"/>
              <w:jc w:val="center"/>
              <w:rPr>
                <w:b/>
                <w:bCs/>
                <w:color w:val="000000" w:themeColor="text1"/>
              </w:rPr>
            </w:pPr>
            <w:r>
              <w:rPr>
                <w:b/>
                <w:bCs/>
                <w:color w:val="000000" w:themeColor="text1"/>
              </w:rPr>
              <w:t>C</w:t>
            </w:r>
          </w:p>
        </w:tc>
        <w:tc>
          <w:tcPr>
            <w:tcW w:w="16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4BB036C" w14:textId="77777777" w:rsidR="007B6F4B" w:rsidRPr="00693852" w:rsidRDefault="0099243F" w:rsidP="00C33807">
            <w:pPr>
              <w:spacing w:line="360" w:lineRule="auto"/>
              <w:jc w:val="center"/>
              <w:rPr>
                <w:b/>
                <w:bCs/>
                <w:color w:val="000000" w:themeColor="text1"/>
              </w:rPr>
            </w:pPr>
            <w:r>
              <w:rPr>
                <w:b/>
                <w:bCs/>
                <w:color w:val="000000" w:themeColor="text1"/>
              </w:rPr>
              <w:t>I</w:t>
            </w:r>
          </w:p>
        </w:tc>
      </w:tr>
    </w:tbl>
    <w:p w14:paraId="3ACFF5B3" w14:textId="3E35ED92" w:rsidR="007B6F4B" w:rsidRPr="00B44054" w:rsidRDefault="00EC23D0" w:rsidP="00C33807">
      <w:pPr>
        <w:spacing w:before="80" w:line="360" w:lineRule="auto"/>
        <w:jc w:val="center"/>
        <w:rPr>
          <w:color w:val="000000" w:themeColor="text1"/>
        </w:rPr>
      </w:pPr>
      <w:r>
        <w:rPr>
          <w:i/>
          <w:iCs/>
          <w:color w:val="000000" w:themeColor="text1"/>
        </w:rPr>
        <w:t>Table 2: RACI Matrix for Key ConnectPlus Project Activities at Sainsbury’s (R = Responsible, A = Accountable, C = Consulted, I = Informed)</w:t>
      </w:r>
    </w:p>
    <w:p w14:paraId="5711A4F3" w14:textId="77777777" w:rsidR="007B6F4B" w:rsidRPr="00B44054" w:rsidRDefault="0099243F" w:rsidP="00C33807">
      <w:pPr>
        <w:pStyle w:val="Heading1"/>
        <w:spacing w:line="360" w:lineRule="auto"/>
        <w:rPr>
          <w:color w:val="000000" w:themeColor="text1"/>
          <w:sz w:val="22"/>
          <w:szCs w:val="22"/>
        </w:rPr>
      </w:pPr>
      <w:r>
        <w:rPr>
          <w:color w:val="000000" w:themeColor="text1"/>
          <w:sz w:val="22"/>
          <w:szCs w:val="22"/>
        </w:rPr>
        <w:t>4. Roles, Responsibilities, Benefits and Challenges of Key Stakeholders</w:t>
      </w:r>
    </w:p>
    <w:p w14:paraId="5AF1DEB5" w14:textId="77777777" w:rsidR="007B6F4B" w:rsidRPr="00B44054" w:rsidRDefault="0099243F" w:rsidP="00C33807">
      <w:pPr>
        <w:spacing w:line="360" w:lineRule="auto"/>
        <w:rPr>
          <w:color w:val="000000" w:themeColor="text1"/>
        </w:rPr>
      </w:pPr>
      <w:r>
        <w:rPr>
          <w:color w:val="000000" w:themeColor="text1"/>
        </w:rPr>
        <w:t xml:space="preserve">After stakeholders have been mapped it is essential to understand the concrete value each group brings and the difficulties they may create. The analysis below focuses on the highest-priority groups </w:t>
      </w:r>
      <w:r>
        <w:rPr>
          <w:color w:val="000000" w:themeColor="text1"/>
        </w:rPr>
        <w:lastRenderedPageBreak/>
        <w:t>and draws practical lessons from well-documented cases such as BAE Systems’ long-term relationship with organised labour, Marks &amp; Spencer’s Plan A supply-chain work, LG Electronics’ journey towards genuine stakeholder engagement, and Cargill’s multi-stakeholder sustainability approach.</w:t>
      </w:r>
    </w:p>
    <w:p w14:paraId="0BF9BD31" w14:textId="77777777" w:rsidR="007B6F4B" w:rsidRPr="00B44054" w:rsidRDefault="0099243F" w:rsidP="00C33807">
      <w:pPr>
        <w:spacing w:before="120" w:line="360" w:lineRule="auto"/>
        <w:rPr>
          <w:color w:val="000000" w:themeColor="text1"/>
        </w:rPr>
      </w:pPr>
      <w:r>
        <w:rPr>
          <w:b/>
          <w:bCs/>
          <w:color w:val="000000" w:themeColor="text1"/>
        </w:rPr>
        <w:t xml:space="preserve">Senior Leadership and Project Sponsor: </w:t>
      </w:r>
      <w:r>
        <w:rPr>
          <w:color w:val="000000" w:themeColor="text1"/>
        </w:rPr>
        <w:t>Their role is to give strategic direction, free up resources, remove organisational blockers and publicly champion the platform. The biggest benefit they bring is visible commitment; when senior leaders are clearly behind a project, cross-functional cooperation becomes much easier. This is exactly what BAE Systems achieved when its Chief Executive and UK Group Managing Director became regularly involved in dialogue with trade unions – personal trust at the top level helped prevent industrial action for more than fifteen years.</w:t>
      </w:r>
    </w:p>
    <w:p w14:paraId="06DBC8D0" w14:textId="77777777" w:rsidR="007B6F4B" w:rsidRPr="00B44054" w:rsidRDefault="0099243F" w:rsidP="00C33807">
      <w:pPr>
        <w:spacing w:before="120" w:line="360" w:lineRule="auto"/>
        <w:rPr>
          <w:color w:val="000000" w:themeColor="text1"/>
        </w:rPr>
      </w:pPr>
      <w:r>
        <w:rPr>
          <w:b/>
          <w:bCs/>
          <w:color w:val="000000" w:themeColor="text1"/>
        </w:rPr>
        <w:t xml:space="preserve">IT / Digital Teams and External Technology Partners: </w:t>
      </w:r>
      <w:r>
        <w:rPr>
          <w:color w:val="000000" w:themeColor="text1"/>
        </w:rPr>
        <w:t>These stakeholders design, build, integrate and secure the platform and make sure it works seamlessly with the existing Nectar infrastructure and store systems. They bring deep technical expertise and speed of delivery. The risks include a natural tendency to optimise for elegant architecture rather than everyday commercial usability, possible disagreements over data ownership and intellectual property with external AI vendors, and the complexity of integrating with legacy systems.</w:t>
      </w:r>
    </w:p>
    <w:p w14:paraId="38B37608" w14:textId="77777777" w:rsidR="007B6F4B" w:rsidRPr="00B44054" w:rsidRDefault="0099243F" w:rsidP="00C33807">
      <w:pPr>
        <w:spacing w:before="120" w:line="360" w:lineRule="auto"/>
        <w:rPr>
          <w:color w:val="000000" w:themeColor="text1"/>
        </w:rPr>
      </w:pPr>
      <w:r>
        <w:rPr>
          <w:b/>
          <w:bCs/>
          <w:color w:val="000000" w:themeColor="text1"/>
        </w:rPr>
        <w:t xml:space="preserve">Marketing, CRM / Nectar Teams and Customers: </w:t>
      </w:r>
      <w:r>
        <w:rPr>
          <w:color w:val="000000" w:themeColor="text1"/>
        </w:rPr>
        <w:t>Marketing and the Nectar team shape the value proposition, design the reward mechanics and drive adoption. Customers (especially existing Nectar members) supply the behavioural data and ultimately decide whether the platform feels worthwhile. The benefit is direct insight into what people actually want and the possibility of strong word-of-mouth advocacy. LG Electronics’ experience shows that simply communicating with stakeholders is not enough; real engagement that reflects their needs in decision-making produces better long-term results.</w:t>
      </w:r>
    </w:p>
    <w:p w14:paraId="57C3D9A9" w14:textId="77777777" w:rsidR="007B6F4B" w:rsidRPr="00B44054" w:rsidRDefault="0099243F" w:rsidP="00C33807">
      <w:pPr>
        <w:spacing w:before="120" w:line="360" w:lineRule="auto"/>
        <w:rPr>
          <w:color w:val="000000" w:themeColor="text1"/>
        </w:rPr>
      </w:pPr>
      <w:r>
        <w:rPr>
          <w:b/>
          <w:bCs/>
          <w:color w:val="000000" w:themeColor="text1"/>
        </w:rPr>
        <w:t xml:space="preserve">Data Protection Officer, Legal and Regulators: </w:t>
      </w:r>
      <w:r>
        <w:rPr>
          <w:color w:val="000000" w:themeColor="text1"/>
        </w:rPr>
        <w:t>These stakeholders protect legal and ethical compliance and safeguard Sainsbury’s licence to operate. Early and genuine involvement prevents expensive last-minute redesigns and builds trust with both customers and authorities. The difficulty is that commercial teams sometimes view them as blockers. The solution is to treat the DPO as a strategic partner rather than a compliance policeman – inviting them into design workshops from the very beginning, in the same way that Marks &amp; Spencer has involved suppliers as partners when developing standards under Plan A.</w:t>
      </w:r>
    </w:p>
    <w:p w14:paraId="0F82108C" w14:textId="77777777" w:rsidR="007B6F4B" w:rsidRPr="00B44054" w:rsidRDefault="0099243F" w:rsidP="00C33807">
      <w:pPr>
        <w:spacing w:before="120" w:line="360" w:lineRule="auto"/>
        <w:rPr>
          <w:color w:val="000000" w:themeColor="text1"/>
        </w:rPr>
      </w:pPr>
      <w:r>
        <w:rPr>
          <w:b/>
          <w:bCs/>
          <w:color w:val="000000" w:themeColor="text1"/>
        </w:rPr>
        <w:t xml:space="preserve">Frontline Staff and Store Managers: </w:t>
      </w:r>
      <w:r>
        <w:rPr>
          <w:color w:val="000000" w:themeColor="text1"/>
        </w:rPr>
        <w:t xml:space="preserve">Frontline colleagues in Sainsbury’s stores and Argos deliver the omnichannel experience, explain the programme to customers and provide essential ground-level feedback. They are the face of the brand, so high engagement dramatically improves adoption rates. The challenges are change fatigue, possible fear of job impact from automation, and varying levels of </w:t>
      </w:r>
      <w:r>
        <w:rPr>
          <w:color w:val="000000" w:themeColor="text1"/>
        </w:rPr>
        <w:lastRenderedPageBreak/>
        <w:t>digital confidence. Marks &amp; Spencer’s Plan A work shows that treating frontline and supplier partners as genuine co-creators rather than mere implementers produces far better outcomes.</w:t>
      </w:r>
    </w:p>
    <w:p w14:paraId="0BC190C5" w14:textId="77777777" w:rsidR="007B6F4B" w:rsidRPr="00B44054" w:rsidRDefault="0099243F" w:rsidP="00C33807">
      <w:pPr>
        <w:pStyle w:val="Heading1"/>
        <w:spacing w:line="360" w:lineRule="auto"/>
        <w:rPr>
          <w:color w:val="000000" w:themeColor="text1"/>
          <w:sz w:val="22"/>
          <w:szCs w:val="22"/>
        </w:rPr>
      </w:pPr>
      <w:r>
        <w:rPr>
          <w:color w:val="000000" w:themeColor="text1"/>
          <w:sz w:val="22"/>
          <w:szCs w:val="22"/>
        </w:rPr>
        <w:t>5. Process for Engaging Stakeholders and Managing Conflict</w:t>
      </w:r>
    </w:p>
    <w:p w14:paraId="1BDB9B1A" w14:textId="77777777" w:rsidR="007B6F4B" w:rsidRPr="00B44054" w:rsidRDefault="0099243F" w:rsidP="00C33807">
      <w:pPr>
        <w:spacing w:line="360" w:lineRule="auto"/>
        <w:rPr>
          <w:color w:val="000000" w:themeColor="text1"/>
        </w:rPr>
      </w:pPr>
      <w:r>
        <w:rPr>
          <w:color w:val="000000" w:themeColor="text1"/>
        </w:rPr>
        <w:t>Once stakeholders have been identified and understood, the Project Manager must design and run a living engagement process. The approach used for ConnectPlus at Sainsbury’s combines a seven-stage process, the four Cs of engagement (Communication, Collaboration, Consultation and Commitment), clear RACI accountability, SWANS/OWANS alignment of wants and needs, and practical conflict-resolution techniques. Engagement is treated as a continuous relationship that evolves as the project moves through design, pilot, launch and optimisation – not as a one-off consultation exercise.</w:t>
      </w:r>
    </w:p>
    <w:p w14:paraId="52D9FD80" w14:textId="3825F25F" w:rsidR="007B6F4B" w:rsidRPr="00B44054" w:rsidRDefault="0099243F" w:rsidP="00C33807">
      <w:pPr>
        <w:pStyle w:val="Heading2"/>
        <w:spacing w:line="360" w:lineRule="auto"/>
        <w:rPr>
          <w:color w:val="000000" w:themeColor="text1"/>
          <w:sz w:val="22"/>
          <w:szCs w:val="22"/>
        </w:rPr>
      </w:pPr>
      <w:r>
        <w:rPr>
          <w:color w:val="000000" w:themeColor="text1"/>
          <w:sz w:val="22"/>
          <w:szCs w:val="22"/>
        </w:rPr>
        <w:t>5.1 Figure 3: SWANS and OWANS Framework</w:t>
      </w:r>
    </w:p>
    <w:p w14:paraId="0FDEF52A" w14:textId="77777777" w:rsidR="007B6F4B" w:rsidRPr="00B44054" w:rsidRDefault="0099243F" w:rsidP="00C33807">
      <w:pPr>
        <w:spacing w:line="360" w:lineRule="auto"/>
        <w:rPr>
          <w:color w:val="000000" w:themeColor="text1"/>
        </w:rPr>
      </w:pPr>
      <w:r>
        <w:rPr>
          <w:color w:val="000000" w:themeColor="text1"/>
        </w:rPr>
        <w:t>A common failure is that organisations talk at stakeholders rather than discovering mutual value. The SWANS (Stakeholder Wants And Needs) and OWANS (Organisation Wants And Needs from Stakeholders) framework, developed by Neely and colleagues at Cranfield, forces both sides to be made explicit.</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40"/>
        <w:gridCol w:w="5040"/>
      </w:tblGrid>
      <w:tr w:rsidR="007B6F4B" w:rsidRPr="00B44054" w14:paraId="78FCE4A3" w14:textId="77777777" w:rsidTr="00693852">
        <w:tc>
          <w:tcPr>
            <w:tcW w:w="5040" w:type="dxa"/>
            <w:tcBorders>
              <w:top w:val="single" w:sz="1" w:space="0" w:color="CCCCCC"/>
              <w:left w:val="single" w:sz="1" w:space="0" w:color="CCCCCC"/>
              <w:bottom w:val="single" w:sz="1" w:space="0" w:color="CCCCCC"/>
              <w:right w:val="single" w:sz="1" w:space="0" w:color="CCCCCC"/>
            </w:tcBorders>
            <w:shd w:val="clear" w:color="auto" w:fill="7030A0"/>
            <w:tcMar>
              <w:top w:w="60" w:type="dxa"/>
              <w:left w:w="80" w:type="dxa"/>
              <w:bottom w:w="60" w:type="dxa"/>
              <w:right w:w="80" w:type="dxa"/>
            </w:tcMar>
            <w:vAlign w:val="center"/>
          </w:tcPr>
          <w:p w14:paraId="777001AE" w14:textId="77777777" w:rsidR="007B6F4B" w:rsidRPr="00B44054" w:rsidRDefault="0099243F" w:rsidP="00C33807">
            <w:pPr>
              <w:spacing w:line="360" w:lineRule="auto"/>
              <w:jc w:val="center"/>
              <w:rPr>
                <w:color w:val="000000" w:themeColor="text1"/>
              </w:rPr>
            </w:pPr>
            <w:r>
              <w:rPr>
                <w:b/>
                <w:bCs/>
                <w:color w:val="000000" w:themeColor="text1"/>
              </w:rPr>
              <w:t>SWANS – Stakeholder Wants &amp; Needs</w:t>
            </w:r>
          </w:p>
        </w:tc>
        <w:tc>
          <w:tcPr>
            <w:tcW w:w="5040" w:type="dxa"/>
            <w:tcBorders>
              <w:top w:val="single" w:sz="1" w:space="0" w:color="CCCCCC"/>
              <w:left w:val="single" w:sz="1" w:space="0" w:color="CCCCCC"/>
              <w:bottom w:val="single" w:sz="1" w:space="0" w:color="CCCCCC"/>
              <w:right w:val="single" w:sz="1" w:space="0" w:color="CCCCCC"/>
            </w:tcBorders>
            <w:shd w:val="clear" w:color="auto" w:fill="7030A0"/>
            <w:tcMar>
              <w:top w:w="60" w:type="dxa"/>
              <w:left w:w="80" w:type="dxa"/>
              <w:bottom w:w="60" w:type="dxa"/>
              <w:right w:w="80" w:type="dxa"/>
            </w:tcMar>
            <w:vAlign w:val="center"/>
          </w:tcPr>
          <w:p w14:paraId="1EFD5D9C" w14:textId="77777777" w:rsidR="007B6F4B" w:rsidRPr="00B44054" w:rsidRDefault="0099243F" w:rsidP="00C33807">
            <w:pPr>
              <w:spacing w:line="360" w:lineRule="auto"/>
              <w:jc w:val="center"/>
              <w:rPr>
                <w:color w:val="000000" w:themeColor="text1"/>
              </w:rPr>
            </w:pPr>
            <w:r>
              <w:rPr>
                <w:b/>
                <w:bCs/>
                <w:color w:val="000000" w:themeColor="text1"/>
              </w:rPr>
              <w:t>OWANS – Sainsbury’s Wants &amp; Needs from Stakeholders</w:t>
            </w:r>
          </w:p>
        </w:tc>
      </w:tr>
      <w:tr w:rsidR="007B6F4B" w:rsidRPr="00B44054" w14:paraId="20106394" w14:textId="77777777" w:rsidTr="00693852">
        <w:tc>
          <w:tcPr>
            <w:tcW w:w="5040" w:type="dxa"/>
            <w:tcBorders>
              <w:top w:val="single" w:sz="1" w:space="0" w:color="2E75B6"/>
              <w:left w:val="single" w:sz="1" w:space="0" w:color="2E75B6"/>
              <w:bottom w:val="single" w:sz="1" w:space="0" w:color="2E75B6"/>
              <w:right w:val="single" w:sz="1" w:space="0" w:color="2E75B6"/>
            </w:tcBorders>
            <w:shd w:val="clear" w:color="auto" w:fill="FFFFFF" w:themeFill="background1"/>
            <w:tcMar>
              <w:top w:w="60" w:type="dxa"/>
              <w:left w:w="80" w:type="dxa"/>
              <w:bottom w:w="60" w:type="dxa"/>
              <w:right w:w="80" w:type="dxa"/>
            </w:tcMar>
          </w:tcPr>
          <w:p w14:paraId="18DC3F8C" w14:textId="77777777" w:rsidR="007B6F4B" w:rsidRPr="00B44054" w:rsidRDefault="0099243F" w:rsidP="00C33807">
            <w:pPr>
              <w:spacing w:line="360" w:lineRule="auto"/>
              <w:rPr>
                <w:color w:val="000000" w:themeColor="text1"/>
              </w:rPr>
            </w:pPr>
            <w:r>
              <w:rPr>
                <w:b/>
                <w:bCs/>
                <w:color w:val="000000" w:themeColor="text1"/>
              </w:rPr>
              <w:t>Customers (Nectar):</w:t>
            </w:r>
          </w:p>
          <w:p w14:paraId="547E9AED" w14:textId="77777777" w:rsidR="007B6F4B" w:rsidRPr="00B44054" w:rsidRDefault="0099243F" w:rsidP="00C33807">
            <w:pPr>
              <w:spacing w:line="360" w:lineRule="auto"/>
              <w:rPr>
                <w:color w:val="000000" w:themeColor="text1"/>
              </w:rPr>
            </w:pPr>
            <w:r>
              <w:rPr>
                <w:color w:val="000000" w:themeColor="text1"/>
              </w:rPr>
              <w:t>• Relevant personalisation &amp; rewards</w:t>
            </w:r>
          </w:p>
          <w:p w14:paraId="180A515D" w14:textId="77777777" w:rsidR="007B6F4B" w:rsidRPr="00B44054" w:rsidRDefault="0099243F" w:rsidP="00C33807">
            <w:pPr>
              <w:spacing w:line="360" w:lineRule="auto"/>
              <w:rPr>
                <w:color w:val="000000" w:themeColor="text1"/>
              </w:rPr>
            </w:pPr>
            <w:r>
              <w:rPr>
                <w:color w:val="000000" w:themeColor="text1"/>
              </w:rPr>
              <w:t>• Full control over data &amp; easy opt-out</w:t>
            </w:r>
          </w:p>
          <w:p w14:paraId="5EE01967" w14:textId="77777777" w:rsidR="007B6F4B" w:rsidRPr="00B44054" w:rsidRDefault="0099243F" w:rsidP="00C33807">
            <w:pPr>
              <w:spacing w:line="360" w:lineRule="auto"/>
              <w:rPr>
                <w:color w:val="000000" w:themeColor="text1"/>
              </w:rPr>
            </w:pPr>
            <w:r>
              <w:rPr>
                <w:color w:val="000000" w:themeColor="text1"/>
              </w:rPr>
              <w:t>• Transparent, trustworthy use of data</w:t>
            </w:r>
          </w:p>
          <w:p w14:paraId="563B5C3C" w14:textId="77777777" w:rsidR="007B6F4B" w:rsidRPr="00B44054" w:rsidRDefault="0099243F" w:rsidP="00C33807">
            <w:pPr>
              <w:spacing w:before="80" w:line="360" w:lineRule="auto"/>
              <w:rPr>
                <w:color w:val="000000" w:themeColor="text1"/>
              </w:rPr>
            </w:pPr>
            <w:r>
              <w:rPr>
                <w:b/>
                <w:bCs/>
                <w:color w:val="000000" w:themeColor="text1"/>
              </w:rPr>
              <w:t>Frontline Colleagues:</w:t>
            </w:r>
          </w:p>
          <w:p w14:paraId="3E4E3F24" w14:textId="77777777" w:rsidR="007B6F4B" w:rsidRPr="00B44054" w:rsidRDefault="0099243F" w:rsidP="00C33807">
            <w:pPr>
              <w:spacing w:line="360" w:lineRule="auto"/>
              <w:rPr>
                <w:color w:val="000000" w:themeColor="text1"/>
              </w:rPr>
            </w:pPr>
            <w:r>
              <w:rPr>
                <w:color w:val="000000" w:themeColor="text1"/>
              </w:rPr>
              <w:t>• Clear training &amp; support</w:t>
            </w:r>
          </w:p>
          <w:p w14:paraId="5AD91DA5" w14:textId="77777777" w:rsidR="007B6F4B" w:rsidRPr="00B44054" w:rsidRDefault="0099243F" w:rsidP="00C33807">
            <w:pPr>
              <w:spacing w:line="360" w:lineRule="auto"/>
              <w:rPr>
                <w:color w:val="000000" w:themeColor="text1"/>
              </w:rPr>
            </w:pPr>
            <w:r>
              <w:rPr>
                <w:color w:val="000000" w:themeColor="text1"/>
              </w:rPr>
              <w:t>• Recognition for adoption efforts</w:t>
            </w:r>
          </w:p>
          <w:p w14:paraId="56532D6A" w14:textId="77777777" w:rsidR="007B6F4B" w:rsidRPr="00B44054" w:rsidRDefault="0099243F" w:rsidP="00C33807">
            <w:pPr>
              <w:spacing w:line="360" w:lineRule="auto"/>
              <w:rPr>
                <w:color w:val="000000" w:themeColor="text1"/>
              </w:rPr>
            </w:pPr>
            <w:r>
              <w:rPr>
                <w:color w:val="000000" w:themeColor="text1"/>
              </w:rPr>
              <w:t>• Voice in how the platform works in store</w:t>
            </w:r>
          </w:p>
        </w:tc>
        <w:tc>
          <w:tcPr>
            <w:tcW w:w="5040" w:type="dxa"/>
            <w:tcBorders>
              <w:top w:val="single" w:sz="1" w:space="0" w:color="2E75B6"/>
              <w:left w:val="single" w:sz="1" w:space="0" w:color="2E75B6"/>
              <w:bottom w:val="single" w:sz="1" w:space="0" w:color="2E75B6"/>
              <w:right w:val="single" w:sz="1" w:space="0" w:color="2E75B6"/>
            </w:tcBorders>
            <w:tcMar>
              <w:top w:w="60" w:type="dxa"/>
              <w:left w:w="80" w:type="dxa"/>
              <w:bottom w:w="60" w:type="dxa"/>
              <w:right w:w="80" w:type="dxa"/>
            </w:tcMar>
          </w:tcPr>
          <w:p w14:paraId="5002199E" w14:textId="77777777" w:rsidR="007B6F4B" w:rsidRPr="00B44054" w:rsidRDefault="0099243F" w:rsidP="00C33807">
            <w:pPr>
              <w:spacing w:line="360" w:lineRule="auto"/>
              <w:rPr>
                <w:color w:val="000000" w:themeColor="text1"/>
              </w:rPr>
            </w:pPr>
            <w:r>
              <w:rPr>
                <w:b/>
                <w:bCs/>
                <w:color w:val="000000" w:themeColor="text1"/>
              </w:rPr>
              <w:t>From Customers:</w:t>
            </w:r>
          </w:p>
          <w:p w14:paraId="7B9DA1A1" w14:textId="77777777" w:rsidR="007B6F4B" w:rsidRPr="00B44054" w:rsidRDefault="0099243F" w:rsidP="00C33807">
            <w:pPr>
              <w:spacing w:line="360" w:lineRule="auto"/>
              <w:rPr>
                <w:color w:val="000000" w:themeColor="text1"/>
              </w:rPr>
            </w:pPr>
            <w:r>
              <w:rPr>
                <w:color w:val="000000" w:themeColor="text1"/>
              </w:rPr>
              <w:t>• High-quality consented first-party data</w:t>
            </w:r>
          </w:p>
          <w:p w14:paraId="694E9885" w14:textId="77777777" w:rsidR="007B6F4B" w:rsidRPr="00B44054" w:rsidRDefault="0099243F" w:rsidP="00C33807">
            <w:pPr>
              <w:spacing w:line="360" w:lineRule="auto"/>
              <w:rPr>
                <w:color w:val="000000" w:themeColor="text1"/>
              </w:rPr>
            </w:pPr>
            <w:r>
              <w:rPr>
                <w:color w:val="000000" w:themeColor="text1"/>
              </w:rPr>
              <w:t>• Increased retention &amp; lifetime value</w:t>
            </w:r>
          </w:p>
          <w:p w14:paraId="073E0A0D" w14:textId="77777777" w:rsidR="007B6F4B" w:rsidRPr="00B44054" w:rsidRDefault="0099243F" w:rsidP="00C33807">
            <w:pPr>
              <w:spacing w:line="360" w:lineRule="auto"/>
              <w:rPr>
                <w:color w:val="000000" w:themeColor="text1"/>
              </w:rPr>
            </w:pPr>
            <w:r>
              <w:rPr>
                <w:color w:val="000000" w:themeColor="text1"/>
              </w:rPr>
              <w:t>• Advocacy &amp; positive word-of-mouth</w:t>
            </w:r>
          </w:p>
          <w:p w14:paraId="72143F21" w14:textId="77777777" w:rsidR="007B6F4B" w:rsidRPr="00B44054" w:rsidRDefault="0099243F" w:rsidP="00C33807">
            <w:pPr>
              <w:spacing w:before="80" w:line="360" w:lineRule="auto"/>
              <w:rPr>
                <w:color w:val="000000" w:themeColor="text1"/>
              </w:rPr>
            </w:pPr>
            <w:r>
              <w:rPr>
                <w:b/>
                <w:bCs/>
                <w:color w:val="000000" w:themeColor="text1"/>
              </w:rPr>
              <w:t>From Frontline Colleagues:</w:t>
            </w:r>
          </w:p>
          <w:p w14:paraId="0DC6CDDA" w14:textId="77777777" w:rsidR="007B6F4B" w:rsidRPr="00B44054" w:rsidRDefault="0099243F" w:rsidP="00C33807">
            <w:pPr>
              <w:spacing w:line="360" w:lineRule="auto"/>
              <w:rPr>
                <w:color w:val="000000" w:themeColor="text1"/>
              </w:rPr>
            </w:pPr>
            <w:r>
              <w:rPr>
                <w:color w:val="000000" w:themeColor="text1"/>
              </w:rPr>
              <w:t>• Consistent, high-quality customer experience</w:t>
            </w:r>
          </w:p>
          <w:p w14:paraId="1ED3D739" w14:textId="77777777" w:rsidR="007B6F4B" w:rsidRPr="00B44054" w:rsidRDefault="0099243F" w:rsidP="00C33807">
            <w:pPr>
              <w:spacing w:line="360" w:lineRule="auto"/>
              <w:rPr>
                <w:color w:val="000000" w:themeColor="text1"/>
              </w:rPr>
            </w:pPr>
            <w:r>
              <w:rPr>
                <w:color w:val="000000" w:themeColor="text1"/>
              </w:rPr>
              <w:t>• Rapid feedback on usability &amp; issues</w:t>
            </w:r>
          </w:p>
          <w:p w14:paraId="3FF473EF" w14:textId="77777777" w:rsidR="007B6F4B" w:rsidRPr="00B44054" w:rsidRDefault="0099243F" w:rsidP="00C33807">
            <w:pPr>
              <w:spacing w:line="360" w:lineRule="auto"/>
              <w:rPr>
                <w:color w:val="000000" w:themeColor="text1"/>
              </w:rPr>
            </w:pPr>
            <w:r>
              <w:rPr>
                <w:color w:val="000000" w:themeColor="text1"/>
              </w:rPr>
              <w:t>• High adoption rates of new tools</w:t>
            </w:r>
          </w:p>
        </w:tc>
      </w:tr>
    </w:tbl>
    <w:p w14:paraId="2FC8F0BF" w14:textId="35683B24" w:rsidR="007B6F4B" w:rsidRPr="00B44054" w:rsidRDefault="0099243F" w:rsidP="00C33807">
      <w:pPr>
        <w:spacing w:before="80" w:line="360" w:lineRule="auto"/>
        <w:jc w:val="center"/>
        <w:rPr>
          <w:color w:val="000000" w:themeColor="text1"/>
        </w:rPr>
      </w:pPr>
      <w:r>
        <w:rPr>
          <w:i/>
          <w:iCs/>
          <w:color w:val="000000" w:themeColor="text1"/>
        </w:rPr>
        <w:t>Figure 3: SWANS and OWANS Framework for ConnectPlus at Sainsbury’s (adapted from Neely / Cranfield)</w:t>
      </w:r>
    </w:p>
    <w:p w14:paraId="4AC889E8" w14:textId="48EB738F" w:rsidR="007B6F4B" w:rsidRPr="00B44054" w:rsidRDefault="0099243F" w:rsidP="00C33807">
      <w:pPr>
        <w:pStyle w:val="Heading2"/>
        <w:spacing w:line="360" w:lineRule="auto"/>
        <w:rPr>
          <w:color w:val="000000" w:themeColor="text1"/>
          <w:sz w:val="22"/>
          <w:szCs w:val="22"/>
        </w:rPr>
      </w:pPr>
      <w:r>
        <w:rPr>
          <w:color w:val="000000" w:themeColor="text1"/>
          <w:sz w:val="22"/>
          <w:szCs w:val="22"/>
        </w:rPr>
        <w:t>5.2 Table 3: Tailored Communication Plan</w:t>
      </w:r>
    </w:p>
    <w:p w14:paraId="0A5F5DCE" w14:textId="77777777" w:rsidR="007B6F4B" w:rsidRPr="00B44054" w:rsidRDefault="0099243F" w:rsidP="00C33807">
      <w:pPr>
        <w:spacing w:line="360" w:lineRule="auto"/>
        <w:rPr>
          <w:color w:val="000000" w:themeColor="text1"/>
        </w:rPr>
      </w:pPr>
      <w:r>
        <w:rPr>
          <w:color w:val="000000" w:themeColor="text1"/>
        </w:rPr>
        <w:t>A living communication plan sets out what information is shared, with whom, by what channel, how often, and by whom. The four guiding principles are Communication, Collaboration, Consultation and Commitment.</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16"/>
        <w:gridCol w:w="2016"/>
        <w:gridCol w:w="2016"/>
        <w:gridCol w:w="2016"/>
        <w:gridCol w:w="2016"/>
      </w:tblGrid>
      <w:tr w:rsidR="007B6F4B" w:rsidRPr="00B44054" w14:paraId="40069B62" w14:textId="77777777" w:rsidTr="00BD1962">
        <w:tc>
          <w:tcPr>
            <w:tcW w:w="2016"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079E571F" w14:textId="77777777" w:rsidR="007B6F4B" w:rsidRPr="00B44054" w:rsidRDefault="0099243F" w:rsidP="00C33807">
            <w:pPr>
              <w:spacing w:line="360" w:lineRule="auto"/>
              <w:jc w:val="center"/>
              <w:rPr>
                <w:color w:val="000000" w:themeColor="text1"/>
              </w:rPr>
            </w:pPr>
            <w:r>
              <w:rPr>
                <w:b/>
                <w:bCs/>
                <w:color w:val="000000" w:themeColor="text1"/>
              </w:rPr>
              <w:lastRenderedPageBreak/>
              <w:t>Stakeholder Group</w:t>
            </w:r>
          </w:p>
        </w:tc>
        <w:tc>
          <w:tcPr>
            <w:tcW w:w="2016"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6080E4FA" w14:textId="77777777" w:rsidR="007B6F4B" w:rsidRPr="00B44054" w:rsidRDefault="0099243F" w:rsidP="00C33807">
            <w:pPr>
              <w:spacing w:line="360" w:lineRule="auto"/>
              <w:jc w:val="center"/>
              <w:rPr>
                <w:color w:val="000000" w:themeColor="text1"/>
              </w:rPr>
            </w:pPr>
            <w:r>
              <w:rPr>
                <w:b/>
                <w:bCs/>
                <w:color w:val="000000" w:themeColor="text1"/>
              </w:rPr>
              <w:t>Key Message</w:t>
            </w:r>
          </w:p>
        </w:tc>
        <w:tc>
          <w:tcPr>
            <w:tcW w:w="2016"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4BDD24CF" w14:textId="77777777" w:rsidR="007B6F4B" w:rsidRPr="00B44054" w:rsidRDefault="0099243F" w:rsidP="00C33807">
            <w:pPr>
              <w:spacing w:line="360" w:lineRule="auto"/>
              <w:jc w:val="center"/>
              <w:rPr>
                <w:color w:val="000000" w:themeColor="text1"/>
              </w:rPr>
            </w:pPr>
            <w:r>
              <w:rPr>
                <w:b/>
                <w:bCs/>
                <w:color w:val="000000" w:themeColor="text1"/>
              </w:rPr>
              <w:t>Channel</w:t>
            </w:r>
          </w:p>
        </w:tc>
        <w:tc>
          <w:tcPr>
            <w:tcW w:w="2016"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7DD9F8CE" w14:textId="77777777" w:rsidR="007B6F4B" w:rsidRPr="00B44054" w:rsidRDefault="0099243F" w:rsidP="00C33807">
            <w:pPr>
              <w:spacing w:line="360" w:lineRule="auto"/>
              <w:jc w:val="center"/>
              <w:rPr>
                <w:color w:val="000000" w:themeColor="text1"/>
              </w:rPr>
            </w:pPr>
            <w:r>
              <w:rPr>
                <w:b/>
                <w:bCs/>
                <w:color w:val="000000" w:themeColor="text1"/>
              </w:rPr>
              <w:t>Frequency</w:t>
            </w:r>
          </w:p>
        </w:tc>
        <w:tc>
          <w:tcPr>
            <w:tcW w:w="2016"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2E2AEE59" w14:textId="77777777" w:rsidR="007B6F4B" w:rsidRPr="00B44054" w:rsidRDefault="0099243F" w:rsidP="00C33807">
            <w:pPr>
              <w:spacing w:line="360" w:lineRule="auto"/>
              <w:jc w:val="center"/>
              <w:rPr>
                <w:color w:val="000000" w:themeColor="text1"/>
              </w:rPr>
            </w:pPr>
            <w:r>
              <w:rPr>
                <w:b/>
                <w:bCs/>
                <w:color w:val="000000" w:themeColor="text1"/>
              </w:rPr>
              <w:t>Owner</w:t>
            </w:r>
          </w:p>
        </w:tc>
      </w:tr>
      <w:tr w:rsidR="007B6F4B" w:rsidRPr="00B44054" w14:paraId="7CAFCC2B" w14:textId="77777777">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883CA47" w14:textId="77777777" w:rsidR="007B6F4B" w:rsidRPr="00B44054" w:rsidRDefault="0099243F" w:rsidP="00C33807">
            <w:pPr>
              <w:spacing w:line="360" w:lineRule="auto"/>
              <w:rPr>
                <w:color w:val="000000" w:themeColor="text1"/>
              </w:rPr>
            </w:pPr>
            <w:r>
              <w:rPr>
                <w:color w:val="000000" w:themeColor="text1"/>
              </w:rPr>
              <w:t>Board / Sponsor</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2F3F12A" w14:textId="77777777" w:rsidR="007B6F4B" w:rsidRPr="00B44054" w:rsidRDefault="0099243F" w:rsidP="00C33807">
            <w:pPr>
              <w:spacing w:line="360" w:lineRule="auto"/>
              <w:rPr>
                <w:color w:val="000000" w:themeColor="text1"/>
              </w:rPr>
            </w:pPr>
            <w:r>
              <w:rPr>
                <w:color w:val="000000" w:themeColor="text1"/>
              </w:rPr>
              <w:t>Strategic progress, risks, ROI</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377BD42" w14:textId="0D639D6C" w:rsidR="007B6F4B" w:rsidRPr="00B44054" w:rsidRDefault="0099243F" w:rsidP="00C33807">
            <w:pPr>
              <w:spacing w:line="360" w:lineRule="auto"/>
              <w:rPr>
                <w:color w:val="000000" w:themeColor="text1"/>
              </w:rPr>
            </w:pPr>
            <w:r>
              <w:rPr>
                <w:color w:val="000000" w:themeColor="text1"/>
              </w:rPr>
              <w:t>Dashboard + Steering Meeting</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3A4877C" w14:textId="77777777" w:rsidR="007B6F4B" w:rsidRPr="00B44054" w:rsidRDefault="0099243F" w:rsidP="00C33807">
            <w:pPr>
              <w:spacing w:line="360" w:lineRule="auto"/>
              <w:rPr>
                <w:color w:val="000000" w:themeColor="text1"/>
              </w:rPr>
            </w:pPr>
            <w:r>
              <w:rPr>
                <w:color w:val="000000" w:themeColor="text1"/>
              </w:rPr>
              <w:t>Weekly / Monthly</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69EE7949" w14:textId="77777777" w:rsidR="007B6F4B" w:rsidRPr="00B44054" w:rsidRDefault="0099243F" w:rsidP="00C33807">
            <w:pPr>
              <w:spacing w:line="360" w:lineRule="auto"/>
              <w:rPr>
                <w:color w:val="000000" w:themeColor="text1"/>
              </w:rPr>
            </w:pPr>
            <w:r>
              <w:rPr>
                <w:color w:val="000000" w:themeColor="text1"/>
              </w:rPr>
              <w:t>Project Manager</w:t>
            </w:r>
          </w:p>
        </w:tc>
      </w:tr>
      <w:tr w:rsidR="007B6F4B" w:rsidRPr="00B44054" w14:paraId="200CFA37" w14:textId="77777777">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F3887FA" w14:textId="77777777" w:rsidR="007B6F4B" w:rsidRPr="00B44054" w:rsidRDefault="0099243F" w:rsidP="00C33807">
            <w:pPr>
              <w:spacing w:line="360" w:lineRule="auto"/>
              <w:rPr>
                <w:color w:val="000000" w:themeColor="text1"/>
              </w:rPr>
            </w:pPr>
            <w:r>
              <w:rPr>
                <w:color w:val="000000" w:themeColor="text1"/>
              </w:rPr>
              <w:t>IT / Digital Teams</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6C5737D" w14:textId="77777777" w:rsidR="007B6F4B" w:rsidRPr="00B44054" w:rsidRDefault="0099243F" w:rsidP="00C33807">
            <w:pPr>
              <w:spacing w:line="360" w:lineRule="auto"/>
              <w:rPr>
                <w:color w:val="000000" w:themeColor="text1"/>
              </w:rPr>
            </w:pPr>
            <w:r>
              <w:rPr>
                <w:color w:val="000000" w:themeColor="text1"/>
              </w:rPr>
              <w:t>Technical milestones, dependencies</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FEC4B04" w14:textId="77777777" w:rsidR="007B6F4B" w:rsidRPr="00B44054" w:rsidRDefault="0099243F" w:rsidP="00C33807">
            <w:pPr>
              <w:spacing w:line="360" w:lineRule="auto"/>
              <w:rPr>
                <w:color w:val="000000" w:themeColor="text1"/>
              </w:rPr>
            </w:pPr>
            <w:r>
              <w:rPr>
                <w:color w:val="000000" w:themeColor="text1"/>
              </w:rPr>
              <w:t>Teams / Jira + Stand-ups</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706B2AB" w14:textId="77777777" w:rsidR="007B6F4B" w:rsidRPr="00B44054" w:rsidRDefault="0099243F" w:rsidP="00C33807">
            <w:pPr>
              <w:spacing w:line="360" w:lineRule="auto"/>
              <w:rPr>
                <w:color w:val="000000" w:themeColor="text1"/>
              </w:rPr>
            </w:pPr>
            <w:r>
              <w:rPr>
                <w:color w:val="000000" w:themeColor="text1"/>
              </w:rPr>
              <w:t>Daily / Weekly</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7011846" w14:textId="77777777" w:rsidR="007B6F4B" w:rsidRPr="00B44054" w:rsidRDefault="0099243F" w:rsidP="00C33807">
            <w:pPr>
              <w:spacing w:line="360" w:lineRule="auto"/>
              <w:rPr>
                <w:color w:val="000000" w:themeColor="text1"/>
              </w:rPr>
            </w:pPr>
            <w:r>
              <w:rPr>
                <w:color w:val="000000" w:themeColor="text1"/>
              </w:rPr>
              <w:t>IT Lead</w:t>
            </w:r>
          </w:p>
        </w:tc>
      </w:tr>
      <w:tr w:rsidR="007B6F4B" w:rsidRPr="00B44054" w14:paraId="3A93AA95" w14:textId="77777777">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2CE7E015" w14:textId="77777777" w:rsidR="007B6F4B" w:rsidRPr="00B44054" w:rsidRDefault="0099243F" w:rsidP="00C33807">
            <w:pPr>
              <w:spacing w:line="360" w:lineRule="auto"/>
              <w:rPr>
                <w:color w:val="000000" w:themeColor="text1"/>
              </w:rPr>
            </w:pPr>
            <w:r>
              <w:rPr>
                <w:color w:val="000000" w:themeColor="text1"/>
              </w:rPr>
              <w:t>Store Colleagues</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68C3FC6" w14:textId="77777777" w:rsidR="007B6F4B" w:rsidRPr="00B44054" w:rsidRDefault="0099243F" w:rsidP="00C33807">
            <w:pPr>
              <w:spacing w:line="360" w:lineRule="auto"/>
              <w:rPr>
                <w:color w:val="000000" w:themeColor="text1"/>
              </w:rPr>
            </w:pPr>
            <w:r>
              <w:rPr>
                <w:color w:val="000000" w:themeColor="text1"/>
              </w:rPr>
              <w:t>How it helps them &amp; customers</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D7766F8" w14:textId="77777777" w:rsidR="007B6F4B" w:rsidRPr="00B44054" w:rsidRDefault="0099243F" w:rsidP="00C33807">
            <w:pPr>
              <w:spacing w:line="360" w:lineRule="auto"/>
              <w:rPr>
                <w:color w:val="000000" w:themeColor="text1"/>
              </w:rPr>
            </w:pPr>
            <w:r>
              <w:rPr>
                <w:color w:val="000000" w:themeColor="text1"/>
              </w:rPr>
              <w:t>Short video + Champion cascade</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8B62258" w14:textId="77777777" w:rsidR="007B6F4B" w:rsidRPr="00B44054" w:rsidRDefault="0099243F" w:rsidP="00C33807">
            <w:pPr>
              <w:spacing w:line="360" w:lineRule="auto"/>
              <w:rPr>
                <w:color w:val="000000" w:themeColor="text1"/>
              </w:rPr>
            </w:pPr>
            <w:r>
              <w:rPr>
                <w:color w:val="000000" w:themeColor="text1"/>
              </w:rPr>
              <w:t>Bi-weekly</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E50532D" w14:textId="77777777" w:rsidR="007B6F4B" w:rsidRPr="00B44054" w:rsidRDefault="0099243F" w:rsidP="00C33807">
            <w:pPr>
              <w:spacing w:line="360" w:lineRule="auto"/>
              <w:rPr>
                <w:color w:val="000000" w:themeColor="text1"/>
              </w:rPr>
            </w:pPr>
            <w:r>
              <w:rPr>
                <w:color w:val="000000" w:themeColor="text1"/>
              </w:rPr>
              <w:t>Regional Champions</w:t>
            </w:r>
          </w:p>
        </w:tc>
      </w:tr>
      <w:tr w:rsidR="007B6F4B" w:rsidRPr="00B44054" w14:paraId="4C3D4975" w14:textId="77777777">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E03E9AC" w14:textId="77777777" w:rsidR="007B6F4B" w:rsidRPr="00B44054" w:rsidRDefault="0099243F" w:rsidP="00C33807">
            <w:pPr>
              <w:spacing w:line="360" w:lineRule="auto"/>
              <w:rPr>
                <w:color w:val="000000" w:themeColor="text1"/>
              </w:rPr>
            </w:pPr>
            <w:r>
              <w:rPr>
                <w:color w:val="000000" w:themeColor="text1"/>
              </w:rPr>
              <w:t>Customers (Nectar)</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72859A2" w14:textId="77777777" w:rsidR="007B6F4B" w:rsidRPr="00B44054" w:rsidRDefault="0099243F" w:rsidP="00C33807">
            <w:pPr>
              <w:spacing w:line="360" w:lineRule="auto"/>
              <w:rPr>
                <w:color w:val="000000" w:themeColor="text1"/>
              </w:rPr>
            </w:pPr>
            <w:r>
              <w:rPr>
                <w:color w:val="000000" w:themeColor="text1"/>
              </w:rPr>
              <w:t>New features, control over data</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2034FC7" w14:textId="77777777" w:rsidR="007B6F4B" w:rsidRPr="00B44054" w:rsidRDefault="0099243F" w:rsidP="00C33807">
            <w:pPr>
              <w:spacing w:line="360" w:lineRule="auto"/>
              <w:rPr>
                <w:color w:val="000000" w:themeColor="text1"/>
              </w:rPr>
            </w:pPr>
            <w:r>
              <w:rPr>
                <w:color w:val="000000" w:themeColor="text1"/>
              </w:rPr>
              <w:t>In-app + Email + Push</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4185A69" w14:textId="77777777" w:rsidR="007B6F4B" w:rsidRPr="00B44054" w:rsidRDefault="0099243F" w:rsidP="00C33807">
            <w:pPr>
              <w:spacing w:line="360" w:lineRule="auto"/>
              <w:rPr>
                <w:color w:val="000000" w:themeColor="text1"/>
              </w:rPr>
            </w:pPr>
            <w:r>
              <w:rPr>
                <w:color w:val="000000" w:themeColor="text1"/>
              </w:rPr>
              <w:t>As features launch</w:t>
            </w:r>
          </w:p>
        </w:tc>
        <w:tc>
          <w:tcPr>
            <w:tcW w:w="2016"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551552B" w14:textId="77777777" w:rsidR="007B6F4B" w:rsidRPr="00B44054" w:rsidRDefault="0099243F" w:rsidP="00C33807">
            <w:pPr>
              <w:spacing w:line="360" w:lineRule="auto"/>
              <w:rPr>
                <w:color w:val="000000" w:themeColor="text1"/>
              </w:rPr>
            </w:pPr>
            <w:r>
              <w:rPr>
                <w:color w:val="000000" w:themeColor="text1"/>
              </w:rPr>
              <w:t>Marketing/CRM</w:t>
            </w:r>
          </w:p>
        </w:tc>
      </w:tr>
    </w:tbl>
    <w:p w14:paraId="6637EAA3" w14:textId="191152E1" w:rsidR="007B6F4B" w:rsidRPr="00B44054" w:rsidRDefault="00BD1962" w:rsidP="00C33807">
      <w:pPr>
        <w:spacing w:before="80" w:line="360" w:lineRule="auto"/>
        <w:jc w:val="center"/>
        <w:rPr>
          <w:color w:val="000000" w:themeColor="text1"/>
        </w:rPr>
      </w:pPr>
      <w:r>
        <w:rPr>
          <w:i/>
          <w:iCs/>
          <w:color w:val="000000" w:themeColor="text1"/>
        </w:rPr>
        <w:t>Table 3: Example Tailored Communication Plan for ConnectPlus Stakeholder Groups</w:t>
      </w:r>
    </w:p>
    <w:p w14:paraId="0A3166F4" w14:textId="435DC222" w:rsidR="007B6F4B" w:rsidRPr="00B44054" w:rsidRDefault="0099243F" w:rsidP="00C33807">
      <w:pPr>
        <w:pStyle w:val="Heading2"/>
        <w:spacing w:line="360" w:lineRule="auto"/>
        <w:rPr>
          <w:color w:val="000000" w:themeColor="text1"/>
          <w:sz w:val="22"/>
          <w:szCs w:val="22"/>
        </w:rPr>
      </w:pPr>
      <w:r>
        <w:rPr>
          <w:color w:val="000000" w:themeColor="text1"/>
          <w:sz w:val="22"/>
          <w:szCs w:val="22"/>
        </w:rPr>
        <w:t>5.3 Table 4: Seven-Stage Stakeholder Engagement Process</w:t>
      </w:r>
    </w:p>
    <w:p w14:paraId="24475C29" w14:textId="77777777" w:rsidR="007B6F4B" w:rsidRPr="00B44054" w:rsidRDefault="0099243F" w:rsidP="00C33807">
      <w:pPr>
        <w:spacing w:line="360" w:lineRule="auto"/>
        <w:rPr>
          <w:color w:val="000000" w:themeColor="text1"/>
        </w:rPr>
      </w:pPr>
      <w:r>
        <w:rPr>
          <w:color w:val="000000" w:themeColor="text1"/>
        </w:rPr>
        <w:t>The iterative process combines planning, understanding, alignment, trust-building, consultation, response, and continuous monitoring.</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40"/>
        <w:gridCol w:w="8640"/>
      </w:tblGrid>
      <w:tr w:rsidR="007B6F4B" w:rsidRPr="00B44054" w14:paraId="1465415C" w14:textId="77777777" w:rsidTr="00BD1962">
        <w:tc>
          <w:tcPr>
            <w:tcW w:w="1440" w:type="dxa"/>
            <w:tcBorders>
              <w:top w:val="single" w:sz="1" w:space="0" w:color="CCCCCC"/>
              <w:left w:val="single" w:sz="1" w:space="0" w:color="CCCCCC"/>
              <w:bottom w:val="single" w:sz="1" w:space="0" w:color="CCCCCC"/>
              <w:right w:val="single" w:sz="1" w:space="0" w:color="CCCCCC"/>
            </w:tcBorders>
            <w:shd w:val="clear" w:color="auto" w:fill="7030A0"/>
            <w:tcMar>
              <w:top w:w="60" w:type="dxa"/>
              <w:left w:w="80" w:type="dxa"/>
              <w:bottom w:w="60" w:type="dxa"/>
              <w:right w:w="80" w:type="dxa"/>
            </w:tcMar>
            <w:vAlign w:val="center"/>
          </w:tcPr>
          <w:p w14:paraId="60A7493D" w14:textId="77777777" w:rsidR="007B6F4B" w:rsidRPr="00B44054" w:rsidRDefault="0099243F" w:rsidP="00C33807">
            <w:pPr>
              <w:spacing w:line="360" w:lineRule="auto"/>
              <w:jc w:val="center"/>
              <w:rPr>
                <w:color w:val="000000" w:themeColor="text1"/>
              </w:rPr>
            </w:pPr>
            <w:r>
              <w:rPr>
                <w:b/>
                <w:bCs/>
                <w:color w:val="000000" w:themeColor="text1"/>
              </w:rPr>
              <w:t>Stage</w:t>
            </w:r>
          </w:p>
        </w:tc>
        <w:tc>
          <w:tcPr>
            <w:tcW w:w="8640" w:type="dxa"/>
            <w:tcBorders>
              <w:top w:val="single" w:sz="1" w:space="0" w:color="CCCCCC"/>
              <w:left w:val="single" w:sz="1" w:space="0" w:color="CCCCCC"/>
              <w:bottom w:val="single" w:sz="1" w:space="0" w:color="CCCCCC"/>
              <w:right w:val="single" w:sz="1" w:space="0" w:color="CCCCCC"/>
            </w:tcBorders>
            <w:shd w:val="clear" w:color="auto" w:fill="7030A0"/>
            <w:tcMar>
              <w:top w:w="60" w:type="dxa"/>
              <w:left w:w="80" w:type="dxa"/>
              <w:bottom w:w="60" w:type="dxa"/>
              <w:right w:w="80" w:type="dxa"/>
            </w:tcMar>
            <w:vAlign w:val="center"/>
          </w:tcPr>
          <w:p w14:paraId="0CB199C8" w14:textId="77777777" w:rsidR="007B6F4B" w:rsidRPr="00B44054" w:rsidRDefault="0099243F" w:rsidP="00C33807">
            <w:pPr>
              <w:spacing w:line="360" w:lineRule="auto"/>
              <w:jc w:val="center"/>
              <w:rPr>
                <w:color w:val="000000" w:themeColor="text1"/>
              </w:rPr>
            </w:pPr>
            <w:r>
              <w:rPr>
                <w:b/>
                <w:bCs/>
                <w:color w:val="000000" w:themeColor="text1"/>
              </w:rPr>
              <w:t>Key Activities &amp; Purpose</w:t>
            </w:r>
          </w:p>
        </w:tc>
      </w:tr>
      <w:tr w:rsidR="007B6F4B" w:rsidRPr="00B44054" w14:paraId="27F501E0" w14:textId="77777777">
        <w:tc>
          <w:tcPr>
            <w:tcW w:w="14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B8926A4" w14:textId="77777777" w:rsidR="007B6F4B" w:rsidRPr="00B44054" w:rsidRDefault="0099243F" w:rsidP="00C33807">
            <w:pPr>
              <w:spacing w:line="360" w:lineRule="auto"/>
              <w:jc w:val="center"/>
              <w:rPr>
                <w:color w:val="000000" w:themeColor="text1"/>
              </w:rPr>
            </w:pPr>
            <w:r>
              <w:rPr>
                <w:color w:val="000000" w:themeColor="text1"/>
              </w:rPr>
              <w:t>1. Plan</w:t>
            </w:r>
          </w:p>
        </w:tc>
        <w:tc>
          <w:tcPr>
            <w:tcW w:w="86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279C083E" w14:textId="77777777" w:rsidR="007B6F4B" w:rsidRPr="00B44054" w:rsidRDefault="0099243F" w:rsidP="00C33807">
            <w:pPr>
              <w:spacing w:line="360" w:lineRule="auto"/>
              <w:rPr>
                <w:color w:val="000000" w:themeColor="text1"/>
              </w:rPr>
            </w:pPr>
            <w:r>
              <w:rPr>
                <w:color w:val="000000" w:themeColor="text1"/>
              </w:rPr>
              <w:t>Identify objectives, issues and priority stakeholders using Power/Interest and Salience frameworks.</w:t>
            </w:r>
          </w:p>
        </w:tc>
      </w:tr>
      <w:tr w:rsidR="007B6F4B" w:rsidRPr="00B44054" w14:paraId="4E8A451B" w14:textId="77777777">
        <w:tc>
          <w:tcPr>
            <w:tcW w:w="14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D55AF8F" w14:textId="77777777" w:rsidR="007B6F4B" w:rsidRPr="00B44054" w:rsidRDefault="0099243F" w:rsidP="00C33807">
            <w:pPr>
              <w:spacing w:line="360" w:lineRule="auto"/>
              <w:jc w:val="center"/>
              <w:rPr>
                <w:color w:val="000000" w:themeColor="text1"/>
              </w:rPr>
            </w:pPr>
            <w:r>
              <w:rPr>
                <w:color w:val="000000" w:themeColor="text1"/>
              </w:rPr>
              <w:t>2. Understand</w:t>
            </w:r>
          </w:p>
        </w:tc>
        <w:tc>
          <w:tcPr>
            <w:tcW w:w="86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B3D0233" w14:textId="77777777" w:rsidR="007B6F4B" w:rsidRPr="00B44054" w:rsidRDefault="0099243F" w:rsidP="00C33807">
            <w:pPr>
              <w:spacing w:line="360" w:lineRule="auto"/>
              <w:rPr>
                <w:color w:val="000000" w:themeColor="text1"/>
              </w:rPr>
            </w:pPr>
            <w:r>
              <w:rPr>
                <w:color w:val="000000" w:themeColor="text1"/>
              </w:rPr>
              <w:t>Map wants/needs (SWANS/OWANS), influence direction, and current level of trust/support.</w:t>
            </w:r>
          </w:p>
        </w:tc>
      </w:tr>
      <w:tr w:rsidR="007B6F4B" w:rsidRPr="00B44054" w14:paraId="691107E7" w14:textId="77777777">
        <w:tc>
          <w:tcPr>
            <w:tcW w:w="14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2989E9D6" w14:textId="77777777" w:rsidR="007B6F4B" w:rsidRPr="00B44054" w:rsidRDefault="0099243F" w:rsidP="00C33807">
            <w:pPr>
              <w:spacing w:line="360" w:lineRule="auto"/>
              <w:jc w:val="center"/>
              <w:rPr>
                <w:color w:val="000000" w:themeColor="text1"/>
              </w:rPr>
            </w:pPr>
            <w:r>
              <w:rPr>
                <w:color w:val="000000" w:themeColor="text1"/>
              </w:rPr>
              <w:t>3. Align Internally</w:t>
            </w:r>
          </w:p>
        </w:tc>
        <w:tc>
          <w:tcPr>
            <w:tcW w:w="86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2ADC8618" w14:textId="77777777" w:rsidR="007B6F4B" w:rsidRPr="00B44054" w:rsidRDefault="0099243F" w:rsidP="00C33807">
            <w:pPr>
              <w:spacing w:line="360" w:lineRule="auto"/>
              <w:rPr>
                <w:color w:val="000000" w:themeColor="text1"/>
              </w:rPr>
            </w:pPr>
            <w:r>
              <w:rPr>
                <w:color w:val="000000" w:themeColor="text1"/>
              </w:rPr>
              <w:t>Ensure one voice from the organisation; secure senior sponsorship and cross-functional buy-in.</w:t>
            </w:r>
          </w:p>
        </w:tc>
      </w:tr>
      <w:tr w:rsidR="007B6F4B" w:rsidRPr="00B44054" w14:paraId="11BC83B0" w14:textId="77777777">
        <w:tc>
          <w:tcPr>
            <w:tcW w:w="14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D692A2B" w14:textId="77777777" w:rsidR="007B6F4B" w:rsidRPr="00B44054" w:rsidRDefault="0099243F" w:rsidP="00C33807">
            <w:pPr>
              <w:spacing w:line="360" w:lineRule="auto"/>
              <w:jc w:val="center"/>
              <w:rPr>
                <w:color w:val="000000" w:themeColor="text1"/>
              </w:rPr>
            </w:pPr>
            <w:r>
              <w:rPr>
                <w:color w:val="000000" w:themeColor="text1"/>
              </w:rPr>
              <w:t>4. Build Trust</w:t>
            </w:r>
          </w:p>
        </w:tc>
        <w:tc>
          <w:tcPr>
            <w:tcW w:w="86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6839A1F" w14:textId="77777777" w:rsidR="007B6F4B" w:rsidRPr="00B44054" w:rsidRDefault="0099243F" w:rsidP="00C33807">
            <w:pPr>
              <w:spacing w:line="360" w:lineRule="auto"/>
              <w:rPr>
                <w:color w:val="000000" w:themeColor="text1"/>
              </w:rPr>
            </w:pPr>
            <w:r>
              <w:rPr>
                <w:color w:val="000000" w:themeColor="text1"/>
              </w:rPr>
              <w:t>Transparent communication, early wins, and consistent follow-through to raise trust levels.</w:t>
            </w:r>
          </w:p>
        </w:tc>
      </w:tr>
      <w:tr w:rsidR="007B6F4B" w:rsidRPr="00B44054" w14:paraId="09937366" w14:textId="77777777">
        <w:tc>
          <w:tcPr>
            <w:tcW w:w="14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814A40C" w14:textId="77777777" w:rsidR="007B6F4B" w:rsidRPr="00B44054" w:rsidRDefault="0099243F" w:rsidP="00C33807">
            <w:pPr>
              <w:spacing w:line="360" w:lineRule="auto"/>
              <w:jc w:val="center"/>
              <w:rPr>
                <w:color w:val="000000" w:themeColor="text1"/>
              </w:rPr>
            </w:pPr>
            <w:r>
              <w:rPr>
                <w:color w:val="000000" w:themeColor="text1"/>
              </w:rPr>
              <w:t>5. Consult</w:t>
            </w:r>
          </w:p>
        </w:tc>
        <w:tc>
          <w:tcPr>
            <w:tcW w:w="86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1AE6212D" w14:textId="77777777" w:rsidR="007B6F4B" w:rsidRPr="00B44054" w:rsidRDefault="0099243F" w:rsidP="00C33807">
            <w:pPr>
              <w:spacing w:line="360" w:lineRule="auto"/>
              <w:rPr>
                <w:color w:val="000000" w:themeColor="text1"/>
              </w:rPr>
            </w:pPr>
            <w:r>
              <w:rPr>
                <w:color w:val="000000" w:themeColor="text1"/>
              </w:rPr>
              <w:t>Two-way dialogue using appropriate mechanisms (panels, workshops, surveys) tailored to each group.</w:t>
            </w:r>
          </w:p>
        </w:tc>
      </w:tr>
      <w:tr w:rsidR="007B6F4B" w:rsidRPr="00B44054" w14:paraId="39BB5A3E" w14:textId="77777777">
        <w:tc>
          <w:tcPr>
            <w:tcW w:w="14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8BEBE6F" w14:textId="77777777" w:rsidR="007B6F4B" w:rsidRPr="00B44054" w:rsidRDefault="0099243F" w:rsidP="00C33807">
            <w:pPr>
              <w:spacing w:line="360" w:lineRule="auto"/>
              <w:jc w:val="center"/>
              <w:rPr>
                <w:color w:val="000000" w:themeColor="text1"/>
              </w:rPr>
            </w:pPr>
            <w:r>
              <w:rPr>
                <w:color w:val="000000" w:themeColor="text1"/>
              </w:rPr>
              <w:t>6. Respond &amp; Implement</w:t>
            </w:r>
          </w:p>
        </w:tc>
        <w:tc>
          <w:tcPr>
            <w:tcW w:w="86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89C92DF" w14:textId="77777777" w:rsidR="007B6F4B" w:rsidRPr="00B44054" w:rsidRDefault="0099243F" w:rsidP="00C33807">
            <w:pPr>
              <w:spacing w:line="360" w:lineRule="auto"/>
              <w:rPr>
                <w:color w:val="000000" w:themeColor="text1"/>
              </w:rPr>
            </w:pPr>
            <w:r>
              <w:rPr>
                <w:color w:val="000000" w:themeColor="text1"/>
              </w:rPr>
              <w:t>Close the loop – show stakeholders how their input shaped decisions and actions.</w:t>
            </w:r>
          </w:p>
        </w:tc>
      </w:tr>
      <w:tr w:rsidR="007B6F4B" w:rsidRPr="00B44054" w14:paraId="776DB4AD" w14:textId="77777777">
        <w:tc>
          <w:tcPr>
            <w:tcW w:w="14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6381BF35" w14:textId="77777777" w:rsidR="007B6F4B" w:rsidRPr="00B44054" w:rsidRDefault="0099243F" w:rsidP="00C33807">
            <w:pPr>
              <w:spacing w:line="360" w:lineRule="auto"/>
              <w:jc w:val="center"/>
              <w:rPr>
                <w:color w:val="000000" w:themeColor="text1"/>
              </w:rPr>
            </w:pPr>
            <w:r>
              <w:rPr>
                <w:color w:val="000000" w:themeColor="text1"/>
              </w:rPr>
              <w:lastRenderedPageBreak/>
              <w:t>7. Monitor &amp; Document</w:t>
            </w:r>
          </w:p>
        </w:tc>
        <w:tc>
          <w:tcPr>
            <w:tcW w:w="864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391476C" w14:textId="77777777" w:rsidR="007B6F4B" w:rsidRPr="00B44054" w:rsidRDefault="0099243F" w:rsidP="00C33807">
            <w:pPr>
              <w:spacing w:line="360" w:lineRule="auto"/>
              <w:rPr>
                <w:color w:val="000000" w:themeColor="text1"/>
              </w:rPr>
            </w:pPr>
            <w:r>
              <w:rPr>
                <w:color w:val="000000" w:themeColor="text1"/>
              </w:rPr>
              <w:t>Track pulse surveys, issues, and adaptations; maintain audit trail and organisational learning.</w:t>
            </w:r>
          </w:p>
        </w:tc>
      </w:tr>
    </w:tbl>
    <w:p w14:paraId="46B944C3" w14:textId="188AFBE4" w:rsidR="007B6F4B" w:rsidRPr="00B44054" w:rsidRDefault="00BD1962" w:rsidP="00C33807">
      <w:pPr>
        <w:spacing w:before="80" w:line="360" w:lineRule="auto"/>
        <w:jc w:val="center"/>
        <w:rPr>
          <w:color w:val="000000" w:themeColor="text1"/>
        </w:rPr>
      </w:pPr>
      <w:r>
        <w:rPr>
          <w:i/>
          <w:iCs/>
          <w:color w:val="000000" w:themeColor="text1"/>
        </w:rPr>
        <w:t>Table 4: Seven-Stage Stakeholder Engagement Process (adapted from Jeffery, 2009; Bourne, 2010)</w:t>
      </w:r>
    </w:p>
    <w:p w14:paraId="4C8FC6AE"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5.4 Managing Conflict Constructively</w:t>
      </w:r>
    </w:p>
    <w:p w14:paraId="42C5D2E2" w14:textId="4D9D193B" w:rsidR="007B6F4B" w:rsidRPr="00B44054" w:rsidRDefault="0099243F" w:rsidP="00C33807">
      <w:pPr>
        <w:spacing w:line="360" w:lineRule="auto"/>
        <w:rPr>
          <w:color w:val="000000" w:themeColor="text1"/>
        </w:rPr>
      </w:pPr>
      <w:r>
        <w:rPr>
          <w:color w:val="000000" w:themeColor="text1"/>
        </w:rPr>
        <w:t>Conflict is almost inevitable and, when it is functional, it can surface better solutions (Moura and Teixeira, 2010). Typical flashpoints for ConnectPlus include commercial pressure for aggressive personalisation versus privacy ethics, head-office desire for standardisation versus local store need for flexibility, and short-term cost pressure versus long-term investment in trust. The approach taken is to reframe conflicts as shared problems, use interest-based negotiation rather than positional bargaining, escalate only through a pre-agreed ladder (Project Manager → Sponsor → Steering Committee → Board), and carefully document outcomes. Independent facilitation will be used for particularly sensitive sessions. Early warning indicators – declining pulse-survey scores, rising formal complaints or informal corridor talk – will be watched weekly so that latent conflict can be dealt with before it becomes open and destructive.</w:t>
      </w:r>
    </w:p>
    <w:p w14:paraId="3A38017E" w14:textId="77777777" w:rsidR="007B6F4B" w:rsidRPr="00B44054" w:rsidRDefault="0099243F" w:rsidP="00C33807">
      <w:pPr>
        <w:pStyle w:val="Heading1"/>
        <w:spacing w:line="360" w:lineRule="auto"/>
        <w:rPr>
          <w:color w:val="000000" w:themeColor="text1"/>
          <w:sz w:val="22"/>
          <w:szCs w:val="22"/>
        </w:rPr>
      </w:pPr>
      <w:r>
        <w:rPr>
          <w:color w:val="000000" w:themeColor="text1"/>
          <w:sz w:val="22"/>
          <w:szCs w:val="22"/>
        </w:rPr>
        <w:t>6. Evaluating the Impact of Sustainable Stakeholder Engagement on Business Performance</w:t>
      </w:r>
    </w:p>
    <w:p w14:paraId="119E0D00" w14:textId="77777777" w:rsidR="007B6F4B" w:rsidRPr="00B44054" w:rsidRDefault="0099243F" w:rsidP="00C33807">
      <w:pPr>
        <w:spacing w:line="360" w:lineRule="auto"/>
        <w:rPr>
          <w:color w:val="000000" w:themeColor="text1"/>
        </w:rPr>
      </w:pPr>
      <w:r>
        <w:rPr>
          <w:color w:val="000000" w:themeColor="text1"/>
        </w:rPr>
        <w:t>Sustainable stakeholder engagement is not a soft optional extra; it is a hard performance driver. Evidence from LG Electronics’ shift from simple communication to genuine engagement (Jun and Kim, 2021), Marks &amp; Spencer’s Plan A (which delivered £160 million of savings in a single year and £625 million cumulatively), BAE Systems’ industrial-relations track record, and Cargill’s multi-stakeholder sustainability work all point in the same direction.</w:t>
      </w:r>
    </w:p>
    <w:p w14:paraId="776584C0" w14:textId="0493D34A" w:rsidR="007B6F4B" w:rsidRPr="00B44054" w:rsidRDefault="0099243F" w:rsidP="00C33807">
      <w:pPr>
        <w:pStyle w:val="Heading2"/>
        <w:spacing w:line="360" w:lineRule="auto"/>
        <w:rPr>
          <w:color w:val="000000" w:themeColor="text1"/>
          <w:sz w:val="22"/>
          <w:szCs w:val="22"/>
        </w:rPr>
      </w:pPr>
      <w:r>
        <w:rPr>
          <w:color w:val="000000" w:themeColor="text1"/>
          <w:sz w:val="22"/>
          <w:szCs w:val="22"/>
        </w:rPr>
        <w:t>6.1 Table 5: Impact Pathways of Sustainable Stakeholder Engagement</w:t>
      </w:r>
    </w:p>
    <w:p w14:paraId="0CA2AC18" w14:textId="77777777" w:rsidR="007B6F4B" w:rsidRPr="00B44054" w:rsidRDefault="0099243F" w:rsidP="00C33807">
      <w:pPr>
        <w:spacing w:line="360" w:lineRule="auto"/>
        <w:rPr>
          <w:color w:val="000000" w:themeColor="text1"/>
        </w:rPr>
      </w:pPr>
      <w:r>
        <w:rPr>
          <w:color w:val="000000" w:themeColor="text1"/>
        </w:rPr>
        <w:t>The table below summarises the main impact pathways expected for ConnectPlus and for Sainsbury’s more broadly.</w:t>
      </w: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20"/>
        <w:gridCol w:w="3780"/>
        <w:gridCol w:w="3780"/>
      </w:tblGrid>
      <w:tr w:rsidR="007B6F4B" w:rsidRPr="00B44054" w14:paraId="3EDC480B" w14:textId="77777777" w:rsidTr="007578B0">
        <w:tc>
          <w:tcPr>
            <w:tcW w:w="252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57B0CF63" w14:textId="77777777" w:rsidR="007B6F4B" w:rsidRPr="00B44054" w:rsidRDefault="0099243F" w:rsidP="00C33807">
            <w:pPr>
              <w:spacing w:line="360" w:lineRule="auto"/>
              <w:jc w:val="center"/>
              <w:rPr>
                <w:color w:val="000000" w:themeColor="text1"/>
              </w:rPr>
            </w:pPr>
            <w:r>
              <w:rPr>
                <w:b/>
                <w:bCs/>
                <w:color w:val="000000" w:themeColor="text1"/>
              </w:rPr>
              <w:t>Impact Pathway</w:t>
            </w:r>
          </w:p>
        </w:tc>
        <w:tc>
          <w:tcPr>
            <w:tcW w:w="378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3510EB6C" w14:textId="77777777" w:rsidR="007B6F4B" w:rsidRPr="00B44054" w:rsidRDefault="0099243F" w:rsidP="00C33807">
            <w:pPr>
              <w:spacing w:line="360" w:lineRule="auto"/>
              <w:jc w:val="center"/>
              <w:rPr>
                <w:color w:val="000000" w:themeColor="text1"/>
              </w:rPr>
            </w:pPr>
            <w:r>
              <w:rPr>
                <w:b/>
                <w:bCs/>
                <w:color w:val="000000" w:themeColor="text1"/>
              </w:rPr>
              <w:t>Description &amp; Mechanism</w:t>
            </w:r>
          </w:p>
        </w:tc>
        <w:tc>
          <w:tcPr>
            <w:tcW w:w="3780" w:type="dxa"/>
            <w:tcBorders>
              <w:top w:val="single" w:sz="1" w:space="0" w:color="CCCCCC"/>
              <w:left w:val="single" w:sz="1" w:space="0" w:color="CCCCCC"/>
              <w:bottom w:val="single" w:sz="1" w:space="0" w:color="CCCCCC"/>
              <w:right w:val="single" w:sz="1" w:space="0" w:color="CCCCCC"/>
            </w:tcBorders>
            <w:shd w:val="clear" w:color="auto" w:fill="FFC000"/>
            <w:tcMar>
              <w:top w:w="60" w:type="dxa"/>
              <w:left w:w="80" w:type="dxa"/>
              <w:bottom w:w="60" w:type="dxa"/>
              <w:right w:w="80" w:type="dxa"/>
            </w:tcMar>
            <w:vAlign w:val="center"/>
          </w:tcPr>
          <w:p w14:paraId="65245BA2" w14:textId="77777777" w:rsidR="007B6F4B" w:rsidRPr="00B44054" w:rsidRDefault="0099243F" w:rsidP="00C33807">
            <w:pPr>
              <w:spacing w:line="360" w:lineRule="auto"/>
              <w:jc w:val="center"/>
              <w:rPr>
                <w:color w:val="000000" w:themeColor="text1"/>
              </w:rPr>
            </w:pPr>
            <w:r>
              <w:rPr>
                <w:b/>
                <w:bCs/>
                <w:color w:val="000000" w:themeColor="text1"/>
              </w:rPr>
              <w:t>Evidence from Cases &amp; Expected Sainsbury’s Benefit</w:t>
            </w:r>
          </w:p>
        </w:tc>
      </w:tr>
      <w:tr w:rsidR="007B6F4B" w:rsidRPr="00B44054" w14:paraId="5A18E020" w14:textId="77777777">
        <w:tc>
          <w:tcPr>
            <w:tcW w:w="252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23C4A0F2" w14:textId="77777777" w:rsidR="007B6F4B" w:rsidRPr="00B44054" w:rsidRDefault="0099243F" w:rsidP="00C33807">
            <w:pPr>
              <w:spacing w:line="360" w:lineRule="auto"/>
              <w:rPr>
                <w:color w:val="000000" w:themeColor="text1"/>
              </w:rPr>
            </w:pPr>
            <w:r>
              <w:rPr>
                <w:color w:val="000000" w:themeColor="text1"/>
              </w:rPr>
              <w:t>Customer Retention &amp; CLV</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95F1A50" w14:textId="77777777" w:rsidR="007B6F4B" w:rsidRPr="00B44054" w:rsidRDefault="0099243F" w:rsidP="00C33807">
            <w:pPr>
              <w:spacing w:line="360" w:lineRule="auto"/>
              <w:rPr>
                <w:color w:val="000000" w:themeColor="text1"/>
              </w:rPr>
            </w:pPr>
            <w:r>
              <w:rPr>
                <w:color w:val="000000" w:themeColor="text1"/>
              </w:rPr>
              <w:t>Customers feel listened to → higher engagement, repurchase and advocacy</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608143F4" w14:textId="77777777" w:rsidR="007B6F4B" w:rsidRPr="00B44054" w:rsidRDefault="0099243F" w:rsidP="00C33807">
            <w:pPr>
              <w:spacing w:line="360" w:lineRule="auto"/>
              <w:rPr>
                <w:color w:val="000000" w:themeColor="text1"/>
              </w:rPr>
            </w:pPr>
            <w:r>
              <w:rPr>
                <w:color w:val="000000" w:themeColor="text1"/>
              </w:rPr>
              <w:t>LG Electronics genuine engagement improved ownership; Sainsbury’s expects double-digit CLV uplift via trusted Nectar experience</w:t>
            </w:r>
          </w:p>
        </w:tc>
      </w:tr>
      <w:tr w:rsidR="007B6F4B" w:rsidRPr="00B44054" w14:paraId="303AD709" w14:textId="77777777">
        <w:tc>
          <w:tcPr>
            <w:tcW w:w="252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075B0877" w14:textId="77777777" w:rsidR="007B6F4B" w:rsidRPr="00B44054" w:rsidRDefault="0099243F" w:rsidP="00C33807">
            <w:pPr>
              <w:spacing w:line="360" w:lineRule="auto"/>
              <w:rPr>
                <w:color w:val="000000" w:themeColor="text1"/>
              </w:rPr>
            </w:pPr>
            <w:r>
              <w:rPr>
                <w:color w:val="000000" w:themeColor="text1"/>
              </w:rPr>
              <w:lastRenderedPageBreak/>
              <w:t>Risk Reduction &amp; Cost Savings</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A6072BB" w14:textId="77777777" w:rsidR="007B6F4B" w:rsidRPr="00B44054" w:rsidRDefault="0099243F" w:rsidP="00C33807">
            <w:pPr>
              <w:spacing w:line="360" w:lineRule="auto"/>
              <w:rPr>
                <w:color w:val="000000" w:themeColor="text1"/>
              </w:rPr>
            </w:pPr>
            <w:r>
              <w:rPr>
                <w:color w:val="000000" w:themeColor="text1"/>
              </w:rPr>
              <w:t>Early surfacing of issues prevents expensive rework and crises</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11E3DEE" w14:textId="77777777" w:rsidR="007B6F4B" w:rsidRPr="00B44054" w:rsidRDefault="0099243F" w:rsidP="00C33807">
            <w:pPr>
              <w:spacing w:line="360" w:lineRule="auto"/>
              <w:rPr>
                <w:color w:val="000000" w:themeColor="text1"/>
              </w:rPr>
            </w:pPr>
            <w:r>
              <w:rPr>
                <w:color w:val="000000" w:themeColor="text1"/>
              </w:rPr>
              <w:t>M&amp;S Plan A delivered £625m cumulative savings through trusted supplier relationships; Sainsbury’s expects lower compliance and training costs</w:t>
            </w:r>
          </w:p>
        </w:tc>
      </w:tr>
      <w:tr w:rsidR="007B6F4B" w:rsidRPr="00B44054" w14:paraId="100A5E18" w14:textId="77777777">
        <w:tc>
          <w:tcPr>
            <w:tcW w:w="252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5C584C9C" w14:textId="77777777" w:rsidR="007B6F4B" w:rsidRPr="00B44054" w:rsidRDefault="0099243F" w:rsidP="00C33807">
            <w:pPr>
              <w:spacing w:line="360" w:lineRule="auto"/>
              <w:rPr>
                <w:color w:val="000000" w:themeColor="text1"/>
              </w:rPr>
            </w:pPr>
            <w:r>
              <w:rPr>
                <w:color w:val="000000" w:themeColor="text1"/>
              </w:rPr>
              <w:t>Organisational Capability &amp; Culture</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427FDC6E" w14:textId="77777777" w:rsidR="007B6F4B" w:rsidRPr="00B44054" w:rsidRDefault="0099243F" w:rsidP="00C33807">
            <w:pPr>
              <w:spacing w:line="360" w:lineRule="auto"/>
              <w:rPr>
                <w:color w:val="000000" w:themeColor="text1"/>
              </w:rPr>
            </w:pPr>
            <w:r>
              <w:rPr>
                <w:color w:val="000000" w:themeColor="text1"/>
              </w:rPr>
              <w:t>Stakeholder thinking becomes embedded → more committed, innovative workforce</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E38470C" w14:textId="77777777" w:rsidR="007B6F4B" w:rsidRPr="00B44054" w:rsidRDefault="0099243F" w:rsidP="00C33807">
            <w:pPr>
              <w:spacing w:line="360" w:lineRule="auto"/>
              <w:rPr>
                <w:color w:val="000000" w:themeColor="text1"/>
              </w:rPr>
            </w:pPr>
            <w:r>
              <w:rPr>
                <w:color w:val="000000" w:themeColor="text1"/>
              </w:rPr>
              <w:t>BAE Systems 15+ years without industrial action through structured dialogue; strengthens Sainsbury’s agile, inclusive culture for future transformation</w:t>
            </w:r>
          </w:p>
        </w:tc>
      </w:tr>
      <w:tr w:rsidR="007B6F4B" w:rsidRPr="00B44054" w14:paraId="5A1576FB" w14:textId="77777777">
        <w:tc>
          <w:tcPr>
            <w:tcW w:w="252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78C8842D" w14:textId="77777777" w:rsidR="007B6F4B" w:rsidRPr="00B44054" w:rsidRDefault="0099243F" w:rsidP="00C33807">
            <w:pPr>
              <w:spacing w:line="360" w:lineRule="auto"/>
              <w:rPr>
                <w:color w:val="000000" w:themeColor="text1"/>
              </w:rPr>
            </w:pPr>
            <w:r>
              <w:rPr>
                <w:color w:val="000000" w:themeColor="text1"/>
              </w:rPr>
              <w:t>Ethical &amp; Social Licence</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F839ACC" w14:textId="77777777" w:rsidR="007B6F4B" w:rsidRPr="00B44054" w:rsidRDefault="0099243F" w:rsidP="00C33807">
            <w:pPr>
              <w:spacing w:line="360" w:lineRule="auto"/>
              <w:rPr>
                <w:color w:val="000000" w:themeColor="text1"/>
              </w:rPr>
            </w:pPr>
            <w:r>
              <w:rPr>
                <w:color w:val="000000" w:themeColor="text1"/>
              </w:rPr>
              <w:t>Transparent, ethical engagement builds reputation and resilience</w:t>
            </w:r>
          </w:p>
        </w:tc>
        <w:tc>
          <w:tcPr>
            <w:tcW w:w="378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vAlign w:val="center"/>
          </w:tcPr>
          <w:p w14:paraId="36D6660B" w14:textId="77777777" w:rsidR="007B6F4B" w:rsidRPr="00B44054" w:rsidRDefault="0099243F" w:rsidP="00C33807">
            <w:pPr>
              <w:spacing w:line="360" w:lineRule="auto"/>
              <w:rPr>
                <w:color w:val="000000" w:themeColor="text1"/>
              </w:rPr>
            </w:pPr>
            <w:r>
              <w:rPr>
                <w:color w:val="000000" w:themeColor="text1"/>
              </w:rPr>
              <w:t>Cargill multi-stakeholder approach strengthened licence to operate; Sainsbury’s gains competitive differentiation on privacy and ethics</w:t>
            </w:r>
          </w:p>
        </w:tc>
      </w:tr>
    </w:tbl>
    <w:p w14:paraId="048263DD" w14:textId="11C0CC2D" w:rsidR="007B6F4B" w:rsidRPr="00B44054" w:rsidRDefault="00BA7633" w:rsidP="00C33807">
      <w:pPr>
        <w:spacing w:before="80" w:line="360" w:lineRule="auto"/>
        <w:jc w:val="center"/>
        <w:rPr>
          <w:color w:val="000000" w:themeColor="text1"/>
        </w:rPr>
      </w:pPr>
      <w:r>
        <w:rPr>
          <w:i/>
          <w:iCs/>
          <w:color w:val="000000" w:themeColor="text1"/>
        </w:rPr>
        <w:t>Table 5: Impact Pathways of Sustainable Stakeholder Engagement on Business Performance</w:t>
      </w:r>
    </w:p>
    <w:p w14:paraId="193DBF3F" w14:textId="77777777" w:rsidR="007B6F4B" w:rsidRPr="00B44054" w:rsidRDefault="0099243F" w:rsidP="00C33807">
      <w:pPr>
        <w:spacing w:before="120" w:line="360" w:lineRule="auto"/>
        <w:rPr>
          <w:color w:val="000000" w:themeColor="text1"/>
        </w:rPr>
      </w:pPr>
      <w:r>
        <w:rPr>
          <w:b/>
          <w:bCs/>
          <w:color w:val="000000" w:themeColor="text1"/>
        </w:rPr>
        <w:t xml:space="preserve">Challenges That Still Need to Be Managed: </w:t>
      </w:r>
      <w:r>
        <w:rPr>
          <w:color w:val="000000" w:themeColor="text1"/>
        </w:rPr>
        <w:t>Sustainable engagement is not free. The main challenges are the time and resource it requires, the risk of engagement fatigue among busy stakeholders, the difficulty of measuring soft outcomes such as trust, and the reality that some stakeholders will never fully align. These issues are managed through strict prioritisation (focusing energy on definitive and expectant stakeholders), realistic resource allocation, culturally competent local teams, and a balanced set of success metrics that combine hard KPIs with regular qualitative pulse checks. One of the Project Manager’s ongoing responsibilities is to protect the engagement budget and timetable so that short-term commercial pressure does not quietly erode the relationships that will determine long-term success.</w:t>
      </w:r>
    </w:p>
    <w:p w14:paraId="70DEA2EF" w14:textId="77777777" w:rsidR="007B6F4B" w:rsidRPr="00B44054" w:rsidRDefault="0099243F" w:rsidP="00C33807">
      <w:pPr>
        <w:pStyle w:val="Heading1"/>
        <w:spacing w:line="360" w:lineRule="auto"/>
        <w:rPr>
          <w:color w:val="000000" w:themeColor="text1"/>
          <w:sz w:val="22"/>
          <w:szCs w:val="22"/>
        </w:rPr>
      </w:pPr>
      <w:r>
        <w:rPr>
          <w:color w:val="000000" w:themeColor="text1"/>
          <w:sz w:val="22"/>
          <w:szCs w:val="22"/>
        </w:rPr>
        <w:t>7. Recommendations and Conclusion</w:t>
      </w:r>
    </w:p>
    <w:p w14:paraId="281D9CDE"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7.1 Recommendations</w:t>
      </w:r>
    </w:p>
    <w:p w14:paraId="1317B5CF" w14:textId="77777777" w:rsidR="007B6F4B" w:rsidRPr="00B44054" w:rsidRDefault="0099243F" w:rsidP="00C33807">
      <w:pPr>
        <w:pStyle w:val="ListParagraph"/>
        <w:numPr>
          <w:ilvl w:val="0"/>
          <w:numId w:val="4"/>
        </w:numPr>
        <w:spacing w:line="360" w:lineRule="auto"/>
        <w:rPr>
          <w:color w:val="000000" w:themeColor="text1"/>
        </w:rPr>
      </w:pPr>
      <w:r>
        <w:rPr>
          <w:color w:val="000000" w:themeColor="text1"/>
        </w:rPr>
        <w:t>Create a permanent ConnectPlus Stakeholder Council that includes representatives of customers, frontline store colleagues, key internal functions and an external ethics advisor. The Council should meet quarterly and publish a short, accessible summary of discussions and actions taken.</w:t>
      </w:r>
    </w:p>
    <w:p w14:paraId="0FA692C7" w14:textId="77777777" w:rsidR="007B6F4B" w:rsidRPr="00B44054" w:rsidRDefault="0099243F" w:rsidP="00C33807">
      <w:pPr>
        <w:pStyle w:val="ListParagraph"/>
        <w:numPr>
          <w:ilvl w:val="0"/>
          <w:numId w:val="4"/>
        </w:numPr>
        <w:spacing w:line="360" w:lineRule="auto"/>
        <w:rPr>
          <w:color w:val="000000" w:themeColor="text1"/>
        </w:rPr>
      </w:pPr>
      <w:r>
        <w:rPr>
          <w:color w:val="000000" w:themeColor="text1"/>
        </w:rPr>
        <w:lastRenderedPageBreak/>
        <w:t>Invest in a simple digital engagement platform (secure portal plus mobile app) so that store colleagues and remote stakeholders can easily access updates, give feedback and see how their input has been used.</w:t>
      </w:r>
    </w:p>
    <w:p w14:paraId="0459A833" w14:textId="77777777" w:rsidR="007B6F4B" w:rsidRPr="00B44054" w:rsidRDefault="0099243F" w:rsidP="00C33807">
      <w:pPr>
        <w:pStyle w:val="ListParagraph"/>
        <w:numPr>
          <w:ilvl w:val="0"/>
          <w:numId w:val="4"/>
        </w:numPr>
        <w:spacing w:line="360" w:lineRule="auto"/>
        <w:rPr>
          <w:color w:val="000000" w:themeColor="text1"/>
        </w:rPr>
      </w:pPr>
      <w:r>
        <w:rPr>
          <w:color w:val="000000" w:themeColor="text1"/>
        </w:rPr>
        <w:t>Require a short SWANS/OWANS refresh workshop at every major project gate so that mutual value remains explicit and up to date.</w:t>
      </w:r>
    </w:p>
    <w:p w14:paraId="7E966013" w14:textId="77777777" w:rsidR="007B6F4B" w:rsidRPr="00B44054" w:rsidRDefault="0099243F" w:rsidP="00C33807">
      <w:pPr>
        <w:pStyle w:val="ListParagraph"/>
        <w:numPr>
          <w:ilvl w:val="0"/>
          <w:numId w:val="4"/>
        </w:numPr>
        <w:spacing w:line="360" w:lineRule="auto"/>
        <w:rPr>
          <w:color w:val="000000" w:themeColor="text1"/>
        </w:rPr>
      </w:pPr>
      <w:r>
        <w:rPr>
          <w:color w:val="000000" w:themeColor="text1"/>
        </w:rPr>
        <w:t>Build practical change-management capability into the project team through store champion programmes and short secondments, learning from the multi-level engagement practices developed by companies such as LG Electronics and BAE Systems.</w:t>
      </w:r>
    </w:p>
    <w:p w14:paraId="69F0B7E7" w14:textId="77777777" w:rsidR="007B6F4B" w:rsidRPr="00B44054" w:rsidRDefault="0099243F" w:rsidP="00C33807">
      <w:pPr>
        <w:pStyle w:val="ListParagraph"/>
        <w:numPr>
          <w:ilvl w:val="0"/>
          <w:numId w:val="4"/>
        </w:numPr>
        <w:spacing w:line="360" w:lineRule="auto"/>
        <w:rPr>
          <w:color w:val="000000" w:themeColor="text1"/>
        </w:rPr>
      </w:pPr>
      <w:r>
        <w:rPr>
          <w:color w:val="000000" w:themeColor="text1"/>
        </w:rPr>
        <w:t>Treat data ethics and privacy as core brand differentiators rather than mere compliance hurdles. Publish a clear, customer-friendly “How ConnectPlus Uses Your Data” explainer that has been co-designed with Nectar customer representatives.</w:t>
      </w:r>
    </w:p>
    <w:p w14:paraId="52CC14A0" w14:textId="77777777" w:rsidR="007B6F4B" w:rsidRPr="00B44054" w:rsidRDefault="0099243F" w:rsidP="00C33807">
      <w:pPr>
        <w:pStyle w:val="Heading2"/>
        <w:spacing w:line="360" w:lineRule="auto"/>
        <w:rPr>
          <w:color w:val="000000" w:themeColor="text1"/>
          <w:sz w:val="22"/>
          <w:szCs w:val="22"/>
        </w:rPr>
      </w:pPr>
      <w:r>
        <w:rPr>
          <w:color w:val="000000" w:themeColor="text1"/>
          <w:sz w:val="22"/>
          <w:szCs w:val="22"/>
        </w:rPr>
        <w:t>7.2 Conclusion</w:t>
      </w:r>
    </w:p>
    <w:p w14:paraId="7A4013B1" w14:textId="77777777" w:rsidR="007B6F4B" w:rsidRPr="00B44054" w:rsidRDefault="0099243F" w:rsidP="00C33807">
      <w:pPr>
        <w:spacing w:line="360" w:lineRule="auto"/>
        <w:rPr>
          <w:color w:val="000000" w:themeColor="text1"/>
        </w:rPr>
      </w:pPr>
      <w:r>
        <w:rPr>
          <w:color w:val="000000" w:themeColor="text1"/>
        </w:rPr>
        <w:t>The successful start and completion of the ConnectPlus project at Sainsbury’s will depend less on perfect technology and more on the quality of the relationships that surround it. By systematically identifying stakeholders, prioritising them with robust frameworks, clarifying roles through RACI, aligning wants and needs via SWANS and OWANS, running a disciplined yet flexible engagement process, and handling conflict constructively, Sainsbury’s can turn potential resistance into active support.</w:t>
      </w:r>
    </w:p>
    <w:p w14:paraId="074057C7" w14:textId="77777777" w:rsidR="007B6F4B" w:rsidRPr="00B44054" w:rsidRDefault="0099243F" w:rsidP="00C33807">
      <w:pPr>
        <w:spacing w:before="120" w:line="360" w:lineRule="auto"/>
        <w:rPr>
          <w:color w:val="000000" w:themeColor="text1"/>
        </w:rPr>
      </w:pPr>
      <w:r>
        <w:rPr>
          <w:color w:val="000000" w:themeColor="text1"/>
        </w:rPr>
        <w:t>The benefits – higher retention within the Nectar base, richer data, stronger reputation, lower risk and a more capable organisation – clearly outweigh the investment required. In a world where customers, employees, regulators and investors all demand authenticity, sustainable stakeholder engagement is no longer just good project management; it is the foundation of long-term competitive advantage and the organisation’s social licence to operate. This report sets out a practical roadmap that, if followed with genuine commitment, can help ConnectPlus become a genuine model of how a major UK retailer can innovate responsibly with, rather than merely for, its stakeholders.</w:t>
      </w:r>
    </w:p>
    <w:p w14:paraId="713E4FEC" w14:textId="77777777" w:rsidR="00396577" w:rsidRPr="00B44054" w:rsidRDefault="00396577" w:rsidP="00C33807">
      <w:pPr>
        <w:pStyle w:val="Heading1"/>
        <w:spacing w:line="360" w:lineRule="auto"/>
        <w:rPr>
          <w:color w:val="000000" w:themeColor="text1"/>
          <w:sz w:val="22"/>
          <w:szCs w:val="22"/>
        </w:rPr>
      </w:pPr>
    </w:p>
    <w:p w14:paraId="6192CD92" w14:textId="77777777" w:rsidR="00396577" w:rsidRPr="00B44054" w:rsidRDefault="00396577" w:rsidP="00C33807">
      <w:pPr>
        <w:pStyle w:val="Heading1"/>
        <w:spacing w:line="360" w:lineRule="auto"/>
        <w:rPr>
          <w:color w:val="000000" w:themeColor="text1"/>
          <w:sz w:val="22"/>
          <w:szCs w:val="22"/>
        </w:rPr>
      </w:pPr>
    </w:p>
    <w:p w14:paraId="38B61315" w14:textId="77777777" w:rsidR="00B44054" w:rsidRDefault="00B44054" w:rsidP="00C33807">
      <w:pPr>
        <w:pStyle w:val="Heading1"/>
        <w:spacing w:line="360" w:lineRule="auto"/>
        <w:rPr>
          <w:color w:val="000000" w:themeColor="text1"/>
          <w:sz w:val="22"/>
          <w:szCs w:val="22"/>
        </w:rPr>
      </w:pPr>
    </w:p>
    <w:p w14:paraId="7F983776" w14:textId="77777777" w:rsidR="00235E15" w:rsidRDefault="00235E15" w:rsidP="00C33807">
      <w:pPr>
        <w:pStyle w:val="Heading1"/>
        <w:spacing w:line="360" w:lineRule="auto"/>
        <w:rPr>
          <w:color w:val="000000" w:themeColor="text1"/>
          <w:sz w:val="22"/>
          <w:szCs w:val="22"/>
        </w:rPr>
      </w:pPr>
    </w:p>
    <w:p w14:paraId="744321FD" w14:textId="77777777" w:rsidR="00E17D7A" w:rsidRDefault="00E17D7A" w:rsidP="00C33807">
      <w:pPr>
        <w:pStyle w:val="Heading1"/>
        <w:spacing w:line="360" w:lineRule="auto"/>
        <w:rPr>
          <w:color w:val="000000" w:themeColor="text1"/>
          <w:sz w:val="22"/>
          <w:szCs w:val="22"/>
        </w:rPr>
      </w:pPr>
    </w:p>
    <w:p w14:paraId="4A74251D" w14:textId="1CB203A9" w:rsidR="007B6F4B" w:rsidRPr="00B44054" w:rsidRDefault="0099243F" w:rsidP="00C33807">
      <w:pPr>
        <w:pStyle w:val="Heading1"/>
        <w:spacing w:line="360" w:lineRule="auto"/>
        <w:rPr>
          <w:color w:val="000000" w:themeColor="text1"/>
          <w:sz w:val="22"/>
          <w:szCs w:val="22"/>
        </w:rPr>
      </w:pPr>
      <w:r>
        <w:rPr>
          <w:color w:val="000000" w:themeColor="text1"/>
          <w:sz w:val="22"/>
          <w:szCs w:val="22"/>
        </w:rPr>
        <w:lastRenderedPageBreak/>
        <w:t>References</w:t>
      </w:r>
    </w:p>
    <w:p w14:paraId="64C0AFBC" w14:textId="77777777" w:rsidR="007B6F4B" w:rsidRPr="00B44054" w:rsidRDefault="0099243F" w:rsidP="00C33807">
      <w:pPr>
        <w:spacing w:line="360" w:lineRule="auto"/>
        <w:rPr>
          <w:color w:val="000000" w:themeColor="text1"/>
        </w:rPr>
      </w:pPr>
      <w:r>
        <w:rPr>
          <w:color w:val="000000" w:themeColor="text1"/>
        </w:rPr>
        <w:t>Aksoy, L., Banda, S., Harmeling, C., Keiningham, T.L. and Pansari, A. (2022) ‘Marketing’s role in multi-stakeholder engagement’, International Journal of Research in Marketing, 39, pp. 445–461.</w:t>
      </w:r>
    </w:p>
    <w:p w14:paraId="4F22B635" w14:textId="77777777" w:rsidR="007B6F4B" w:rsidRPr="00B44054" w:rsidRDefault="0099243F" w:rsidP="00C33807">
      <w:pPr>
        <w:spacing w:line="360" w:lineRule="auto"/>
        <w:rPr>
          <w:color w:val="000000" w:themeColor="text1"/>
        </w:rPr>
      </w:pPr>
      <w:r>
        <w:rPr>
          <w:color w:val="000000" w:themeColor="text1"/>
        </w:rPr>
        <w:t>Ashcroft, J. (2017) The Relational Lens: Understanding, Measuring and Managing Stakeholder Relationships. Cambridge: Cambridge University Press.</w:t>
      </w:r>
    </w:p>
    <w:p w14:paraId="01B4F336" w14:textId="77777777" w:rsidR="007B6F4B" w:rsidRPr="00B44054" w:rsidRDefault="0099243F" w:rsidP="00C33807">
      <w:pPr>
        <w:spacing w:line="360" w:lineRule="auto"/>
        <w:rPr>
          <w:color w:val="000000" w:themeColor="text1"/>
        </w:rPr>
      </w:pPr>
      <w:r>
        <w:rPr>
          <w:color w:val="000000" w:themeColor="text1"/>
        </w:rPr>
        <w:t>Bourne, L. (2010) Stakeholder Relationship Management: A Maturity Model for Organisational Implementation. Farnham: Gower.</w:t>
      </w:r>
    </w:p>
    <w:p w14:paraId="15E31DEF" w14:textId="77777777" w:rsidR="007B6F4B" w:rsidRPr="00B44054" w:rsidRDefault="0099243F" w:rsidP="00C33807">
      <w:pPr>
        <w:spacing w:line="360" w:lineRule="auto"/>
        <w:rPr>
          <w:color w:val="000000" w:themeColor="text1"/>
        </w:rPr>
      </w:pPr>
      <w:r>
        <w:rPr>
          <w:color w:val="000000" w:themeColor="text1"/>
        </w:rPr>
        <w:t>Bourne, L. (2016) Stakeholder Relationship Management. 2nd edn. London: Routledge.</w:t>
      </w:r>
    </w:p>
    <w:p w14:paraId="45001FF6" w14:textId="77777777" w:rsidR="007B6F4B" w:rsidRPr="00B44054" w:rsidRDefault="0099243F" w:rsidP="00C33807">
      <w:pPr>
        <w:spacing w:line="360" w:lineRule="auto"/>
        <w:rPr>
          <w:color w:val="000000" w:themeColor="text1"/>
        </w:rPr>
      </w:pPr>
      <w:r>
        <w:rPr>
          <w:color w:val="000000" w:themeColor="text1"/>
        </w:rPr>
        <w:t>Christopher, M., Payne, A. and Ballantyne, D. (2013) Relationship Marketing: Creating Stakeholder Value. London: Taylor &amp; Francis.</w:t>
      </w:r>
    </w:p>
    <w:p w14:paraId="30D6EB72" w14:textId="77777777" w:rsidR="007B6F4B" w:rsidRPr="00B44054" w:rsidRDefault="0099243F" w:rsidP="00C33807">
      <w:pPr>
        <w:spacing w:line="360" w:lineRule="auto"/>
        <w:rPr>
          <w:color w:val="000000" w:themeColor="text1"/>
        </w:rPr>
      </w:pPr>
      <w:r>
        <w:rPr>
          <w:color w:val="000000" w:themeColor="text1"/>
        </w:rPr>
        <w:t>Freeman, R.E. (1984) Strategic Management: A Stakeholder Approach. Boston: Pitman.</w:t>
      </w:r>
    </w:p>
    <w:p w14:paraId="40134E67" w14:textId="77777777" w:rsidR="007B6F4B" w:rsidRPr="00B44054" w:rsidRDefault="0099243F" w:rsidP="00C33807">
      <w:pPr>
        <w:spacing w:line="360" w:lineRule="auto"/>
        <w:rPr>
          <w:color w:val="000000" w:themeColor="text1"/>
        </w:rPr>
      </w:pPr>
      <w:r>
        <w:rPr>
          <w:color w:val="000000" w:themeColor="text1"/>
        </w:rPr>
        <w:t>Freeman, R.E., Harrison, J.S., Wicks, A.C., Parmar, B. and de Colle, S. (2010) Stakeholder Theory: The State of the Art. Cambridge: Cambridge University Press.</w:t>
      </w:r>
    </w:p>
    <w:p w14:paraId="3FB3A507" w14:textId="77777777" w:rsidR="007B6F4B" w:rsidRPr="00B44054" w:rsidRDefault="0099243F" w:rsidP="00C33807">
      <w:pPr>
        <w:spacing w:line="360" w:lineRule="auto"/>
        <w:rPr>
          <w:color w:val="000000" w:themeColor="text1"/>
        </w:rPr>
      </w:pPr>
      <w:r>
        <w:rPr>
          <w:color w:val="000000" w:themeColor="text1"/>
        </w:rPr>
        <w:t>Jeffery, N. (2009) Stakeholder Engagement: A Road Map to Meaningful Engagement. Cranfield: Doughty Centre, Cranfield School of Management.</w:t>
      </w:r>
    </w:p>
    <w:p w14:paraId="69CECEB0" w14:textId="77777777" w:rsidR="007B6F4B" w:rsidRPr="00B44054" w:rsidRDefault="0099243F" w:rsidP="00C33807">
      <w:pPr>
        <w:spacing w:line="360" w:lineRule="auto"/>
        <w:rPr>
          <w:color w:val="000000" w:themeColor="text1"/>
        </w:rPr>
      </w:pPr>
      <w:r>
        <w:rPr>
          <w:color w:val="000000" w:themeColor="text1"/>
        </w:rPr>
        <w:t>Johnson, G. and Scholes, K. (1999) Exploring Corporate Strategy. 5th edn. London: Prentice Hall.</w:t>
      </w:r>
    </w:p>
    <w:p w14:paraId="3DDC2B47" w14:textId="77777777" w:rsidR="007B6F4B" w:rsidRPr="00B44054" w:rsidRDefault="0099243F" w:rsidP="00C33807">
      <w:pPr>
        <w:spacing w:line="360" w:lineRule="auto"/>
        <w:rPr>
          <w:color w:val="000000" w:themeColor="text1"/>
        </w:rPr>
      </w:pPr>
      <w:r>
        <w:rPr>
          <w:color w:val="000000" w:themeColor="text1"/>
        </w:rPr>
        <w:t>Jun, H. and Kim, M. (2021) ‘From stakeholder communication to engagement for the Sustainable Development Goals (SDGs): a case study of LG Electronics’, Sustainability, 13(15), 8624.</w:t>
      </w:r>
    </w:p>
    <w:p w14:paraId="42750781" w14:textId="77777777" w:rsidR="007B6F4B" w:rsidRPr="00B44054" w:rsidRDefault="0099243F" w:rsidP="00C33807">
      <w:pPr>
        <w:spacing w:line="360" w:lineRule="auto"/>
        <w:rPr>
          <w:color w:val="000000" w:themeColor="text1"/>
        </w:rPr>
      </w:pPr>
      <w:r>
        <w:rPr>
          <w:color w:val="000000" w:themeColor="text1"/>
        </w:rPr>
        <w:t>J Sainsbury plc (2025) Annual Report and Financial Statements 2025. London: J Sainsbury plc.</w:t>
      </w:r>
    </w:p>
    <w:p w14:paraId="1EADA8FF" w14:textId="77777777" w:rsidR="007B6F4B" w:rsidRPr="00B44054" w:rsidRDefault="0099243F" w:rsidP="00C33807">
      <w:pPr>
        <w:spacing w:line="360" w:lineRule="auto"/>
        <w:rPr>
          <w:color w:val="000000" w:themeColor="text1"/>
        </w:rPr>
      </w:pPr>
      <w:r>
        <w:rPr>
          <w:color w:val="000000" w:themeColor="text1"/>
        </w:rPr>
        <w:t>Kujala, J., Sachs, S., Leinonen, H., Heikkinen, A. and Laude, D. (2022) ‘Stakeholder engagement: past, present, and future’, Business &amp; Society, 61(5), pp. 1136–1196.</w:t>
      </w:r>
    </w:p>
    <w:p w14:paraId="0738FCE8" w14:textId="77777777" w:rsidR="007B6F4B" w:rsidRPr="00B44054" w:rsidRDefault="0099243F" w:rsidP="00C33807">
      <w:pPr>
        <w:spacing w:line="360" w:lineRule="auto"/>
        <w:rPr>
          <w:color w:val="000000" w:themeColor="text1"/>
        </w:rPr>
      </w:pPr>
      <w:r>
        <w:rPr>
          <w:color w:val="000000" w:themeColor="text1"/>
        </w:rPr>
        <w:t>Mendelow, A. (1991) Proceedings of the Second International Conference on Information Systems. Cambridge, MA.</w:t>
      </w:r>
    </w:p>
    <w:p w14:paraId="304B0196" w14:textId="77777777" w:rsidR="007B6F4B" w:rsidRPr="00B44054" w:rsidRDefault="0099243F" w:rsidP="00C33807">
      <w:pPr>
        <w:spacing w:line="360" w:lineRule="auto"/>
        <w:rPr>
          <w:color w:val="000000" w:themeColor="text1"/>
        </w:rPr>
      </w:pPr>
      <w:r>
        <w:rPr>
          <w:color w:val="000000" w:themeColor="text1"/>
        </w:rPr>
        <w:t>Mitchell, R.K., Agle, B.R. and Wood, D.J. (1997) ‘Toward a theory of stakeholder identification and salience: defining the principle of who and what really counts’, Academy of Management Review, 22(4), pp. 853–886.</w:t>
      </w:r>
    </w:p>
    <w:p w14:paraId="48889EE6" w14:textId="77777777" w:rsidR="007B6F4B" w:rsidRPr="00B44054" w:rsidRDefault="0099243F" w:rsidP="00C33807">
      <w:pPr>
        <w:spacing w:line="360" w:lineRule="auto"/>
        <w:rPr>
          <w:color w:val="000000" w:themeColor="text1"/>
        </w:rPr>
      </w:pPr>
      <w:r>
        <w:rPr>
          <w:color w:val="000000" w:themeColor="text1"/>
        </w:rPr>
        <w:t>Moura, H.M.P. and Teixeira, J.M.C. (2010) ‘Managing stakeholders’ conflicts’, in Chinyio, E. and Olomolaiye, P. (eds.) Construction Stakeholder Management. Oxford: Wiley-Blackwell.</w:t>
      </w:r>
    </w:p>
    <w:p w14:paraId="3C44BB5E" w14:textId="77777777" w:rsidR="007B6F4B" w:rsidRPr="00B44054" w:rsidRDefault="0099243F" w:rsidP="00C33807">
      <w:pPr>
        <w:spacing w:line="360" w:lineRule="auto"/>
        <w:rPr>
          <w:color w:val="000000" w:themeColor="text1"/>
        </w:rPr>
      </w:pPr>
      <w:r>
        <w:rPr>
          <w:color w:val="000000" w:themeColor="text1"/>
        </w:rPr>
        <w:t>Patzer, M., Voegtlin, C. and Scherer, A.G. (2018) ‘The normative justification of integrative stakeholder engagement’, Business Ethics Quarterly, 28(3), pp. 325–354.</w:t>
      </w:r>
    </w:p>
    <w:p w14:paraId="33D4C883" w14:textId="77777777" w:rsidR="007B6F4B" w:rsidRPr="00B44054" w:rsidRDefault="0099243F" w:rsidP="00C33807">
      <w:pPr>
        <w:spacing w:line="360" w:lineRule="auto"/>
        <w:rPr>
          <w:color w:val="000000" w:themeColor="text1"/>
        </w:rPr>
      </w:pPr>
      <w:r>
        <w:rPr>
          <w:color w:val="000000" w:themeColor="text1"/>
        </w:rPr>
        <w:t>Pfeffer, J. and Salancik, G.R. (1978) The External Control of Organizations: A Resource Dependence Perspective. New York: Harper &amp; Row.</w:t>
      </w:r>
    </w:p>
    <w:p w14:paraId="051D0862" w14:textId="77777777" w:rsidR="007B6F4B" w:rsidRPr="00B44054" w:rsidRDefault="0099243F" w:rsidP="00C33807">
      <w:pPr>
        <w:spacing w:line="360" w:lineRule="auto"/>
        <w:rPr>
          <w:color w:val="000000" w:themeColor="text1"/>
        </w:rPr>
      </w:pPr>
      <w:r>
        <w:rPr>
          <w:color w:val="000000" w:themeColor="text1"/>
        </w:rPr>
        <w:t>Rowley, T.J. (1997) ‘Moving beyond dyadic ties: a network theory of stakeholder influences’, Academy of Management Review, 22(4), pp. 887–910.</w:t>
      </w:r>
    </w:p>
    <w:p w14:paraId="45D75352" w14:textId="77777777" w:rsidR="007B6F4B" w:rsidRPr="00B44054" w:rsidRDefault="0099243F" w:rsidP="00C33807">
      <w:pPr>
        <w:spacing w:line="360" w:lineRule="auto"/>
        <w:rPr>
          <w:color w:val="000000" w:themeColor="text1"/>
        </w:rPr>
      </w:pPr>
      <w:r>
        <w:rPr>
          <w:color w:val="000000" w:themeColor="text1"/>
        </w:rPr>
        <w:lastRenderedPageBreak/>
        <w:t>Spence, L.J. and Rinaldi, L. (2014) ‘Governmentality in accounting and accountability: a case study of embedding sustainability in a supply chain’, Accounting, Organizations and Society, 39(6), pp. 433–452.</w:t>
      </w:r>
    </w:p>
    <w:p w14:paraId="70A441B5" w14:textId="5D4A8774" w:rsidR="007B6F4B" w:rsidRPr="00B44054" w:rsidRDefault="007B6F4B" w:rsidP="00C33807">
      <w:pPr>
        <w:spacing w:before="400" w:line="360" w:lineRule="auto"/>
        <w:jc w:val="center"/>
        <w:rPr>
          <w:color w:val="000000" w:themeColor="text1"/>
        </w:rPr>
      </w:pPr>
    </w:p>
    <w:sectPr w:rsidR="007B6F4B" w:rsidRPr="00B44054">
      <w:headerReference w:type="default" r:id="rId8"/>
      <w:footerReference w:type="default" r:id="rId9"/>
      <w:pgSz w:w="12240" w:h="15840"/>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4DBAC" w14:textId="77777777" w:rsidR="000503C8" w:rsidRDefault="000503C8">
      <w:r>
        <w:separator/>
      </w:r>
    </w:p>
  </w:endnote>
  <w:endnote w:type="continuationSeparator" w:id="0">
    <w:p w14:paraId="1F480615" w14:textId="77777777" w:rsidR="000503C8" w:rsidRDefault="000503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14EB0" w14:textId="08529869" w:rsidR="007B6F4B" w:rsidRDefault="0099243F">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396577">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396577">
      <w:rPr>
        <w:noProof/>
        <w:sz w:val="18"/>
        <w:szCs w:val="18"/>
      </w:rPr>
      <w:t>2</w:t>
    </w:r>
    <w:r>
      <w:rPr>
        <w:sz w:val="18"/>
        <w:szCs w:val="18"/>
      </w:rPr>
      <w:fldChar w:fldCharType="end"/>
    </w:r>
    <w:r>
      <w:rPr>
        <w:color w:val="666666"/>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083493" w14:textId="77777777" w:rsidR="000503C8" w:rsidRDefault="000503C8">
      <w:r>
        <w:separator/>
      </w:r>
    </w:p>
  </w:footnote>
  <w:footnote w:type="continuationSeparator" w:id="0">
    <w:p w14:paraId="686CF3A9" w14:textId="77777777" w:rsidR="000503C8" w:rsidRDefault="000503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33FF0" w14:textId="7B4F3A66" w:rsidR="007B6F4B" w:rsidRDefault="007B6F4B">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321945"/>
    <w:multiLevelType w:val="hybridMultilevel"/>
    <w:tmpl w:val="59322950"/>
    <w:lvl w:ilvl="0" w:tplc="58BEFD9A">
      <w:start w:val="1"/>
      <w:numFmt w:val="decimal"/>
      <w:lvlText w:val="%1."/>
      <w:lvlJc w:val="left"/>
      <w:pPr>
        <w:ind w:left="720" w:hanging="360"/>
      </w:pPr>
    </w:lvl>
    <w:lvl w:ilvl="1" w:tplc="904414AE">
      <w:numFmt w:val="decimal"/>
      <w:lvlText w:val=""/>
      <w:lvlJc w:val="left"/>
    </w:lvl>
    <w:lvl w:ilvl="2" w:tplc="A4526354">
      <w:numFmt w:val="decimal"/>
      <w:lvlText w:val=""/>
      <w:lvlJc w:val="left"/>
    </w:lvl>
    <w:lvl w:ilvl="3" w:tplc="0840D3EC">
      <w:numFmt w:val="decimal"/>
      <w:lvlText w:val=""/>
      <w:lvlJc w:val="left"/>
    </w:lvl>
    <w:lvl w:ilvl="4" w:tplc="82464886">
      <w:numFmt w:val="decimal"/>
      <w:lvlText w:val=""/>
      <w:lvlJc w:val="left"/>
    </w:lvl>
    <w:lvl w:ilvl="5" w:tplc="A7B0B482">
      <w:numFmt w:val="decimal"/>
      <w:lvlText w:val=""/>
      <w:lvlJc w:val="left"/>
    </w:lvl>
    <w:lvl w:ilvl="6" w:tplc="5E3487DA">
      <w:numFmt w:val="decimal"/>
      <w:lvlText w:val=""/>
      <w:lvlJc w:val="left"/>
    </w:lvl>
    <w:lvl w:ilvl="7" w:tplc="5D6C4F2E">
      <w:numFmt w:val="decimal"/>
      <w:lvlText w:val=""/>
      <w:lvlJc w:val="left"/>
    </w:lvl>
    <w:lvl w:ilvl="8" w:tplc="E7A64A14">
      <w:numFmt w:val="decimal"/>
      <w:lvlText w:val=""/>
      <w:lvlJc w:val="left"/>
    </w:lvl>
  </w:abstractNum>
  <w:abstractNum w:abstractNumId="1" w15:restartNumberingAfterBreak="0">
    <w:nsid w:val="36923774"/>
    <w:multiLevelType w:val="hybridMultilevel"/>
    <w:tmpl w:val="5B68F972"/>
    <w:lvl w:ilvl="0" w:tplc="3E5CCD7E">
      <w:start w:val="1"/>
      <w:numFmt w:val="decimal"/>
      <w:lvlText w:val="%1."/>
      <w:lvlJc w:val="left"/>
      <w:pPr>
        <w:ind w:left="720" w:hanging="360"/>
      </w:pPr>
    </w:lvl>
    <w:lvl w:ilvl="1" w:tplc="06BC9782">
      <w:numFmt w:val="decimal"/>
      <w:lvlText w:val=""/>
      <w:lvlJc w:val="left"/>
    </w:lvl>
    <w:lvl w:ilvl="2" w:tplc="C2FCE4FE">
      <w:numFmt w:val="decimal"/>
      <w:lvlText w:val=""/>
      <w:lvlJc w:val="left"/>
    </w:lvl>
    <w:lvl w:ilvl="3" w:tplc="83D8784C">
      <w:numFmt w:val="decimal"/>
      <w:lvlText w:val=""/>
      <w:lvlJc w:val="left"/>
    </w:lvl>
    <w:lvl w:ilvl="4" w:tplc="843A1536">
      <w:numFmt w:val="decimal"/>
      <w:lvlText w:val=""/>
      <w:lvlJc w:val="left"/>
    </w:lvl>
    <w:lvl w:ilvl="5" w:tplc="391C3200">
      <w:numFmt w:val="decimal"/>
      <w:lvlText w:val=""/>
      <w:lvlJc w:val="left"/>
    </w:lvl>
    <w:lvl w:ilvl="6" w:tplc="8DAED0B4">
      <w:numFmt w:val="decimal"/>
      <w:lvlText w:val=""/>
      <w:lvlJc w:val="left"/>
    </w:lvl>
    <w:lvl w:ilvl="7" w:tplc="33EC4960">
      <w:numFmt w:val="decimal"/>
      <w:lvlText w:val=""/>
      <w:lvlJc w:val="left"/>
    </w:lvl>
    <w:lvl w:ilvl="8" w:tplc="65865B9E">
      <w:numFmt w:val="decimal"/>
      <w:lvlText w:val=""/>
      <w:lvlJc w:val="left"/>
    </w:lvl>
  </w:abstractNum>
  <w:abstractNum w:abstractNumId="2" w15:restartNumberingAfterBreak="0">
    <w:nsid w:val="38346A48"/>
    <w:multiLevelType w:val="hybridMultilevel"/>
    <w:tmpl w:val="33B281AC"/>
    <w:lvl w:ilvl="0" w:tplc="0B342298">
      <w:start w:val="1"/>
      <w:numFmt w:val="bullet"/>
      <w:lvlText w:val="●"/>
      <w:lvlJc w:val="left"/>
      <w:pPr>
        <w:ind w:left="720" w:hanging="360"/>
      </w:pPr>
    </w:lvl>
    <w:lvl w:ilvl="1" w:tplc="63D696E8">
      <w:start w:val="1"/>
      <w:numFmt w:val="bullet"/>
      <w:lvlText w:val="○"/>
      <w:lvlJc w:val="left"/>
      <w:pPr>
        <w:ind w:left="1440" w:hanging="360"/>
      </w:pPr>
    </w:lvl>
    <w:lvl w:ilvl="2" w:tplc="E88E45D2">
      <w:start w:val="1"/>
      <w:numFmt w:val="bullet"/>
      <w:lvlText w:val="■"/>
      <w:lvlJc w:val="left"/>
      <w:pPr>
        <w:ind w:left="2160" w:hanging="360"/>
      </w:pPr>
    </w:lvl>
    <w:lvl w:ilvl="3" w:tplc="E6DE7622">
      <w:start w:val="1"/>
      <w:numFmt w:val="bullet"/>
      <w:lvlText w:val="●"/>
      <w:lvlJc w:val="left"/>
      <w:pPr>
        <w:ind w:left="2880" w:hanging="360"/>
      </w:pPr>
    </w:lvl>
    <w:lvl w:ilvl="4" w:tplc="752A5DC8">
      <w:start w:val="1"/>
      <w:numFmt w:val="bullet"/>
      <w:lvlText w:val="○"/>
      <w:lvlJc w:val="left"/>
      <w:pPr>
        <w:ind w:left="3600" w:hanging="360"/>
      </w:pPr>
    </w:lvl>
    <w:lvl w:ilvl="5" w:tplc="2ED4CFF0">
      <w:start w:val="1"/>
      <w:numFmt w:val="bullet"/>
      <w:lvlText w:val="■"/>
      <w:lvlJc w:val="left"/>
      <w:pPr>
        <w:ind w:left="4320" w:hanging="360"/>
      </w:pPr>
    </w:lvl>
    <w:lvl w:ilvl="6" w:tplc="B6DC97E2">
      <w:start w:val="1"/>
      <w:numFmt w:val="bullet"/>
      <w:lvlText w:val="●"/>
      <w:lvlJc w:val="left"/>
      <w:pPr>
        <w:ind w:left="5040" w:hanging="360"/>
      </w:pPr>
    </w:lvl>
    <w:lvl w:ilvl="7" w:tplc="213E8CC8">
      <w:start w:val="1"/>
      <w:numFmt w:val="bullet"/>
      <w:lvlText w:val="●"/>
      <w:lvlJc w:val="left"/>
      <w:pPr>
        <w:ind w:left="5760" w:hanging="360"/>
      </w:pPr>
    </w:lvl>
    <w:lvl w:ilvl="8" w:tplc="7F80F55A">
      <w:start w:val="1"/>
      <w:numFmt w:val="bullet"/>
      <w:lvlText w:val="●"/>
      <w:lvlJc w:val="left"/>
      <w:pPr>
        <w:ind w:left="6480" w:hanging="360"/>
      </w:pPr>
    </w:lvl>
  </w:abstractNum>
  <w:abstractNum w:abstractNumId="3" w15:restartNumberingAfterBreak="0">
    <w:nsid w:val="4B3F7E77"/>
    <w:multiLevelType w:val="hybridMultilevel"/>
    <w:tmpl w:val="F0241BA2"/>
    <w:lvl w:ilvl="0" w:tplc="5C7C5904">
      <w:start w:val="1"/>
      <w:numFmt w:val="bullet"/>
      <w:lvlText w:val="•"/>
      <w:lvlJc w:val="left"/>
      <w:pPr>
        <w:ind w:left="720" w:hanging="360"/>
      </w:pPr>
    </w:lvl>
    <w:lvl w:ilvl="1" w:tplc="5606A208">
      <w:numFmt w:val="decimal"/>
      <w:lvlText w:val=""/>
      <w:lvlJc w:val="left"/>
    </w:lvl>
    <w:lvl w:ilvl="2" w:tplc="7C44CBB2">
      <w:numFmt w:val="decimal"/>
      <w:lvlText w:val=""/>
      <w:lvlJc w:val="left"/>
    </w:lvl>
    <w:lvl w:ilvl="3" w:tplc="05001122">
      <w:numFmt w:val="decimal"/>
      <w:lvlText w:val=""/>
      <w:lvlJc w:val="left"/>
    </w:lvl>
    <w:lvl w:ilvl="4" w:tplc="CB96E336">
      <w:numFmt w:val="decimal"/>
      <w:lvlText w:val=""/>
      <w:lvlJc w:val="left"/>
    </w:lvl>
    <w:lvl w:ilvl="5" w:tplc="3CFE4F36">
      <w:numFmt w:val="decimal"/>
      <w:lvlText w:val=""/>
      <w:lvlJc w:val="left"/>
    </w:lvl>
    <w:lvl w:ilvl="6" w:tplc="4766A600">
      <w:numFmt w:val="decimal"/>
      <w:lvlText w:val=""/>
      <w:lvlJc w:val="left"/>
    </w:lvl>
    <w:lvl w:ilvl="7" w:tplc="FE3CDEBA">
      <w:numFmt w:val="decimal"/>
      <w:lvlText w:val=""/>
      <w:lvlJc w:val="left"/>
    </w:lvl>
    <w:lvl w:ilvl="8" w:tplc="40C2CF70">
      <w:numFmt w:val="decimal"/>
      <w:lvlText w:val=""/>
      <w:lvlJc w:val="left"/>
    </w:lvl>
  </w:abstractNum>
  <w:num w:numId="1" w16cid:durableId="480923732">
    <w:abstractNumId w:val="2"/>
    <w:lvlOverride w:ilvl="0">
      <w:startOverride w:val="1"/>
    </w:lvlOverride>
  </w:num>
  <w:num w:numId="2" w16cid:durableId="1413232168">
    <w:abstractNumId w:val="0"/>
    <w:lvlOverride w:ilvl="0">
      <w:startOverride w:val="1"/>
    </w:lvlOverride>
  </w:num>
  <w:num w:numId="3" w16cid:durableId="1517691092">
    <w:abstractNumId w:val="3"/>
    <w:lvlOverride w:ilvl="0">
      <w:startOverride w:val="1"/>
    </w:lvlOverride>
  </w:num>
  <w:num w:numId="4" w16cid:durableId="163756581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F4B"/>
    <w:rsid w:val="00004106"/>
    <w:rsid w:val="000339DB"/>
    <w:rsid w:val="000503C8"/>
    <w:rsid w:val="001E4B25"/>
    <w:rsid w:val="00235E15"/>
    <w:rsid w:val="00255773"/>
    <w:rsid w:val="00281362"/>
    <w:rsid w:val="00390CF4"/>
    <w:rsid w:val="00396577"/>
    <w:rsid w:val="003B3A06"/>
    <w:rsid w:val="003E1654"/>
    <w:rsid w:val="004250BA"/>
    <w:rsid w:val="00502A1F"/>
    <w:rsid w:val="00512C7E"/>
    <w:rsid w:val="006125D7"/>
    <w:rsid w:val="00663248"/>
    <w:rsid w:val="00693852"/>
    <w:rsid w:val="006B4432"/>
    <w:rsid w:val="006E4A8B"/>
    <w:rsid w:val="007578B0"/>
    <w:rsid w:val="00760612"/>
    <w:rsid w:val="007A16D3"/>
    <w:rsid w:val="007A28C7"/>
    <w:rsid w:val="007B6F4B"/>
    <w:rsid w:val="007C6F75"/>
    <w:rsid w:val="007F4FF8"/>
    <w:rsid w:val="0089523C"/>
    <w:rsid w:val="009607AF"/>
    <w:rsid w:val="0099243F"/>
    <w:rsid w:val="009A0FF9"/>
    <w:rsid w:val="00B44054"/>
    <w:rsid w:val="00B555C9"/>
    <w:rsid w:val="00BA7633"/>
    <w:rsid w:val="00BD1962"/>
    <w:rsid w:val="00C33807"/>
    <w:rsid w:val="00C53B28"/>
    <w:rsid w:val="00C62BBD"/>
    <w:rsid w:val="00CF471B"/>
    <w:rsid w:val="00D24175"/>
    <w:rsid w:val="00DC2809"/>
    <w:rsid w:val="00DF5BCB"/>
    <w:rsid w:val="00E0724A"/>
    <w:rsid w:val="00E17D7A"/>
    <w:rsid w:val="00EC2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33A5B"/>
  <w15:docId w15:val="{C71163DC-6D7A-4708-823E-4D259613E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4E79"/>
      <w:sz w:val="32"/>
      <w:szCs w:val="32"/>
    </w:rPr>
  </w:style>
  <w:style w:type="paragraph" w:styleId="Heading2">
    <w:name w:val="heading 2"/>
    <w:uiPriority w:val="9"/>
    <w:unhideWhenUsed/>
    <w:qFormat/>
    <w:pPr>
      <w:spacing w:before="280" w:after="160"/>
      <w:outlineLvl w:val="1"/>
    </w:pPr>
    <w:rPr>
      <w:b/>
      <w:bCs/>
      <w:color w:val="2E75B6"/>
      <w:sz w:val="26"/>
      <w:szCs w:val="26"/>
    </w:rPr>
  </w:style>
  <w:style w:type="paragraph" w:styleId="Heading3">
    <w:name w:val="heading 3"/>
    <w:uiPriority w:val="9"/>
    <w:semiHidden/>
    <w:unhideWhenUsed/>
    <w:qFormat/>
    <w:pPr>
      <w:spacing w:before="200" w:after="120"/>
      <w:outlineLvl w:val="2"/>
    </w:pPr>
    <w:rPr>
      <w:b/>
      <w:bCs/>
      <w:color w:val="5B9BD5"/>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96577"/>
    <w:pPr>
      <w:tabs>
        <w:tab w:val="center" w:pos="4513"/>
        <w:tab w:val="right" w:pos="9026"/>
      </w:tabs>
    </w:pPr>
  </w:style>
  <w:style w:type="character" w:customStyle="1" w:styleId="HeaderChar">
    <w:name w:val="Header Char"/>
    <w:basedOn w:val="DefaultParagraphFont"/>
    <w:link w:val="Header"/>
    <w:uiPriority w:val="99"/>
    <w:rsid w:val="00396577"/>
  </w:style>
  <w:style w:type="paragraph" w:styleId="Footer">
    <w:name w:val="footer"/>
    <w:basedOn w:val="Normal"/>
    <w:link w:val="FooterChar"/>
    <w:uiPriority w:val="99"/>
    <w:unhideWhenUsed/>
    <w:rsid w:val="00396577"/>
    <w:pPr>
      <w:tabs>
        <w:tab w:val="center" w:pos="4513"/>
        <w:tab w:val="right" w:pos="9026"/>
      </w:tabs>
    </w:pPr>
  </w:style>
  <w:style w:type="character" w:customStyle="1" w:styleId="FooterChar">
    <w:name w:val="Footer Char"/>
    <w:basedOn w:val="DefaultParagraphFont"/>
    <w:link w:val="Footer"/>
    <w:uiPriority w:val="99"/>
    <w:rsid w:val="003965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7A1924-C99F-4F9D-AF72-F7FA00775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4960</Words>
  <Characters>28276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 Ismail</cp:lastModifiedBy>
  <cp:revision>2</cp:revision>
  <dcterms:created xsi:type="dcterms:W3CDTF">2026-07-18T23:35:00Z</dcterms:created>
  <dcterms:modified xsi:type="dcterms:W3CDTF">2026-07-18T23:35:00Z</dcterms:modified>
</cp:coreProperties>
</file>