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1BBAC" w14:textId="77777777" w:rsidR="00B41AD7" w:rsidRPr="00A66747" w:rsidRDefault="00B41AD7" w:rsidP="00B41AD7">
      <w:pPr>
        <w:spacing w:line="360" w:lineRule="auto"/>
        <w:rPr>
          <w:rFonts w:ascii="Arial" w:hAnsi="Arial" w:cs="Arial"/>
          <w:lang w:val="en-US"/>
        </w:rPr>
      </w:pPr>
    </w:p>
    <w:p w14:paraId="07E9B35E" w14:textId="77777777" w:rsidR="00B41AD7" w:rsidRPr="00A66747" w:rsidRDefault="00B41AD7" w:rsidP="00B41AD7">
      <w:pPr>
        <w:spacing w:line="360" w:lineRule="auto"/>
        <w:rPr>
          <w:rFonts w:ascii="Arial" w:hAnsi="Arial" w:cs="Arial"/>
          <w:lang w:val="en-US"/>
        </w:rPr>
      </w:pPr>
    </w:p>
    <w:p w14:paraId="2B92D69F" w14:textId="77777777" w:rsidR="00B41AD7" w:rsidRPr="00A66747" w:rsidRDefault="00B41AD7" w:rsidP="00B41AD7">
      <w:pPr>
        <w:spacing w:line="360" w:lineRule="auto"/>
        <w:jc w:val="center"/>
        <w:rPr>
          <w:rFonts w:ascii="Arial" w:hAnsi="Arial" w:cs="Arial"/>
          <w:b/>
          <w:bCs/>
          <w:lang w:val="en-US"/>
        </w:rPr>
      </w:pPr>
      <w:r w:rsidRPr="00A66747">
        <w:rPr>
          <w:rFonts w:ascii="Arial" w:hAnsi="Arial" w:cs="Arial"/>
          <w:b/>
          <w:bCs/>
          <w:lang w:val="en-US"/>
        </w:rPr>
        <w:t>BMW GROUP</w:t>
      </w:r>
    </w:p>
    <w:p w14:paraId="3B405174" w14:textId="77777777" w:rsidR="00B41AD7" w:rsidRPr="00A66747" w:rsidRDefault="00B41AD7" w:rsidP="00B41AD7">
      <w:pPr>
        <w:spacing w:line="360" w:lineRule="auto"/>
        <w:jc w:val="center"/>
        <w:rPr>
          <w:rFonts w:ascii="Arial" w:hAnsi="Arial" w:cs="Arial"/>
          <w:b/>
          <w:bCs/>
          <w:lang w:val="en-US"/>
        </w:rPr>
      </w:pPr>
      <w:r w:rsidRPr="00A66747">
        <w:rPr>
          <w:rFonts w:ascii="Arial" w:hAnsi="Arial" w:cs="Arial"/>
          <w:b/>
          <w:bCs/>
          <w:lang w:val="en-US"/>
        </w:rPr>
        <w:t>Strategic Plan</w:t>
      </w:r>
    </w:p>
    <w:p w14:paraId="2D8191C1" w14:textId="77777777" w:rsidR="00B41AD7" w:rsidRPr="00A66747" w:rsidRDefault="00B41AD7" w:rsidP="00B41AD7">
      <w:pPr>
        <w:spacing w:line="360" w:lineRule="auto"/>
        <w:rPr>
          <w:rFonts w:ascii="Arial" w:hAnsi="Arial" w:cs="Arial"/>
          <w:lang w:val="en-US"/>
        </w:rPr>
      </w:pPr>
    </w:p>
    <w:tbl>
      <w:tblPr>
        <w:tblW w:w="8789" w:type="dxa"/>
        <w:tblInd w:w="-5" w:type="dxa"/>
        <w:tblCellMar>
          <w:top w:w="10" w:type="dxa"/>
          <w:left w:w="6" w:type="dxa"/>
          <w:bottom w:w="6" w:type="dxa"/>
          <w:right w:w="41" w:type="dxa"/>
        </w:tblCellMar>
        <w:tblLook w:val="04A0" w:firstRow="1" w:lastRow="0" w:firstColumn="1" w:lastColumn="0" w:noHBand="0" w:noVBand="1"/>
      </w:tblPr>
      <w:tblGrid>
        <w:gridCol w:w="2552"/>
        <w:gridCol w:w="2693"/>
        <w:gridCol w:w="992"/>
        <w:gridCol w:w="2552"/>
      </w:tblGrid>
      <w:tr w:rsidR="00B41AD7" w:rsidRPr="00A66747" w14:paraId="123181A6" w14:textId="77777777" w:rsidTr="001802BC">
        <w:trPr>
          <w:trHeight w:val="500"/>
        </w:trPr>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EC15EF2" w14:textId="77777777" w:rsidR="00B41AD7" w:rsidRPr="00A66747" w:rsidRDefault="00B41AD7" w:rsidP="001802BC">
            <w:pPr>
              <w:spacing w:line="360" w:lineRule="auto"/>
              <w:rPr>
                <w:rFonts w:ascii="Arial" w:hAnsi="Arial" w:cs="Arial"/>
                <w:b/>
                <w:bCs/>
                <w:lang w:val="en-GB"/>
              </w:rPr>
            </w:pPr>
            <w:r w:rsidRPr="00A66747">
              <w:rPr>
                <w:rFonts w:ascii="Arial" w:hAnsi="Arial" w:cs="Arial"/>
                <w:b/>
              </w:rPr>
              <w:t>Student name:</w:t>
            </w:r>
          </w:p>
        </w:tc>
        <w:tc>
          <w:tcPr>
            <w:tcW w:w="623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B644ED8" w14:textId="77777777" w:rsidR="00B41AD7" w:rsidRPr="00A66747" w:rsidRDefault="00B41AD7" w:rsidP="001802BC">
            <w:pPr>
              <w:spacing w:line="360" w:lineRule="auto"/>
              <w:rPr>
                <w:rFonts w:ascii="Arial" w:hAnsi="Arial" w:cs="Arial"/>
                <w:b/>
                <w:bCs/>
                <w:lang w:val="en-GB"/>
              </w:rPr>
            </w:pPr>
            <w:r w:rsidRPr="00A66747">
              <w:rPr>
                <w:rFonts w:ascii="Arial" w:hAnsi="Arial" w:cs="Arial"/>
              </w:rPr>
              <w:t>Rajwinder Kaur</w:t>
            </w:r>
          </w:p>
        </w:tc>
      </w:tr>
      <w:tr w:rsidR="00B41AD7" w:rsidRPr="00A66747" w14:paraId="3A0EC8E0" w14:textId="77777777" w:rsidTr="001802BC">
        <w:trPr>
          <w:trHeight w:val="500"/>
        </w:trPr>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047743B" w14:textId="77777777" w:rsidR="00B41AD7" w:rsidRPr="00A66747" w:rsidRDefault="00B41AD7" w:rsidP="001802BC">
            <w:pPr>
              <w:spacing w:line="360" w:lineRule="auto"/>
              <w:rPr>
                <w:rFonts w:ascii="Arial" w:hAnsi="Arial" w:cs="Arial"/>
                <w:b/>
                <w:bCs/>
                <w:lang w:val="en-GB"/>
              </w:rPr>
            </w:pPr>
            <w:r w:rsidRPr="00A66747">
              <w:rPr>
                <w:rFonts w:ascii="Arial" w:hAnsi="Arial" w:cs="Arial"/>
                <w:b/>
              </w:rPr>
              <w:t>Student ID number:</w:t>
            </w:r>
          </w:p>
        </w:tc>
        <w:tc>
          <w:tcPr>
            <w:tcW w:w="623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42B462" w14:textId="77777777" w:rsidR="00B41AD7" w:rsidRPr="00A66747" w:rsidRDefault="00B41AD7" w:rsidP="001802BC">
            <w:pPr>
              <w:pStyle w:val="TableParagraph"/>
              <w:spacing w:line="360" w:lineRule="auto"/>
              <w:ind w:left="0"/>
            </w:pPr>
            <w:r w:rsidRPr="00A66747">
              <w:t xml:space="preserve"> 2214604</w:t>
            </w:r>
          </w:p>
        </w:tc>
      </w:tr>
      <w:tr w:rsidR="00B41AD7" w:rsidRPr="00A66747" w14:paraId="58A243DB" w14:textId="77777777" w:rsidTr="001802BC">
        <w:trPr>
          <w:trHeight w:val="500"/>
        </w:trPr>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hideMark/>
          </w:tcPr>
          <w:p w14:paraId="643D18D5"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 xml:space="preserve">Programme: </w:t>
            </w:r>
          </w:p>
        </w:tc>
        <w:tc>
          <w:tcPr>
            <w:tcW w:w="623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16EE8CF5"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 xml:space="preserve">BA (Hons) Business Management </w:t>
            </w:r>
          </w:p>
        </w:tc>
      </w:tr>
      <w:tr w:rsidR="00B41AD7" w:rsidRPr="00A66747" w14:paraId="405ABCE8" w14:textId="77777777" w:rsidTr="001802BC">
        <w:trPr>
          <w:trHeight w:val="502"/>
        </w:trPr>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hideMark/>
          </w:tcPr>
          <w:p w14:paraId="641212E1"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 xml:space="preserve">Module: </w:t>
            </w:r>
          </w:p>
        </w:tc>
        <w:tc>
          <w:tcPr>
            <w:tcW w:w="623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46B3847" w14:textId="77777777" w:rsidR="00B41AD7" w:rsidRPr="00A66747" w:rsidRDefault="00B41AD7" w:rsidP="001802BC">
            <w:pPr>
              <w:spacing w:line="360" w:lineRule="auto"/>
              <w:rPr>
                <w:rFonts w:ascii="Arial" w:hAnsi="Arial" w:cs="Arial"/>
                <w:b/>
                <w:bCs/>
                <w:lang w:val="en-GB"/>
              </w:rPr>
            </w:pPr>
            <w:r w:rsidRPr="00A66747">
              <w:rPr>
                <w:rFonts w:ascii="Arial" w:hAnsi="Arial" w:cs="Arial"/>
                <w:b/>
                <w:bCs/>
              </w:rPr>
              <w:t>Strategic Management and Sustainability</w:t>
            </w:r>
          </w:p>
        </w:tc>
      </w:tr>
      <w:tr w:rsidR="00B41AD7" w:rsidRPr="00A66747" w14:paraId="7B0094EC" w14:textId="77777777" w:rsidTr="001802BC">
        <w:trPr>
          <w:trHeight w:val="714"/>
        </w:trPr>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40DE433"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 xml:space="preserve">Module code: </w:t>
            </w:r>
          </w:p>
        </w:tc>
        <w:tc>
          <w:tcPr>
            <w:tcW w:w="623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3F86326"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 xml:space="preserve"> </w:t>
            </w:r>
            <w:r w:rsidRPr="00A66747">
              <w:rPr>
                <w:rFonts w:ascii="Arial" w:hAnsi="Arial" w:cs="Arial"/>
                <w:b/>
                <w:bCs/>
              </w:rPr>
              <w:t>LCBB 6015</w:t>
            </w:r>
          </w:p>
        </w:tc>
      </w:tr>
      <w:tr w:rsidR="00B41AD7" w:rsidRPr="00A66747" w14:paraId="679F3F6E" w14:textId="77777777" w:rsidTr="001802BC">
        <w:trPr>
          <w:trHeight w:val="770"/>
        </w:trPr>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hideMark/>
          </w:tcPr>
          <w:p w14:paraId="2465552A"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 xml:space="preserve">Assignment Title: </w:t>
            </w:r>
          </w:p>
        </w:tc>
        <w:tc>
          <w:tcPr>
            <w:tcW w:w="269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E81007A"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Component 2: Strategic Plan – Academic Report</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hideMark/>
          </w:tcPr>
          <w:p w14:paraId="15FC2875"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 xml:space="preserve">Word count  </w:t>
            </w:r>
          </w:p>
          <w:p w14:paraId="05A8C5B5"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 xml:space="preserve"> </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6B562E2" w14:textId="77777777" w:rsidR="00B41AD7" w:rsidRPr="00A66747" w:rsidRDefault="00B41AD7" w:rsidP="001802BC">
            <w:pPr>
              <w:spacing w:line="360" w:lineRule="auto"/>
              <w:rPr>
                <w:rFonts w:ascii="Arial" w:hAnsi="Arial" w:cs="Arial"/>
                <w:b/>
                <w:bCs/>
                <w:lang w:val="en-GB"/>
              </w:rPr>
            </w:pPr>
            <w:r w:rsidRPr="00A66747">
              <w:rPr>
                <w:rFonts w:ascii="Arial" w:hAnsi="Arial" w:cs="Arial"/>
                <w:b/>
                <w:bCs/>
                <w:lang w:val="en-GB"/>
              </w:rPr>
              <w:t>2216</w:t>
            </w:r>
          </w:p>
        </w:tc>
      </w:tr>
    </w:tbl>
    <w:p w14:paraId="63515C2A" w14:textId="77777777" w:rsidR="00B41AD7" w:rsidRPr="00A66747" w:rsidRDefault="00B41AD7" w:rsidP="00B41AD7">
      <w:pPr>
        <w:spacing w:line="360" w:lineRule="auto"/>
        <w:rPr>
          <w:rFonts w:ascii="Arial" w:hAnsi="Arial" w:cs="Arial"/>
          <w:lang w:val="en-US"/>
        </w:rPr>
      </w:pPr>
    </w:p>
    <w:p w14:paraId="4349A51A" w14:textId="77777777" w:rsidR="00B41AD7" w:rsidRPr="00A66747" w:rsidRDefault="00B41AD7" w:rsidP="00B41AD7">
      <w:pPr>
        <w:spacing w:line="360" w:lineRule="auto"/>
        <w:rPr>
          <w:rFonts w:ascii="Arial" w:hAnsi="Arial" w:cs="Arial"/>
          <w:lang w:val="en-US"/>
        </w:rPr>
      </w:pPr>
    </w:p>
    <w:p w14:paraId="7B4FBB38"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br w:type="page"/>
      </w:r>
    </w:p>
    <w:p w14:paraId="3CCE5F4F" w14:textId="77777777" w:rsidR="00B41AD7" w:rsidRPr="00A66747" w:rsidRDefault="00B41AD7" w:rsidP="00B41AD7">
      <w:pPr>
        <w:spacing w:line="360" w:lineRule="auto"/>
        <w:rPr>
          <w:rFonts w:ascii="Arial" w:hAnsi="Arial" w:cs="Arial"/>
          <w:b/>
          <w:bCs/>
          <w:lang w:val="en-US"/>
        </w:rPr>
      </w:pPr>
    </w:p>
    <w:p w14:paraId="542B3F3A" w14:textId="77777777" w:rsidR="00B41AD7" w:rsidRPr="00A66747" w:rsidRDefault="00B41AD7" w:rsidP="00B41AD7">
      <w:pPr>
        <w:spacing w:line="360" w:lineRule="auto"/>
        <w:rPr>
          <w:rFonts w:ascii="Arial" w:hAnsi="Arial" w:cs="Arial"/>
          <w:b/>
          <w:bCs/>
          <w:lang w:val="en-US"/>
        </w:rPr>
      </w:pPr>
      <w:r w:rsidRPr="00A66747">
        <w:rPr>
          <w:rFonts w:ascii="Arial" w:hAnsi="Arial" w:cs="Arial"/>
          <w:b/>
          <w:bCs/>
          <w:lang w:val="en-US"/>
        </w:rPr>
        <w:t>Executive Summary</w:t>
      </w:r>
    </w:p>
    <w:p w14:paraId="1A2572A2"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This report suggests strategy plan for the BMW Group. It argues that its future competitiveness depends on strategic fit between internal capabilities and external environment being reshaped by electrification policy, software-defined vehicles, Chinese rivalry, tariff volatility and supply chain risk. UK government has reinstated 2030 phase-out of new pure internal-combustion cars  in the UK and reaffirmed 2035 zero emission end point while DRIVE35 aims to strengthen batteries, innovation and domestic supply chains. At same time, BMW faces intensifying competition from firms with faster software cycles and lower EV costs; BYD sold 2.26 million electric cars in 2025, ahead of Tesla’s 1.64 million. BMW’s response through Neue Klasse is therefore strategically necessary, not discretionary.</w:t>
      </w:r>
    </w:p>
    <w:p w14:paraId="29AB6D2C"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BMW remains financially robust, reporting €133.5 billion in revenue, €10.2 billion in EBT and 442,056 BEV sales in 2025, but its Automotive EBIT margin fell to 5.3%, showing that transformation is compressing returns faster than new value pools are being monetised. The report recommends an ambidextrous premium-transition strategy preserve selected hybrid and ICE products as  temporary cash bridge, but reallocate managerial attention and incremental investment decisively toward software-defined EVs, ecosystem partnerships and circular battery resilience. This is strongest strategic option because it aligns BMW’s distinctive assets with the forces most likely to determine future advantage.</w:t>
      </w:r>
      <w:r w:rsidRPr="00A66747">
        <w:rPr>
          <w:rFonts w:ascii="Arial" w:hAnsi="Arial" w:cs="Arial"/>
          <w:lang w:val="en-US"/>
        </w:rPr>
        <w:br w:type="page"/>
      </w:r>
    </w:p>
    <w:p w14:paraId="3087ECEE" w14:textId="77777777" w:rsidR="00B41AD7" w:rsidRPr="00A66747" w:rsidRDefault="00B41AD7" w:rsidP="00B41AD7">
      <w:pPr>
        <w:spacing w:line="360" w:lineRule="auto"/>
        <w:rPr>
          <w:rFonts w:ascii="Arial" w:hAnsi="Arial" w:cs="Arial"/>
          <w:lang w:val="en-US"/>
        </w:rPr>
      </w:pPr>
    </w:p>
    <w:p w14:paraId="699925EC" w14:textId="77777777" w:rsidR="00B41AD7" w:rsidRPr="00A66747" w:rsidRDefault="00B41AD7" w:rsidP="00B41AD7">
      <w:pPr>
        <w:spacing w:line="360" w:lineRule="auto"/>
        <w:rPr>
          <w:rFonts w:ascii="Arial" w:hAnsi="Arial" w:cs="Arial"/>
          <w:b/>
          <w:bCs/>
          <w:lang w:val="en-US"/>
        </w:rPr>
      </w:pPr>
      <w:r w:rsidRPr="00A66747">
        <w:rPr>
          <w:rFonts w:ascii="Arial" w:hAnsi="Arial" w:cs="Arial"/>
          <w:b/>
          <w:bCs/>
          <w:lang w:val="en-US"/>
        </w:rPr>
        <w:t>Table of contents</w:t>
      </w:r>
    </w:p>
    <w:p w14:paraId="3350C92B"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1. Introduction ………………………………………………………………………………………4</w:t>
      </w:r>
    </w:p>
    <w:p w14:paraId="3D4248D1"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2. Overview / Background of the Firm ……………………………………………………………4</w:t>
      </w:r>
    </w:p>
    <w:p w14:paraId="32F05DBB"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3. Strategic Intent …………………………………………………………………………………… 5</w:t>
      </w:r>
    </w:p>
    <w:p w14:paraId="4A48A6AD"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4. Current Performance ……………………………………………………………………………. 5</w:t>
      </w:r>
    </w:p>
    <w:p w14:paraId="602F0939"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5. Strategy Analysis ………………………………………………………………………………….6</w:t>
      </w:r>
    </w:p>
    <w:p w14:paraId="0781A966"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 xml:space="preserve">    5.1 External Environmental Audit (PESTLE &amp; Porter’s Five Forces) …………………….. 6</w:t>
      </w:r>
    </w:p>
    <w:p w14:paraId="144C71CB"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 xml:space="preserve">    5.2 Internal Environmental Audit (SWOT, VRIO, BCG, Value Chain) ……………………… 8</w:t>
      </w:r>
    </w:p>
    <w:p w14:paraId="53B63403"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6. Strategy Formulation …………………………………………………………………………. 12</w:t>
      </w:r>
    </w:p>
    <w:p w14:paraId="0FF64AEF"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7. Conclusion and Recommendation ……………………………………………………………13</w:t>
      </w:r>
    </w:p>
    <w:p w14:paraId="76A55F41" w14:textId="77777777" w:rsidR="00B41AD7" w:rsidRPr="00A66747" w:rsidRDefault="00B41AD7" w:rsidP="00B41AD7">
      <w:pPr>
        <w:spacing w:line="360" w:lineRule="auto"/>
        <w:rPr>
          <w:rFonts w:ascii="Arial" w:hAnsi="Arial" w:cs="Arial"/>
          <w:lang w:val="en-US"/>
        </w:rPr>
      </w:pPr>
      <w:r w:rsidRPr="00A66747">
        <w:rPr>
          <w:rFonts w:ascii="Arial" w:hAnsi="Arial" w:cs="Arial"/>
          <w:lang w:val="en-US"/>
        </w:rPr>
        <w:t>References ………………………………………………………………………………………… 15</w:t>
      </w:r>
    </w:p>
    <w:p w14:paraId="414435CD" w14:textId="77777777" w:rsidR="00B41AD7" w:rsidRPr="00A66747" w:rsidRDefault="00B41AD7" w:rsidP="00B41AD7">
      <w:pPr>
        <w:spacing w:line="360" w:lineRule="auto"/>
        <w:rPr>
          <w:rFonts w:ascii="Arial" w:hAnsi="Arial" w:cs="Arial"/>
          <w:lang w:val="en-US"/>
        </w:rPr>
      </w:pPr>
    </w:p>
    <w:p w14:paraId="70D0D69B" w14:textId="77777777" w:rsidR="00B41AD7" w:rsidRPr="00A66747" w:rsidRDefault="00B41AD7" w:rsidP="00B41AD7">
      <w:pPr>
        <w:spacing w:line="360" w:lineRule="auto"/>
        <w:rPr>
          <w:rFonts w:ascii="Arial" w:hAnsi="Arial" w:cs="Arial"/>
          <w:b/>
          <w:bCs/>
          <w:lang w:val="en-US"/>
        </w:rPr>
      </w:pPr>
      <w:r w:rsidRPr="00A66747">
        <w:rPr>
          <w:rFonts w:ascii="Arial" w:hAnsi="Arial" w:cs="Arial"/>
          <w:b/>
          <w:bCs/>
          <w:lang w:val="en-US"/>
        </w:rPr>
        <w:br w:type="page"/>
      </w:r>
    </w:p>
    <w:p w14:paraId="16C5F00C" w14:textId="77777777" w:rsidR="00B41AD7" w:rsidRPr="00A66747" w:rsidRDefault="00B41AD7" w:rsidP="00B41AD7">
      <w:pPr>
        <w:spacing w:line="360" w:lineRule="auto"/>
        <w:rPr>
          <w:rFonts w:ascii="Arial" w:hAnsi="Arial" w:cs="Arial"/>
          <w:b/>
          <w:bCs/>
          <w:lang w:val="en-US"/>
        </w:rPr>
      </w:pPr>
    </w:p>
    <w:p w14:paraId="4296BA07" w14:textId="77777777" w:rsidR="00B41AD7" w:rsidRPr="00A66747" w:rsidRDefault="00B41AD7" w:rsidP="00B41AD7">
      <w:pPr>
        <w:spacing w:line="360" w:lineRule="auto"/>
        <w:rPr>
          <w:rFonts w:ascii="Arial" w:hAnsi="Arial" w:cs="Arial"/>
          <w:b/>
          <w:bCs/>
          <w:lang w:val="en-US"/>
        </w:rPr>
      </w:pPr>
      <w:r w:rsidRPr="00A66747">
        <w:rPr>
          <w:rFonts w:ascii="Arial" w:hAnsi="Arial" w:cs="Arial"/>
          <w:b/>
          <w:bCs/>
          <w:lang w:val="en-US"/>
        </w:rPr>
        <w:t>1. Introduction</w:t>
      </w:r>
    </w:p>
    <w:p w14:paraId="2B6B64D4" w14:textId="77777777" w:rsidR="00B41AD7" w:rsidRPr="00A66747" w:rsidRDefault="00B41AD7" w:rsidP="00B41AD7">
      <w:pPr>
        <w:spacing w:line="360" w:lineRule="auto"/>
        <w:rPr>
          <w:rFonts w:ascii="Arial" w:hAnsi="Arial" w:cs="Arial"/>
        </w:rPr>
      </w:pPr>
      <w:r w:rsidRPr="00A66747">
        <w:rPr>
          <w:rFonts w:ascii="Arial" w:hAnsi="Arial" w:cs="Arial"/>
        </w:rPr>
        <w:t>Strategic management concerns how organisations create and renew advantage by aligning resources, capabilities and choices with external conditions. In the automotive sector that alignment has become unusually difficult because several discontinuities now operate at once: regulation, electrification, software intensity, geopolitical fragmentation and changing consumer preferences. According to dynamic capabilities theory, strategy is now an issue of constant detecting, seizing, and reconfiguring (Teece, 2007; Werner et al., 2022). Traditional strengths such as engineering quality and brand heritage remain important, but they are no longer sufficient when value is shifting toward software, ecosystems and lifecycle services.</w:t>
      </w:r>
    </w:p>
    <w:p w14:paraId="5207DB07" w14:textId="77777777" w:rsidR="00B41AD7" w:rsidRPr="00A66747" w:rsidRDefault="00B41AD7" w:rsidP="00B41AD7">
      <w:pPr>
        <w:spacing w:line="360" w:lineRule="auto"/>
        <w:rPr>
          <w:rFonts w:ascii="Arial" w:hAnsi="Arial" w:cs="Arial"/>
        </w:rPr>
      </w:pPr>
      <w:r w:rsidRPr="00A66747">
        <w:rPr>
          <w:rFonts w:ascii="Arial" w:hAnsi="Arial" w:cs="Arial"/>
        </w:rPr>
        <w:t xml:space="preserve">The purpose of this report is to formulate a strategy plan for BMW Group and to examine, critically rather than descriptively, the relationship between its external context and internal context. The report covers company overview, strategic intent, current performance, environmental analysis, strategy formulation and conclusion. Its main point is that BMW needs to switch from having a broad strategic flexibility to selective strategic concentration. This is based on idea that external turbulence does not always destroy incumbent advantage, but it impact companies that are fail to rearrange their resources quickly and coherently enough (Foss, Schmidt and Teece, 2023; Rachinger and Müller, 2024). </w:t>
      </w:r>
    </w:p>
    <w:p w14:paraId="126A765C" w14:textId="77777777" w:rsidR="00B41AD7" w:rsidRPr="00A66747" w:rsidRDefault="00B41AD7" w:rsidP="00B41AD7">
      <w:pPr>
        <w:spacing w:line="360" w:lineRule="auto"/>
        <w:rPr>
          <w:rFonts w:ascii="Arial" w:hAnsi="Arial" w:cs="Arial"/>
        </w:rPr>
      </w:pPr>
    </w:p>
    <w:p w14:paraId="194B6098" w14:textId="77777777" w:rsidR="00B41AD7" w:rsidRPr="00A66747" w:rsidRDefault="00B41AD7" w:rsidP="00B41AD7">
      <w:pPr>
        <w:spacing w:line="360" w:lineRule="auto"/>
        <w:rPr>
          <w:rFonts w:ascii="Arial" w:hAnsi="Arial" w:cs="Arial"/>
          <w:b/>
          <w:bCs/>
        </w:rPr>
      </w:pPr>
      <w:r w:rsidRPr="00A66747">
        <w:rPr>
          <w:rFonts w:ascii="Arial" w:hAnsi="Arial" w:cs="Arial"/>
          <w:b/>
          <w:bCs/>
        </w:rPr>
        <w:t>2. Overview / Background of Firm</w:t>
      </w:r>
    </w:p>
    <w:p w14:paraId="7BC57165" w14:textId="77777777" w:rsidR="00B41AD7" w:rsidRPr="00A66747" w:rsidRDefault="00B41AD7" w:rsidP="00B41AD7">
      <w:pPr>
        <w:spacing w:line="360" w:lineRule="auto"/>
        <w:rPr>
          <w:rFonts w:ascii="Arial" w:hAnsi="Arial" w:cs="Arial"/>
        </w:rPr>
      </w:pPr>
      <w:r w:rsidRPr="00A66747">
        <w:rPr>
          <w:rFonts w:ascii="Arial" w:hAnsi="Arial" w:cs="Arial"/>
        </w:rPr>
        <w:t>BMW Group is German multinational headquartered in Munich and operating in premium automotive sector. Its portfolio includes BMW, MINI, Rolls-Royce and BMW Motorrad also financial and mobility services that extend value capture beyond vehicle manufacturing. The BMW brand targets upper-mainstream premium segment, MINI competes in premium compact and small-EV space, and Rolls-Royce occupies ultra-luxury segment (each facing differentiated competitive dynamics that collectively inform nuanced portfolio strategy). The company sold 2.46 million premium vehicles in 2025 and employed 154540 people and serves around 140 markets through broad production and distribution footprint (BMW Group, 2026a; BMW Group PressClub, 2026).</w:t>
      </w:r>
    </w:p>
    <w:p w14:paraId="609C2926" w14:textId="77777777" w:rsidR="00B41AD7" w:rsidRPr="00A66747" w:rsidRDefault="00B41AD7" w:rsidP="00B41AD7">
      <w:pPr>
        <w:spacing w:line="360" w:lineRule="auto"/>
        <w:rPr>
          <w:rFonts w:ascii="Arial" w:hAnsi="Arial" w:cs="Arial"/>
        </w:rPr>
      </w:pPr>
      <w:r w:rsidRPr="00A66747">
        <w:rPr>
          <w:rFonts w:ascii="Arial" w:hAnsi="Arial" w:cs="Arial"/>
        </w:rPr>
        <w:t xml:space="preserve">BMW is analytically useful because it sits at centre of multiple strategic tensions. It is a legacy incumbent with strong intangible assets, yet it competes in markets where entrants and Chinese challengers increasingly define pace of innovation. It also embodies shift from product-centred competition to business-model competition. Kukkamalla, Bikfalvi and Arbusa (2020) show that BMW’s transformation has involved new mechanisms of value creation, </w:t>
      </w:r>
      <w:r w:rsidRPr="00A66747">
        <w:rPr>
          <w:rFonts w:ascii="Arial" w:hAnsi="Arial" w:cs="Arial"/>
        </w:rPr>
        <w:lastRenderedPageBreak/>
        <w:t>value delivery and value capture, especially through digital services and customer platforms. BMW’s future therefore depends on orchestrating a premium mobility ecosystem more effectively than rivals.</w:t>
      </w:r>
    </w:p>
    <w:p w14:paraId="61E38193" w14:textId="77777777" w:rsidR="00B41AD7" w:rsidRPr="00A66747" w:rsidRDefault="00B41AD7" w:rsidP="00B41AD7">
      <w:pPr>
        <w:spacing w:line="360" w:lineRule="auto"/>
        <w:rPr>
          <w:rFonts w:ascii="Arial" w:hAnsi="Arial" w:cs="Arial"/>
        </w:rPr>
      </w:pPr>
    </w:p>
    <w:p w14:paraId="6FEEDE62" w14:textId="77777777" w:rsidR="00B41AD7" w:rsidRPr="00A66747" w:rsidRDefault="00B41AD7" w:rsidP="00B41AD7">
      <w:pPr>
        <w:spacing w:line="360" w:lineRule="auto"/>
        <w:rPr>
          <w:rFonts w:ascii="Arial" w:hAnsi="Arial" w:cs="Arial"/>
          <w:b/>
          <w:bCs/>
        </w:rPr>
      </w:pPr>
      <w:r w:rsidRPr="00A66747">
        <w:rPr>
          <w:rFonts w:ascii="Arial" w:hAnsi="Arial" w:cs="Arial"/>
          <w:b/>
          <w:bCs/>
        </w:rPr>
        <w:t>3. Strategic Intent</w:t>
      </w:r>
    </w:p>
    <w:p w14:paraId="39D64AB7" w14:textId="77777777" w:rsidR="00B41AD7" w:rsidRPr="00A66747" w:rsidRDefault="00B41AD7" w:rsidP="00B41AD7">
      <w:pPr>
        <w:spacing w:line="360" w:lineRule="auto"/>
        <w:rPr>
          <w:rFonts w:ascii="Arial" w:hAnsi="Arial" w:cs="Arial"/>
        </w:rPr>
      </w:pPr>
      <w:r w:rsidRPr="00A66747">
        <w:rPr>
          <w:rFonts w:ascii="Arial" w:hAnsi="Arial" w:cs="Arial"/>
        </w:rPr>
        <w:t>BMW’s strategic intent is to preserve profitable premium leadership while transitioning to more digital, electrified and sustainable business model. This intent is explicit in its formal targets: Group EBT margin above 10%, Automotive EBIT margin of 8–10 per cent, Automotive RoCE of at least 18% and more than 50% all-electric deliveries by 2030 (BMW Group, 2026b). The company also targets substantial lifecycle-emissions reduction and deeper circularity in battery materials and production systems. This links profitability, decarbonisation and technological repositioning.</w:t>
      </w:r>
    </w:p>
    <w:p w14:paraId="6CFD24B8" w14:textId="77777777" w:rsidR="00B41AD7" w:rsidRPr="00A66747" w:rsidRDefault="00B41AD7" w:rsidP="00B41AD7">
      <w:pPr>
        <w:spacing w:line="360" w:lineRule="auto"/>
        <w:rPr>
          <w:rFonts w:ascii="Arial" w:hAnsi="Arial" w:cs="Arial"/>
        </w:rPr>
      </w:pPr>
      <w:r w:rsidRPr="00A66747">
        <w:rPr>
          <w:rFonts w:ascii="Arial" w:hAnsi="Arial" w:cs="Arial"/>
        </w:rPr>
        <w:t xml:space="preserve">However, strategic intent should be judged not only by ambition, but by internal consistency. BMW’s commitment to openness across drivetrains has near-term logic because consumer adoption remains uneven, especially in Europe and UK. Yet technology neutrality may cease to be strength if it dilutes software focus and prolongs complexity. Dynamic capabilities theory implies that decisive capability is not maintaining every option, but reconfiguring resource base fast enough to match environmental change (Teece, 2007; Foss, Schmidt and Teece, 2023). BMW’s intent is therefore credible, but only if prioritisation becomes sharper than rhetoric of flexibility suggests. </w:t>
      </w:r>
    </w:p>
    <w:p w14:paraId="4676A9AB" w14:textId="77777777" w:rsidR="00B41AD7" w:rsidRPr="00A66747" w:rsidRDefault="00B41AD7" w:rsidP="00B41AD7">
      <w:pPr>
        <w:spacing w:line="360" w:lineRule="auto"/>
        <w:rPr>
          <w:rFonts w:ascii="Arial" w:hAnsi="Arial" w:cs="Arial"/>
        </w:rPr>
      </w:pPr>
    </w:p>
    <w:p w14:paraId="5157E4A7" w14:textId="77777777" w:rsidR="00B41AD7" w:rsidRPr="00A66747" w:rsidRDefault="00B41AD7" w:rsidP="00B41AD7">
      <w:pPr>
        <w:spacing w:line="360" w:lineRule="auto"/>
        <w:rPr>
          <w:rFonts w:ascii="Arial" w:hAnsi="Arial" w:cs="Arial"/>
          <w:b/>
          <w:bCs/>
        </w:rPr>
      </w:pPr>
      <w:r w:rsidRPr="00A66747">
        <w:rPr>
          <w:rFonts w:ascii="Arial" w:hAnsi="Arial" w:cs="Arial"/>
          <w:b/>
          <w:bCs/>
        </w:rPr>
        <w:t>4. Current Performance</w:t>
      </w:r>
    </w:p>
    <w:p w14:paraId="33EBCB36" w14:textId="77777777" w:rsidR="00B41AD7" w:rsidRPr="00A66747" w:rsidRDefault="00B41AD7" w:rsidP="00B41AD7">
      <w:pPr>
        <w:spacing w:line="360" w:lineRule="auto"/>
        <w:rPr>
          <w:rFonts w:ascii="Arial" w:hAnsi="Arial" w:cs="Arial"/>
        </w:rPr>
      </w:pPr>
      <w:r w:rsidRPr="00A66747">
        <w:rPr>
          <w:rFonts w:ascii="Arial" w:hAnsi="Arial" w:cs="Arial"/>
        </w:rPr>
        <w:t>BMW’s 2025 results show both resilience and warning signs. Group reported €133,453 million in revenue, €10,236 million in earnings before tax and €7,451 million in net profit, while total deliveries reached 2,463,681 vehicles (BMW Group, 2026b; BMW Group PressClub, 2026). Battery-electric vehicle sales rose to 442,056 units, or 17.9% of total sales, and electrified sales exceeded 642,000 units. These results show that BMW retains sufficient scale and financial strength to keep investing heavily in transformation.</w:t>
      </w:r>
    </w:p>
    <w:p w14:paraId="77DFA9B6" w14:textId="77777777" w:rsidR="00B41AD7" w:rsidRPr="00A66747" w:rsidRDefault="00B41AD7" w:rsidP="00B41AD7">
      <w:pPr>
        <w:spacing w:line="360" w:lineRule="auto"/>
        <w:rPr>
          <w:rFonts w:ascii="Arial" w:hAnsi="Arial" w:cs="Arial"/>
        </w:rPr>
      </w:pPr>
      <w:r w:rsidRPr="00A66747">
        <w:rPr>
          <w:rFonts w:ascii="Arial" w:hAnsi="Arial" w:cs="Arial"/>
        </w:rPr>
        <w:t xml:space="preserve">Yet more strategically important indicator is profitability. Automotive EBIT fell to €6,259 million and Automotive EBIT margin to 5.3%, well below BMW’s long-run target corridor of 8–10%. BMW linked part of decline to tariffs, and Financial Times reported expected €1 billion hit from global tariff war (Financial Times, 2025a; BMW Group PressClub, 2026). More importantly, margin compression suggests that BMW’s premium position no longer shields it </w:t>
      </w:r>
      <w:r w:rsidRPr="00A66747">
        <w:rPr>
          <w:rFonts w:ascii="Arial" w:hAnsi="Arial" w:cs="Arial"/>
        </w:rPr>
        <w:lastRenderedPageBreak/>
        <w:t>from structural change. Premium pricing remains valuable, but it is under pressure from high EV investment costs, Chinese competition and migration of value toward software and services. To quantify challenge: restoring Automotive EBIT to mid-point of 9% target corridor from current 5.3% would require approximately €4.7 billion in additional EBIT on roughly flat revenue base which equivalent to fully monetising new software and service revenues rather than treating them as supplementary income.</w:t>
      </w:r>
    </w:p>
    <w:p w14:paraId="5A7E95D0" w14:textId="77777777" w:rsidR="00B41AD7" w:rsidRPr="00A66747" w:rsidRDefault="00B41AD7" w:rsidP="00B41AD7">
      <w:pPr>
        <w:spacing w:line="360" w:lineRule="auto"/>
        <w:rPr>
          <w:rFonts w:ascii="Arial" w:hAnsi="Arial" w:cs="Arial"/>
        </w:rPr>
      </w:pPr>
      <w:r w:rsidRPr="00A66747">
        <w:rPr>
          <w:rFonts w:ascii="Arial" w:hAnsi="Arial" w:cs="Arial"/>
        </w:rPr>
        <w:t>Regional performance further sharpens diagnosis. Growth in Europe and Americas offset 12.5% decline in China, but that offset should not be misread as strategic comfort (BMW Group PressClub, 2026). China matters disproportionately because it is both largest EV market and benchmark setter for digital features, battery cost and release speed. Weakness there is therefore not simply cyclical; it raises possibility that BMW’s response speed is lagging behind external rate of change.</w:t>
      </w:r>
    </w:p>
    <w:p w14:paraId="45463F94" w14:textId="77777777" w:rsidR="00B41AD7" w:rsidRPr="00A66747" w:rsidRDefault="00B41AD7" w:rsidP="00B41AD7">
      <w:pPr>
        <w:spacing w:line="360" w:lineRule="auto"/>
        <w:rPr>
          <w:rFonts w:ascii="Arial" w:hAnsi="Arial" w:cs="Arial"/>
        </w:rPr>
      </w:pPr>
    </w:p>
    <w:p w14:paraId="3301E3A3" w14:textId="77777777" w:rsidR="00B41AD7" w:rsidRPr="00A66747" w:rsidRDefault="00B41AD7" w:rsidP="00B41AD7">
      <w:pPr>
        <w:spacing w:line="360" w:lineRule="auto"/>
        <w:rPr>
          <w:rFonts w:ascii="Arial" w:hAnsi="Arial" w:cs="Arial"/>
          <w:b/>
          <w:bCs/>
        </w:rPr>
      </w:pPr>
      <w:r w:rsidRPr="00A66747">
        <w:rPr>
          <w:rFonts w:ascii="Arial" w:hAnsi="Arial" w:cs="Arial"/>
          <w:b/>
          <w:bCs/>
        </w:rPr>
        <w:t>5. Strategy Analysis</w:t>
      </w:r>
    </w:p>
    <w:p w14:paraId="6A86BA01" w14:textId="77777777" w:rsidR="00B41AD7" w:rsidRPr="00A66747" w:rsidRDefault="00B41AD7" w:rsidP="00B41AD7">
      <w:pPr>
        <w:spacing w:line="360" w:lineRule="auto"/>
        <w:rPr>
          <w:rFonts w:ascii="Arial" w:hAnsi="Arial" w:cs="Arial"/>
          <w:b/>
          <w:bCs/>
        </w:rPr>
      </w:pPr>
      <w:r w:rsidRPr="00A66747">
        <w:rPr>
          <w:rFonts w:ascii="Arial" w:hAnsi="Arial" w:cs="Arial"/>
          <w:b/>
          <w:bCs/>
        </w:rPr>
        <w:t>5.1 External Environmental Audit</w:t>
      </w:r>
    </w:p>
    <w:p w14:paraId="4D9AB7BE" w14:textId="77777777" w:rsidR="00B41AD7" w:rsidRPr="00A66747" w:rsidRDefault="00B41AD7" w:rsidP="00B41AD7">
      <w:pPr>
        <w:spacing w:line="360" w:lineRule="auto"/>
        <w:rPr>
          <w:rFonts w:ascii="Arial" w:hAnsi="Arial" w:cs="Arial"/>
        </w:rPr>
      </w:pPr>
      <w:r w:rsidRPr="00A66747">
        <w:rPr>
          <w:rFonts w:ascii="Arial" w:hAnsi="Arial" w:cs="Arial"/>
        </w:rPr>
        <w:t>BMW’s external context is dominated first by policy. The UK government has confirmed that from 2030 new cars powered solely by internal-combustion engines will no longer be sold, and that all new cars and vans must be zero-emission by 2035, while retaining wider ZEV architecture to provide market certainty (Department for Transport, 2025). The DRIVE35 programme further supports zero-emission manufacturing, batteries and strategically important automotive technologies (Department for Business and Trade, 2025). For BMW, regulation is actively reshapes technology priorities, product timing and regional investment logic.</w:t>
      </w:r>
    </w:p>
    <w:p w14:paraId="4387C5C5" w14:textId="77777777" w:rsidR="00B41AD7" w:rsidRPr="00A66747" w:rsidRDefault="00B41AD7" w:rsidP="00B41AD7">
      <w:pPr>
        <w:spacing w:line="360" w:lineRule="auto"/>
        <w:rPr>
          <w:rFonts w:ascii="Arial" w:hAnsi="Arial" w:cs="Arial"/>
        </w:rPr>
      </w:pPr>
      <w:r w:rsidRPr="00A66747">
        <w:rPr>
          <w:rFonts w:ascii="Arial" w:hAnsi="Arial" w:cs="Arial"/>
          <w:b/>
          <w:bCs/>
        </w:rPr>
        <w:t>Table 1. PESTLE Analysis of BMW Group</w:t>
      </w:r>
    </w:p>
    <w:p w14:paraId="4ABAF6ED" w14:textId="77777777" w:rsidR="00B41AD7" w:rsidRPr="00A66747" w:rsidRDefault="00B41AD7" w:rsidP="00B41AD7">
      <w:pPr>
        <w:spacing w:line="360" w:lineRule="auto"/>
        <w:rPr>
          <w:rFonts w:ascii="Arial" w:hAnsi="Arial" w:cs="Arial"/>
        </w:rPr>
      </w:pPr>
      <w:r w:rsidRPr="00A66747">
        <w:rPr>
          <w:rFonts w:ascii="Arial" w:hAnsi="Arial" w:cs="Arial"/>
          <w:noProof/>
        </w:rPr>
        <w:lastRenderedPageBreak/>
        <w:drawing>
          <wp:inline distT="0" distB="0" distL="0" distR="0" wp14:anchorId="784FF1DA" wp14:editId="2DFE2EBC">
            <wp:extent cx="5731510" cy="5903595"/>
            <wp:effectExtent l="0" t="0" r="2540" b="0"/>
            <wp:docPr id="1809753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903595"/>
                    </a:xfrm>
                    <a:prstGeom prst="rect">
                      <a:avLst/>
                    </a:prstGeom>
                    <a:noFill/>
                    <a:ln>
                      <a:noFill/>
                    </a:ln>
                  </pic:spPr>
                </pic:pic>
              </a:graphicData>
            </a:graphic>
          </wp:inline>
        </w:drawing>
      </w:r>
      <w:r w:rsidRPr="00A66747">
        <w:rPr>
          <w:rFonts w:ascii="Arial" w:hAnsi="Arial" w:cs="Arial"/>
        </w:rPr>
        <w:t xml:space="preserve"> Beyond regulation, rivalry is intense and increasingly asymmetric. Statista (2026) reports that BYD sold 2.26 million electric cars in 2025, ahead of Tesla’s 1.64 million, underscore growing scale and cost power of Chinese EV manufacturers. Porter’s Five Forces therefore suggest high rivalry, strong supplier power in batteries and semiconductors and rising buyer power as customers compare software features, charging convenience and total ownership value rather than heritage alone (Porter, 1996). McKinsey (2025) argues that software and E/E architecture are become core enablers of automotive value creation, while Financial Times describes BMW’s Neue Klasse ‘superbrain’ architecture as direct response to Chinese and Tesla competition (Financial Times, 2025b). Firms that remain mechanically excellent but digitally slow risk being repositioned as followers.</w:t>
      </w:r>
    </w:p>
    <w:p w14:paraId="019FAC35" w14:textId="77777777" w:rsidR="00B41AD7" w:rsidRPr="00A66747" w:rsidRDefault="00B41AD7" w:rsidP="00B41AD7">
      <w:pPr>
        <w:spacing w:line="360" w:lineRule="auto"/>
        <w:rPr>
          <w:rFonts w:ascii="Arial" w:hAnsi="Arial" w:cs="Arial"/>
        </w:rPr>
      </w:pPr>
    </w:p>
    <w:p w14:paraId="659E1304" w14:textId="77777777" w:rsidR="00B41AD7" w:rsidRPr="00A66747" w:rsidRDefault="00B41AD7" w:rsidP="00B41AD7">
      <w:pPr>
        <w:spacing w:line="360" w:lineRule="auto"/>
        <w:rPr>
          <w:rFonts w:ascii="Arial" w:hAnsi="Arial" w:cs="Arial"/>
        </w:rPr>
      </w:pPr>
      <w:r w:rsidRPr="00A66747">
        <w:rPr>
          <w:rFonts w:ascii="Arial" w:hAnsi="Arial" w:cs="Arial"/>
          <w:b/>
          <w:bCs/>
        </w:rPr>
        <w:lastRenderedPageBreak/>
        <w:t>Table 2. Porter’s Five Forces Analysis of BMW Group</w:t>
      </w:r>
    </w:p>
    <w:p w14:paraId="7C4C6F45" w14:textId="77777777" w:rsidR="00B41AD7" w:rsidRPr="00A66747" w:rsidRDefault="00B41AD7" w:rsidP="00B41AD7">
      <w:pPr>
        <w:spacing w:line="360" w:lineRule="auto"/>
        <w:rPr>
          <w:rFonts w:ascii="Arial" w:hAnsi="Arial" w:cs="Arial"/>
        </w:rPr>
      </w:pPr>
      <w:r w:rsidRPr="00A66747">
        <w:rPr>
          <w:rFonts w:ascii="Arial" w:hAnsi="Arial" w:cs="Arial"/>
          <w:noProof/>
        </w:rPr>
        <w:drawing>
          <wp:inline distT="0" distB="0" distL="0" distR="0" wp14:anchorId="0B53A390" wp14:editId="22B686CF">
            <wp:extent cx="5731510" cy="4760595"/>
            <wp:effectExtent l="0" t="0" r="2540" b="0"/>
            <wp:docPr id="19386073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760595"/>
                    </a:xfrm>
                    <a:prstGeom prst="rect">
                      <a:avLst/>
                    </a:prstGeom>
                    <a:noFill/>
                    <a:ln>
                      <a:noFill/>
                    </a:ln>
                  </pic:spPr>
                </pic:pic>
              </a:graphicData>
            </a:graphic>
          </wp:inline>
        </w:drawing>
      </w:r>
      <w:r w:rsidRPr="00A66747">
        <w:rPr>
          <w:rFonts w:ascii="Arial" w:hAnsi="Arial" w:cs="Arial"/>
        </w:rPr>
        <w:t xml:space="preserve"> Social demand patterns complicate matters further. Deloitte UK (2026) found that only 11% of UK consumers would choose fully electric vehicle next, although 49% would choose some form of electrified vehicle. The environment is therefore contradictory: regulation pushes toward BEVs, but customer adoption remains uneven and price-sensitive. That tension vindicates BMW’s reluctance to abandon hybrids too quickly, while simultaneously warning that long-term hesitation on software-defined EVs would be costly.  </w:t>
      </w:r>
    </w:p>
    <w:p w14:paraId="1B55A82C" w14:textId="77777777" w:rsidR="00B41AD7" w:rsidRPr="00A66747" w:rsidRDefault="00B41AD7" w:rsidP="00B41AD7">
      <w:pPr>
        <w:spacing w:line="360" w:lineRule="auto"/>
        <w:rPr>
          <w:rFonts w:ascii="Arial" w:hAnsi="Arial" w:cs="Arial"/>
        </w:rPr>
      </w:pPr>
    </w:p>
    <w:p w14:paraId="40216E6F" w14:textId="77777777" w:rsidR="00B41AD7" w:rsidRPr="00A66747" w:rsidRDefault="00B41AD7" w:rsidP="00B41AD7">
      <w:pPr>
        <w:spacing w:line="360" w:lineRule="auto"/>
        <w:rPr>
          <w:rFonts w:ascii="Arial" w:hAnsi="Arial" w:cs="Arial"/>
          <w:b/>
          <w:bCs/>
        </w:rPr>
      </w:pPr>
      <w:r w:rsidRPr="00A66747">
        <w:rPr>
          <w:rFonts w:ascii="Arial" w:hAnsi="Arial" w:cs="Arial"/>
          <w:b/>
          <w:bCs/>
        </w:rPr>
        <w:t>5.2 Internal Environmental Audit</w:t>
      </w:r>
    </w:p>
    <w:p w14:paraId="5D9678FB" w14:textId="77777777" w:rsidR="00B41AD7" w:rsidRPr="00A66747" w:rsidRDefault="00B41AD7" w:rsidP="00B41AD7">
      <w:pPr>
        <w:spacing w:line="360" w:lineRule="auto"/>
        <w:rPr>
          <w:rFonts w:ascii="Arial" w:hAnsi="Arial" w:cs="Arial"/>
        </w:rPr>
      </w:pPr>
      <w:r w:rsidRPr="00A66747">
        <w:rPr>
          <w:rFonts w:ascii="Arial" w:hAnsi="Arial" w:cs="Arial"/>
        </w:rPr>
        <w:t xml:space="preserve">BMW internal context remains powerful. From resource-based perspective, its premium brand equity, worldwide manufacturing presence, financial-services capabilities, and technical repute are hard to replicate. These resources boost pricing power, customer trust, and geographic reach, while financial services increase lifetime value capture and switching costs (BMW Group, 2026a). BMW can manufacture and sell several drivetrains in different regulatory and demand contexts due to manufacturing flexibility.  </w:t>
      </w:r>
    </w:p>
    <w:p w14:paraId="70AC1B29" w14:textId="77777777" w:rsidR="00B41AD7" w:rsidRPr="00A66747" w:rsidRDefault="00B41AD7" w:rsidP="00B41AD7">
      <w:pPr>
        <w:spacing w:line="360" w:lineRule="auto"/>
        <w:rPr>
          <w:rFonts w:ascii="Arial" w:hAnsi="Arial" w:cs="Arial"/>
        </w:rPr>
      </w:pPr>
      <w:r w:rsidRPr="00A66747">
        <w:rPr>
          <w:rFonts w:ascii="Arial" w:hAnsi="Arial" w:cs="Arial"/>
          <w:b/>
          <w:bCs/>
        </w:rPr>
        <w:lastRenderedPageBreak/>
        <w:t>Table 3. SWOT Analysis of BMW Group</w:t>
      </w:r>
    </w:p>
    <w:p w14:paraId="159AD5E7" w14:textId="77777777" w:rsidR="00B41AD7" w:rsidRPr="00A66747" w:rsidRDefault="00B41AD7" w:rsidP="00B41AD7">
      <w:pPr>
        <w:spacing w:line="360" w:lineRule="auto"/>
        <w:rPr>
          <w:rFonts w:ascii="Arial" w:hAnsi="Arial" w:cs="Arial"/>
        </w:rPr>
      </w:pPr>
      <w:r w:rsidRPr="00A66747">
        <w:rPr>
          <w:rFonts w:ascii="Arial" w:hAnsi="Arial" w:cs="Arial"/>
          <w:noProof/>
        </w:rPr>
        <w:drawing>
          <wp:inline distT="0" distB="0" distL="0" distR="0" wp14:anchorId="4F5E6F37" wp14:editId="74DD7DC6">
            <wp:extent cx="5731510" cy="6943060"/>
            <wp:effectExtent l="0" t="0" r="2540" b="0"/>
            <wp:docPr id="9899711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a:extLst>
                        <a:ext uri="{28A0092B-C50C-407E-A947-70E740481C1C}">
                          <a14:useLocalDpi xmlns:a14="http://schemas.microsoft.com/office/drawing/2010/main" val="0"/>
                        </a:ext>
                      </a:extLst>
                    </a:blip>
                    <a:srcRect b="5219"/>
                    <a:stretch>
                      <a:fillRect/>
                    </a:stretch>
                  </pic:blipFill>
                  <pic:spPr bwMode="auto">
                    <a:xfrm>
                      <a:off x="0" y="0"/>
                      <a:ext cx="5731510" cy="6943060"/>
                    </a:xfrm>
                    <a:prstGeom prst="rect">
                      <a:avLst/>
                    </a:prstGeom>
                    <a:noFill/>
                    <a:ln>
                      <a:noFill/>
                    </a:ln>
                    <a:extLst>
                      <a:ext uri="{53640926-AAD7-44D8-BBD7-CCE9431645EC}">
                        <a14:shadowObscured xmlns:a14="http://schemas.microsoft.com/office/drawing/2010/main"/>
                      </a:ext>
                    </a:extLst>
                  </pic:spPr>
                </pic:pic>
              </a:graphicData>
            </a:graphic>
          </wp:inline>
        </w:drawing>
      </w:r>
      <w:r w:rsidRPr="00A66747">
        <w:rPr>
          <w:rFonts w:ascii="Arial" w:hAnsi="Arial" w:cs="Arial"/>
        </w:rPr>
        <w:t>The internal audit also reveals deeper tension between capability and complexity. A VRIO lens (drawing on Barney’s (1991) resource-based framework) suggests that BMW’s strongest sustained advantages remain brand, distribution and lifecycle service integration; by contrast, software-defined vehicle capability and circular battery systems are promising but not yet fully established sources of competitive advantage. This is important because high-performing competitors could misunderstand existing resources with future capabilities.</w:t>
      </w:r>
    </w:p>
    <w:p w14:paraId="700CC8DF" w14:textId="77777777" w:rsidR="00B41AD7" w:rsidRPr="00A66747" w:rsidRDefault="00B41AD7" w:rsidP="00B41AD7">
      <w:pPr>
        <w:spacing w:line="360" w:lineRule="auto"/>
        <w:rPr>
          <w:rFonts w:ascii="Arial" w:hAnsi="Arial" w:cs="Arial"/>
        </w:rPr>
      </w:pPr>
    </w:p>
    <w:p w14:paraId="3582F791" w14:textId="77777777" w:rsidR="00B41AD7" w:rsidRPr="00A66747" w:rsidRDefault="00B41AD7" w:rsidP="00B41AD7">
      <w:pPr>
        <w:spacing w:line="360" w:lineRule="auto"/>
        <w:rPr>
          <w:rFonts w:ascii="Arial" w:hAnsi="Arial" w:cs="Arial"/>
        </w:rPr>
      </w:pPr>
      <w:r w:rsidRPr="00A66747">
        <w:rPr>
          <w:rFonts w:ascii="Arial" w:hAnsi="Arial" w:cs="Arial"/>
          <w:b/>
          <w:bCs/>
        </w:rPr>
        <w:t>Table 4. VRIO Analysis of BMW Group (Barney, 1991)</w:t>
      </w:r>
    </w:p>
    <w:p w14:paraId="7C604685" w14:textId="77777777" w:rsidR="00B41AD7" w:rsidRPr="00A66747" w:rsidRDefault="00B41AD7" w:rsidP="00B41AD7">
      <w:pPr>
        <w:spacing w:line="360" w:lineRule="auto"/>
        <w:rPr>
          <w:rFonts w:ascii="Arial" w:hAnsi="Arial" w:cs="Arial"/>
        </w:rPr>
      </w:pPr>
      <w:r w:rsidRPr="00A66747">
        <w:rPr>
          <w:rFonts w:ascii="Arial" w:hAnsi="Arial" w:cs="Arial"/>
          <w:noProof/>
        </w:rPr>
        <w:drawing>
          <wp:inline distT="0" distB="0" distL="0" distR="0" wp14:anchorId="702F0B3D" wp14:editId="57CF1C2B">
            <wp:extent cx="5731510" cy="3108960"/>
            <wp:effectExtent l="0" t="0" r="2540" b="0"/>
            <wp:docPr id="811614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614691" name=""/>
                    <pic:cNvPicPr/>
                  </pic:nvPicPr>
                  <pic:blipFill>
                    <a:blip r:embed="rId9"/>
                    <a:stretch>
                      <a:fillRect/>
                    </a:stretch>
                  </pic:blipFill>
                  <pic:spPr>
                    <a:xfrm>
                      <a:off x="0" y="0"/>
                      <a:ext cx="5731510" cy="3108960"/>
                    </a:xfrm>
                    <a:prstGeom prst="rect">
                      <a:avLst/>
                    </a:prstGeom>
                  </pic:spPr>
                </pic:pic>
              </a:graphicData>
            </a:graphic>
          </wp:inline>
        </w:drawing>
      </w:r>
    </w:p>
    <w:p w14:paraId="147E5C26" w14:textId="77777777" w:rsidR="00B41AD7" w:rsidRPr="00A66747" w:rsidRDefault="00B41AD7" w:rsidP="00B41AD7">
      <w:pPr>
        <w:spacing w:line="360" w:lineRule="auto"/>
        <w:rPr>
          <w:rFonts w:ascii="Arial" w:hAnsi="Arial" w:cs="Arial"/>
        </w:rPr>
      </w:pPr>
      <w:r w:rsidRPr="00A66747">
        <w:rPr>
          <w:rFonts w:ascii="Arial" w:hAnsi="Arial" w:cs="Arial"/>
        </w:rPr>
        <w:t>Peer-reviewed research reinforces this point. Werner et al. (2022) demonstrate that dominant success in alternative technologies relies at dynamic market-shaping capacities not just on static resources ownership. Rachinger and Muller (2024) suggest that EV transition is business-model and ecological challenge needing coordinated response by interdependent entities. Ecosystem leadership is similarly framed by Foss, Schmidt, and Teece (2023) as dynamic competence including sensing, seizing, and ongoing reconfiguration. This implies that coordinating charging networks, software partners, battery suppliers, and dealers around cohesive premium product will become more important to BMW's competitive advantage.</w:t>
      </w:r>
    </w:p>
    <w:p w14:paraId="4EA1CCC9" w14:textId="77777777" w:rsidR="00B41AD7" w:rsidRPr="00A66747" w:rsidRDefault="00B41AD7" w:rsidP="00B41AD7">
      <w:pPr>
        <w:spacing w:line="360" w:lineRule="auto"/>
        <w:rPr>
          <w:rFonts w:ascii="Arial" w:hAnsi="Arial" w:cs="Arial"/>
          <w:b/>
          <w:bCs/>
        </w:rPr>
      </w:pPr>
      <w:r w:rsidRPr="00A66747">
        <w:rPr>
          <w:rFonts w:ascii="Arial" w:hAnsi="Arial" w:cs="Arial"/>
          <w:b/>
          <w:bCs/>
        </w:rPr>
        <w:t>Table 5: BCG Matrix Analysis</w:t>
      </w:r>
    </w:p>
    <w:p w14:paraId="303A1097" w14:textId="77777777" w:rsidR="00B41AD7" w:rsidRPr="00A66747" w:rsidRDefault="00B41AD7" w:rsidP="00B41AD7">
      <w:pPr>
        <w:spacing w:line="360" w:lineRule="auto"/>
        <w:rPr>
          <w:rFonts w:ascii="Arial" w:hAnsi="Arial" w:cs="Arial"/>
          <w:b/>
          <w:bCs/>
        </w:rPr>
      </w:pPr>
      <w:r w:rsidRPr="00A66747">
        <w:rPr>
          <w:rFonts w:ascii="Arial" w:hAnsi="Arial" w:cs="Arial"/>
          <w:b/>
          <w:bCs/>
          <w:noProof/>
        </w:rPr>
        <w:lastRenderedPageBreak/>
        <w:drawing>
          <wp:inline distT="0" distB="0" distL="0" distR="0" wp14:anchorId="3F7884F3" wp14:editId="0D912444">
            <wp:extent cx="5239481" cy="2333951"/>
            <wp:effectExtent l="0" t="0" r="0" b="9525"/>
            <wp:docPr id="2066718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18446" name=""/>
                    <pic:cNvPicPr/>
                  </pic:nvPicPr>
                  <pic:blipFill>
                    <a:blip r:embed="rId10"/>
                    <a:stretch>
                      <a:fillRect/>
                    </a:stretch>
                  </pic:blipFill>
                  <pic:spPr>
                    <a:xfrm>
                      <a:off x="0" y="0"/>
                      <a:ext cx="5239481" cy="2333951"/>
                    </a:xfrm>
                    <a:prstGeom prst="rect">
                      <a:avLst/>
                    </a:prstGeom>
                  </pic:spPr>
                </pic:pic>
              </a:graphicData>
            </a:graphic>
          </wp:inline>
        </w:drawing>
      </w:r>
    </w:p>
    <w:p w14:paraId="3E9B34F7" w14:textId="77777777" w:rsidR="00B41AD7" w:rsidRPr="00A66747" w:rsidRDefault="00B41AD7" w:rsidP="00B41AD7">
      <w:pPr>
        <w:spacing w:line="360" w:lineRule="auto"/>
        <w:rPr>
          <w:rFonts w:ascii="Arial" w:hAnsi="Arial" w:cs="Arial"/>
        </w:rPr>
      </w:pPr>
      <w:r w:rsidRPr="00A66747">
        <w:rPr>
          <w:rFonts w:ascii="Arial" w:hAnsi="Arial" w:cs="Arial"/>
        </w:rPr>
        <w:t>Applying the BCG Matrix (Henderson, 1970; Reeves, 2014) to BMW’s core product lines reveals strategically instructive portfolio map. This portfolio logic reinforces the case for ambidexterity: harvest ICE cash flows while concentrating growth investment in Neue Klasse Stars.</w:t>
      </w:r>
    </w:p>
    <w:p w14:paraId="634BC5D7" w14:textId="77777777" w:rsidR="00B41AD7" w:rsidRPr="00A66747" w:rsidRDefault="00B41AD7" w:rsidP="00B41AD7">
      <w:pPr>
        <w:spacing w:line="360" w:lineRule="auto"/>
        <w:rPr>
          <w:rFonts w:ascii="Arial" w:hAnsi="Arial" w:cs="Arial"/>
          <w:b/>
          <w:bCs/>
        </w:rPr>
      </w:pPr>
      <w:r w:rsidRPr="00A66747">
        <w:rPr>
          <w:rFonts w:ascii="Arial" w:hAnsi="Arial" w:cs="Arial"/>
          <w:b/>
          <w:bCs/>
        </w:rPr>
        <w:t>Value Chain Analysis</w:t>
      </w:r>
    </w:p>
    <w:p w14:paraId="6CF1A856" w14:textId="77777777" w:rsidR="00B41AD7" w:rsidRPr="00A66747" w:rsidRDefault="00B41AD7" w:rsidP="00B41AD7">
      <w:pPr>
        <w:spacing w:line="360" w:lineRule="auto"/>
        <w:rPr>
          <w:rFonts w:ascii="Arial" w:hAnsi="Arial" w:cs="Arial"/>
        </w:rPr>
      </w:pPr>
      <w:r w:rsidRPr="00A66747">
        <w:rPr>
          <w:rFonts w:ascii="Arial" w:hAnsi="Arial" w:cs="Arial"/>
        </w:rPr>
        <w:t>In bound logistics, BMW’s circular battery sourcing and multi-region production network are emerging strengths but Raaymann and Spinler (2024) caution that resilience must be actively measured through OTIF rates, supplier volume flexibility and high-risk inventory stock rather than assumed from network breadth. In operations, BMW’s flexible multi-powertrain platforms are genuine primary-activity strength: ability to produce ICE, hybrid and BEV on shared lines reduces fixed costs and provides demand-response agility that few competitors can match.</w:t>
      </w:r>
    </w:p>
    <w:p w14:paraId="0DD3E647" w14:textId="77777777" w:rsidR="00B41AD7" w:rsidRPr="00A66747" w:rsidRDefault="00B41AD7" w:rsidP="00B41AD7">
      <w:pPr>
        <w:spacing w:line="360" w:lineRule="auto"/>
        <w:rPr>
          <w:rFonts w:ascii="Arial" w:hAnsi="Arial" w:cs="Arial"/>
        </w:rPr>
      </w:pPr>
      <w:r w:rsidRPr="00A66747">
        <w:rPr>
          <w:rFonts w:ascii="Arial" w:hAnsi="Arial" w:cs="Arial"/>
        </w:rPr>
        <w:t>The critical value-chain gap is in after-sales service and technology support activities. Tesla’s OTA model converts after-sales from cost centre into a continuous revenue and engagement platform; BMW’s Neue Klasse architecture is designed to replicate this, but software monetisation infrastructure (subscription management, data analytics pipelines, developer ecosystems and cybersecurity governance) requires sustained investment in technology support activities and procurement capabilities (Tesla 2026; BMW Group, 2024). Chervenkova and Ivanov (2023) further demonstrate that adaptive repurposing of supply infrastructure is decisive in turbulent markets. BMW’s firm infrastructure including its financial services, long-term partnerships and global dealer network, all creates platform for this transformation, but human-resource management must also evolve acquiring software engineers, data scientists and platform-product managers at pace Chinese rivals are currently doing is prerequisite not aspiration.</w:t>
      </w:r>
    </w:p>
    <w:p w14:paraId="1535EF2A" w14:textId="77777777" w:rsidR="00B41AD7" w:rsidRPr="00A66747" w:rsidRDefault="00B41AD7" w:rsidP="00B41AD7">
      <w:pPr>
        <w:spacing w:line="360" w:lineRule="auto"/>
        <w:rPr>
          <w:rFonts w:ascii="Arial" w:hAnsi="Arial" w:cs="Arial"/>
        </w:rPr>
      </w:pPr>
    </w:p>
    <w:p w14:paraId="5124C8AB" w14:textId="77777777" w:rsidR="00B41AD7" w:rsidRPr="00A66747" w:rsidRDefault="00B41AD7" w:rsidP="00B41AD7">
      <w:pPr>
        <w:spacing w:line="360" w:lineRule="auto"/>
        <w:rPr>
          <w:rFonts w:ascii="Arial" w:hAnsi="Arial" w:cs="Arial"/>
          <w:b/>
          <w:bCs/>
        </w:rPr>
      </w:pPr>
      <w:r w:rsidRPr="00A66747">
        <w:rPr>
          <w:rFonts w:ascii="Arial" w:hAnsi="Arial" w:cs="Arial"/>
          <w:b/>
          <w:bCs/>
        </w:rPr>
        <w:t>6. Strategy Formulation</w:t>
      </w:r>
    </w:p>
    <w:p w14:paraId="0B331A9F" w14:textId="77777777" w:rsidR="00B41AD7" w:rsidRPr="00A66747" w:rsidRDefault="00B41AD7" w:rsidP="00B41AD7">
      <w:pPr>
        <w:spacing w:line="360" w:lineRule="auto"/>
        <w:rPr>
          <w:rFonts w:ascii="Arial" w:hAnsi="Arial" w:cs="Arial"/>
        </w:rPr>
      </w:pPr>
      <w:r w:rsidRPr="00A66747">
        <w:rPr>
          <w:rFonts w:ascii="Arial" w:hAnsi="Arial" w:cs="Arial"/>
        </w:rPr>
        <w:t>BMW should adopt an ambidextrous premium-transition strategy. Organisational ambidexterity (simultaneous exploitation of existing strengths and exploration of new value architectures) is most appropriate theoretical lens because it directly addresses BMW’s dilemma: how to generate returns from legacy assets while building software, ecosystem and battery capabilities that will define future competitiveness (O’Reilly and Tushman, 2016). In practice, this means retaining selected hybrid and ICE lines where regulation and customer demand still justify them, but shifting strategic centre of gravity decisively toward software-defined EVs, platform-based services and circular battery systems. The point is not to preserve every option, but to manage the transition as staged reallocation of attention and capital.</w:t>
      </w:r>
    </w:p>
    <w:p w14:paraId="4290F8B7" w14:textId="77777777" w:rsidR="00B41AD7" w:rsidRPr="00A66747" w:rsidRDefault="00B41AD7" w:rsidP="00B41AD7">
      <w:pPr>
        <w:spacing w:line="360" w:lineRule="auto"/>
        <w:rPr>
          <w:rFonts w:ascii="Arial" w:hAnsi="Arial" w:cs="Arial"/>
        </w:rPr>
      </w:pPr>
      <w:r w:rsidRPr="00A66747">
        <w:rPr>
          <w:rFonts w:ascii="Arial" w:hAnsi="Arial" w:cs="Arial"/>
        </w:rPr>
        <w:t>It is important to acknowledge principal counterargument to ambidexterity that simultaneously support multiple drivetrains risks creating strategic ambiguity, diluting managerial focus and allow complexity costs to persist beyond point of diminishing return. This risk is real. However, Deloitte UK (2026) data showing only 11% BEV intent and 49% electrified-vehicle intent means that premature abandonment of hybrids would sacrifice material cash flows and customer relationships before the market is ready. The resolution is time-bounded ambidexterity with clear timelines for ICE and hybrid investment (aligned with the 2030 UK policy milestone) and hard capital-allocation rules that prevent legacy lines from crowding out Neue Klasse investment. Ambidexterity as permanent state is trap; as strategically sequenced transition, it is most defensible path.</w:t>
      </w:r>
    </w:p>
    <w:p w14:paraId="4EA24BBD" w14:textId="77777777" w:rsidR="00B41AD7" w:rsidRPr="00A66747" w:rsidRDefault="00B41AD7" w:rsidP="00B41AD7">
      <w:pPr>
        <w:spacing w:line="360" w:lineRule="auto"/>
        <w:rPr>
          <w:rFonts w:ascii="Arial" w:hAnsi="Arial" w:cs="Arial"/>
        </w:rPr>
      </w:pPr>
      <w:r w:rsidRPr="00A66747">
        <w:rPr>
          <w:rFonts w:ascii="Arial" w:hAnsi="Arial" w:cs="Arial"/>
        </w:rPr>
        <w:t>Three priorities are: First, BMW should make Neue Klasse undisputed core of future value creation, using OTA services, AI-enabled interfaces and integrated charging propositions to expand customer lifetime value. Second, it should deepen regional adaptation in China through local software partnerships and faster feature cycles, since Statista (2026) data on BYD’s 2.26 million EV deliveries confirms that Chinese rivals are setting global pace. Third, BMW should formalise resilience and circularity through dual sourcing, battery-material loops and board-level KPIs tied to OTIF, supplier flexibility and software release reliability (Raaymann and Spinler, 2024). Porter (1996) argues that sustainable competitive advantage requires trade-offs and a clear unique positioning, BMW’s trade-off must be explicit premium software-defined mobility over commodity volume.</w:t>
      </w:r>
    </w:p>
    <w:p w14:paraId="43406189" w14:textId="77777777" w:rsidR="00B41AD7" w:rsidRPr="00A66747" w:rsidRDefault="00B41AD7" w:rsidP="00B41AD7">
      <w:pPr>
        <w:spacing w:line="360" w:lineRule="auto"/>
        <w:rPr>
          <w:rFonts w:ascii="Arial" w:hAnsi="Arial" w:cs="Arial"/>
        </w:rPr>
      </w:pPr>
    </w:p>
    <w:p w14:paraId="17EA9060" w14:textId="77777777" w:rsidR="00B41AD7" w:rsidRPr="00A66747" w:rsidRDefault="00B41AD7" w:rsidP="00B41AD7">
      <w:pPr>
        <w:spacing w:line="360" w:lineRule="auto"/>
        <w:rPr>
          <w:rFonts w:ascii="Arial" w:hAnsi="Arial" w:cs="Arial"/>
        </w:rPr>
      </w:pPr>
      <w:r w:rsidRPr="00A66747">
        <w:rPr>
          <w:rFonts w:ascii="Arial" w:hAnsi="Arial" w:cs="Arial"/>
          <w:b/>
          <w:bCs/>
        </w:rPr>
        <w:t>Table 6: Strategic Implementation Roadmap</w:t>
      </w:r>
    </w:p>
    <w:p w14:paraId="1CB170EB" w14:textId="77777777" w:rsidR="00B41AD7" w:rsidRPr="00A66747" w:rsidRDefault="00B41AD7" w:rsidP="00B41AD7">
      <w:pPr>
        <w:spacing w:line="360" w:lineRule="auto"/>
        <w:rPr>
          <w:rFonts w:ascii="Arial" w:hAnsi="Arial" w:cs="Arial"/>
        </w:rPr>
      </w:pPr>
      <w:r w:rsidRPr="00A66747">
        <w:rPr>
          <w:rFonts w:ascii="Arial" w:hAnsi="Arial" w:cs="Arial"/>
          <w:noProof/>
        </w:rPr>
        <w:lastRenderedPageBreak/>
        <w:drawing>
          <wp:inline distT="0" distB="0" distL="0" distR="0" wp14:anchorId="1428EAD8" wp14:editId="00C62568">
            <wp:extent cx="5731510" cy="3888740"/>
            <wp:effectExtent l="0" t="0" r="2540" b="0"/>
            <wp:docPr id="607477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477396" name=""/>
                    <pic:cNvPicPr/>
                  </pic:nvPicPr>
                  <pic:blipFill>
                    <a:blip r:embed="rId11"/>
                    <a:stretch>
                      <a:fillRect/>
                    </a:stretch>
                  </pic:blipFill>
                  <pic:spPr>
                    <a:xfrm>
                      <a:off x="0" y="0"/>
                      <a:ext cx="5731510" cy="3888740"/>
                    </a:xfrm>
                    <a:prstGeom prst="rect">
                      <a:avLst/>
                    </a:prstGeom>
                  </pic:spPr>
                </pic:pic>
              </a:graphicData>
            </a:graphic>
          </wp:inline>
        </w:drawing>
      </w:r>
    </w:p>
    <w:p w14:paraId="5E45AA21" w14:textId="77777777" w:rsidR="00B41AD7" w:rsidRPr="00A66747" w:rsidRDefault="00B41AD7" w:rsidP="00B41AD7">
      <w:pPr>
        <w:spacing w:line="360" w:lineRule="auto"/>
        <w:rPr>
          <w:rFonts w:ascii="Arial" w:hAnsi="Arial" w:cs="Arial"/>
          <w:b/>
          <w:bCs/>
        </w:rPr>
      </w:pPr>
    </w:p>
    <w:p w14:paraId="319CAE1F" w14:textId="77777777" w:rsidR="00B41AD7" w:rsidRPr="00A66747" w:rsidRDefault="00B41AD7" w:rsidP="00B41AD7">
      <w:pPr>
        <w:spacing w:line="360" w:lineRule="auto"/>
        <w:rPr>
          <w:rFonts w:ascii="Arial" w:hAnsi="Arial" w:cs="Arial"/>
          <w:b/>
          <w:bCs/>
        </w:rPr>
      </w:pPr>
      <w:r w:rsidRPr="00A66747">
        <w:rPr>
          <w:rFonts w:ascii="Arial" w:hAnsi="Arial" w:cs="Arial"/>
          <w:b/>
          <w:bCs/>
        </w:rPr>
        <w:t>7. Conclusion and Recommendation</w:t>
      </w:r>
    </w:p>
    <w:p w14:paraId="62D0B7F2" w14:textId="77777777" w:rsidR="00B41AD7" w:rsidRPr="00A66747" w:rsidRDefault="00B41AD7" w:rsidP="00B41AD7">
      <w:pPr>
        <w:spacing w:line="360" w:lineRule="auto"/>
        <w:rPr>
          <w:rFonts w:ascii="Arial" w:hAnsi="Arial" w:cs="Arial"/>
        </w:rPr>
      </w:pPr>
      <w:r w:rsidRPr="00A66747">
        <w:rPr>
          <w:rFonts w:ascii="Arial" w:hAnsi="Arial" w:cs="Arial"/>
        </w:rPr>
        <w:t>The report has shown that BMW’s strategic problem is fundamentally relational: its internal capabilities remain strong, but  external environment is changing in ways that reduce value of some legacy strengths and elevate importance of software, ecosystems and resilience. Regulation, tariffs, Chinese rivalry and changing demand are not isolated trends; together they are redefining what premium advantage means. BMW is still well positioned, but its recent margin compression (from almost 8% toward 5.3%) demonstrates that possession of resources is no longer enough.</w:t>
      </w:r>
    </w:p>
    <w:p w14:paraId="7C2DB333" w14:textId="77777777" w:rsidR="00B41AD7" w:rsidRPr="00A66747" w:rsidRDefault="00B41AD7" w:rsidP="00B41AD7">
      <w:pPr>
        <w:spacing w:line="360" w:lineRule="auto"/>
        <w:rPr>
          <w:rFonts w:ascii="Arial" w:hAnsi="Arial" w:cs="Arial"/>
        </w:rPr>
      </w:pPr>
      <w:r w:rsidRPr="00A66747">
        <w:rPr>
          <w:rFonts w:ascii="Arial" w:hAnsi="Arial" w:cs="Arial"/>
        </w:rPr>
        <w:t>The strongest recommendation is selective strategic concentration executed through time-bounded ambidexterity. BMW should retain limited powertrain flexibility as transitional hedge aligned to 2030 UK policy milestone, but it should stop treating flexibility as substitute for commitment. The three-phase implementation roadmap provides sequenced route: bridge through ICE cash flows, accelerate Neue Klasse and China software adaptation, and lead through circular battery monetisation and ecosystem consolidation. The financial target is clear: restoring Automotive EBIT to 9% mid-corridor by early 2030s requires software and service revenues to contribute approximately €4.7 billion in additional annual EBIT which will stretching but achievable objective if Neue Klasse is executed at pace. In strategic-</w:t>
      </w:r>
      <w:r w:rsidRPr="00A66747">
        <w:rPr>
          <w:rFonts w:ascii="Arial" w:hAnsi="Arial" w:cs="Arial"/>
        </w:rPr>
        <w:lastRenderedPageBreak/>
        <w:t>management terms, BMW’s success will depend less on whether it can change, and more on whether it can reconfigure its resource base faster and more coherently than rivals. That is most credible route to restoring margins and defending premium leadership.</w:t>
      </w:r>
      <w:r w:rsidRPr="00A66747">
        <w:rPr>
          <w:rFonts w:ascii="Arial" w:hAnsi="Arial" w:cs="Arial"/>
        </w:rPr>
        <w:br w:type="page"/>
      </w:r>
    </w:p>
    <w:p w14:paraId="0040A823" w14:textId="77777777" w:rsidR="00B41AD7" w:rsidRPr="00A66747" w:rsidRDefault="00B41AD7" w:rsidP="00B41AD7">
      <w:pPr>
        <w:spacing w:line="360" w:lineRule="auto"/>
        <w:rPr>
          <w:rFonts w:ascii="Arial" w:hAnsi="Arial" w:cs="Arial"/>
        </w:rPr>
      </w:pPr>
    </w:p>
    <w:p w14:paraId="4B7EFCE3" w14:textId="77777777" w:rsidR="00B41AD7" w:rsidRPr="00A66747" w:rsidRDefault="00B41AD7" w:rsidP="00B41AD7">
      <w:pPr>
        <w:spacing w:line="360" w:lineRule="auto"/>
        <w:rPr>
          <w:rFonts w:ascii="Arial" w:hAnsi="Arial" w:cs="Arial"/>
          <w:b/>
          <w:bCs/>
        </w:rPr>
      </w:pPr>
      <w:r w:rsidRPr="00A66747">
        <w:rPr>
          <w:rFonts w:ascii="Arial" w:hAnsi="Arial" w:cs="Arial"/>
          <w:b/>
          <w:bCs/>
        </w:rPr>
        <w:t>References</w:t>
      </w:r>
    </w:p>
    <w:p w14:paraId="61152CE6"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Barney, J.B. (1991) Firm resources and sustained competitive advantage, Journal of Management, 17(1), pp. 99–120.</w:t>
      </w:r>
    </w:p>
    <w:p w14:paraId="04685D35"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BMW Group (2024) </w:t>
      </w:r>
      <w:r w:rsidRPr="00CF00BD">
        <w:rPr>
          <w:rFonts w:ascii="Arial" w:hAnsi="Arial" w:cs="Arial"/>
          <w:i/>
          <w:iCs/>
        </w:rPr>
        <w:t>Information on Bluetooth compatibility and the BMW software update</w:t>
      </w:r>
      <w:r w:rsidRPr="00CF00BD">
        <w:rPr>
          <w:rFonts w:ascii="Arial" w:hAnsi="Arial" w:cs="Arial"/>
        </w:rPr>
        <w:t xml:space="preserve">. BMW.com. Available at: </w:t>
      </w:r>
      <w:hyperlink r:id="rId12" w:history="1">
        <w:r w:rsidRPr="00CF00BD">
          <w:rPr>
            <w:rStyle w:val="Hyperlink"/>
            <w:rFonts w:ascii="Arial" w:hAnsi="Arial" w:cs="Arial"/>
          </w:rPr>
          <w:t>https://www.bmw.com/en/footer/software-updates.html</w:t>
        </w:r>
      </w:hyperlink>
      <w:r w:rsidRPr="00CF00BD">
        <w:rPr>
          <w:rFonts w:ascii="Arial" w:hAnsi="Arial" w:cs="Arial"/>
        </w:rPr>
        <w:t>.  (Accessed: 20 March 2026).</w:t>
      </w:r>
    </w:p>
    <w:p w14:paraId="32CC7214"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BMW Group (2026a) </w:t>
      </w:r>
      <w:r w:rsidRPr="00CF00BD">
        <w:rPr>
          <w:rFonts w:ascii="Arial" w:hAnsi="Arial" w:cs="Arial"/>
          <w:i/>
          <w:iCs/>
        </w:rPr>
        <w:t>The Company BMW Group</w:t>
      </w:r>
      <w:r w:rsidRPr="00CF00BD">
        <w:rPr>
          <w:rFonts w:ascii="Arial" w:hAnsi="Arial" w:cs="Arial"/>
        </w:rPr>
        <w:t xml:space="preserve">. Munich: BMW Group. Available at: </w:t>
      </w:r>
      <w:hyperlink r:id="rId13" w:history="1">
        <w:r w:rsidRPr="00CF00BD">
          <w:rPr>
            <w:rStyle w:val="Hyperlink"/>
            <w:rFonts w:ascii="Arial" w:hAnsi="Arial" w:cs="Arial"/>
          </w:rPr>
          <w:t>https://www.bmwgroup.com/en/company.html</w:t>
        </w:r>
      </w:hyperlink>
      <w:r w:rsidRPr="00CF00BD">
        <w:rPr>
          <w:rFonts w:ascii="Arial" w:hAnsi="Arial" w:cs="Arial"/>
        </w:rPr>
        <w:t>. (Accessed: 13 March 2026).</w:t>
      </w:r>
    </w:p>
    <w:p w14:paraId="6841291A"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BMW Group (2026b) </w:t>
      </w:r>
      <w:r w:rsidRPr="00CF00BD">
        <w:rPr>
          <w:rFonts w:ascii="Arial" w:hAnsi="Arial" w:cs="Arial"/>
          <w:i/>
          <w:iCs/>
        </w:rPr>
        <w:t>BMW Group Report 2025</w:t>
      </w:r>
      <w:r w:rsidRPr="00CF00BD">
        <w:rPr>
          <w:rFonts w:ascii="Arial" w:hAnsi="Arial" w:cs="Arial"/>
        </w:rPr>
        <w:t xml:space="preserve">. Munich: BMW Group. Available at: </w:t>
      </w:r>
      <w:hyperlink r:id="rId14" w:history="1">
        <w:r w:rsidRPr="00CF00BD">
          <w:rPr>
            <w:rStyle w:val="Hyperlink"/>
            <w:rFonts w:ascii="Arial" w:hAnsi="Arial" w:cs="Arial"/>
          </w:rPr>
          <w:t>https://www.bmwgroup.com/en/report/2025/downloads/index.html</w:t>
        </w:r>
      </w:hyperlink>
      <w:r w:rsidRPr="00CF00BD">
        <w:rPr>
          <w:rFonts w:ascii="Arial" w:hAnsi="Arial" w:cs="Arial"/>
        </w:rPr>
        <w:t>. (Accessed: 13 March 2026).</w:t>
      </w:r>
    </w:p>
    <w:p w14:paraId="26D2C15C"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BMW Group PressClub (2026) Stable Group earnings thanks to consistent strategy: BMW Group on track. Press release, 12 March. Available at: </w:t>
      </w:r>
      <w:hyperlink r:id="rId15" w:history="1">
        <w:r w:rsidRPr="00CF00BD">
          <w:rPr>
            <w:rStyle w:val="Hyperlink"/>
            <w:rFonts w:ascii="Arial" w:hAnsi="Arial" w:cs="Arial"/>
          </w:rPr>
          <w:t>https://www.press.bmwgroup.com/global/article/detail/T0456175EN/stable-group-earnings-thanks-to-consistent-strategy:-bmw-group-on-track</w:t>
        </w:r>
      </w:hyperlink>
      <w:r w:rsidRPr="00CF00BD">
        <w:rPr>
          <w:rFonts w:ascii="Arial" w:hAnsi="Arial" w:cs="Arial"/>
        </w:rPr>
        <w:t xml:space="preserve">  (Accessed: 17 March 2026).</w:t>
      </w:r>
    </w:p>
    <w:p w14:paraId="7E50A402"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Chervenkova, T. and Ivanov, D. (2023) Adaptation strategies for building supply chain viability: A case study analysis of the global automotive industry re-purposing during the COVID-19 pandemic, </w:t>
      </w:r>
      <w:r w:rsidRPr="00CF00BD">
        <w:rPr>
          <w:rFonts w:ascii="Arial" w:hAnsi="Arial" w:cs="Arial"/>
          <w:i/>
          <w:iCs/>
        </w:rPr>
        <w:t>Transportation Research Part E: Logistics and Transportation Review</w:t>
      </w:r>
      <w:r w:rsidRPr="00CF00BD">
        <w:rPr>
          <w:rFonts w:ascii="Arial" w:hAnsi="Arial" w:cs="Arial"/>
        </w:rPr>
        <w:t>, 177, 103249.</w:t>
      </w:r>
    </w:p>
    <w:p w14:paraId="76B0ECC4"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Deloitte UK (2026) Only one in ten UK consumers would go electric for their next vehicle. London: Deloitte UK, 15 January. Available at: </w:t>
      </w:r>
      <w:hyperlink r:id="rId16" w:history="1">
        <w:r w:rsidRPr="00CF00BD">
          <w:rPr>
            <w:rStyle w:val="Hyperlink"/>
            <w:rFonts w:ascii="Arial" w:hAnsi="Arial" w:cs="Arial"/>
          </w:rPr>
          <w:t>https://www.deloitte.com/uk/en/about/press-room/only-one-in-ten-uk-consumers-would-go-electric-for-their-next-vehicle.html</w:t>
        </w:r>
      </w:hyperlink>
      <w:r w:rsidRPr="00CF00BD">
        <w:rPr>
          <w:rFonts w:ascii="Arial" w:hAnsi="Arial" w:cs="Arial"/>
        </w:rPr>
        <w:t xml:space="preserve">. (Accessed: 18 March 2026).  </w:t>
      </w:r>
    </w:p>
    <w:p w14:paraId="7C7807C5"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Department for Business and Trade (2025) </w:t>
      </w:r>
      <w:r w:rsidRPr="00CF00BD">
        <w:rPr>
          <w:rFonts w:ascii="Arial" w:hAnsi="Arial" w:cs="Arial"/>
          <w:i/>
          <w:iCs/>
        </w:rPr>
        <w:t>DRIVE35: Summary Business Case</w:t>
      </w:r>
      <w:r w:rsidRPr="00CF00BD">
        <w:rPr>
          <w:rFonts w:ascii="Arial" w:hAnsi="Arial" w:cs="Arial"/>
        </w:rPr>
        <w:t xml:space="preserve">. London: GOV.UK. Available at: </w:t>
      </w:r>
      <w:hyperlink r:id="rId17" w:history="1">
        <w:r w:rsidRPr="00CF00BD">
          <w:rPr>
            <w:rStyle w:val="Hyperlink"/>
            <w:rFonts w:ascii="Arial" w:hAnsi="Arial" w:cs="Arial"/>
          </w:rPr>
          <w:t>https://www.gov.uk/government/publications/drive35-summary-business-case/drive35-summary-business-case</w:t>
        </w:r>
      </w:hyperlink>
      <w:r w:rsidRPr="00CF00BD">
        <w:rPr>
          <w:rFonts w:ascii="Arial" w:hAnsi="Arial" w:cs="Arial"/>
        </w:rPr>
        <w:t>.  (Accessed: 15 March 2026).</w:t>
      </w:r>
    </w:p>
    <w:p w14:paraId="23CF186A"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Department for Transport (2025) </w:t>
      </w:r>
      <w:r w:rsidRPr="00CF00BD">
        <w:rPr>
          <w:rFonts w:ascii="Arial" w:hAnsi="Arial" w:cs="Arial"/>
          <w:i/>
          <w:iCs/>
        </w:rPr>
        <w:t>Phasing out sales of new petrol and diesel cars from 2030 and supporting the ZEV transition: Summary of responses and joint government response</w:t>
      </w:r>
      <w:r w:rsidRPr="00CF00BD">
        <w:rPr>
          <w:rFonts w:ascii="Arial" w:hAnsi="Arial" w:cs="Arial"/>
        </w:rPr>
        <w:t xml:space="preserve">. London: GOV.UK. Available at: </w:t>
      </w:r>
      <w:hyperlink r:id="rId18" w:history="1">
        <w:r w:rsidRPr="00CF00BD">
          <w:rPr>
            <w:rStyle w:val="Hyperlink"/>
            <w:rFonts w:ascii="Arial" w:hAnsi="Arial" w:cs="Arial"/>
          </w:rPr>
          <w:t>https://www.gov.uk/government/consultations/phasing-out-sales-of-new-petrol-and-</w:t>
        </w:r>
        <w:r w:rsidRPr="00CF00BD">
          <w:rPr>
            <w:rStyle w:val="Hyperlink"/>
            <w:rFonts w:ascii="Arial" w:hAnsi="Arial" w:cs="Arial"/>
          </w:rPr>
          <w:lastRenderedPageBreak/>
          <w:t>diesel-cars-from-2030-and-supporting-the-zev-transition/outcome/phasing-out-sales-of-new-petrol-and-diesel-cars-from-2030-and-supporting-the-zev-transition-summary-of-responses-and-joint-government-response</w:t>
        </w:r>
      </w:hyperlink>
      <w:r w:rsidRPr="00CF00BD">
        <w:rPr>
          <w:rFonts w:ascii="Arial" w:hAnsi="Arial" w:cs="Arial"/>
        </w:rPr>
        <w:t xml:space="preserve">. (Accessed: 20 March 2026). </w:t>
      </w:r>
    </w:p>
    <w:p w14:paraId="5AE85A1F"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Financial Times (2025a) BMW warns of €1bn profit hit from global tariff war. </w:t>
      </w:r>
      <w:r w:rsidRPr="00CF00BD">
        <w:rPr>
          <w:rFonts w:ascii="Arial" w:hAnsi="Arial" w:cs="Arial"/>
          <w:i/>
          <w:iCs/>
        </w:rPr>
        <w:t>Financial Times</w:t>
      </w:r>
      <w:r w:rsidRPr="00CF00BD">
        <w:rPr>
          <w:rFonts w:ascii="Arial" w:hAnsi="Arial" w:cs="Arial"/>
        </w:rPr>
        <w:t xml:space="preserve">, 14 March. Available at: </w:t>
      </w:r>
      <w:hyperlink r:id="rId19" w:history="1">
        <w:r w:rsidRPr="00CF00BD">
          <w:rPr>
            <w:rStyle w:val="Hyperlink"/>
            <w:rFonts w:ascii="Arial" w:hAnsi="Arial" w:cs="Arial"/>
          </w:rPr>
          <w:t>https://www.ft.com/content/8b733479-d7a5-4c88-97a1-60c3f3846e7c?syn-25a6b1a6=1</w:t>
        </w:r>
      </w:hyperlink>
      <w:r w:rsidRPr="00CF00BD">
        <w:rPr>
          <w:rFonts w:ascii="Arial" w:hAnsi="Arial" w:cs="Arial"/>
        </w:rPr>
        <w:t>.  (Accessed: 14 March 2026).</w:t>
      </w:r>
    </w:p>
    <w:p w14:paraId="1ED63945"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Financial Times (2025b) BMW to unveil “superbrain” EVs to challenge Chinese rivals. </w:t>
      </w:r>
      <w:r w:rsidRPr="00CF00BD">
        <w:rPr>
          <w:rFonts w:ascii="Arial" w:hAnsi="Arial" w:cs="Arial"/>
          <w:i/>
          <w:iCs/>
        </w:rPr>
        <w:t>Financial Times</w:t>
      </w:r>
      <w:r w:rsidRPr="00CF00BD">
        <w:rPr>
          <w:rFonts w:ascii="Arial" w:hAnsi="Arial" w:cs="Arial"/>
        </w:rPr>
        <w:t xml:space="preserve">, 2 September. Available at: </w:t>
      </w:r>
      <w:hyperlink r:id="rId20" w:history="1">
        <w:r w:rsidRPr="00CF00BD">
          <w:rPr>
            <w:rStyle w:val="Hyperlink"/>
            <w:rFonts w:ascii="Arial" w:hAnsi="Arial" w:cs="Arial"/>
          </w:rPr>
          <w:t>https://www.ft.com/content/42250738-f246-4a31-94b4-fd6a894f99ae?syn-25a6b1a6=1</w:t>
        </w:r>
      </w:hyperlink>
      <w:r w:rsidRPr="00CF00BD">
        <w:rPr>
          <w:rFonts w:ascii="Arial" w:hAnsi="Arial" w:cs="Arial"/>
        </w:rPr>
        <w:t xml:space="preserve">. (Accessed: 14 March 2026). </w:t>
      </w:r>
    </w:p>
    <w:p w14:paraId="1B5FD606"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Foss, N.J., Schmidt, J. and Teece, D.J. (2023) Ecosystem leadership as a dynamic capability, </w:t>
      </w:r>
      <w:r w:rsidRPr="00CF00BD">
        <w:rPr>
          <w:rFonts w:ascii="Arial" w:hAnsi="Arial" w:cs="Arial"/>
          <w:i/>
          <w:iCs/>
        </w:rPr>
        <w:t>Long Range Planning</w:t>
      </w:r>
      <w:r w:rsidRPr="00CF00BD">
        <w:rPr>
          <w:rFonts w:ascii="Arial" w:hAnsi="Arial" w:cs="Arial"/>
        </w:rPr>
        <w:t>, 56(1), 102270.</w:t>
      </w:r>
    </w:p>
    <w:p w14:paraId="46A2625F"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Henderson, B.D. (1970) The Product Portfolio. Boston: Boston Consulting Group.</w:t>
      </w:r>
    </w:p>
    <w:p w14:paraId="5EA4A735"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Kukkamalla, P.K., Bikfalvi, A. and Arbussà, A. (2020) The new BMW: business model innovation transforms an automotive leader, </w:t>
      </w:r>
      <w:r w:rsidRPr="00CF00BD">
        <w:rPr>
          <w:rFonts w:ascii="Arial" w:hAnsi="Arial" w:cs="Arial"/>
          <w:i/>
          <w:iCs/>
        </w:rPr>
        <w:t>Journal of Business Strategy</w:t>
      </w:r>
      <w:r w:rsidRPr="00CF00BD">
        <w:rPr>
          <w:rFonts w:ascii="Arial" w:hAnsi="Arial" w:cs="Arial"/>
        </w:rPr>
        <w:t>, 42(4), pp. 268–277.</w:t>
      </w:r>
    </w:p>
    <w:p w14:paraId="6DAF8E24"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McKinsey &amp; Company (2025) ‘Software-defined vehicles and E/E architecture’. McKinsey Center for Future Mobility, 3 January. Available at: </w:t>
      </w:r>
      <w:hyperlink r:id="rId21" w:history="1">
        <w:r w:rsidRPr="00CF00BD">
          <w:rPr>
            <w:rStyle w:val="Hyperlink"/>
            <w:rFonts w:ascii="Arial" w:hAnsi="Arial" w:cs="Arial"/>
          </w:rPr>
          <w:t>https://www.mckinsey.com/features/mckinsey-center-for-future-mobility/focus-areas/software-defined-vehicles-and-e-e-architecture</w:t>
        </w:r>
      </w:hyperlink>
      <w:r w:rsidRPr="00CF00BD">
        <w:rPr>
          <w:rFonts w:ascii="Arial" w:hAnsi="Arial" w:cs="Arial"/>
        </w:rPr>
        <w:t xml:space="preserve">. (Accessed: 22 March 2026).  </w:t>
      </w:r>
    </w:p>
    <w:p w14:paraId="02ECFEE2"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O’Reilly, C.A. and Tushman, M.L. (2016) Lead and Disrupt: How to Solve the Innovator’s Dilemma. Stanford: Stanford University Press.</w:t>
      </w:r>
    </w:p>
    <w:p w14:paraId="58FAC4B2"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Porter, M.E. (1985) Competitive Advantage: Creating and Sustaining Superior Performance. New York: Free Press.</w:t>
      </w:r>
    </w:p>
    <w:p w14:paraId="2758BB08"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Porter, M.E. (1996) What is strategy? Harvard Business Review, 74(6), pp. 61–78.</w:t>
      </w:r>
    </w:p>
    <w:p w14:paraId="120BEEA3"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Raaymann, S. and Spinler, S. (2024) Measuring supply chain resilience along the automotive value chain—A comparative research on literature and industry. </w:t>
      </w:r>
      <w:r w:rsidRPr="00CF00BD">
        <w:rPr>
          <w:rFonts w:ascii="Arial" w:hAnsi="Arial" w:cs="Arial"/>
          <w:i/>
          <w:iCs/>
        </w:rPr>
        <w:t>Transportation Research Part E: Logistics and Transportation Review</w:t>
      </w:r>
      <w:r w:rsidRPr="00CF00BD">
        <w:rPr>
          <w:rFonts w:ascii="Arial" w:hAnsi="Arial" w:cs="Arial"/>
        </w:rPr>
        <w:t>, </w:t>
      </w:r>
      <w:r w:rsidRPr="00CF00BD">
        <w:rPr>
          <w:rFonts w:ascii="Arial" w:hAnsi="Arial" w:cs="Arial"/>
          <w:i/>
          <w:iCs/>
        </w:rPr>
        <w:t>192</w:t>
      </w:r>
      <w:r w:rsidRPr="00CF00BD">
        <w:rPr>
          <w:rFonts w:ascii="Arial" w:hAnsi="Arial" w:cs="Arial"/>
        </w:rPr>
        <w:t>, p.103792.</w:t>
      </w:r>
    </w:p>
    <w:p w14:paraId="6ECE96B0"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Rachinger, M. and Müller, J.M. (2024) Investigating a manufacturing ecosystem in transition toward electric vehicles–a business model perspective. </w:t>
      </w:r>
      <w:r w:rsidRPr="00CF00BD">
        <w:rPr>
          <w:rFonts w:ascii="Arial" w:hAnsi="Arial" w:cs="Arial"/>
          <w:i/>
          <w:iCs/>
        </w:rPr>
        <w:t>Journal of Manufacturing Technology Management</w:t>
      </w:r>
      <w:r w:rsidRPr="00CF00BD">
        <w:rPr>
          <w:rFonts w:ascii="Arial" w:hAnsi="Arial" w:cs="Arial"/>
        </w:rPr>
        <w:t>, </w:t>
      </w:r>
      <w:r w:rsidRPr="00CF00BD">
        <w:rPr>
          <w:rFonts w:ascii="Arial" w:hAnsi="Arial" w:cs="Arial"/>
          <w:i/>
          <w:iCs/>
        </w:rPr>
        <w:t>35</w:t>
      </w:r>
      <w:r w:rsidRPr="00CF00BD">
        <w:rPr>
          <w:rFonts w:ascii="Arial" w:hAnsi="Arial" w:cs="Arial"/>
        </w:rPr>
        <w:t>(9), pp.24-50.</w:t>
      </w:r>
    </w:p>
    <w:p w14:paraId="0677D5FA" w14:textId="77777777" w:rsidR="00CF00BD" w:rsidRPr="00CF00BD" w:rsidRDefault="00CF00BD" w:rsidP="00B41AD7">
      <w:pPr>
        <w:spacing w:line="360" w:lineRule="auto"/>
        <w:ind w:left="720" w:hanging="720"/>
        <w:rPr>
          <w:rFonts w:ascii="Arial" w:hAnsi="Arial" w:cs="Arial"/>
        </w:rPr>
      </w:pPr>
      <w:r w:rsidRPr="00CF00BD">
        <w:rPr>
          <w:rFonts w:ascii="Arial" w:hAnsi="Arial" w:cs="Arial"/>
        </w:rPr>
        <w:lastRenderedPageBreak/>
        <w:t xml:space="preserve">Reeves, M., Moose, S. and Venema, T. (2014) BCG classics revisited: the growth share matrix, June. Available at: </w:t>
      </w:r>
      <w:hyperlink r:id="rId22" w:history="1">
        <w:r w:rsidRPr="00CF00BD">
          <w:rPr>
            <w:rStyle w:val="Hyperlink"/>
            <w:rFonts w:ascii="Arial" w:hAnsi="Arial" w:cs="Arial"/>
          </w:rPr>
          <w:t>https://www.bcg.com/publications/2014/growth-share-matrix-bcg-classics-revisited</w:t>
        </w:r>
      </w:hyperlink>
      <w:r w:rsidRPr="00CF00BD">
        <w:rPr>
          <w:rFonts w:ascii="Arial" w:hAnsi="Arial" w:cs="Arial"/>
        </w:rPr>
        <w:t>.  (Accessed: 17 March 2026).</w:t>
      </w:r>
    </w:p>
    <w:p w14:paraId="3E588AFF"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Statista (2026) BYD Surges Past Tesla to Become World’s Leading EV Brand. Statista, 5 January. Available at: </w:t>
      </w:r>
      <w:hyperlink r:id="rId23" w:history="1">
        <w:r w:rsidRPr="00CF00BD">
          <w:rPr>
            <w:rStyle w:val="Hyperlink"/>
            <w:rFonts w:ascii="Arial" w:hAnsi="Arial" w:cs="Arial"/>
          </w:rPr>
          <w:t>https://www.statista.com/chart/33709/tesla-byd-electric-vehicle-production/</w:t>
        </w:r>
      </w:hyperlink>
      <w:r w:rsidRPr="00CF00BD">
        <w:rPr>
          <w:rFonts w:ascii="Arial" w:hAnsi="Arial" w:cs="Arial"/>
        </w:rPr>
        <w:t xml:space="preserve">. (Accessed 16 March 2026). </w:t>
      </w:r>
    </w:p>
    <w:p w14:paraId="65D934CC"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Teece, D.J. (2007) Explicating dynamic capabilities: the nature and micro foundations of (sustainable) enterprise performance. </w:t>
      </w:r>
      <w:r w:rsidRPr="00CF00BD">
        <w:rPr>
          <w:rFonts w:ascii="Arial" w:hAnsi="Arial" w:cs="Arial"/>
          <w:i/>
          <w:iCs/>
        </w:rPr>
        <w:t>Strategic management journal</w:t>
      </w:r>
      <w:r w:rsidRPr="00CF00BD">
        <w:rPr>
          <w:rFonts w:ascii="Arial" w:hAnsi="Arial" w:cs="Arial"/>
        </w:rPr>
        <w:t>, </w:t>
      </w:r>
      <w:r w:rsidRPr="00CF00BD">
        <w:rPr>
          <w:rFonts w:ascii="Arial" w:hAnsi="Arial" w:cs="Arial"/>
          <w:i/>
          <w:iCs/>
        </w:rPr>
        <w:t>28</w:t>
      </w:r>
      <w:r w:rsidRPr="00CF00BD">
        <w:rPr>
          <w:rFonts w:ascii="Arial" w:hAnsi="Arial" w:cs="Arial"/>
        </w:rPr>
        <w:t>(13), pp.1319-1350.</w:t>
      </w:r>
    </w:p>
    <w:p w14:paraId="58CB5FFB"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 xml:space="preserve">Tesla, Inc. (2026) </w:t>
      </w:r>
      <w:r w:rsidRPr="00CF00BD">
        <w:rPr>
          <w:rFonts w:ascii="Arial" w:hAnsi="Arial" w:cs="Arial"/>
          <w:i/>
          <w:iCs/>
        </w:rPr>
        <w:t>Q4 and Full Year 2025 Update – Quarterly Update Deck</w:t>
      </w:r>
      <w:r w:rsidRPr="00CF00BD">
        <w:rPr>
          <w:rFonts w:ascii="Arial" w:hAnsi="Arial" w:cs="Arial"/>
        </w:rPr>
        <w:t xml:space="preserve">. Tesla Investor Relations. Available at: </w:t>
      </w:r>
      <w:hyperlink r:id="rId24" w:history="1">
        <w:r w:rsidRPr="00CF00BD">
          <w:rPr>
            <w:rStyle w:val="Hyperlink"/>
            <w:rFonts w:ascii="Arial" w:hAnsi="Arial" w:cs="Arial"/>
          </w:rPr>
          <w:t>https://assets-ir.tesla.com/tesla-contents/IR/TSLA-Q4-2025-Update.pdf</w:t>
        </w:r>
      </w:hyperlink>
      <w:r w:rsidRPr="00CF00BD">
        <w:rPr>
          <w:rFonts w:ascii="Arial" w:hAnsi="Arial" w:cs="Arial"/>
        </w:rPr>
        <w:t>.  (Accessed: 21 March 2026).</w:t>
      </w:r>
    </w:p>
    <w:p w14:paraId="0D2E1347" w14:textId="77777777" w:rsidR="00CF00BD" w:rsidRPr="00CF00BD" w:rsidRDefault="00CF00BD" w:rsidP="00B41AD7">
      <w:pPr>
        <w:spacing w:line="360" w:lineRule="auto"/>
        <w:ind w:left="720" w:hanging="720"/>
        <w:rPr>
          <w:rFonts w:ascii="Arial" w:hAnsi="Arial" w:cs="Arial"/>
        </w:rPr>
      </w:pPr>
      <w:r w:rsidRPr="00CF00BD">
        <w:rPr>
          <w:rFonts w:ascii="Arial" w:hAnsi="Arial" w:cs="Arial"/>
        </w:rPr>
        <w:t>Werner, V., Flaig, A., Magnusson, T. and Ottosson, M. (2022) Using dynamic capabilities to shape markets for alternative technologies: A comparative case study of automotive incumbents. </w:t>
      </w:r>
      <w:r w:rsidRPr="00CF00BD">
        <w:rPr>
          <w:rFonts w:ascii="Arial" w:hAnsi="Arial" w:cs="Arial"/>
          <w:i/>
          <w:iCs/>
        </w:rPr>
        <w:t>Environmental Innovation and Societal Transitions</w:t>
      </w:r>
      <w:r w:rsidRPr="00CF00BD">
        <w:rPr>
          <w:rFonts w:ascii="Arial" w:hAnsi="Arial" w:cs="Arial"/>
        </w:rPr>
        <w:t>, </w:t>
      </w:r>
      <w:r w:rsidRPr="00CF00BD">
        <w:rPr>
          <w:rFonts w:ascii="Arial" w:hAnsi="Arial" w:cs="Arial"/>
          <w:i/>
          <w:iCs/>
        </w:rPr>
        <w:t>42</w:t>
      </w:r>
      <w:r w:rsidRPr="00CF00BD">
        <w:rPr>
          <w:rFonts w:ascii="Arial" w:hAnsi="Arial" w:cs="Arial"/>
        </w:rPr>
        <w:t>, pp.12-26.</w:t>
      </w:r>
    </w:p>
    <w:p w14:paraId="11B84A3B" w14:textId="77777777" w:rsidR="00B41AD7" w:rsidRPr="00A66747" w:rsidRDefault="00B41AD7" w:rsidP="00B41AD7">
      <w:pPr>
        <w:spacing w:line="360" w:lineRule="auto"/>
        <w:ind w:left="720" w:hanging="720"/>
        <w:rPr>
          <w:rFonts w:ascii="Arial" w:hAnsi="Arial" w:cs="Arial"/>
        </w:rPr>
      </w:pPr>
    </w:p>
    <w:p w14:paraId="66047CA4" w14:textId="77777777" w:rsidR="00B41AD7" w:rsidRPr="00A66747" w:rsidRDefault="00B41AD7" w:rsidP="00B41AD7">
      <w:pPr>
        <w:spacing w:line="360" w:lineRule="auto"/>
        <w:rPr>
          <w:rFonts w:ascii="Arial" w:hAnsi="Arial" w:cs="Arial"/>
        </w:rPr>
      </w:pPr>
    </w:p>
    <w:p w14:paraId="552E9D28" w14:textId="77777777" w:rsidR="00B41AD7" w:rsidRPr="00A66747" w:rsidRDefault="00B41AD7" w:rsidP="00B41AD7">
      <w:pPr>
        <w:spacing w:line="360" w:lineRule="auto"/>
        <w:rPr>
          <w:rFonts w:ascii="Arial" w:hAnsi="Arial" w:cs="Arial"/>
          <w:lang w:val="en-US"/>
        </w:rPr>
      </w:pPr>
    </w:p>
    <w:p w14:paraId="076D7D50" w14:textId="77777777" w:rsidR="0033555F" w:rsidRPr="00A66747" w:rsidRDefault="0033555F">
      <w:pPr>
        <w:rPr>
          <w:rFonts w:ascii="Arial" w:hAnsi="Arial" w:cs="Arial"/>
        </w:rPr>
      </w:pPr>
    </w:p>
    <w:sectPr w:rsidR="0033555F" w:rsidRPr="00A66747">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418BC" w14:textId="77777777" w:rsidR="00CB41EA" w:rsidRDefault="00CB41EA" w:rsidP="00B41AD7">
      <w:pPr>
        <w:spacing w:after="0" w:line="240" w:lineRule="auto"/>
      </w:pPr>
      <w:r>
        <w:separator/>
      </w:r>
    </w:p>
  </w:endnote>
  <w:endnote w:type="continuationSeparator" w:id="0">
    <w:p w14:paraId="72DEB40A" w14:textId="77777777" w:rsidR="00CB41EA" w:rsidRDefault="00CB41EA" w:rsidP="00B41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8564325"/>
      <w:docPartObj>
        <w:docPartGallery w:val="Page Numbers (Bottom of Page)"/>
        <w:docPartUnique/>
      </w:docPartObj>
    </w:sdtPr>
    <w:sdtEndPr>
      <w:rPr>
        <w:noProof/>
      </w:rPr>
    </w:sdtEndPr>
    <w:sdtContent>
      <w:p w14:paraId="75031246" w14:textId="7E00656D" w:rsidR="00B41AD7" w:rsidRDefault="00B41A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23F7F" w14:textId="77777777" w:rsidR="00B41AD7" w:rsidRDefault="00B41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B288A" w14:textId="77777777" w:rsidR="00CB41EA" w:rsidRDefault="00CB41EA" w:rsidP="00B41AD7">
      <w:pPr>
        <w:spacing w:after="0" w:line="240" w:lineRule="auto"/>
      </w:pPr>
      <w:r>
        <w:separator/>
      </w:r>
    </w:p>
  </w:footnote>
  <w:footnote w:type="continuationSeparator" w:id="0">
    <w:p w14:paraId="2CD50B82" w14:textId="77777777" w:rsidR="00CB41EA" w:rsidRDefault="00CB41EA" w:rsidP="00B41A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6F9DA" w14:textId="25726236" w:rsidR="00B41AD7" w:rsidRDefault="00B41AD7">
    <w:pPr>
      <w:pStyle w:val="Header"/>
    </w:pPr>
    <w:r>
      <w:rPr>
        <w:noProof/>
      </w:rPr>
      <mc:AlternateContent>
        <mc:Choice Requires="wps">
          <w:drawing>
            <wp:anchor distT="0" distB="0" distL="114300" distR="114300" simplePos="0" relativeHeight="251659264" behindDoc="0" locked="0" layoutInCell="1" allowOverlap="1" wp14:anchorId="302E731B" wp14:editId="7D437605">
              <wp:simplePos x="0" y="0"/>
              <wp:positionH relativeFrom="column">
                <wp:posOffset>-47625</wp:posOffset>
              </wp:positionH>
              <wp:positionV relativeFrom="paragraph">
                <wp:posOffset>-173355</wp:posOffset>
              </wp:positionV>
              <wp:extent cx="1428750" cy="457200"/>
              <wp:effectExtent l="0" t="0" r="0" b="0"/>
              <wp:wrapNone/>
              <wp:docPr id="588692445" name="Text Box 1"/>
              <wp:cNvGraphicFramePr/>
              <a:graphic xmlns:a="http://schemas.openxmlformats.org/drawingml/2006/main">
                <a:graphicData uri="http://schemas.microsoft.com/office/word/2010/wordprocessingShape">
                  <wps:wsp>
                    <wps:cNvSpPr txBox="1"/>
                    <wps:spPr>
                      <a:xfrm>
                        <a:off x="0" y="0"/>
                        <a:ext cx="1428750" cy="457200"/>
                      </a:xfrm>
                      <a:prstGeom prst="rect">
                        <a:avLst/>
                      </a:prstGeom>
                      <a:solidFill>
                        <a:schemeClr val="lt1"/>
                      </a:solidFill>
                      <a:ln w="6350">
                        <a:noFill/>
                      </a:ln>
                    </wps:spPr>
                    <wps:txbx>
                      <w:txbxContent>
                        <w:p w14:paraId="675EDCC1" w14:textId="2FD92C2B" w:rsidR="00B41AD7" w:rsidRDefault="00B41AD7">
                          <w:r>
                            <w:rPr>
                              <w:noProof/>
                            </w:rPr>
                            <w:drawing>
                              <wp:inline distT="0" distB="0" distL="0" distR="0" wp14:anchorId="39804AFC" wp14:editId="3092F39A">
                                <wp:extent cx="1239520" cy="352575"/>
                                <wp:effectExtent l="0" t="0" r="0" b="9525"/>
                                <wp:docPr id="1521683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39520" cy="352575"/>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02E731B" id="_x0000_t202" coordsize="21600,21600" o:spt="202" path="m,l,21600r21600,l21600,xe">
              <v:stroke joinstyle="miter"/>
              <v:path gradientshapeok="t" o:connecttype="rect"/>
            </v:shapetype>
            <v:shape id="Text Box 1" o:spid="_x0000_s1026" type="#_x0000_t202" style="position:absolute;margin-left:-3.75pt;margin-top:-13.65pt;width:112.5pt;height:3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" fillcolor="white [3201]" stroked="f" strokeweight=".5pt">
              <v:textbox>
                <w:txbxContent>
                  <w:p w14:paraId="675EDCC1" w14:textId="2FD92C2B" w:rsidR="00B41AD7" w:rsidRDefault="00B41AD7">
                    <w:r>
                      <w:rPr>
                        <w:noProof/>
                      </w:rPr>
                      <w:drawing>
                        <wp:inline distT="0" distB="0" distL="0" distR="0" wp14:anchorId="39804AFC" wp14:editId="3092F39A">
                          <wp:extent cx="1239520" cy="352575"/>
                          <wp:effectExtent l="0" t="0" r="0" b="9525"/>
                          <wp:docPr id="1521683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39520" cy="352575"/>
                                  </a:xfrm>
                                  <a:prstGeom prst="rect">
                                    <a:avLst/>
                                  </a:prstGeom>
                                  <a:noFill/>
                                </pic:spPr>
                              </pic:pic>
                            </a:graphicData>
                          </a:graphic>
                        </wp:inline>
                      </w:drawing>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AD7"/>
    <w:rsid w:val="001652A9"/>
    <w:rsid w:val="0033555F"/>
    <w:rsid w:val="003D39A7"/>
    <w:rsid w:val="0049143B"/>
    <w:rsid w:val="004E6D06"/>
    <w:rsid w:val="00531785"/>
    <w:rsid w:val="006C7B36"/>
    <w:rsid w:val="00A66747"/>
    <w:rsid w:val="00B41AD7"/>
    <w:rsid w:val="00CB41EA"/>
    <w:rsid w:val="00CD12B7"/>
    <w:rsid w:val="00CF00BD"/>
    <w:rsid w:val="00E65113"/>
    <w:rsid w:val="00EE1D4D"/>
    <w:rsid w:val="00FC2C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EB840C"/>
  <w15:chartTrackingRefBased/>
  <w15:docId w15:val="{61253A1D-B830-4397-B0EE-2CAF81976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AD7"/>
  </w:style>
  <w:style w:type="paragraph" w:styleId="Heading1">
    <w:name w:val="heading 1"/>
    <w:basedOn w:val="Normal"/>
    <w:next w:val="Normal"/>
    <w:link w:val="Heading1Char"/>
    <w:uiPriority w:val="9"/>
    <w:qFormat/>
    <w:rsid w:val="00B41A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1A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1A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A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A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A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A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A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A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A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1A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1A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A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A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A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A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A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AD7"/>
    <w:rPr>
      <w:rFonts w:eastAsiaTheme="majorEastAsia" w:cstheme="majorBidi"/>
      <w:color w:val="272727" w:themeColor="text1" w:themeTint="D8"/>
    </w:rPr>
  </w:style>
  <w:style w:type="paragraph" w:styleId="Title">
    <w:name w:val="Title"/>
    <w:basedOn w:val="Normal"/>
    <w:next w:val="Normal"/>
    <w:link w:val="TitleChar"/>
    <w:uiPriority w:val="10"/>
    <w:qFormat/>
    <w:rsid w:val="00B41A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A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A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1AD7"/>
    <w:pPr>
      <w:spacing w:before="160"/>
      <w:jc w:val="center"/>
    </w:pPr>
    <w:rPr>
      <w:i/>
      <w:iCs/>
      <w:color w:val="404040" w:themeColor="text1" w:themeTint="BF"/>
    </w:rPr>
  </w:style>
  <w:style w:type="character" w:customStyle="1" w:styleId="QuoteChar">
    <w:name w:val="Quote Char"/>
    <w:basedOn w:val="DefaultParagraphFont"/>
    <w:link w:val="Quote"/>
    <w:uiPriority w:val="29"/>
    <w:rsid w:val="00B41AD7"/>
    <w:rPr>
      <w:i/>
      <w:iCs/>
      <w:color w:val="404040" w:themeColor="text1" w:themeTint="BF"/>
    </w:rPr>
  </w:style>
  <w:style w:type="paragraph" w:styleId="ListParagraph">
    <w:name w:val="List Paragraph"/>
    <w:basedOn w:val="Normal"/>
    <w:uiPriority w:val="34"/>
    <w:qFormat/>
    <w:rsid w:val="00B41AD7"/>
    <w:pPr>
      <w:ind w:left="720"/>
      <w:contextualSpacing/>
    </w:pPr>
  </w:style>
  <w:style w:type="character" w:styleId="IntenseEmphasis">
    <w:name w:val="Intense Emphasis"/>
    <w:basedOn w:val="DefaultParagraphFont"/>
    <w:uiPriority w:val="21"/>
    <w:qFormat/>
    <w:rsid w:val="00B41AD7"/>
    <w:rPr>
      <w:i/>
      <w:iCs/>
      <w:color w:val="0F4761" w:themeColor="accent1" w:themeShade="BF"/>
    </w:rPr>
  </w:style>
  <w:style w:type="paragraph" w:styleId="IntenseQuote">
    <w:name w:val="Intense Quote"/>
    <w:basedOn w:val="Normal"/>
    <w:next w:val="Normal"/>
    <w:link w:val="IntenseQuoteChar"/>
    <w:uiPriority w:val="30"/>
    <w:qFormat/>
    <w:rsid w:val="00B41A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AD7"/>
    <w:rPr>
      <w:i/>
      <w:iCs/>
      <w:color w:val="0F4761" w:themeColor="accent1" w:themeShade="BF"/>
    </w:rPr>
  </w:style>
  <w:style w:type="character" w:styleId="IntenseReference">
    <w:name w:val="Intense Reference"/>
    <w:basedOn w:val="DefaultParagraphFont"/>
    <w:uiPriority w:val="32"/>
    <w:qFormat/>
    <w:rsid w:val="00B41AD7"/>
    <w:rPr>
      <w:b/>
      <w:bCs/>
      <w:smallCaps/>
      <w:color w:val="0F4761" w:themeColor="accent1" w:themeShade="BF"/>
      <w:spacing w:val="5"/>
    </w:rPr>
  </w:style>
  <w:style w:type="character" w:styleId="Hyperlink">
    <w:name w:val="Hyperlink"/>
    <w:basedOn w:val="DefaultParagraphFont"/>
    <w:uiPriority w:val="99"/>
    <w:unhideWhenUsed/>
    <w:rsid w:val="00B41AD7"/>
    <w:rPr>
      <w:color w:val="467886" w:themeColor="hyperlink"/>
      <w:u w:val="single"/>
    </w:rPr>
  </w:style>
  <w:style w:type="paragraph" w:customStyle="1" w:styleId="TableParagraph">
    <w:name w:val="Table Paragraph"/>
    <w:basedOn w:val="Normal"/>
    <w:uiPriority w:val="1"/>
    <w:qFormat/>
    <w:rsid w:val="00B41AD7"/>
    <w:pPr>
      <w:widowControl w:val="0"/>
      <w:autoSpaceDE w:val="0"/>
      <w:autoSpaceDN w:val="0"/>
      <w:spacing w:after="0" w:line="240" w:lineRule="auto"/>
      <w:ind w:left="107"/>
    </w:pPr>
    <w:rPr>
      <w:rFonts w:ascii="Arial" w:eastAsia="Arial" w:hAnsi="Arial" w:cs="Arial"/>
      <w:kern w:val="0"/>
      <w:lang w:val="en-US"/>
      <w14:ligatures w14:val="none"/>
    </w:rPr>
  </w:style>
  <w:style w:type="character" w:styleId="FollowedHyperlink">
    <w:name w:val="FollowedHyperlink"/>
    <w:basedOn w:val="DefaultParagraphFont"/>
    <w:uiPriority w:val="99"/>
    <w:semiHidden/>
    <w:unhideWhenUsed/>
    <w:rsid w:val="00B41AD7"/>
    <w:rPr>
      <w:color w:val="96607D" w:themeColor="followedHyperlink"/>
      <w:u w:val="single"/>
    </w:rPr>
  </w:style>
  <w:style w:type="paragraph" w:styleId="Header">
    <w:name w:val="header"/>
    <w:basedOn w:val="Normal"/>
    <w:link w:val="HeaderChar"/>
    <w:uiPriority w:val="99"/>
    <w:unhideWhenUsed/>
    <w:rsid w:val="00B41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AD7"/>
  </w:style>
  <w:style w:type="paragraph" w:styleId="Footer">
    <w:name w:val="footer"/>
    <w:basedOn w:val="Normal"/>
    <w:link w:val="FooterChar"/>
    <w:uiPriority w:val="99"/>
    <w:unhideWhenUsed/>
    <w:rsid w:val="00B41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www.bmwgroup.com/en/company.html" TargetMode="External"/><Relationship Id="rId18" Type="http://schemas.openxmlformats.org/officeDocument/2006/relationships/hyperlink" Target="https://www.gov.uk/government/consultations/phasing-out-sales-of-new-petrol-and-diesel-cars-from-2030-and-supporting-the-zev-transition/outcome/phasing-out-sales-of-new-petrol-and-diesel-cars-from-2030-and-supporting-the-zev-transition-summary-of-responses-and-joint-government-response"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mckinsey.com/features/mckinsey-center-for-future-mobility/focus-areas/software-defined-vehicles-and-e-e-architecture" TargetMode="External"/><Relationship Id="rId7" Type="http://schemas.openxmlformats.org/officeDocument/2006/relationships/image" Target="media/image2.emf"/><Relationship Id="rId12" Type="http://schemas.openxmlformats.org/officeDocument/2006/relationships/hyperlink" Target="https://www.bmw.com/en/footer/software-updates.html" TargetMode="External"/><Relationship Id="rId17" Type="http://schemas.openxmlformats.org/officeDocument/2006/relationships/hyperlink" Target="https://www.gov.uk/government/publications/drive35-summary-business-case/drive35-summary-business-case"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deloitte.com/uk/en/about/press-room/only-one-in-ten-uk-consumers-would-go-electric-for-their-next-vehicle.html" TargetMode="External"/><Relationship Id="rId20" Type="http://schemas.openxmlformats.org/officeDocument/2006/relationships/hyperlink" Target="https://www.ft.com/content/42250738-f246-4a31-94b4-fd6a894f99ae?syn-25a6b1a6=1" TargetMode="Externa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6.png"/><Relationship Id="rId24" Type="http://schemas.openxmlformats.org/officeDocument/2006/relationships/hyperlink" Target="https://assets-ir.tesla.com/tesla-contents/IR/TSLA-Q4-2025-Update.pdf" TargetMode="External"/><Relationship Id="rId5" Type="http://schemas.openxmlformats.org/officeDocument/2006/relationships/endnotes" Target="endnotes.xml"/><Relationship Id="rId15" Type="http://schemas.openxmlformats.org/officeDocument/2006/relationships/hyperlink" Target="https://www.press.bmwgroup.com/global/article/detail/T0456175EN/stable-group-earnings-thanks-to-consistent-strategy:-bmw-group-on-track" TargetMode="External"/><Relationship Id="rId23" Type="http://schemas.openxmlformats.org/officeDocument/2006/relationships/hyperlink" Target="https://www.statista.com/chart/33709/tesla-byd-electric-vehicle-production/"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ft.com/content/8b733479-d7a5-4c88-97a1-60c3f3846e7c?syn-25a6b1a6=1"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bmwgroup.com/en/report/2025/downloads/index.html" TargetMode="External"/><Relationship Id="rId22" Type="http://schemas.openxmlformats.org/officeDocument/2006/relationships/hyperlink" Target="https://www.bcg.com/publications/2014/growth-share-matrix-bcg-classics-revisited"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3810</Words>
  <Characters>21722</Characters>
  <Application>Microsoft Office Word</Application>
  <DocSecurity>0</DocSecurity>
  <Lines>181</Lines>
  <Paragraphs>50</Paragraphs>
  <ScaleCrop>false</ScaleCrop>
  <Company/>
  <LinksUpToDate>false</LinksUpToDate>
  <CharactersWithSpaces>25482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 kaur</dc:creator>
  <cp:keywords/>
  <dc:description/>
  <cp:lastModifiedBy>deep kaur</cp:lastModifiedBy>
  <cp:revision>4</cp:revision>
  <dcterms:created xsi:type="dcterms:W3CDTF">2026-03-23T19:25:00Z</dcterms:created>
  <dcterms:modified xsi:type="dcterms:W3CDTF">2026-03-25T10:40:00Z</dcterms:modified>
</cp:coreProperties>
</file>