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77D58" w14:textId="2CDF437B" w:rsidR="00350530" w:rsidRDefault="00BB1059" w:rsidP="00350530">
      <w:pPr>
        <w:pStyle w:val="Heading2"/>
        <w:jc w:val="center"/>
        <w:rPr>
          <w:sz w:val="40"/>
          <w:szCs w:val="40"/>
        </w:rPr>
      </w:pPr>
      <w:r w:rsidRPr="00BB1059">
        <w:rPr>
          <w:sz w:val="40"/>
          <w:szCs w:val="40"/>
        </w:rPr>
        <w:t>HPHI503</w:t>
      </w:r>
      <w:r>
        <w:rPr>
          <w:sz w:val="40"/>
          <w:szCs w:val="40"/>
        </w:rPr>
        <w:t>5</w:t>
      </w:r>
      <w:r w:rsidRPr="00BB1059">
        <w:rPr>
          <w:sz w:val="40"/>
          <w:szCs w:val="40"/>
        </w:rPr>
        <w:t>/603</w:t>
      </w:r>
      <w:r>
        <w:rPr>
          <w:sz w:val="40"/>
          <w:szCs w:val="40"/>
        </w:rPr>
        <w:t>5</w:t>
      </w:r>
      <w:r w:rsidR="00B11480">
        <w:rPr>
          <w:sz w:val="40"/>
          <w:szCs w:val="40"/>
        </w:rPr>
        <w:t xml:space="preserve">: </w:t>
      </w:r>
      <w:r>
        <w:rPr>
          <w:sz w:val="40"/>
          <w:szCs w:val="40"/>
        </w:rPr>
        <w:t>African Modernities</w:t>
      </w:r>
      <w:r w:rsidR="00350530">
        <w:rPr>
          <w:sz w:val="40"/>
          <w:szCs w:val="40"/>
        </w:rPr>
        <w:t xml:space="preserve"> </w:t>
      </w:r>
    </w:p>
    <w:p w14:paraId="2327F4F0" w14:textId="3631DE2E" w:rsidR="00350530" w:rsidRDefault="00350530" w:rsidP="00350530">
      <w:pPr>
        <w:pStyle w:val="Heading1"/>
        <w:jc w:val="center"/>
      </w:pPr>
      <w:r>
        <w:t>Module Handbook</w:t>
      </w:r>
    </w:p>
    <w:p w14:paraId="3C614048" w14:textId="77777777" w:rsidR="00720846" w:rsidRPr="00720846" w:rsidRDefault="00720846" w:rsidP="00720846">
      <w:pPr>
        <w:pStyle w:val="Heading2"/>
        <w:jc w:val="center"/>
      </w:pPr>
      <w:r w:rsidRPr="00BB1059">
        <w:t>Module lead: Dr Rhian Elinor Keyse (</w:t>
      </w:r>
      <w:hyperlink r:id="rId8" w:history="1">
        <w:r w:rsidRPr="00BB1059">
          <w:rPr>
            <w:rStyle w:val="Hyperlink"/>
            <w:color w:val="0F4761" w:themeColor="accent1" w:themeShade="BF"/>
            <w:u w:val="none"/>
          </w:rPr>
          <w:t>r.keyse@uwtsd.ac.uk</w:t>
        </w:r>
      </w:hyperlink>
      <w:r w:rsidRPr="00BB1059">
        <w:t>)</w:t>
      </w:r>
    </w:p>
    <w:p w14:paraId="281B5A3B" w14:textId="77777777" w:rsidR="00720846" w:rsidRPr="00720846" w:rsidRDefault="00720846" w:rsidP="00720846"/>
    <w:p w14:paraId="2E9ECFD7" w14:textId="07B08BEA" w:rsidR="00350530" w:rsidRDefault="00350530" w:rsidP="00350530">
      <w:pPr>
        <w:jc w:val="center"/>
      </w:pPr>
      <w:r>
        <w:rPr>
          <w:noProof/>
        </w:rPr>
        <w:drawing>
          <wp:inline distT="0" distB="0" distL="0" distR="0" wp14:anchorId="719C8C4A" wp14:editId="4C27E6CA">
            <wp:extent cx="4000500" cy="6086475"/>
            <wp:effectExtent l="0" t="0" r="0" b="9525"/>
            <wp:docPr id="1386903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0500" cy="6086475"/>
                    </a:xfrm>
                    <a:prstGeom prst="rect">
                      <a:avLst/>
                    </a:prstGeom>
                    <a:noFill/>
                    <a:ln>
                      <a:noFill/>
                    </a:ln>
                  </pic:spPr>
                </pic:pic>
              </a:graphicData>
            </a:graphic>
          </wp:inline>
        </w:drawing>
      </w:r>
    </w:p>
    <w:p w14:paraId="02B89695" w14:textId="77777777" w:rsidR="00720846" w:rsidRDefault="00350530" w:rsidP="00720846">
      <w:pPr>
        <w:jc w:val="center"/>
      </w:pPr>
      <w:r>
        <w:t xml:space="preserve">(Image: </w:t>
      </w:r>
      <w:r w:rsidR="00720846" w:rsidRPr="00720846">
        <w:t>Zanele Muholi </w:t>
      </w:r>
      <w:r w:rsidR="00720846" w:rsidRPr="00720846">
        <w:rPr>
          <w:i/>
          <w:iCs/>
        </w:rPr>
        <w:t>Qiniso, The Sails, Durban</w:t>
      </w:r>
      <w:r w:rsidR="00720846" w:rsidRPr="00720846">
        <w:t> </w:t>
      </w:r>
      <w:r w:rsidR="00720846">
        <w:t>(</w:t>
      </w:r>
      <w:r w:rsidR="00720846" w:rsidRPr="00720846">
        <w:t>2019</w:t>
      </w:r>
      <w:r w:rsidR="00720846">
        <w:t>))</w:t>
      </w:r>
    </w:p>
    <w:p w14:paraId="27028BB0" w14:textId="77777777" w:rsidR="008F1545" w:rsidRPr="008F1545" w:rsidRDefault="008F1545" w:rsidP="008F1545">
      <w:pPr>
        <w:pStyle w:val="Heading1"/>
      </w:pPr>
      <w:r w:rsidRPr="008F1545">
        <w:lastRenderedPageBreak/>
        <w:t>Contents</w:t>
      </w:r>
    </w:p>
    <w:p w14:paraId="27B5AA04" w14:textId="77777777" w:rsidR="008F1545" w:rsidRPr="008F1545" w:rsidRDefault="008F1545" w:rsidP="008F1545">
      <w:r w:rsidRPr="008F1545">
        <w:t>Introduction and content note</w:t>
      </w:r>
      <w:r w:rsidRPr="008F1545">
        <w:tab/>
      </w:r>
      <w:r w:rsidRPr="008F1545">
        <w:tab/>
      </w:r>
      <w:r w:rsidRPr="008F1545">
        <w:tab/>
      </w:r>
      <w:r w:rsidRPr="008F1545">
        <w:tab/>
      </w:r>
      <w:r w:rsidRPr="008F1545">
        <w:tab/>
        <w:t>p.3</w:t>
      </w:r>
    </w:p>
    <w:p w14:paraId="7F483570" w14:textId="77777777" w:rsidR="008F1545" w:rsidRPr="008F1545" w:rsidRDefault="008F1545" w:rsidP="008F1545">
      <w:r w:rsidRPr="008F1545">
        <w:t>Aims and learning outcomes</w:t>
      </w:r>
      <w:r w:rsidRPr="008F1545">
        <w:tab/>
      </w:r>
      <w:r w:rsidRPr="008F1545">
        <w:tab/>
      </w:r>
      <w:r w:rsidRPr="008F1545">
        <w:tab/>
      </w:r>
      <w:r w:rsidRPr="008F1545">
        <w:tab/>
      </w:r>
      <w:r w:rsidRPr="008F1545">
        <w:tab/>
        <w:t>p.4</w:t>
      </w:r>
    </w:p>
    <w:p w14:paraId="10370FAA" w14:textId="77777777" w:rsidR="008F1545" w:rsidRPr="008F1545" w:rsidRDefault="008F1545" w:rsidP="008F1545">
      <w:r w:rsidRPr="008F1545">
        <w:t>Class schedule</w:t>
      </w:r>
      <w:r w:rsidRPr="008F1545">
        <w:tab/>
      </w:r>
      <w:r w:rsidRPr="008F1545">
        <w:tab/>
      </w:r>
      <w:r w:rsidRPr="008F1545">
        <w:tab/>
      </w:r>
      <w:r w:rsidRPr="008F1545">
        <w:tab/>
      </w:r>
      <w:r w:rsidRPr="008F1545">
        <w:tab/>
      </w:r>
      <w:r w:rsidRPr="008F1545">
        <w:tab/>
      </w:r>
      <w:r w:rsidRPr="008F1545">
        <w:tab/>
        <w:t>p.5</w:t>
      </w:r>
    </w:p>
    <w:p w14:paraId="2B60978B" w14:textId="77777777" w:rsidR="008F1545" w:rsidRPr="008F1545" w:rsidRDefault="008F1545" w:rsidP="008F1545">
      <w:r w:rsidRPr="008F1545">
        <w:t>Preparing for class</w:t>
      </w:r>
      <w:r w:rsidRPr="008F1545">
        <w:tab/>
      </w:r>
      <w:r w:rsidRPr="008F1545">
        <w:tab/>
      </w:r>
      <w:r w:rsidRPr="008F1545">
        <w:tab/>
      </w:r>
      <w:r w:rsidRPr="008F1545">
        <w:tab/>
      </w:r>
      <w:r w:rsidRPr="008F1545">
        <w:tab/>
      </w:r>
      <w:r w:rsidRPr="008F1545">
        <w:tab/>
      </w:r>
      <w:r w:rsidRPr="008F1545">
        <w:tab/>
        <w:t>p.6</w:t>
      </w:r>
    </w:p>
    <w:p w14:paraId="33A27E79" w14:textId="0B43439F" w:rsidR="008F1545" w:rsidRPr="008F1545" w:rsidRDefault="008F1545" w:rsidP="008F1545">
      <w:r w:rsidRPr="008F1545">
        <w:t>Assessment, referencing and use of AI</w:t>
      </w:r>
      <w:r w:rsidRPr="008F1545">
        <w:tab/>
      </w:r>
      <w:r w:rsidRPr="008F1545">
        <w:tab/>
      </w:r>
      <w:r w:rsidRPr="008F1545">
        <w:tab/>
      </w:r>
      <w:r w:rsidRPr="008F1545">
        <w:tab/>
        <w:t>p.</w:t>
      </w:r>
      <w:r w:rsidR="00720846">
        <w:t>6</w:t>
      </w:r>
    </w:p>
    <w:p w14:paraId="7BDAACAA" w14:textId="7DA9969E" w:rsidR="008F1545" w:rsidRPr="008F1545" w:rsidRDefault="00720846" w:rsidP="008F1545">
      <w:r>
        <w:t>Class information and reading lists</w:t>
      </w:r>
      <w:r w:rsidR="008F1545" w:rsidRPr="008F1545">
        <w:tab/>
      </w:r>
      <w:r w:rsidR="008F1545" w:rsidRPr="008F1545">
        <w:tab/>
      </w:r>
      <w:r w:rsidR="008F1545" w:rsidRPr="008F1545">
        <w:tab/>
      </w:r>
      <w:r w:rsidR="008F1545" w:rsidRPr="008F1545">
        <w:tab/>
      </w:r>
      <w:r w:rsidR="008F1545" w:rsidRPr="008F1545">
        <w:tab/>
        <w:t>p.</w:t>
      </w:r>
      <w:r>
        <w:t>9</w:t>
      </w:r>
    </w:p>
    <w:p w14:paraId="02A775BF" w14:textId="77777777" w:rsidR="00720846" w:rsidRDefault="00720846">
      <w:pPr>
        <w:rPr>
          <w:rFonts w:asciiTheme="majorHAnsi" w:eastAsiaTheme="majorEastAsia" w:hAnsiTheme="majorHAnsi" w:cstheme="majorBidi"/>
          <w:color w:val="0F4761" w:themeColor="accent1" w:themeShade="BF"/>
          <w:sz w:val="40"/>
          <w:szCs w:val="40"/>
        </w:rPr>
      </w:pPr>
      <w:r>
        <w:br w:type="page"/>
      </w:r>
    </w:p>
    <w:p w14:paraId="365E5F25" w14:textId="4C62BADC" w:rsidR="0036021B" w:rsidRPr="0036021B" w:rsidRDefault="0036021B" w:rsidP="00720846">
      <w:pPr>
        <w:pStyle w:val="Heading1"/>
      </w:pPr>
      <w:r w:rsidRPr="0036021B">
        <w:lastRenderedPageBreak/>
        <w:t>Introduction to the module</w:t>
      </w:r>
    </w:p>
    <w:p w14:paraId="5D74EFFF" w14:textId="22E2F95A" w:rsidR="0036021B" w:rsidRPr="0036021B" w:rsidRDefault="0036021B" w:rsidP="0036021B">
      <w:pPr>
        <w:pStyle w:val="Heading1"/>
      </w:pPr>
      <w:r w:rsidRPr="0036021B">
        <w:t>Welcome to HPHI503</w:t>
      </w:r>
      <w:r>
        <w:t>5</w:t>
      </w:r>
      <w:r w:rsidRPr="0036021B">
        <w:t>/603</w:t>
      </w:r>
      <w:r>
        <w:t>5</w:t>
      </w:r>
      <w:r w:rsidRPr="0036021B">
        <w:t xml:space="preserve"> </w:t>
      </w:r>
      <w:r>
        <w:t>African Modernities</w:t>
      </w:r>
    </w:p>
    <w:p w14:paraId="1A28B025" w14:textId="3494FA89" w:rsidR="0036021B" w:rsidRPr="0036021B" w:rsidRDefault="006D3334" w:rsidP="006D3334">
      <w:r>
        <w:t xml:space="preserve">The module examines social and cultural change on the African continent, from the beginning of the twentieth century to the present day. We will examine both the colonial and postcolonial periods, interrogating and problematising ideas of ‘modernity’ and ‘tradition’. We will begin with an introduction to key concepts and periodisation, and an overview of the process of colonisation, before turning our attention to key themes which will be examined with reference to particular case studies and countries. </w:t>
      </w:r>
      <w:r w:rsidR="0036021B" w:rsidRPr="0036021B">
        <w:t xml:space="preserve">The Moodle page for the module contains all of the information you’ll need for our classes. There you’ll find dates of classes, reading lists, and information about assessment. </w:t>
      </w:r>
    </w:p>
    <w:p w14:paraId="25FA49E5" w14:textId="4C51350C" w:rsidR="0036021B" w:rsidRPr="0036021B" w:rsidRDefault="0036021B" w:rsidP="006D3334">
      <w:r w:rsidRPr="0036021B">
        <w:t xml:space="preserve">This year, the module will run in </w:t>
      </w:r>
      <w:r>
        <w:t>Block 6</w:t>
      </w:r>
      <w:r w:rsidRPr="0036021B">
        <w:t xml:space="preserve">. </w:t>
      </w:r>
      <w:r>
        <w:t>Please check your calendars on the Hwb app for details of the times and venues for classes.</w:t>
      </w:r>
    </w:p>
    <w:p w14:paraId="0DF1907D" w14:textId="77777777" w:rsidR="0036021B" w:rsidRPr="0036021B" w:rsidRDefault="0036021B" w:rsidP="006D3334">
      <w:r w:rsidRPr="0036021B">
        <w:t xml:space="preserve">I’ll be very happy to discuss the material outside class, either by email or by setting up a meeting at a mutually convenient time. </w:t>
      </w:r>
    </w:p>
    <w:p w14:paraId="0740CB07" w14:textId="77777777" w:rsidR="0036021B" w:rsidRPr="0036021B" w:rsidRDefault="0036021B" w:rsidP="006D3334">
      <w:r w:rsidRPr="0036021B">
        <w:t>Don’t be shy to ask questions if there’s something that doesn’t quite make sense, or if you want to know more. I might not always know the answer, but we can find out collaboratively! I actively encourage you to ask questions. Don’t be afraid to have a go at answering questions. I recognise that some of the subjects discussed during the module will be unfamiliar to some of you. Remember you’re encouraged to think and explore, and there are rarely right or wrong answers.</w:t>
      </w:r>
    </w:p>
    <w:p w14:paraId="5BB9872F" w14:textId="77777777" w:rsidR="0036021B" w:rsidRPr="0036021B" w:rsidRDefault="0036021B" w:rsidP="005054E2">
      <w:pPr>
        <w:pStyle w:val="Heading2"/>
      </w:pPr>
      <w:r w:rsidRPr="0036021B">
        <w:t>Content note</w:t>
      </w:r>
    </w:p>
    <w:p w14:paraId="77840663" w14:textId="1EE1E004" w:rsidR="0036021B" w:rsidRPr="0036021B" w:rsidRDefault="005054E2" w:rsidP="0036021B">
      <w:r>
        <w:t xml:space="preserve">Some sessions </w:t>
      </w:r>
      <w:r w:rsidR="0036021B" w:rsidRPr="0036021B">
        <w:t>will cover challenging material that could be potentially distressing. Topics covered will include violence (including sexual and racist violence), murder, sexual assault, racism, homophobia and transphobia. If there is anything that concerns you in the course outline, please do not hesitate to contact me. You will not need to discuss why you do not wish to engage with particular topics, we can simply discuss how you might meet the learning objectives of the module.</w:t>
      </w:r>
    </w:p>
    <w:p w14:paraId="1EF60EE2" w14:textId="77777777" w:rsidR="0036021B" w:rsidRPr="0036021B" w:rsidRDefault="0036021B" w:rsidP="0036021B">
      <w:r w:rsidRPr="0036021B">
        <w:t>I am committed to ensuring that our work together this semester occurs in a safe space for discussing difficult topics. This isn’t about limiting critical engagement, but rather ensuring that everyone feels respected and safe. I ask that we all treat each other carefully.</w:t>
      </w:r>
    </w:p>
    <w:p w14:paraId="60A5C4F3" w14:textId="77777777" w:rsidR="0036021B" w:rsidRPr="0036021B" w:rsidRDefault="0036021B" w:rsidP="0036021B">
      <w:r w:rsidRPr="0036021B">
        <w:t>There will be scheduled breaks in classes, but you’re welcome to leave the room if you need to take care of yourself – no questions will be asked if you need to do this, and you’re very welcome to rejoin the class when you feel able.</w:t>
      </w:r>
    </w:p>
    <w:p w14:paraId="528177BE" w14:textId="77777777" w:rsidR="0036021B" w:rsidRPr="0036021B" w:rsidRDefault="0036021B" w:rsidP="0036021B">
      <w:r w:rsidRPr="0036021B">
        <w:lastRenderedPageBreak/>
        <w:t>Local and national support resources are available – these are linked here:</w:t>
      </w:r>
    </w:p>
    <w:p w14:paraId="4BDB8937" w14:textId="77777777" w:rsidR="0036021B" w:rsidRPr="0036021B" w:rsidRDefault="0036021B" w:rsidP="0036021B">
      <w:pPr>
        <w:numPr>
          <w:ilvl w:val="1"/>
          <w:numId w:val="4"/>
        </w:numPr>
      </w:pPr>
      <w:hyperlink r:id="rId10" w:history="1">
        <w:r w:rsidRPr="0036021B">
          <w:rPr>
            <w:rStyle w:val="Hyperlink"/>
          </w:rPr>
          <w:t>Wellbeing Support | University of Wales Trinity Saint David (uwtsd.ac.uk)</w:t>
        </w:r>
      </w:hyperlink>
    </w:p>
    <w:p w14:paraId="402BF0FA" w14:textId="77777777" w:rsidR="0036021B" w:rsidRPr="0036021B" w:rsidRDefault="0036021B" w:rsidP="0036021B">
      <w:pPr>
        <w:numPr>
          <w:ilvl w:val="1"/>
          <w:numId w:val="4"/>
        </w:numPr>
      </w:pPr>
      <w:hyperlink r:id="rId11" w:history="1">
        <w:r w:rsidRPr="0036021B">
          <w:rPr>
            <w:rStyle w:val="Hyperlink"/>
          </w:rPr>
          <w:t>Domestic abuse | GOV.WALES</w:t>
        </w:r>
      </w:hyperlink>
    </w:p>
    <w:p w14:paraId="70C8732B" w14:textId="77777777" w:rsidR="0036021B" w:rsidRPr="0036021B" w:rsidRDefault="0036021B" w:rsidP="0036021B">
      <w:pPr>
        <w:numPr>
          <w:ilvl w:val="1"/>
          <w:numId w:val="4"/>
        </w:numPr>
        <w:rPr>
          <w:u w:val="single"/>
        </w:rPr>
      </w:pPr>
      <w:hyperlink r:id="rId12" w:history="1">
        <w:r w:rsidRPr="0036021B">
          <w:rPr>
            <w:rStyle w:val="Hyperlink"/>
          </w:rPr>
          <w:t>New Pathways Rape crisis and sexual abuse support services.</w:t>
        </w:r>
      </w:hyperlink>
    </w:p>
    <w:p w14:paraId="54F73C58" w14:textId="77777777" w:rsidR="0036021B" w:rsidRPr="0036021B" w:rsidRDefault="0036021B" w:rsidP="007D37EC">
      <w:pPr>
        <w:pStyle w:val="Heading2"/>
      </w:pPr>
      <w:r w:rsidRPr="0036021B">
        <w:t>Help and advice</w:t>
      </w:r>
    </w:p>
    <w:p w14:paraId="2BD2E266" w14:textId="77777777" w:rsidR="0036021B" w:rsidRPr="0036021B" w:rsidRDefault="0036021B" w:rsidP="0036021B">
      <w:r w:rsidRPr="0036021B">
        <w:t xml:space="preserve">If you have any queries about the module, please do not hesitate to ask. The best way to reach me is always by email: </w:t>
      </w:r>
      <w:hyperlink r:id="rId13" w:history="1">
        <w:r w:rsidRPr="0036021B">
          <w:rPr>
            <w:rStyle w:val="Hyperlink"/>
          </w:rPr>
          <w:t>r.keyse@uwtsd.ac.uk</w:t>
        </w:r>
      </w:hyperlink>
    </w:p>
    <w:p w14:paraId="54442225" w14:textId="77777777" w:rsidR="0036021B" w:rsidRPr="0036021B" w:rsidRDefault="0036021B" w:rsidP="00720846">
      <w:pPr>
        <w:pStyle w:val="Heading1"/>
      </w:pPr>
      <w:r w:rsidRPr="0036021B">
        <w:t>Aims</w:t>
      </w:r>
    </w:p>
    <w:p w14:paraId="0F636DFB" w14:textId="77777777" w:rsidR="00C13A5D" w:rsidRPr="00B1208A" w:rsidRDefault="00C13A5D" w:rsidP="00C13A5D">
      <w:pPr>
        <w:rPr>
          <w:b/>
        </w:rPr>
      </w:pPr>
      <w:r w:rsidRPr="00B1208A">
        <w:t xml:space="preserve">To </w:t>
      </w:r>
      <w:r>
        <w:t xml:space="preserve">introduce students to the modern history of the African continent through reference to social and cultural historical approaches. </w:t>
      </w:r>
    </w:p>
    <w:p w14:paraId="0006C2B6" w14:textId="77777777" w:rsidR="0036021B" w:rsidRPr="00E52D16" w:rsidRDefault="0036021B" w:rsidP="00720846">
      <w:pPr>
        <w:pStyle w:val="Heading1"/>
      </w:pPr>
      <w:r w:rsidRPr="00E52D16">
        <w:t>Learning outcomes</w:t>
      </w:r>
    </w:p>
    <w:p w14:paraId="544EB9CC" w14:textId="77777777" w:rsidR="00892173" w:rsidRPr="00222F66" w:rsidRDefault="00892173" w:rsidP="00E52D16">
      <w:r w:rsidRPr="00222F66">
        <w:t>Upon the successful completion of this module, the student should be able to:</w:t>
      </w:r>
    </w:p>
    <w:p w14:paraId="6B3A9CAD" w14:textId="77777777" w:rsidR="00892173" w:rsidRDefault="00892173" w:rsidP="00C13A5D">
      <w:pPr>
        <w:pStyle w:val="ListParagraph"/>
        <w:numPr>
          <w:ilvl w:val="0"/>
          <w:numId w:val="19"/>
        </w:numPr>
      </w:pPr>
      <w:r w:rsidRPr="00222F66">
        <w:t xml:space="preserve">Demonstrate </w:t>
      </w:r>
      <w:r>
        <w:t>a deep understanding of</w:t>
      </w:r>
      <w:r w:rsidRPr="00222F66">
        <w:t xml:space="preserve"> themes in the modern</w:t>
      </w:r>
      <w:r>
        <w:t xml:space="preserve"> social and cultural</w:t>
      </w:r>
      <w:r w:rsidRPr="00222F66">
        <w:t xml:space="preserve"> history </w:t>
      </w:r>
      <w:r>
        <w:t>of Africa, from the beginning of the twentieth century to the present day.</w:t>
      </w:r>
    </w:p>
    <w:p w14:paraId="42998352" w14:textId="77777777" w:rsidR="00892173" w:rsidRPr="00A7766A" w:rsidRDefault="00892173" w:rsidP="00C13A5D">
      <w:pPr>
        <w:pStyle w:val="ListParagraph"/>
        <w:numPr>
          <w:ilvl w:val="0"/>
          <w:numId w:val="19"/>
        </w:numPr>
      </w:pPr>
      <w:r>
        <w:t>Confidently a</w:t>
      </w:r>
      <w:r w:rsidRPr="00A7766A">
        <w:t>ccount for major changes in the histories of colonial and postcolonial African states.</w:t>
      </w:r>
    </w:p>
    <w:p w14:paraId="164FBEFA" w14:textId="77777777" w:rsidR="00892173" w:rsidRPr="00222F66" w:rsidRDefault="00892173" w:rsidP="00C13A5D">
      <w:pPr>
        <w:pStyle w:val="ListParagraph"/>
        <w:numPr>
          <w:ilvl w:val="0"/>
          <w:numId w:val="19"/>
        </w:numPr>
      </w:pPr>
      <w:r>
        <w:t>Critically r</w:t>
      </w:r>
      <w:r w:rsidRPr="00222F66">
        <w:t>eflect on the concepts of ‘modernity’, ‘tradition’ and ‘culture’ as they apply to the African continent.</w:t>
      </w:r>
    </w:p>
    <w:p w14:paraId="0C5E3CAA" w14:textId="77777777" w:rsidR="00892173" w:rsidRDefault="00892173" w:rsidP="00C13A5D">
      <w:pPr>
        <w:pStyle w:val="ListParagraph"/>
        <w:numPr>
          <w:ilvl w:val="0"/>
          <w:numId w:val="19"/>
        </w:numPr>
      </w:pPr>
      <w:r w:rsidRPr="00222F66">
        <w:t>Discuss the legacies of major historical developments for the continent today.</w:t>
      </w:r>
    </w:p>
    <w:p w14:paraId="1649EFF2" w14:textId="77777777" w:rsidR="00892173" w:rsidRPr="00A7766A" w:rsidRDefault="00892173" w:rsidP="00C13A5D">
      <w:pPr>
        <w:pStyle w:val="ListParagraph"/>
        <w:numPr>
          <w:ilvl w:val="0"/>
          <w:numId w:val="19"/>
        </w:numPr>
      </w:pPr>
      <w:r>
        <w:t xml:space="preserve">Demonstrate advanced skills in the critical analysis of </w:t>
      </w:r>
      <w:r w:rsidRPr="00A7766A">
        <w:t>primary and secondary sources.</w:t>
      </w:r>
    </w:p>
    <w:p w14:paraId="37BFA2B5" w14:textId="77777777" w:rsidR="00720846" w:rsidRDefault="00720846">
      <w:pPr>
        <w:rPr>
          <w:rFonts w:asciiTheme="majorHAnsi" w:eastAsiaTheme="majorEastAsia" w:hAnsiTheme="majorHAnsi" w:cstheme="majorBidi"/>
          <w:color w:val="0F4761" w:themeColor="accent1" w:themeShade="BF"/>
          <w:sz w:val="40"/>
          <w:szCs w:val="40"/>
        </w:rPr>
      </w:pPr>
      <w:r>
        <w:br w:type="page"/>
      </w:r>
    </w:p>
    <w:p w14:paraId="5B7E158A" w14:textId="4E052DEC" w:rsidR="0036021B" w:rsidRPr="0036021B" w:rsidRDefault="0036021B" w:rsidP="00720846">
      <w:pPr>
        <w:pStyle w:val="Heading1"/>
      </w:pPr>
      <w:r w:rsidRPr="0036021B">
        <w:lastRenderedPageBreak/>
        <w:t>Class schedule</w:t>
      </w:r>
    </w:p>
    <w:p w14:paraId="0F0D454C" w14:textId="77777777" w:rsidR="0036021B" w:rsidRPr="0036021B" w:rsidRDefault="0036021B" w:rsidP="0036021B">
      <w:r w:rsidRPr="0036021B">
        <w:t xml:space="preserve">The class will take place according to the schedule in the table below. </w:t>
      </w:r>
    </w:p>
    <w:p w14:paraId="0B28393F" w14:textId="77777777" w:rsidR="0036021B" w:rsidRPr="0036021B" w:rsidRDefault="0036021B" w:rsidP="0036021B">
      <w:pPr>
        <w:rPr>
          <w:b/>
          <w:bCs/>
        </w:rPr>
      </w:pPr>
    </w:p>
    <w:tbl>
      <w:tblPr>
        <w:tblW w:w="0" w:type="auto"/>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27"/>
        <w:gridCol w:w="3308"/>
      </w:tblGrid>
      <w:tr w:rsidR="0036021B" w:rsidRPr="0036021B" w14:paraId="72ACF276"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2128E80D" w14:textId="77777777" w:rsidR="0036021B" w:rsidRPr="0036021B" w:rsidRDefault="0036021B" w:rsidP="0036021B">
            <w:pPr>
              <w:rPr>
                <w:b/>
                <w:bCs/>
              </w:rPr>
            </w:pPr>
            <w:r w:rsidRPr="0036021B">
              <w:rPr>
                <w:b/>
                <w:bCs/>
              </w:rPr>
              <w:t>Session Number</w:t>
            </w:r>
          </w:p>
        </w:tc>
        <w:tc>
          <w:tcPr>
            <w:tcW w:w="3308" w:type="dxa"/>
            <w:tcBorders>
              <w:top w:val="outset" w:sz="6" w:space="0" w:color="auto"/>
              <w:left w:val="outset" w:sz="6" w:space="0" w:color="auto"/>
              <w:bottom w:val="outset" w:sz="6" w:space="0" w:color="auto"/>
              <w:right w:val="outset" w:sz="6" w:space="0" w:color="auto"/>
            </w:tcBorders>
            <w:hideMark/>
          </w:tcPr>
          <w:p w14:paraId="395AFD1C" w14:textId="77777777" w:rsidR="0036021B" w:rsidRPr="0036021B" w:rsidRDefault="0036021B" w:rsidP="0036021B">
            <w:pPr>
              <w:rPr>
                <w:b/>
                <w:bCs/>
              </w:rPr>
            </w:pPr>
            <w:r w:rsidRPr="0036021B">
              <w:rPr>
                <w:b/>
                <w:bCs/>
              </w:rPr>
              <w:t>Topic</w:t>
            </w:r>
          </w:p>
        </w:tc>
      </w:tr>
      <w:tr w:rsidR="0036021B" w:rsidRPr="0036021B" w14:paraId="584EB5D7"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6FDE8A28" w14:textId="77777777" w:rsidR="0036021B" w:rsidRPr="0036021B" w:rsidRDefault="0036021B" w:rsidP="0036021B">
            <w:r w:rsidRPr="0036021B">
              <w:t>Session 1</w:t>
            </w:r>
          </w:p>
        </w:tc>
        <w:tc>
          <w:tcPr>
            <w:tcW w:w="3308" w:type="dxa"/>
            <w:tcBorders>
              <w:top w:val="outset" w:sz="6" w:space="0" w:color="auto"/>
              <w:left w:val="outset" w:sz="6" w:space="0" w:color="auto"/>
              <w:bottom w:val="outset" w:sz="6" w:space="0" w:color="auto"/>
              <w:right w:val="outset" w:sz="6" w:space="0" w:color="auto"/>
            </w:tcBorders>
            <w:hideMark/>
          </w:tcPr>
          <w:p w14:paraId="476712F2" w14:textId="727A1F99" w:rsidR="0036021B" w:rsidRPr="0036021B" w:rsidRDefault="0036021B" w:rsidP="0036021B">
            <w:r w:rsidRPr="0036021B">
              <w:t>Introduction to the module</w:t>
            </w:r>
          </w:p>
        </w:tc>
      </w:tr>
      <w:tr w:rsidR="0036021B" w:rsidRPr="0036021B" w14:paraId="3EE3307D"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5EA2D078" w14:textId="77777777" w:rsidR="0036021B" w:rsidRPr="0036021B" w:rsidRDefault="0036021B" w:rsidP="0036021B">
            <w:r w:rsidRPr="0036021B">
              <w:t>Session 2</w:t>
            </w:r>
          </w:p>
        </w:tc>
        <w:tc>
          <w:tcPr>
            <w:tcW w:w="3308" w:type="dxa"/>
            <w:tcBorders>
              <w:top w:val="outset" w:sz="6" w:space="0" w:color="auto"/>
              <w:left w:val="outset" w:sz="6" w:space="0" w:color="auto"/>
              <w:bottom w:val="outset" w:sz="6" w:space="0" w:color="auto"/>
              <w:right w:val="outset" w:sz="6" w:space="0" w:color="auto"/>
            </w:tcBorders>
            <w:hideMark/>
          </w:tcPr>
          <w:p w14:paraId="272483DB" w14:textId="1DC93382" w:rsidR="0036021B" w:rsidRPr="0036021B" w:rsidRDefault="002A206A" w:rsidP="0036021B">
            <w:r>
              <w:t>Ideas of Africa</w:t>
            </w:r>
          </w:p>
        </w:tc>
      </w:tr>
      <w:tr w:rsidR="0036021B" w:rsidRPr="0036021B" w14:paraId="0A505722"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2CC813A3" w14:textId="77777777" w:rsidR="0036021B" w:rsidRPr="0036021B" w:rsidRDefault="0036021B" w:rsidP="0036021B">
            <w:r w:rsidRPr="0036021B">
              <w:t>Session 3</w:t>
            </w:r>
          </w:p>
        </w:tc>
        <w:tc>
          <w:tcPr>
            <w:tcW w:w="3308" w:type="dxa"/>
            <w:tcBorders>
              <w:top w:val="outset" w:sz="6" w:space="0" w:color="auto"/>
              <w:left w:val="outset" w:sz="6" w:space="0" w:color="auto"/>
              <w:bottom w:val="outset" w:sz="6" w:space="0" w:color="auto"/>
              <w:right w:val="outset" w:sz="6" w:space="0" w:color="auto"/>
            </w:tcBorders>
            <w:hideMark/>
          </w:tcPr>
          <w:p w14:paraId="12A62118" w14:textId="1F0DE852" w:rsidR="0036021B" w:rsidRPr="0036021B" w:rsidRDefault="00547E40" w:rsidP="0036021B">
            <w:r>
              <w:t>Identities I: Ethnicity</w:t>
            </w:r>
          </w:p>
        </w:tc>
      </w:tr>
      <w:tr w:rsidR="0036021B" w:rsidRPr="0036021B" w14:paraId="5495FF4A"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472B7CC8" w14:textId="77777777" w:rsidR="0036021B" w:rsidRPr="0036021B" w:rsidRDefault="0036021B" w:rsidP="0036021B">
            <w:r w:rsidRPr="0036021B">
              <w:t xml:space="preserve">  Session 4</w:t>
            </w:r>
          </w:p>
        </w:tc>
        <w:tc>
          <w:tcPr>
            <w:tcW w:w="3308" w:type="dxa"/>
            <w:tcBorders>
              <w:top w:val="outset" w:sz="6" w:space="0" w:color="auto"/>
              <w:left w:val="outset" w:sz="6" w:space="0" w:color="auto"/>
              <w:bottom w:val="outset" w:sz="6" w:space="0" w:color="auto"/>
              <w:right w:val="outset" w:sz="6" w:space="0" w:color="auto"/>
            </w:tcBorders>
            <w:hideMark/>
          </w:tcPr>
          <w:p w14:paraId="6A5EDECB" w14:textId="508A848D" w:rsidR="0036021B" w:rsidRPr="0036021B" w:rsidRDefault="00547E40" w:rsidP="0036021B">
            <w:r>
              <w:t>Identities II: Gender, age and generation</w:t>
            </w:r>
          </w:p>
        </w:tc>
      </w:tr>
      <w:tr w:rsidR="0036021B" w:rsidRPr="0036021B" w14:paraId="35306ADC"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196FA927" w14:textId="77777777" w:rsidR="0036021B" w:rsidRPr="0036021B" w:rsidRDefault="0036021B" w:rsidP="0036021B">
            <w:r w:rsidRPr="0036021B">
              <w:t>Session 5</w:t>
            </w:r>
          </w:p>
        </w:tc>
        <w:tc>
          <w:tcPr>
            <w:tcW w:w="3308" w:type="dxa"/>
            <w:tcBorders>
              <w:top w:val="outset" w:sz="6" w:space="0" w:color="auto"/>
              <w:left w:val="outset" w:sz="6" w:space="0" w:color="auto"/>
              <w:bottom w:val="outset" w:sz="6" w:space="0" w:color="auto"/>
              <w:right w:val="outset" w:sz="6" w:space="0" w:color="auto"/>
            </w:tcBorders>
            <w:hideMark/>
          </w:tcPr>
          <w:p w14:paraId="6BB90CE4" w14:textId="3795CD3B" w:rsidR="0036021B" w:rsidRPr="0036021B" w:rsidRDefault="00547E40" w:rsidP="0036021B">
            <w:r>
              <w:t>Assignment workshop</w:t>
            </w:r>
          </w:p>
        </w:tc>
      </w:tr>
      <w:tr w:rsidR="0036021B" w:rsidRPr="0036021B" w14:paraId="0B66BC69"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1D804048" w14:textId="77777777" w:rsidR="0036021B" w:rsidRPr="0036021B" w:rsidRDefault="0036021B" w:rsidP="0036021B">
            <w:r w:rsidRPr="0036021B">
              <w:t>Session 6</w:t>
            </w:r>
          </w:p>
        </w:tc>
        <w:tc>
          <w:tcPr>
            <w:tcW w:w="3308" w:type="dxa"/>
            <w:tcBorders>
              <w:top w:val="outset" w:sz="6" w:space="0" w:color="auto"/>
              <w:left w:val="outset" w:sz="6" w:space="0" w:color="auto"/>
              <w:bottom w:val="outset" w:sz="6" w:space="0" w:color="auto"/>
              <w:right w:val="outset" w:sz="6" w:space="0" w:color="auto"/>
            </w:tcBorders>
            <w:hideMark/>
          </w:tcPr>
          <w:p w14:paraId="5C2ED323" w14:textId="2724C9BD" w:rsidR="0036021B" w:rsidRPr="0036021B" w:rsidRDefault="009A2440" w:rsidP="0036021B">
            <w:r>
              <w:t>Urbanisation and life</w:t>
            </w:r>
            <w:r w:rsidR="00892173">
              <w:t xml:space="preserve"> in the cities</w:t>
            </w:r>
          </w:p>
        </w:tc>
      </w:tr>
      <w:tr w:rsidR="0036021B" w:rsidRPr="0036021B" w14:paraId="545AC0EE"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7F56C1B0" w14:textId="77777777" w:rsidR="0036021B" w:rsidRPr="0036021B" w:rsidRDefault="0036021B" w:rsidP="0036021B">
            <w:r w:rsidRPr="0036021B">
              <w:t>Session 7</w:t>
            </w:r>
          </w:p>
        </w:tc>
        <w:tc>
          <w:tcPr>
            <w:tcW w:w="3308" w:type="dxa"/>
            <w:tcBorders>
              <w:top w:val="outset" w:sz="6" w:space="0" w:color="auto"/>
              <w:left w:val="outset" w:sz="6" w:space="0" w:color="auto"/>
              <w:bottom w:val="outset" w:sz="6" w:space="0" w:color="auto"/>
              <w:right w:val="outset" w:sz="6" w:space="0" w:color="auto"/>
            </w:tcBorders>
            <w:hideMark/>
          </w:tcPr>
          <w:p w14:paraId="3E5169F5" w14:textId="59D1D12C" w:rsidR="0036021B" w:rsidRPr="0036021B" w:rsidRDefault="00547E40" w:rsidP="0036021B">
            <w:r>
              <w:t>Alcohol and drugs</w:t>
            </w:r>
          </w:p>
        </w:tc>
      </w:tr>
      <w:tr w:rsidR="0036021B" w:rsidRPr="0036021B" w14:paraId="4329E6D4"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38A85E00" w14:textId="77777777" w:rsidR="0036021B" w:rsidRPr="0036021B" w:rsidRDefault="0036021B" w:rsidP="0036021B">
            <w:pPr>
              <w:rPr>
                <w:b/>
                <w:bCs/>
                <w:lang w:val="fr-FR"/>
              </w:rPr>
            </w:pPr>
            <w:r w:rsidRPr="0036021B">
              <w:rPr>
                <w:lang w:val="fr-FR"/>
              </w:rPr>
              <w:t>Session 8</w:t>
            </w:r>
          </w:p>
        </w:tc>
        <w:tc>
          <w:tcPr>
            <w:tcW w:w="3308" w:type="dxa"/>
            <w:tcBorders>
              <w:top w:val="outset" w:sz="6" w:space="0" w:color="auto"/>
              <w:left w:val="outset" w:sz="6" w:space="0" w:color="auto"/>
              <w:bottom w:val="outset" w:sz="6" w:space="0" w:color="auto"/>
              <w:right w:val="outset" w:sz="6" w:space="0" w:color="auto"/>
            </w:tcBorders>
            <w:hideMark/>
          </w:tcPr>
          <w:p w14:paraId="2E2B034A" w14:textId="03491B21" w:rsidR="0036021B" w:rsidRPr="0036021B" w:rsidRDefault="00547E40" w:rsidP="0036021B">
            <w:pPr>
              <w:rPr>
                <w:lang w:val="fr-FR"/>
              </w:rPr>
            </w:pPr>
            <w:r>
              <w:rPr>
                <w:lang w:val="fr-FR"/>
              </w:rPr>
              <w:t>Witchcraft</w:t>
            </w:r>
          </w:p>
        </w:tc>
      </w:tr>
      <w:tr w:rsidR="0036021B" w:rsidRPr="0036021B" w14:paraId="5DA56133"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39892EA7" w14:textId="77777777" w:rsidR="0036021B" w:rsidRPr="0036021B" w:rsidRDefault="0036021B" w:rsidP="0036021B">
            <w:r w:rsidRPr="0036021B">
              <w:t>Session 9</w:t>
            </w:r>
          </w:p>
        </w:tc>
        <w:tc>
          <w:tcPr>
            <w:tcW w:w="3308" w:type="dxa"/>
            <w:tcBorders>
              <w:top w:val="outset" w:sz="6" w:space="0" w:color="auto"/>
              <w:left w:val="outset" w:sz="6" w:space="0" w:color="auto"/>
              <w:bottom w:val="outset" w:sz="6" w:space="0" w:color="auto"/>
              <w:right w:val="outset" w:sz="6" w:space="0" w:color="auto"/>
            </w:tcBorders>
            <w:hideMark/>
          </w:tcPr>
          <w:p w14:paraId="5ECF9C20" w14:textId="0C353CC6" w:rsidR="0036021B" w:rsidRPr="0036021B" w:rsidRDefault="00B97D4C" w:rsidP="0036021B">
            <w:r>
              <w:t>Pandemics, health, and healing: Historicising the HIV/AIDS crisis in Africa</w:t>
            </w:r>
          </w:p>
        </w:tc>
      </w:tr>
      <w:tr w:rsidR="0036021B" w:rsidRPr="0036021B" w14:paraId="3FBB9581" w14:textId="77777777">
        <w:trPr>
          <w:jc w:val="center"/>
        </w:trPr>
        <w:tc>
          <w:tcPr>
            <w:tcW w:w="4227" w:type="dxa"/>
            <w:tcBorders>
              <w:top w:val="outset" w:sz="6" w:space="0" w:color="auto"/>
              <w:left w:val="outset" w:sz="6" w:space="0" w:color="auto"/>
              <w:bottom w:val="outset" w:sz="6" w:space="0" w:color="auto"/>
              <w:right w:val="outset" w:sz="6" w:space="0" w:color="auto"/>
            </w:tcBorders>
            <w:hideMark/>
          </w:tcPr>
          <w:p w14:paraId="2C8EB8BF" w14:textId="77777777" w:rsidR="0036021B" w:rsidRPr="0036021B" w:rsidRDefault="0036021B" w:rsidP="0036021B">
            <w:r w:rsidRPr="0036021B">
              <w:t xml:space="preserve">Session 10 </w:t>
            </w:r>
          </w:p>
        </w:tc>
        <w:tc>
          <w:tcPr>
            <w:tcW w:w="3308" w:type="dxa"/>
            <w:tcBorders>
              <w:top w:val="outset" w:sz="6" w:space="0" w:color="auto"/>
              <w:left w:val="outset" w:sz="6" w:space="0" w:color="auto"/>
              <w:bottom w:val="outset" w:sz="6" w:space="0" w:color="auto"/>
              <w:right w:val="outset" w:sz="6" w:space="0" w:color="auto"/>
            </w:tcBorders>
            <w:hideMark/>
          </w:tcPr>
          <w:p w14:paraId="7A523B58" w14:textId="090A963C" w:rsidR="0036021B" w:rsidRPr="0036021B" w:rsidRDefault="006F5EE0" w:rsidP="0036021B">
            <w:r>
              <w:t>Popular cultures</w:t>
            </w:r>
          </w:p>
        </w:tc>
      </w:tr>
      <w:tr w:rsidR="00547E40" w:rsidRPr="0036021B" w14:paraId="359E44BF" w14:textId="77777777">
        <w:trPr>
          <w:jc w:val="center"/>
        </w:trPr>
        <w:tc>
          <w:tcPr>
            <w:tcW w:w="4227" w:type="dxa"/>
            <w:tcBorders>
              <w:top w:val="outset" w:sz="6" w:space="0" w:color="auto"/>
              <w:left w:val="outset" w:sz="6" w:space="0" w:color="auto"/>
              <w:bottom w:val="outset" w:sz="6" w:space="0" w:color="auto"/>
              <w:right w:val="outset" w:sz="6" w:space="0" w:color="auto"/>
            </w:tcBorders>
          </w:tcPr>
          <w:p w14:paraId="0645F317" w14:textId="07E42BF3" w:rsidR="00547E40" w:rsidRPr="0036021B" w:rsidRDefault="00547E40" w:rsidP="0036021B">
            <w:r>
              <w:t>Session 11</w:t>
            </w:r>
          </w:p>
        </w:tc>
        <w:tc>
          <w:tcPr>
            <w:tcW w:w="3308" w:type="dxa"/>
            <w:tcBorders>
              <w:top w:val="outset" w:sz="6" w:space="0" w:color="auto"/>
              <w:left w:val="outset" w:sz="6" w:space="0" w:color="auto"/>
              <w:bottom w:val="outset" w:sz="6" w:space="0" w:color="auto"/>
              <w:right w:val="outset" w:sz="6" w:space="0" w:color="auto"/>
            </w:tcBorders>
          </w:tcPr>
          <w:p w14:paraId="448B7898" w14:textId="2E58C107" w:rsidR="00547E40" w:rsidRPr="0036021B" w:rsidRDefault="006F5EE0" w:rsidP="0036021B">
            <w:r>
              <w:t>Human rights</w:t>
            </w:r>
          </w:p>
        </w:tc>
      </w:tr>
      <w:tr w:rsidR="00547E40" w:rsidRPr="0036021B" w14:paraId="7D2C9E55" w14:textId="77777777">
        <w:trPr>
          <w:jc w:val="center"/>
        </w:trPr>
        <w:tc>
          <w:tcPr>
            <w:tcW w:w="4227" w:type="dxa"/>
            <w:tcBorders>
              <w:top w:val="outset" w:sz="6" w:space="0" w:color="auto"/>
              <w:left w:val="outset" w:sz="6" w:space="0" w:color="auto"/>
              <w:bottom w:val="outset" w:sz="6" w:space="0" w:color="auto"/>
              <w:right w:val="outset" w:sz="6" w:space="0" w:color="auto"/>
            </w:tcBorders>
          </w:tcPr>
          <w:p w14:paraId="3E17FFAF" w14:textId="155248DA" w:rsidR="00547E40" w:rsidRDefault="00547E40" w:rsidP="0036021B">
            <w:r>
              <w:t>Session 12</w:t>
            </w:r>
          </w:p>
        </w:tc>
        <w:tc>
          <w:tcPr>
            <w:tcW w:w="3308" w:type="dxa"/>
            <w:tcBorders>
              <w:top w:val="outset" w:sz="6" w:space="0" w:color="auto"/>
              <w:left w:val="outset" w:sz="6" w:space="0" w:color="auto"/>
              <w:bottom w:val="outset" w:sz="6" w:space="0" w:color="auto"/>
              <w:right w:val="outset" w:sz="6" w:space="0" w:color="auto"/>
            </w:tcBorders>
          </w:tcPr>
          <w:p w14:paraId="39B8AF5F" w14:textId="2E16C7D7" w:rsidR="00547E40" w:rsidRPr="0036021B" w:rsidRDefault="00AD3A77" w:rsidP="0036021B">
            <w:r>
              <w:t>Assignment workshop</w:t>
            </w:r>
          </w:p>
        </w:tc>
      </w:tr>
    </w:tbl>
    <w:p w14:paraId="1A635D7E" w14:textId="77777777" w:rsidR="0036021B" w:rsidRPr="0036021B" w:rsidRDefault="0036021B" w:rsidP="0036021B"/>
    <w:p w14:paraId="71066644" w14:textId="77777777" w:rsidR="0036021B" w:rsidRPr="0036021B" w:rsidRDefault="0036021B" w:rsidP="0036021B">
      <w:r w:rsidRPr="0036021B">
        <w:t>If for any reason you are unable to attend a class, please advise me by email, ideally well in advance. Absences without notice will be marked as unauthorised, and attendance records are submitted to the Faculty Office.</w:t>
      </w:r>
    </w:p>
    <w:p w14:paraId="1D8E2116" w14:textId="77777777" w:rsidR="0036021B" w:rsidRPr="0036021B" w:rsidRDefault="0036021B" w:rsidP="006F5EE0">
      <w:pPr>
        <w:pStyle w:val="Heading2"/>
      </w:pPr>
      <w:r w:rsidRPr="0036021B">
        <w:t>Preparing for class</w:t>
      </w:r>
    </w:p>
    <w:p w14:paraId="70980F7F" w14:textId="77777777" w:rsidR="0036021B" w:rsidRDefault="0036021B" w:rsidP="0036021B">
      <w:r w:rsidRPr="0036021B">
        <w:t xml:space="preserve">You are expected to engage with the key reading set for each class. Please be aware that the listed contact (in-class) hours are only a small amount of the time you are expected to be working on this module. This means reading, preparing for class, and working on your assignments. The set reading for each class is listed on Moodle. Please bring notes on your reading to class, focusing on the questions raised by what you’ve read, and the arguments set forth in the work, as you will be expected to draw upon your reading in </w:t>
      </w:r>
      <w:r w:rsidRPr="0036021B">
        <w:lastRenderedPageBreak/>
        <w:t>class exercises. I hope that you will find the set material stimulating. A fuller reading list is provided at the end of this handbook, to help you to research your assignments. The reading lists are not exhaustive and you are encouraged to research supplementary materials for your assignments.</w:t>
      </w:r>
    </w:p>
    <w:p w14:paraId="4F43AE82" w14:textId="77777777" w:rsidR="008876B4" w:rsidRPr="008876B4" w:rsidRDefault="008876B4" w:rsidP="008876B4">
      <w:pPr>
        <w:pStyle w:val="Heading1"/>
      </w:pPr>
      <w:r w:rsidRPr="008876B4">
        <w:t>Asssessment for this module</w:t>
      </w:r>
    </w:p>
    <w:p w14:paraId="6AF7389B" w14:textId="32DA9354" w:rsidR="00677E2F" w:rsidRPr="000E4BA4" w:rsidRDefault="008876B4" w:rsidP="00550702">
      <w:r w:rsidRPr="008876B4">
        <w:t xml:space="preserve">This module will be assessed through </w:t>
      </w:r>
      <w:r w:rsidR="00487E85">
        <w:t>2 essays of 2500 words each. Each essay is worth 50% of the module. There are two lists of essay questions, one relating to the first half of the module, and the second relating to the second half. You must choose one essay from each list.</w:t>
      </w:r>
      <w:r w:rsidR="000E4BA4">
        <w:t xml:space="preserve"> </w:t>
      </w:r>
    </w:p>
    <w:p w14:paraId="53428992" w14:textId="0B716DD5" w:rsidR="00677E2F" w:rsidRDefault="00677E2F" w:rsidP="00677E2F">
      <w:pPr>
        <w:pStyle w:val="Heading2"/>
      </w:pPr>
      <w:r>
        <w:t>Essay 1</w:t>
      </w:r>
      <w:r w:rsidR="00550702">
        <w:t xml:space="preserve"> – due Sunday 3 May 2026 at 23:59 PM</w:t>
      </w:r>
    </w:p>
    <w:p w14:paraId="18235757" w14:textId="02FEAF44" w:rsidR="00677E2F" w:rsidRPr="00677E2F" w:rsidRDefault="00677E2F" w:rsidP="00677E2F">
      <w:r>
        <w:t>Write a 2500-word essay on one of the following questions:</w:t>
      </w:r>
    </w:p>
    <w:p w14:paraId="4A3928A2" w14:textId="77777777" w:rsidR="00677E2F" w:rsidRPr="00677E2F" w:rsidRDefault="00677E2F" w:rsidP="00677E2F">
      <w:pPr>
        <w:pStyle w:val="ListParagraph"/>
        <w:numPr>
          <w:ilvl w:val="0"/>
          <w:numId w:val="22"/>
        </w:numPr>
        <w:rPr>
          <w:b/>
        </w:rPr>
      </w:pPr>
      <w:r>
        <w:t xml:space="preserve">To what extent can ethnicity in Africa be described as a colonial invention of tradition? </w:t>
      </w:r>
    </w:p>
    <w:p w14:paraId="0DD8B150" w14:textId="77777777" w:rsidR="00677E2F" w:rsidRPr="00677E2F" w:rsidRDefault="00677E2F" w:rsidP="00677E2F">
      <w:pPr>
        <w:pStyle w:val="ListParagraph"/>
        <w:numPr>
          <w:ilvl w:val="0"/>
          <w:numId w:val="22"/>
        </w:numPr>
        <w:rPr>
          <w:b/>
        </w:rPr>
      </w:pPr>
      <w:r>
        <w:t xml:space="preserve">How far has generation been a key driver of social tensions in African societies? </w:t>
      </w:r>
    </w:p>
    <w:p w14:paraId="4D16F11A" w14:textId="77777777" w:rsidR="00677E2F" w:rsidRPr="00677E2F" w:rsidRDefault="00677E2F" w:rsidP="00677E2F">
      <w:pPr>
        <w:pStyle w:val="ListParagraph"/>
        <w:numPr>
          <w:ilvl w:val="0"/>
          <w:numId w:val="22"/>
        </w:numPr>
        <w:rPr>
          <w:b/>
        </w:rPr>
      </w:pPr>
      <w:r>
        <w:t xml:space="preserve">How far were gender relations in colonial Africa characterised by a ‘patriarchal alliance’ (Simelane, 2004)? </w:t>
      </w:r>
    </w:p>
    <w:p w14:paraId="042C3E47" w14:textId="77777777" w:rsidR="00677E2F" w:rsidRPr="00677E2F" w:rsidRDefault="00677E2F" w:rsidP="00677E2F">
      <w:pPr>
        <w:pStyle w:val="ListParagraph"/>
        <w:numPr>
          <w:ilvl w:val="0"/>
          <w:numId w:val="22"/>
        </w:numPr>
        <w:rPr>
          <w:b/>
        </w:rPr>
      </w:pPr>
      <w:r>
        <w:t xml:space="preserve">Why were colonial authorities concerned by African urbanisation? </w:t>
      </w:r>
    </w:p>
    <w:p w14:paraId="305DD660" w14:textId="77777777" w:rsidR="00677E2F" w:rsidRPr="00677E2F" w:rsidRDefault="00677E2F" w:rsidP="00677E2F">
      <w:pPr>
        <w:pStyle w:val="ListParagraph"/>
        <w:numPr>
          <w:ilvl w:val="0"/>
          <w:numId w:val="22"/>
        </w:numPr>
        <w:rPr>
          <w:b/>
        </w:rPr>
      </w:pPr>
      <w:r>
        <w:t xml:space="preserve">How does the history of alcohol and drug use in Africa reveal social tensions? </w:t>
      </w:r>
    </w:p>
    <w:p w14:paraId="1AF5FDA4" w14:textId="77777777" w:rsidR="00677E2F" w:rsidRPr="00677E2F" w:rsidRDefault="00677E2F" w:rsidP="00677E2F">
      <w:pPr>
        <w:pStyle w:val="ListParagraph"/>
        <w:numPr>
          <w:ilvl w:val="0"/>
          <w:numId w:val="22"/>
        </w:numPr>
        <w:rPr>
          <w:b/>
        </w:rPr>
      </w:pPr>
      <w:r>
        <w:t xml:space="preserve">Why were colonial authorities so keen to legislate against witchcraft? </w:t>
      </w:r>
    </w:p>
    <w:p w14:paraId="35EF5C4A" w14:textId="55DF005B" w:rsidR="00677E2F" w:rsidRDefault="00677E2F" w:rsidP="00677E2F">
      <w:pPr>
        <w:pStyle w:val="Heading2"/>
      </w:pPr>
      <w:r>
        <w:t>Essay 2</w:t>
      </w:r>
      <w:r w:rsidR="00550702">
        <w:t xml:space="preserve"> – due Sunday 17 May 2026 at 23:59 PM</w:t>
      </w:r>
    </w:p>
    <w:p w14:paraId="18A62B5F" w14:textId="77777777" w:rsidR="00677E2F" w:rsidRPr="00677E2F" w:rsidRDefault="00677E2F" w:rsidP="00677E2F">
      <w:r>
        <w:t>Write a 2500-word essay on one of the following questions:</w:t>
      </w:r>
    </w:p>
    <w:p w14:paraId="1CEC2664" w14:textId="77777777" w:rsidR="004E2127" w:rsidRPr="004E2127" w:rsidRDefault="004E2127" w:rsidP="004E2127">
      <w:pPr>
        <w:pStyle w:val="ListParagraph"/>
        <w:numPr>
          <w:ilvl w:val="0"/>
          <w:numId w:val="23"/>
        </w:numPr>
        <w:rPr>
          <w:b/>
        </w:rPr>
      </w:pPr>
      <w:r>
        <w:t xml:space="preserve">How far have responses to the HIV/AIDS pandemic on the African continent mimicked responses to disease in the colonial period? </w:t>
      </w:r>
    </w:p>
    <w:p w14:paraId="7A721990" w14:textId="77777777" w:rsidR="004E2127" w:rsidRPr="004E2127" w:rsidRDefault="004E2127" w:rsidP="004E2127">
      <w:pPr>
        <w:pStyle w:val="ListParagraph"/>
        <w:numPr>
          <w:ilvl w:val="0"/>
          <w:numId w:val="23"/>
        </w:numPr>
        <w:rPr>
          <w:b/>
        </w:rPr>
      </w:pPr>
      <w:r>
        <w:t xml:space="preserve">What has been the role of popular music in African politics? </w:t>
      </w:r>
    </w:p>
    <w:p w14:paraId="064B949D" w14:textId="77777777" w:rsidR="004E2127" w:rsidRPr="004E2127" w:rsidRDefault="004E2127" w:rsidP="004E2127">
      <w:pPr>
        <w:pStyle w:val="ListParagraph"/>
        <w:numPr>
          <w:ilvl w:val="0"/>
          <w:numId w:val="23"/>
        </w:numPr>
        <w:rPr>
          <w:b/>
        </w:rPr>
      </w:pPr>
      <w:r>
        <w:t xml:space="preserve">What does the study of African fashion reveal about power and identity? </w:t>
      </w:r>
    </w:p>
    <w:p w14:paraId="1C9102B6" w14:textId="77777777" w:rsidR="004E2127" w:rsidRPr="00B11480" w:rsidRDefault="004E2127" w:rsidP="004E2127">
      <w:pPr>
        <w:pStyle w:val="ListParagraph"/>
        <w:numPr>
          <w:ilvl w:val="0"/>
          <w:numId w:val="23"/>
        </w:numPr>
        <w:rPr>
          <w:b/>
        </w:rPr>
      </w:pPr>
      <w:r>
        <w:t>Are human rights a Western imposition on Africa?</w:t>
      </w:r>
    </w:p>
    <w:p w14:paraId="1553A177" w14:textId="77777777" w:rsidR="00B11480" w:rsidRPr="00B11480" w:rsidRDefault="00B11480" w:rsidP="00B11480">
      <w:pPr>
        <w:pStyle w:val="Heading2"/>
      </w:pPr>
      <w:r w:rsidRPr="00B11480">
        <w:t>Assessment Criteria</w:t>
      </w:r>
    </w:p>
    <w:p w14:paraId="44661B49" w14:textId="77777777" w:rsidR="00B11480" w:rsidRPr="00B11480" w:rsidRDefault="00B11480" w:rsidP="00B11480">
      <w:pPr>
        <w:rPr>
          <w:bCs/>
        </w:rPr>
      </w:pPr>
      <w:r w:rsidRPr="00B11480">
        <w:rPr>
          <w:bCs/>
        </w:rPr>
        <w:t xml:space="preserve">All assignments will be assessed according to the University’s published Assessment Criteria, available here: </w:t>
      </w:r>
      <w:hyperlink r:id="rId14" w:history="1">
        <w:r w:rsidRPr="00B11480">
          <w:rPr>
            <w:rStyle w:val="Hyperlink"/>
            <w:bCs/>
          </w:rPr>
          <w:t>Assessment Criteria</w:t>
        </w:r>
      </w:hyperlink>
    </w:p>
    <w:p w14:paraId="1C319D2F" w14:textId="77777777" w:rsidR="00B11480" w:rsidRPr="00B11480" w:rsidRDefault="00B11480" w:rsidP="00B11480">
      <w:pPr>
        <w:rPr>
          <w:bCs/>
        </w:rPr>
      </w:pPr>
      <w:r w:rsidRPr="00B11480">
        <w:rPr>
          <w:bCs/>
        </w:rPr>
        <w:t>Please consult the appropriate criteria for your level of study (i.e. Level 5 or Level 6).</w:t>
      </w:r>
    </w:p>
    <w:p w14:paraId="3667C980" w14:textId="77777777" w:rsidR="00B11480" w:rsidRPr="00B11480" w:rsidRDefault="00B11480" w:rsidP="00B11480">
      <w:pPr>
        <w:pStyle w:val="Heading2"/>
      </w:pPr>
      <w:r w:rsidRPr="00B11480">
        <w:t>Guidance for essays</w:t>
      </w:r>
    </w:p>
    <w:p w14:paraId="46A9FA88" w14:textId="77777777" w:rsidR="00B11480" w:rsidRPr="00B11480" w:rsidRDefault="00B11480" w:rsidP="00B11480">
      <w:pPr>
        <w:rPr>
          <w:bCs/>
        </w:rPr>
      </w:pPr>
      <w:r w:rsidRPr="00B11480">
        <w:rPr>
          <w:bCs/>
        </w:rPr>
        <w:t>An excellent essay will be strong in the following areas:</w:t>
      </w:r>
    </w:p>
    <w:p w14:paraId="01FD14BE" w14:textId="77777777" w:rsidR="00B11480" w:rsidRPr="00B11480" w:rsidRDefault="00B11480" w:rsidP="00B11480">
      <w:pPr>
        <w:rPr>
          <w:bCs/>
        </w:rPr>
      </w:pPr>
      <w:r w:rsidRPr="00B11480">
        <w:rPr>
          <w:b/>
          <w:bCs/>
        </w:rPr>
        <w:lastRenderedPageBreak/>
        <w:t xml:space="preserve">Context, knowledge and coverage of the material: </w:t>
      </w:r>
      <w:r w:rsidRPr="00B11480">
        <w:rPr>
          <w:bCs/>
        </w:rPr>
        <w:t>The essay will contain arguments based on specific examples from your reading. It will demonstrate a good understanding of all the issues and good coverage of the relevant material. It will demonstrate that you have researched the topic in adequate depth and drawn upon appropriate academic sources.</w:t>
      </w:r>
    </w:p>
    <w:p w14:paraId="65116EA0" w14:textId="77777777" w:rsidR="00B11480" w:rsidRPr="00B11480" w:rsidRDefault="00B11480" w:rsidP="00B11480">
      <w:pPr>
        <w:rPr>
          <w:bCs/>
        </w:rPr>
      </w:pPr>
      <w:r w:rsidRPr="00B11480">
        <w:rPr>
          <w:b/>
          <w:bCs/>
        </w:rPr>
        <w:t xml:space="preserve">Structure and argument: </w:t>
      </w:r>
      <w:r w:rsidRPr="00B11480">
        <w:rPr>
          <w:bCs/>
        </w:rPr>
        <w:t>Your essay should be clearly structured and argued. This will include a clearly stated thesis statement in the introduction. This statement of the argument will then be systematically developed throughout the essay, with use of evidence to support your analysis, and summarised in a concluding paragraph.</w:t>
      </w:r>
    </w:p>
    <w:p w14:paraId="68CDD368" w14:textId="77777777" w:rsidR="00B11480" w:rsidRPr="00B11480" w:rsidRDefault="00B11480" w:rsidP="00B11480">
      <w:pPr>
        <w:rPr>
          <w:bCs/>
        </w:rPr>
      </w:pPr>
      <w:r w:rsidRPr="00B11480">
        <w:rPr>
          <w:b/>
          <w:bCs/>
        </w:rPr>
        <w:t xml:space="preserve">Critical technique: </w:t>
      </w:r>
      <w:r w:rsidRPr="00B11480">
        <w:rPr>
          <w:bCs/>
        </w:rPr>
        <w:t>Your essay will show an awareness of the historiography, and how scholars have debated your topic. It will also demonstrate an awareness of the problems and biases of particular source materials.</w:t>
      </w:r>
    </w:p>
    <w:p w14:paraId="3B34211C" w14:textId="77777777" w:rsidR="00B11480" w:rsidRPr="00B11480" w:rsidRDefault="00B11480" w:rsidP="00B11480">
      <w:pPr>
        <w:rPr>
          <w:bCs/>
        </w:rPr>
      </w:pPr>
      <w:r w:rsidRPr="00B11480">
        <w:rPr>
          <w:b/>
          <w:bCs/>
        </w:rPr>
        <w:t xml:space="preserve">Analysis: </w:t>
      </w:r>
      <w:r w:rsidRPr="00B11480">
        <w:rPr>
          <w:bCs/>
        </w:rPr>
        <w:t>Your essay will not simply explain events, nor restate the evidence and argument from other texts, but rather will appraise the validity of the evidence and closely analyse the topic or question under consideration.</w:t>
      </w:r>
    </w:p>
    <w:p w14:paraId="59E71154" w14:textId="77777777" w:rsidR="00B11480" w:rsidRPr="00B11480" w:rsidRDefault="00B11480" w:rsidP="00B11480">
      <w:pPr>
        <w:rPr>
          <w:b/>
        </w:rPr>
      </w:pPr>
      <w:r w:rsidRPr="00B11480">
        <w:rPr>
          <w:b/>
          <w:bCs/>
        </w:rPr>
        <w:t xml:space="preserve">Originality: </w:t>
      </w:r>
      <w:r w:rsidRPr="00B11480">
        <w:rPr>
          <w:bCs/>
        </w:rPr>
        <w:t>It will display original ideas and be thought-provoking – you are encouraged to express your own position on a debate, supporting it with evidence</w:t>
      </w:r>
      <w:r w:rsidRPr="00B11480">
        <w:rPr>
          <w:b/>
        </w:rPr>
        <w:t>.</w:t>
      </w:r>
    </w:p>
    <w:p w14:paraId="10909B69" w14:textId="77777777" w:rsidR="00B11480" w:rsidRPr="00B11480" w:rsidRDefault="00B11480" w:rsidP="00B11480">
      <w:pPr>
        <w:rPr>
          <w:bCs/>
        </w:rPr>
      </w:pPr>
      <w:r w:rsidRPr="00B11480">
        <w:rPr>
          <w:b/>
          <w:bCs/>
        </w:rPr>
        <w:t xml:space="preserve">Style and presentation: </w:t>
      </w:r>
      <w:r w:rsidRPr="00B11480">
        <w:rPr>
          <w:bCs/>
        </w:rPr>
        <w:t>Your work will have a good standard of grammar and syntax. It will preferably use the active voice, and will avoid contractions and informal language. All references will be correctly cited according to either MHRA or Harvard style.</w:t>
      </w:r>
    </w:p>
    <w:p w14:paraId="16A6C119" w14:textId="77777777" w:rsidR="00B11480" w:rsidRPr="00B11480" w:rsidRDefault="00B11480" w:rsidP="00B11480">
      <w:pPr>
        <w:pStyle w:val="Heading3"/>
      </w:pPr>
      <w:r w:rsidRPr="00B11480">
        <w:t>Approaching essay questions:</w:t>
      </w:r>
    </w:p>
    <w:p w14:paraId="164A872B" w14:textId="77777777" w:rsidR="00B11480" w:rsidRPr="00B11480" w:rsidRDefault="00B11480" w:rsidP="00B11480">
      <w:pPr>
        <w:numPr>
          <w:ilvl w:val="0"/>
          <w:numId w:val="24"/>
        </w:numPr>
        <w:rPr>
          <w:bCs/>
        </w:rPr>
      </w:pPr>
      <w:r w:rsidRPr="00B11480">
        <w:rPr>
          <w:bCs/>
        </w:rPr>
        <w:t>Unpack the question: make sure you’re answering every clause or aspect of the question?</w:t>
      </w:r>
    </w:p>
    <w:p w14:paraId="4430411B" w14:textId="77777777" w:rsidR="00B11480" w:rsidRPr="00B11480" w:rsidRDefault="00B11480" w:rsidP="00B11480">
      <w:pPr>
        <w:numPr>
          <w:ilvl w:val="0"/>
          <w:numId w:val="24"/>
        </w:numPr>
        <w:rPr>
          <w:bCs/>
        </w:rPr>
      </w:pPr>
      <w:r w:rsidRPr="00B11480">
        <w:rPr>
          <w:bCs/>
        </w:rPr>
        <w:t>Think behind the question: why is it being asked? What larger themes does it address?</w:t>
      </w:r>
    </w:p>
    <w:p w14:paraId="0A3E8367" w14:textId="77777777" w:rsidR="00B11480" w:rsidRPr="00B11480" w:rsidRDefault="00B11480" w:rsidP="00B11480">
      <w:pPr>
        <w:numPr>
          <w:ilvl w:val="0"/>
          <w:numId w:val="24"/>
        </w:numPr>
        <w:rPr>
          <w:bCs/>
        </w:rPr>
      </w:pPr>
      <w:r w:rsidRPr="00B11480">
        <w:rPr>
          <w:bCs/>
        </w:rPr>
        <w:t>Think about the evidence you are using: what are its strengths and weaknesses?</w:t>
      </w:r>
    </w:p>
    <w:p w14:paraId="0DF7D21F" w14:textId="77777777" w:rsidR="00B11480" w:rsidRPr="00B11480" w:rsidRDefault="00B11480" w:rsidP="00B11480">
      <w:pPr>
        <w:pStyle w:val="Heading3"/>
      </w:pPr>
      <w:r w:rsidRPr="00B11480">
        <w:t>Referencing</w:t>
      </w:r>
    </w:p>
    <w:p w14:paraId="77449ADE" w14:textId="77777777" w:rsidR="00B11480" w:rsidRPr="00B11480" w:rsidRDefault="00B11480" w:rsidP="00B11480">
      <w:pPr>
        <w:rPr>
          <w:bCs/>
        </w:rPr>
      </w:pPr>
      <w:r w:rsidRPr="00B11480">
        <w:rPr>
          <w:bCs/>
        </w:rPr>
        <w:t>For this module, you may use either MHRA or Harvard referencing styles. It is important that you reference properly and accurately, and I recommend that you refer carefully to the referencing handbook for your chosen style when you’re proofreading your references before submitting. Referencing handbooks can be consulted on the UWTSD Library website here:</w:t>
      </w:r>
    </w:p>
    <w:p w14:paraId="1DF62BEA" w14:textId="77777777" w:rsidR="00B11480" w:rsidRPr="00B11480" w:rsidRDefault="00B11480" w:rsidP="00B11480">
      <w:pPr>
        <w:rPr>
          <w:bCs/>
        </w:rPr>
      </w:pPr>
      <w:hyperlink r:id="rId15" w:history="1">
        <w:r w:rsidRPr="00B11480">
          <w:rPr>
            <w:rStyle w:val="Hyperlink"/>
            <w:bCs/>
          </w:rPr>
          <w:t>Referencing Handbooks - Digital Services | University of Wales Trinity Saint David</w:t>
        </w:r>
      </w:hyperlink>
    </w:p>
    <w:p w14:paraId="07FF6DD4" w14:textId="77777777" w:rsidR="00B11480" w:rsidRPr="00B11480" w:rsidRDefault="00B11480" w:rsidP="00B11480">
      <w:pPr>
        <w:pStyle w:val="Heading3"/>
      </w:pPr>
      <w:r w:rsidRPr="00B11480">
        <w:lastRenderedPageBreak/>
        <w:t>Use of AI</w:t>
      </w:r>
    </w:p>
    <w:p w14:paraId="6D250BDF" w14:textId="77777777" w:rsidR="00B11480" w:rsidRPr="00B11480" w:rsidRDefault="00B11480" w:rsidP="00B11480">
      <w:pPr>
        <w:rPr>
          <w:bCs/>
        </w:rPr>
      </w:pPr>
      <w:r w:rsidRPr="00B11480">
        <w:rPr>
          <w:bCs/>
        </w:rPr>
        <w:t>In addition to the General Allowable Uses of AI, for this module you are permitted to use AI for structuring, within the guidelines set out by the University’s guidance. Please consult the information on the Use of AI Tile on Moodle, and ensure that you are familiar with what you can, and cannot, do before using AI to support your studies. Please also note that you are required to keep all notes, drafts and other resources you have used to complete your assignment, before and after the use of any AI tool, as you may be required to produce these. Please ensure that you have reviewed this information before you attempt your assignments.</w:t>
      </w:r>
    </w:p>
    <w:p w14:paraId="41454A25" w14:textId="77777777" w:rsidR="00B11480" w:rsidRPr="00B11480" w:rsidRDefault="00B11480" w:rsidP="00B11480">
      <w:pPr>
        <w:rPr>
          <w:bCs/>
        </w:rPr>
      </w:pPr>
      <w:r w:rsidRPr="00B11480">
        <w:rPr>
          <w:bCs/>
        </w:rPr>
        <w:t>Whether you use AI or not in your assignments, all assignments must include an AI declaration. Guidance on how to declare your use of AI – or how to declare that you have not used it – is available on the Use of AI tile on Moodle.</w:t>
      </w:r>
    </w:p>
    <w:p w14:paraId="76C71837" w14:textId="77777777" w:rsidR="00720846" w:rsidRDefault="00720846">
      <w:pPr>
        <w:rPr>
          <w:rFonts w:asciiTheme="majorHAnsi" w:eastAsiaTheme="majorEastAsia" w:hAnsiTheme="majorHAnsi" w:cstheme="majorBidi"/>
          <w:color w:val="0F4761" w:themeColor="accent1" w:themeShade="BF"/>
          <w:sz w:val="40"/>
          <w:szCs w:val="40"/>
        </w:rPr>
      </w:pPr>
      <w:r>
        <w:br w:type="page"/>
      </w:r>
    </w:p>
    <w:p w14:paraId="40E7A326" w14:textId="66FC43EF" w:rsidR="008F1545" w:rsidRPr="00BB1059" w:rsidRDefault="00720846" w:rsidP="00D370C9">
      <w:pPr>
        <w:pStyle w:val="Heading1"/>
      </w:pPr>
      <w:r>
        <w:lastRenderedPageBreak/>
        <w:t>Class information and reading lists</w:t>
      </w:r>
    </w:p>
    <w:p w14:paraId="59CE9ED0" w14:textId="77777777" w:rsidR="00547E40" w:rsidRDefault="00833787" w:rsidP="005D60EB">
      <w:pPr>
        <w:pStyle w:val="Heading2"/>
      </w:pPr>
      <w:r>
        <w:t>Session 1: Introduction</w:t>
      </w:r>
      <w:r w:rsidR="00547E40">
        <w:t xml:space="preserve"> </w:t>
      </w:r>
    </w:p>
    <w:p w14:paraId="253C5307" w14:textId="4B0432A4" w:rsidR="0007668C" w:rsidRPr="0007668C" w:rsidRDefault="0007668C" w:rsidP="0007668C">
      <w:r>
        <w:t xml:space="preserve">This will be a gentle introduction to the module. We will go through what the module will cover, as well as how you will be assessed. There is no set reading for this class, but it would be helpful to </w:t>
      </w:r>
      <w:r w:rsidR="00D370C9">
        <w:t>read through the module handbook.</w:t>
      </w:r>
    </w:p>
    <w:p w14:paraId="136240ED" w14:textId="26DB5BF8" w:rsidR="00547E40" w:rsidRDefault="00547E40" w:rsidP="00547E40">
      <w:pPr>
        <w:pStyle w:val="Heading2"/>
      </w:pPr>
      <w:r>
        <w:t xml:space="preserve">Session 2: </w:t>
      </w:r>
      <w:r w:rsidR="00D04719">
        <w:t>Ideas of Africa</w:t>
      </w:r>
      <w:r w:rsidR="00833787">
        <w:t xml:space="preserve"> </w:t>
      </w:r>
    </w:p>
    <w:p w14:paraId="6AC118FF" w14:textId="28F1B28A" w:rsidR="00583A27" w:rsidRPr="00583A27" w:rsidRDefault="00684832" w:rsidP="00684832">
      <w:r w:rsidRPr="00684832">
        <w:t>In this session we will be considering how ideas of 'Africa' and 'modernity' have been constructed and imagined. We will be thinking critically about how colonial administrators, missionaries, social scientists and colonial-era social scientists produced stereotypical representations of Africa, and how these representations have been contested. Through this exploration, we will begin to recognise the multiplicity of African experiences.</w:t>
      </w:r>
    </w:p>
    <w:p w14:paraId="1739F138" w14:textId="34B7A045" w:rsidR="00833787" w:rsidRPr="005D60EB" w:rsidRDefault="00833787" w:rsidP="00833787">
      <w:pPr>
        <w:rPr>
          <w:b/>
          <w:bCs/>
        </w:rPr>
      </w:pPr>
      <w:r w:rsidRPr="005D60EB">
        <w:rPr>
          <w:b/>
          <w:bCs/>
        </w:rPr>
        <w:t>Key questions:</w:t>
      </w:r>
    </w:p>
    <w:p w14:paraId="3A58F6D3" w14:textId="275010DF" w:rsidR="00833787" w:rsidRDefault="00833787" w:rsidP="00684832">
      <w:pPr>
        <w:pStyle w:val="ListParagraph"/>
        <w:numPr>
          <w:ilvl w:val="0"/>
          <w:numId w:val="9"/>
        </w:numPr>
      </w:pPr>
      <w:r>
        <w:t>How does postcolonialism influence how we look at modern African culture?</w:t>
      </w:r>
    </w:p>
    <w:p w14:paraId="3EEC8CF8" w14:textId="4E333A82" w:rsidR="00833787" w:rsidRDefault="00833787" w:rsidP="00684832">
      <w:pPr>
        <w:pStyle w:val="ListParagraph"/>
        <w:numPr>
          <w:ilvl w:val="0"/>
          <w:numId w:val="9"/>
        </w:numPr>
      </w:pPr>
      <w:r>
        <w:t>Why do we write histories of ‘modern’ and ‘postcolonial’ Africa?</w:t>
      </w:r>
    </w:p>
    <w:p w14:paraId="3FDB8FD5" w14:textId="727C2A97" w:rsidR="00833787" w:rsidRDefault="00833787" w:rsidP="00684832">
      <w:pPr>
        <w:pStyle w:val="ListParagraph"/>
        <w:numPr>
          <w:ilvl w:val="0"/>
          <w:numId w:val="9"/>
        </w:numPr>
      </w:pPr>
      <w:r>
        <w:t>How useful is periodisation? What is the role of the ‘colonial’ in this?</w:t>
      </w:r>
    </w:p>
    <w:p w14:paraId="2240AC69" w14:textId="59EF28D0" w:rsidR="00833787" w:rsidRDefault="00833787" w:rsidP="00684832">
      <w:pPr>
        <w:pStyle w:val="ListParagraph"/>
        <w:numPr>
          <w:ilvl w:val="0"/>
          <w:numId w:val="9"/>
        </w:numPr>
      </w:pPr>
      <w:r>
        <w:t>What kinds of ‘modernity’ is Africa experiencing?</w:t>
      </w:r>
    </w:p>
    <w:p w14:paraId="0E64E836" w14:textId="2A95A276" w:rsidR="00833787" w:rsidRDefault="00833787" w:rsidP="00833787">
      <w:pPr>
        <w:rPr>
          <w:b/>
          <w:bCs/>
        </w:rPr>
      </w:pPr>
      <w:r w:rsidRPr="005D60EB">
        <w:rPr>
          <w:b/>
          <w:bCs/>
        </w:rPr>
        <w:t>Key reading:</w:t>
      </w:r>
    </w:p>
    <w:p w14:paraId="59BB141F" w14:textId="4699C70B" w:rsidR="00037896" w:rsidRPr="00684832" w:rsidRDefault="00037896" w:rsidP="00684832">
      <w:r w:rsidRPr="00684832">
        <w:t xml:space="preserve">Toyin Falola, </w:t>
      </w:r>
      <w:r w:rsidRPr="00684832">
        <w:rPr>
          <w:i/>
          <w:iCs/>
        </w:rPr>
        <w:t xml:space="preserve">The Power of African Cultures </w:t>
      </w:r>
      <w:r w:rsidRPr="00684832">
        <w:t>(2003), Chapter 2.</w:t>
      </w:r>
    </w:p>
    <w:p w14:paraId="497B943C" w14:textId="1638754E" w:rsidR="003C3CDF" w:rsidRDefault="003C3CDF" w:rsidP="00833787">
      <w:r w:rsidRPr="00684832">
        <w:t xml:space="preserve">Jan-Georg Deutsch, Peter Probst and Heike I. Schmidt (eds.), </w:t>
      </w:r>
      <w:r w:rsidRPr="00684832">
        <w:rPr>
          <w:i/>
          <w:iCs/>
        </w:rPr>
        <w:t xml:space="preserve">African Modernities: Entangled Meanings in Current Debate </w:t>
      </w:r>
      <w:r w:rsidRPr="00684832">
        <w:t>(Oxford, 2002)</w:t>
      </w:r>
      <w:r w:rsidR="00684832" w:rsidRPr="00684832">
        <w:t>, Chapter 1.</w:t>
      </w:r>
    </w:p>
    <w:p w14:paraId="42FE7181" w14:textId="49D347F0" w:rsidR="00833787" w:rsidRDefault="00833787" w:rsidP="00833787">
      <w:r w:rsidRPr="00684832">
        <w:t xml:space="preserve">Stephen Ellis, ‘Writing histories of contemporary Africa’, </w:t>
      </w:r>
      <w:r w:rsidRPr="00684832">
        <w:rPr>
          <w:i/>
          <w:iCs/>
        </w:rPr>
        <w:t xml:space="preserve">Journal of African History, </w:t>
      </w:r>
      <w:r w:rsidRPr="00684832">
        <w:t>43.1 (2002), 1-25.</w:t>
      </w:r>
    </w:p>
    <w:p w14:paraId="56BB071B" w14:textId="65D167F6" w:rsidR="005D60EB" w:rsidRDefault="005D60EB" w:rsidP="005D60EB">
      <w:pPr>
        <w:rPr>
          <w:b/>
          <w:bCs/>
        </w:rPr>
      </w:pPr>
      <w:r w:rsidRPr="005D60EB">
        <w:rPr>
          <w:b/>
          <w:bCs/>
        </w:rPr>
        <w:t>Further reading (for essay preparation)</w:t>
      </w:r>
    </w:p>
    <w:p w14:paraId="56B86325" w14:textId="347B60EB" w:rsidR="005D60EB" w:rsidRPr="002709F6" w:rsidRDefault="005D60EB" w:rsidP="005D60EB">
      <w:r w:rsidRPr="002709F6">
        <w:t xml:space="preserve">Kwame A. Appiah, </w:t>
      </w:r>
      <w:r w:rsidRPr="002709F6">
        <w:rPr>
          <w:i/>
          <w:iCs/>
        </w:rPr>
        <w:t xml:space="preserve">In My Father’s House: Africa and the Philosophy of Culture </w:t>
      </w:r>
      <w:r w:rsidRPr="002709F6">
        <w:t>(Oxford, 1992).</w:t>
      </w:r>
    </w:p>
    <w:p w14:paraId="6D3ECC64" w14:textId="559A28C4" w:rsidR="005D60EB" w:rsidRPr="002709F6" w:rsidRDefault="005D60EB" w:rsidP="005D60EB">
      <w:r w:rsidRPr="002709F6">
        <w:t>John Lonsdale, ‘Africa</w:t>
      </w:r>
      <w:r w:rsidR="003C3CDF" w:rsidRPr="002709F6">
        <w:t>n</w:t>
      </w:r>
      <w:r w:rsidRPr="002709F6">
        <w:t xml:space="preserve"> Pasts in Africa’s Future’, </w:t>
      </w:r>
      <w:r w:rsidRPr="002709F6">
        <w:rPr>
          <w:i/>
          <w:iCs/>
        </w:rPr>
        <w:t xml:space="preserve">Canadian Journal of African Historical Studies </w:t>
      </w:r>
      <w:r w:rsidRPr="002709F6">
        <w:t>23 (1989), 126-146.</w:t>
      </w:r>
    </w:p>
    <w:p w14:paraId="0573D2CA" w14:textId="00C82C41" w:rsidR="001D5EF2" w:rsidRPr="002709F6" w:rsidRDefault="001D5EF2" w:rsidP="005D60EB">
      <w:r w:rsidRPr="002709F6">
        <w:t xml:space="preserve">Ali A. Mazrui, ‘The Re-invention of Africa: Edward Said, V. Y. Mudimbe, and Beyond’, </w:t>
      </w:r>
      <w:r w:rsidRPr="002709F6">
        <w:rPr>
          <w:i/>
          <w:iCs/>
        </w:rPr>
        <w:t xml:space="preserve">Research in African Literatures </w:t>
      </w:r>
      <w:r w:rsidRPr="002709F6">
        <w:t>36 (2005), 68-82.</w:t>
      </w:r>
    </w:p>
    <w:p w14:paraId="31301C99" w14:textId="33ABA443" w:rsidR="005D60EB" w:rsidRPr="002709F6" w:rsidRDefault="005D60EB" w:rsidP="005D60EB">
      <w:r w:rsidRPr="002709F6">
        <w:t xml:space="preserve">Achille Mbembe, </w:t>
      </w:r>
      <w:r w:rsidRPr="002709F6">
        <w:rPr>
          <w:i/>
          <w:iCs/>
        </w:rPr>
        <w:t xml:space="preserve">On The Postcolony </w:t>
      </w:r>
      <w:r w:rsidRPr="002709F6">
        <w:t>(Berkeley, 2001).</w:t>
      </w:r>
    </w:p>
    <w:p w14:paraId="5FCD4BAC" w14:textId="4D3DDDFA" w:rsidR="003C3CDF" w:rsidRPr="002709F6" w:rsidRDefault="003C3CDF" w:rsidP="005D60EB">
      <w:r w:rsidRPr="002709F6">
        <w:lastRenderedPageBreak/>
        <w:t xml:space="preserve">V. Y. Mudimbe, </w:t>
      </w:r>
      <w:r w:rsidRPr="002709F6">
        <w:rPr>
          <w:i/>
          <w:iCs/>
        </w:rPr>
        <w:t xml:space="preserve">The Invention of Africa: Gnosis, Philosophy and the Order of Knowledge </w:t>
      </w:r>
      <w:r w:rsidRPr="002709F6">
        <w:t>(Bloomington, 1988)</w:t>
      </w:r>
    </w:p>
    <w:p w14:paraId="003F418F" w14:textId="3092614F" w:rsidR="001D5EF2" w:rsidRPr="002709F6" w:rsidRDefault="001D5EF2" w:rsidP="005D60EB">
      <w:r w:rsidRPr="002709F6">
        <w:t xml:space="preserve">V. Y. Mudimbe, ‘African Gnosis Philosophy and the Order of Knowledge: An Introduction’, </w:t>
      </w:r>
      <w:r w:rsidRPr="002709F6">
        <w:rPr>
          <w:i/>
          <w:iCs/>
        </w:rPr>
        <w:t xml:space="preserve">African Studies Review </w:t>
      </w:r>
      <w:r w:rsidRPr="002709F6">
        <w:t>28 (1985), 149-233.</w:t>
      </w:r>
    </w:p>
    <w:p w14:paraId="2C358D50" w14:textId="38638DDE" w:rsidR="001D5EF2" w:rsidRDefault="001D5EF2" w:rsidP="005D60EB">
      <w:r w:rsidRPr="002709F6">
        <w:t xml:space="preserve">Terence Ranger, ‘The Invention of Tradition in Colonial Africa’ in Eric Hobsbawm and Terence Ranger (eds.), </w:t>
      </w:r>
      <w:r w:rsidRPr="002709F6">
        <w:rPr>
          <w:i/>
          <w:iCs/>
        </w:rPr>
        <w:t xml:space="preserve">The Invention of Tradition </w:t>
      </w:r>
      <w:r w:rsidRPr="002709F6">
        <w:t>(Cambridge, 1983).</w:t>
      </w:r>
    </w:p>
    <w:p w14:paraId="3D82768C" w14:textId="2E38F735" w:rsidR="00256997" w:rsidRDefault="00647C2F" w:rsidP="00257ECD">
      <w:pPr>
        <w:pStyle w:val="Heading2"/>
      </w:pPr>
      <w:r w:rsidRPr="00647C2F">
        <w:t xml:space="preserve">Session </w:t>
      </w:r>
      <w:r w:rsidR="0010551C">
        <w:t>3</w:t>
      </w:r>
      <w:r w:rsidRPr="00647C2F">
        <w:t xml:space="preserve">: </w:t>
      </w:r>
      <w:r w:rsidR="00755F69">
        <w:t xml:space="preserve">Identities I </w:t>
      </w:r>
      <w:r w:rsidR="00ED1DBB">
        <w:t>–</w:t>
      </w:r>
      <w:r w:rsidR="00755F69">
        <w:t xml:space="preserve"> </w:t>
      </w:r>
      <w:r w:rsidR="00256997">
        <w:t>Ethnicity</w:t>
      </w:r>
    </w:p>
    <w:p w14:paraId="0297F2EF" w14:textId="6AE50F6B" w:rsidR="0068493E" w:rsidRPr="0068493E" w:rsidRDefault="0068493E" w:rsidP="0068493E">
      <w:r w:rsidRPr="0068493E">
        <w:t>This session will explore key historical debates on ethnicity in Africa, examining how ethnic identities have been formed, understood, and used over time. We will be thinking critically about Eurocentric conceptualisations of African ethnicity as fixed or primordial, by exploring its social, political, and historical construction, with particular attention to the impact of colonial rule.</w:t>
      </w:r>
    </w:p>
    <w:p w14:paraId="765767E0" w14:textId="4F8E3C12" w:rsidR="00ED1DBB" w:rsidRDefault="002E36DA" w:rsidP="00ED1DBB">
      <w:pPr>
        <w:rPr>
          <w:b/>
          <w:bCs/>
        </w:rPr>
      </w:pPr>
      <w:r>
        <w:rPr>
          <w:b/>
          <w:bCs/>
        </w:rPr>
        <w:t xml:space="preserve">Key </w:t>
      </w:r>
      <w:r w:rsidR="00ED1DBB">
        <w:rPr>
          <w:b/>
          <w:bCs/>
        </w:rPr>
        <w:t>Questions</w:t>
      </w:r>
    </w:p>
    <w:p w14:paraId="7643D16C" w14:textId="6223F733" w:rsidR="00ED1DBB" w:rsidRDefault="00ED1DBB" w:rsidP="002E36DA">
      <w:pPr>
        <w:pStyle w:val="ListParagraph"/>
        <w:numPr>
          <w:ilvl w:val="0"/>
          <w:numId w:val="10"/>
        </w:numPr>
      </w:pPr>
      <w:r>
        <w:t xml:space="preserve">To what extent is ethnicity historically </w:t>
      </w:r>
      <w:r w:rsidR="002540A9">
        <w:t>constructed?</w:t>
      </w:r>
    </w:p>
    <w:p w14:paraId="6E94086C" w14:textId="48E01A44" w:rsidR="007D7239" w:rsidRDefault="007D7239" w:rsidP="002E36DA">
      <w:pPr>
        <w:pStyle w:val="ListParagraph"/>
        <w:numPr>
          <w:ilvl w:val="0"/>
          <w:numId w:val="10"/>
        </w:numPr>
      </w:pPr>
      <w:r>
        <w:t xml:space="preserve">How and why did colonial administrations classify African populations? </w:t>
      </w:r>
    </w:p>
    <w:p w14:paraId="6CC70D53" w14:textId="4A9B334A" w:rsidR="007D7239" w:rsidRDefault="007D7239" w:rsidP="002E36DA">
      <w:pPr>
        <w:pStyle w:val="ListParagraph"/>
        <w:numPr>
          <w:ilvl w:val="0"/>
          <w:numId w:val="10"/>
        </w:numPr>
      </w:pPr>
      <w:r>
        <w:t>In what ways did colonial rule harden, reshape, or even invent ethnic identities?</w:t>
      </w:r>
    </w:p>
    <w:p w14:paraId="282F759A" w14:textId="19E132D2" w:rsidR="002E36DA" w:rsidRPr="002E36DA" w:rsidRDefault="002E36DA" w:rsidP="002E36DA">
      <w:pPr>
        <w:pStyle w:val="ListParagraph"/>
        <w:numPr>
          <w:ilvl w:val="0"/>
          <w:numId w:val="10"/>
        </w:numPr>
      </w:pPr>
      <w:r>
        <w:t>Can</w:t>
      </w:r>
      <w:r w:rsidRPr="002E36DA">
        <w:t xml:space="preserve"> historians responsibly write about ethnicity without reproducing colonial assumptions?</w:t>
      </w:r>
    </w:p>
    <w:p w14:paraId="35504DA4" w14:textId="77777777" w:rsidR="007D7239" w:rsidRDefault="007D7239" w:rsidP="00ED1DBB"/>
    <w:p w14:paraId="622E9947" w14:textId="417E5136" w:rsidR="00C607A9" w:rsidRDefault="00C607A9" w:rsidP="00C607A9">
      <w:pPr>
        <w:rPr>
          <w:b/>
          <w:bCs/>
        </w:rPr>
      </w:pPr>
      <w:r>
        <w:rPr>
          <w:b/>
          <w:bCs/>
        </w:rPr>
        <w:t>Key Reading</w:t>
      </w:r>
    </w:p>
    <w:p w14:paraId="73105EBE" w14:textId="0A01B5CB" w:rsidR="00C607A9" w:rsidRDefault="00C607A9" w:rsidP="004455BA">
      <w:r w:rsidRPr="00C607A9">
        <w:t xml:space="preserve">Bruce Berman et al, </w:t>
      </w:r>
      <w:r w:rsidRPr="00C607A9">
        <w:rPr>
          <w:i/>
          <w:iCs/>
        </w:rPr>
        <w:t>Ethnicity and</w:t>
      </w:r>
      <w:r>
        <w:rPr>
          <w:i/>
          <w:iCs/>
        </w:rPr>
        <w:t xml:space="preserve"> Democracy in Africa </w:t>
      </w:r>
      <w:r>
        <w:t xml:space="preserve">(Oxford, 2004), Chapter 1. </w:t>
      </w:r>
    </w:p>
    <w:p w14:paraId="219905D1" w14:textId="77777777" w:rsidR="0003271D" w:rsidRDefault="0003271D" w:rsidP="0003271D">
      <w:r w:rsidRPr="002709F6">
        <w:t xml:space="preserve">Terence Ranger, ‘The Invention of Tradition in Colonial Africa’ in Eric Hobsbawm and Terence Ranger (eds.), </w:t>
      </w:r>
      <w:r w:rsidRPr="002709F6">
        <w:rPr>
          <w:i/>
          <w:iCs/>
        </w:rPr>
        <w:t xml:space="preserve">The Invention of Tradition </w:t>
      </w:r>
      <w:r w:rsidRPr="002709F6">
        <w:t>(Cambridge, 1983).</w:t>
      </w:r>
    </w:p>
    <w:p w14:paraId="0A636151" w14:textId="77777777" w:rsidR="0003271D" w:rsidRDefault="0003271D" w:rsidP="00C607A9"/>
    <w:p w14:paraId="7C44873D" w14:textId="04851ED3" w:rsidR="00F25ABD" w:rsidRPr="00F25ABD" w:rsidRDefault="00C607A9" w:rsidP="00F25ABD">
      <w:pPr>
        <w:rPr>
          <w:b/>
          <w:bCs/>
        </w:rPr>
      </w:pPr>
      <w:r>
        <w:rPr>
          <w:b/>
          <w:bCs/>
        </w:rPr>
        <w:t>Further Reading (For Essay Preparation)</w:t>
      </w:r>
    </w:p>
    <w:p w14:paraId="6C0521F3" w14:textId="31398386" w:rsidR="00F25ABD" w:rsidRDefault="00F25ABD" w:rsidP="001E5333">
      <w:r w:rsidRPr="00F25ABD">
        <w:t xml:space="preserve">C. H. Ambler, “The Renovation of Custom in Colonial Kenya: the 1932 Generation Succession Ceremonies in Embu,” </w:t>
      </w:r>
      <w:r w:rsidRPr="00F25ABD">
        <w:rPr>
          <w:i/>
          <w:iCs/>
        </w:rPr>
        <w:t xml:space="preserve">Journal of African </w:t>
      </w:r>
      <w:r w:rsidR="000D1371">
        <w:rPr>
          <w:i/>
          <w:iCs/>
        </w:rPr>
        <w:t>H</w:t>
      </w:r>
      <w:r w:rsidRPr="00F25ABD">
        <w:rPr>
          <w:i/>
          <w:iCs/>
        </w:rPr>
        <w:t>istory</w:t>
      </w:r>
      <w:r w:rsidRPr="00F25ABD">
        <w:t xml:space="preserve">, </w:t>
      </w:r>
      <w:r w:rsidR="00DB45FA">
        <w:t xml:space="preserve">30.1 </w:t>
      </w:r>
      <w:r w:rsidR="001E5333">
        <w:t xml:space="preserve">(1989), 139-156. </w:t>
      </w:r>
    </w:p>
    <w:p w14:paraId="2B0CBF32" w14:textId="7F7BE6FA" w:rsidR="00804C4F" w:rsidRPr="00804C4F" w:rsidRDefault="00804C4F" w:rsidP="00804C4F">
      <w:r w:rsidRPr="00804C4F">
        <w:t xml:space="preserve">B. J. Berman, “‘A Palimpsest of Contradictions’: Ethnicity, Class, and Politics in Africa,” </w:t>
      </w:r>
      <w:r w:rsidRPr="00804C4F">
        <w:rPr>
          <w:i/>
          <w:iCs/>
        </w:rPr>
        <w:t>The International</w:t>
      </w:r>
      <w:r w:rsidR="000D1371">
        <w:rPr>
          <w:i/>
          <w:iCs/>
        </w:rPr>
        <w:t xml:space="preserve"> J</w:t>
      </w:r>
      <w:r w:rsidRPr="00804C4F">
        <w:rPr>
          <w:i/>
          <w:iCs/>
        </w:rPr>
        <w:t xml:space="preserve">ournal of African </w:t>
      </w:r>
      <w:r w:rsidR="000D1371">
        <w:rPr>
          <w:i/>
          <w:iCs/>
        </w:rPr>
        <w:t>H</w:t>
      </w:r>
      <w:r w:rsidRPr="00804C4F">
        <w:rPr>
          <w:i/>
          <w:iCs/>
        </w:rPr>
        <w:t xml:space="preserve">istorical </w:t>
      </w:r>
      <w:r w:rsidR="000D1371">
        <w:rPr>
          <w:i/>
          <w:iCs/>
        </w:rPr>
        <w:t>S</w:t>
      </w:r>
      <w:r w:rsidRPr="00804C4F">
        <w:rPr>
          <w:i/>
          <w:iCs/>
        </w:rPr>
        <w:t>tudies</w:t>
      </w:r>
      <w:r w:rsidRPr="00804C4F">
        <w:t>,</w:t>
      </w:r>
      <w:r w:rsidR="000D1371">
        <w:t xml:space="preserve"> 37.1 (2004), 13-31.</w:t>
      </w:r>
      <w:r w:rsidRPr="00804C4F">
        <w:t xml:space="preserve"> vol. 37, no. 1, pp. 13–31, Jan. 2004, doi: 10.2307/4129070.</w:t>
      </w:r>
    </w:p>
    <w:p w14:paraId="18FA4F24" w14:textId="4C0A9113" w:rsidR="00BE0227" w:rsidRPr="00BE0227" w:rsidRDefault="00BE0227" w:rsidP="00E17D49">
      <w:r w:rsidRPr="00BE0227">
        <w:t>B. J. Berman, “</w:t>
      </w:r>
      <w:r w:rsidR="001E5333">
        <w:t>Ethnicity, patronage and the African state</w:t>
      </w:r>
      <w:r w:rsidR="00E17D49">
        <w:t xml:space="preserve">: The politics of uncivil nationalism”, </w:t>
      </w:r>
      <w:r w:rsidR="00E17D49">
        <w:rPr>
          <w:i/>
          <w:iCs/>
        </w:rPr>
        <w:t xml:space="preserve">African Affairs </w:t>
      </w:r>
      <w:r w:rsidR="00E17D49">
        <w:t xml:space="preserve">97.388 (1889), 305-341. </w:t>
      </w:r>
    </w:p>
    <w:p w14:paraId="459B73C5" w14:textId="1A9F6231" w:rsidR="00231589" w:rsidRPr="00231589" w:rsidRDefault="00231589" w:rsidP="00231589">
      <w:r w:rsidRPr="00231589">
        <w:lastRenderedPageBreak/>
        <w:t xml:space="preserve">B. Berman and J. Lonsdale, </w:t>
      </w:r>
      <w:r w:rsidRPr="00231589">
        <w:rPr>
          <w:i/>
          <w:iCs/>
        </w:rPr>
        <w:t xml:space="preserve">Unhappy </w:t>
      </w:r>
      <w:r w:rsidR="00A72BDC">
        <w:rPr>
          <w:i/>
          <w:iCs/>
        </w:rPr>
        <w:t>V</w:t>
      </w:r>
      <w:r w:rsidRPr="00231589">
        <w:rPr>
          <w:i/>
          <w:iCs/>
        </w:rPr>
        <w:t>alley</w:t>
      </w:r>
      <w:r w:rsidRPr="00231589">
        <w:rPr>
          <w:rFonts w:ascii="Arial" w:hAnsi="Arial" w:cs="Arial"/>
          <w:i/>
          <w:iCs/>
        </w:rPr>
        <w:t> </w:t>
      </w:r>
      <w:r w:rsidRPr="00231589">
        <w:rPr>
          <w:i/>
          <w:iCs/>
        </w:rPr>
        <w:t xml:space="preserve">: </w:t>
      </w:r>
      <w:r w:rsidR="00A72BDC">
        <w:rPr>
          <w:i/>
          <w:iCs/>
        </w:rPr>
        <w:t>C</w:t>
      </w:r>
      <w:r w:rsidRPr="00231589">
        <w:rPr>
          <w:i/>
          <w:iCs/>
        </w:rPr>
        <w:t>onflict in Kenya and Africa</w:t>
      </w:r>
      <w:r w:rsidRPr="00231589">
        <w:t xml:space="preserve">. </w:t>
      </w:r>
      <w:r w:rsidR="00E17D49">
        <w:t>(</w:t>
      </w:r>
      <w:r w:rsidRPr="00231589">
        <w:t>London</w:t>
      </w:r>
      <w:r w:rsidR="00E17D49">
        <w:t>, 1</w:t>
      </w:r>
      <w:r w:rsidRPr="00231589">
        <w:t>992</w:t>
      </w:r>
      <w:r w:rsidR="00E17D49">
        <w:t>).</w:t>
      </w:r>
    </w:p>
    <w:p w14:paraId="2C9407FE" w14:textId="69239B84" w:rsidR="00C607A9" w:rsidRDefault="00C607A9" w:rsidP="00110A83">
      <w:r>
        <w:t xml:space="preserve">J. F. Bayart, </w:t>
      </w:r>
      <w:r>
        <w:rPr>
          <w:i/>
          <w:iCs/>
        </w:rPr>
        <w:t xml:space="preserve">The State in Africa: The Politics of the Belly </w:t>
      </w:r>
      <w:r>
        <w:t>(London, 1994), Chapter 1.</w:t>
      </w:r>
      <w:r w:rsidR="002D6EF5">
        <w:t xml:space="preserve"> </w:t>
      </w:r>
    </w:p>
    <w:p w14:paraId="47BC0C45" w14:textId="161210A4" w:rsidR="00C607A9" w:rsidRDefault="00C607A9" w:rsidP="00C607A9">
      <w:r>
        <w:t xml:space="preserve">K. Crehan, ‘“Tribes” and the People Who Read Books: Managing History in Colonial Zambia’, </w:t>
      </w:r>
      <w:r>
        <w:rPr>
          <w:i/>
          <w:iCs/>
        </w:rPr>
        <w:t xml:space="preserve">Journal of Southern African Studies </w:t>
      </w:r>
      <w:r>
        <w:t>23 (1997), 203-218.</w:t>
      </w:r>
    </w:p>
    <w:p w14:paraId="7C4F0433" w14:textId="423E6227" w:rsidR="00FA54AE" w:rsidRDefault="00FA54AE" w:rsidP="00FA54AE">
      <w:r w:rsidRPr="00FA54AE">
        <w:t xml:space="preserve">K. Firmin-Sellers, “The Reconstruction of Society: Understanding the Indigenous Response to French and British Rule in Cameroun,” </w:t>
      </w:r>
      <w:r w:rsidRPr="00FA54AE">
        <w:rPr>
          <w:i/>
          <w:iCs/>
        </w:rPr>
        <w:t xml:space="preserve">Comparative </w:t>
      </w:r>
      <w:r w:rsidR="0069620E">
        <w:rPr>
          <w:i/>
          <w:iCs/>
        </w:rPr>
        <w:t>P</w:t>
      </w:r>
      <w:r w:rsidRPr="00FA54AE">
        <w:rPr>
          <w:i/>
          <w:iCs/>
        </w:rPr>
        <w:t>olitics</w:t>
      </w:r>
      <w:r w:rsidRPr="00FA54AE">
        <w:t xml:space="preserve">, </w:t>
      </w:r>
      <w:r w:rsidR="0069620E">
        <w:t>34.1 (2001), 43-62.</w:t>
      </w:r>
      <w:r w:rsidRPr="00FA54AE">
        <w:t>.</w:t>
      </w:r>
    </w:p>
    <w:p w14:paraId="0573C970" w14:textId="7F745BC4" w:rsidR="008C2FF2" w:rsidRPr="008C2FF2" w:rsidRDefault="008C2FF2" w:rsidP="0069620E">
      <w:r w:rsidRPr="008C2FF2">
        <w:t>J. G</w:t>
      </w:r>
      <w:r w:rsidR="0069620E">
        <w:t xml:space="preserve">lassman, ‘Sorting out the tribes: The creation of racial identities in colonial Zanzibar’s newspaper wars’, </w:t>
      </w:r>
      <w:r w:rsidR="0069620E">
        <w:rPr>
          <w:i/>
          <w:iCs/>
        </w:rPr>
        <w:t xml:space="preserve">Journal of African History </w:t>
      </w:r>
      <w:r w:rsidR="0069620E">
        <w:t xml:space="preserve">41.3 (2000), 395-428. </w:t>
      </w:r>
    </w:p>
    <w:p w14:paraId="6FF527D7" w14:textId="4E151674" w:rsidR="002D6EF5" w:rsidRDefault="002D6EF5" w:rsidP="00110A83">
      <w:r>
        <w:t xml:space="preserve">John Iliffe, </w:t>
      </w:r>
      <w:r>
        <w:rPr>
          <w:i/>
          <w:iCs/>
        </w:rPr>
        <w:t xml:space="preserve">A Modern History of Tanganyika </w:t>
      </w:r>
      <w:r>
        <w:t xml:space="preserve">(Cambridge, 1977), Chapter 10. </w:t>
      </w:r>
    </w:p>
    <w:p w14:paraId="0FB3849C" w14:textId="74F31E83" w:rsidR="002D6EF5" w:rsidRDefault="002D6EF5" w:rsidP="002D6EF5">
      <w:r w:rsidRPr="002D6EF5">
        <w:t>C. Lentz, ‘Colonial Constructions and African</w:t>
      </w:r>
      <w:r>
        <w:t xml:space="preserve"> Initiatives: The History of Ethnicity in Northwestern Ghana’, </w:t>
      </w:r>
      <w:r>
        <w:rPr>
          <w:i/>
          <w:iCs/>
        </w:rPr>
        <w:t xml:space="preserve">Ethnos </w:t>
      </w:r>
      <w:r>
        <w:t>65 (2000), 107-136.</w:t>
      </w:r>
    </w:p>
    <w:p w14:paraId="45007B7D" w14:textId="77777777" w:rsidR="002D6EF5" w:rsidRDefault="002D6EF5" w:rsidP="002D6EF5">
      <w:r>
        <w:t xml:space="preserve">Mahmood Mamdani, </w:t>
      </w:r>
      <w:r>
        <w:rPr>
          <w:i/>
          <w:iCs/>
        </w:rPr>
        <w:t xml:space="preserve">Citizen and Subject: Contemporary Africa and the Legacy of Late Colonialism </w:t>
      </w:r>
      <w:r>
        <w:t>(1996).</w:t>
      </w:r>
    </w:p>
    <w:p w14:paraId="374675B6" w14:textId="34221A48" w:rsidR="001B5EF1" w:rsidRDefault="001B5EF1" w:rsidP="0069620E">
      <w:r w:rsidRPr="001B5EF1">
        <w:t xml:space="preserve">M. Mamdani, “Beyond Settler and Native as Political Identities: Overcoming the Political Legacy of Colonialism,” </w:t>
      </w:r>
      <w:r w:rsidRPr="001B5EF1">
        <w:rPr>
          <w:i/>
          <w:iCs/>
        </w:rPr>
        <w:t xml:space="preserve">Comparative </w:t>
      </w:r>
      <w:r w:rsidR="0069620E">
        <w:rPr>
          <w:i/>
          <w:iCs/>
        </w:rPr>
        <w:t>S</w:t>
      </w:r>
      <w:r w:rsidRPr="001B5EF1">
        <w:rPr>
          <w:i/>
          <w:iCs/>
        </w:rPr>
        <w:t xml:space="preserve">tudies in </w:t>
      </w:r>
      <w:r w:rsidR="0069620E">
        <w:rPr>
          <w:i/>
          <w:iCs/>
        </w:rPr>
        <w:t>S</w:t>
      </w:r>
      <w:r w:rsidRPr="001B5EF1">
        <w:rPr>
          <w:i/>
          <w:iCs/>
        </w:rPr>
        <w:t xml:space="preserve">ociety and </w:t>
      </w:r>
      <w:r w:rsidR="0069620E">
        <w:rPr>
          <w:i/>
          <w:iCs/>
        </w:rPr>
        <w:t>H</w:t>
      </w:r>
      <w:r w:rsidRPr="001B5EF1">
        <w:rPr>
          <w:i/>
          <w:iCs/>
        </w:rPr>
        <w:t>istory</w:t>
      </w:r>
      <w:r w:rsidRPr="001B5EF1">
        <w:t xml:space="preserve">, </w:t>
      </w:r>
      <w:r w:rsidR="0069620E">
        <w:t xml:space="preserve">43.4 (2001), 651-664. </w:t>
      </w:r>
    </w:p>
    <w:p w14:paraId="3E8E42C0" w14:textId="77777777" w:rsidR="002D6EF5" w:rsidRDefault="002D6EF5" w:rsidP="002D6EF5">
      <w:r>
        <w:t xml:space="preserve">S. N. Ndegwa, ‘Citizenship and Ethnicity’, </w:t>
      </w:r>
      <w:r>
        <w:rPr>
          <w:i/>
          <w:iCs/>
        </w:rPr>
        <w:t xml:space="preserve">American Political Science Review </w:t>
      </w:r>
      <w:r>
        <w:t>91 (1997), 599-616.</w:t>
      </w:r>
    </w:p>
    <w:p w14:paraId="30B25DFC" w14:textId="511E1767" w:rsidR="00950E58" w:rsidRPr="00950E58" w:rsidRDefault="0029298A" w:rsidP="002455AD">
      <w:r w:rsidRPr="0029298A">
        <w:t>T.</w:t>
      </w:r>
      <w:r w:rsidR="002455AD">
        <w:t xml:space="preserve"> Spear, ‘Neo-traditionalism and the limits of invention in British colonial Africa’, </w:t>
      </w:r>
      <w:r w:rsidR="002455AD">
        <w:rPr>
          <w:i/>
          <w:iCs/>
        </w:rPr>
        <w:t xml:space="preserve">Journal of African History </w:t>
      </w:r>
      <w:r w:rsidR="002455AD">
        <w:t xml:space="preserve">44.1 (2003), 3-27. </w:t>
      </w:r>
      <w:r w:rsidRPr="0029298A">
        <w:t xml:space="preserve"> </w:t>
      </w:r>
    </w:p>
    <w:p w14:paraId="6DA2C1ED" w14:textId="77777777" w:rsidR="002455AD" w:rsidRDefault="00950E58" w:rsidP="00950E58">
      <w:r w:rsidRPr="00950E58">
        <w:t xml:space="preserve">R. R. Grinker, S. C. Lubkemann, and C. B. Steiner, </w:t>
      </w:r>
      <w:r w:rsidRPr="00950E58">
        <w:rPr>
          <w:i/>
          <w:iCs/>
        </w:rPr>
        <w:t>Perspectives on Africa</w:t>
      </w:r>
      <w:r w:rsidRPr="00950E58">
        <w:rPr>
          <w:rFonts w:ascii="Arial" w:hAnsi="Arial" w:cs="Arial"/>
          <w:i/>
          <w:iCs/>
        </w:rPr>
        <w:t> </w:t>
      </w:r>
      <w:r w:rsidRPr="00950E58">
        <w:rPr>
          <w:i/>
          <w:iCs/>
        </w:rPr>
        <w:t>: a reader in culture, history, and representation</w:t>
      </w:r>
      <w:r w:rsidRPr="00950E58">
        <w:t>, 2nd editio</w:t>
      </w:r>
      <w:r w:rsidR="002455AD">
        <w:t xml:space="preserve">n (Chichester, 2010). Chapter by Leroy Vail. </w:t>
      </w:r>
    </w:p>
    <w:p w14:paraId="2BFE8572" w14:textId="77777777" w:rsidR="002455AD" w:rsidRDefault="00D524E8" w:rsidP="00D524E8">
      <w:r>
        <w:t>D</w:t>
      </w:r>
      <w:r w:rsidRPr="00D524E8">
        <w:t>. R. Wright, “‘What Do You Mean There Were No Tribes in Africa?’: Thoughts on Boundaries—and Related Matters—in Precolonial Africa,” </w:t>
      </w:r>
      <w:r w:rsidRPr="00D524E8">
        <w:rPr>
          <w:i/>
          <w:iCs/>
        </w:rPr>
        <w:t>History in Africa</w:t>
      </w:r>
      <w:r w:rsidRPr="00D524E8">
        <w:t xml:space="preserve">, </w:t>
      </w:r>
      <w:r w:rsidR="002455AD">
        <w:t xml:space="preserve">26 (1999), 409-426. </w:t>
      </w:r>
    </w:p>
    <w:p w14:paraId="30DA6E7A" w14:textId="1907F97C" w:rsidR="00647C2F" w:rsidRDefault="00647C2F" w:rsidP="00755F69">
      <w:pPr>
        <w:pStyle w:val="Heading2"/>
      </w:pPr>
      <w:r>
        <w:t xml:space="preserve">Session </w:t>
      </w:r>
      <w:r w:rsidR="0010551C">
        <w:t>4</w:t>
      </w:r>
      <w:r>
        <w:t xml:space="preserve">: </w:t>
      </w:r>
      <w:r w:rsidR="0010551C">
        <w:t xml:space="preserve">Identities 2 - </w:t>
      </w:r>
      <w:r w:rsidR="00755F69">
        <w:t>Gender, a</w:t>
      </w:r>
      <w:r>
        <w:t>ge</w:t>
      </w:r>
      <w:r w:rsidR="00755F69">
        <w:t>, and sexuality</w:t>
      </w:r>
    </w:p>
    <w:p w14:paraId="3072957A" w14:textId="19392E76" w:rsidR="004175C4" w:rsidRDefault="004175C4" w:rsidP="004175C4">
      <w:r w:rsidRPr="004175C4">
        <w:t>This session will explore gender, age, and generation as key aspects of social organisation and power in African history. We will be examining how they shaped identities, labour, and authority over time, including the impact of colonial rule. We will be thinking critically about how gendered and generational relations have been contested, regulated, and reworked in modern African history.</w:t>
      </w:r>
    </w:p>
    <w:p w14:paraId="443A3332" w14:textId="1232CF60" w:rsidR="00D370C9" w:rsidRPr="00D370C9" w:rsidRDefault="00D370C9" w:rsidP="004175C4">
      <w:pPr>
        <w:rPr>
          <w:b/>
          <w:bCs/>
        </w:rPr>
      </w:pPr>
      <w:r>
        <w:rPr>
          <w:b/>
          <w:bCs/>
        </w:rPr>
        <w:lastRenderedPageBreak/>
        <w:t>Key questions:</w:t>
      </w:r>
    </w:p>
    <w:p w14:paraId="5B159CF2" w14:textId="77777777" w:rsidR="0010551C" w:rsidRDefault="0010551C" w:rsidP="00323345">
      <w:pPr>
        <w:pStyle w:val="ListParagraph"/>
        <w:numPr>
          <w:ilvl w:val="0"/>
          <w:numId w:val="11"/>
        </w:numPr>
      </w:pPr>
      <w:r>
        <w:t>What has been the impact of social change on gender roles and ideas of masculinity and femininity in Africa?</w:t>
      </w:r>
    </w:p>
    <w:p w14:paraId="496B5DF7" w14:textId="621CEC77" w:rsidR="002F6B43" w:rsidRDefault="002F6B43" w:rsidP="00323345">
      <w:pPr>
        <w:pStyle w:val="ListParagraph"/>
        <w:numPr>
          <w:ilvl w:val="0"/>
          <w:numId w:val="11"/>
        </w:numPr>
      </w:pPr>
      <w:r>
        <w:t>How has ‘youth’ been conceptualised in colonial and postcolonial Africa?</w:t>
      </w:r>
    </w:p>
    <w:p w14:paraId="7B0938BB" w14:textId="01B95BA8" w:rsidR="002F6B43" w:rsidRDefault="002F6B43" w:rsidP="00323345">
      <w:pPr>
        <w:pStyle w:val="ListParagraph"/>
        <w:numPr>
          <w:ilvl w:val="0"/>
          <w:numId w:val="11"/>
        </w:numPr>
      </w:pPr>
      <w:r>
        <w:t>Has generation become a major fault line of social tension in Africa?</w:t>
      </w:r>
    </w:p>
    <w:p w14:paraId="6AC2B3D3" w14:textId="6DB51EE1" w:rsidR="008862ED" w:rsidRDefault="008862ED" w:rsidP="00647C2F">
      <w:pPr>
        <w:rPr>
          <w:b/>
          <w:bCs/>
        </w:rPr>
      </w:pPr>
      <w:r>
        <w:rPr>
          <w:b/>
          <w:bCs/>
        </w:rPr>
        <w:t>Key Reading</w:t>
      </w:r>
      <w:r w:rsidR="00470BDB">
        <w:rPr>
          <w:b/>
          <w:bCs/>
        </w:rPr>
        <w:t xml:space="preserve"> (please read one item from the ‘Age and Generation’ selection and one from the ‘Gender’ selection).</w:t>
      </w:r>
    </w:p>
    <w:p w14:paraId="37C22EB6" w14:textId="4754C1AD" w:rsidR="00470BDB" w:rsidRPr="00470BDB" w:rsidRDefault="00470BDB" w:rsidP="00647C2F">
      <w:pPr>
        <w:rPr>
          <w:u w:val="single"/>
        </w:rPr>
      </w:pPr>
      <w:r w:rsidRPr="00470BDB">
        <w:rPr>
          <w:u w:val="single"/>
        </w:rPr>
        <w:t>Age and Generation</w:t>
      </w:r>
    </w:p>
    <w:p w14:paraId="6D965B1F" w14:textId="3C3294C5" w:rsidR="00647C2F" w:rsidRDefault="00647C2F" w:rsidP="00647C2F">
      <w:r>
        <w:t xml:space="preserve">Laurent Fourchaud, ‘Lagos and the Invention of Juvenile Delinquency in Nigeria, 1920-1960’, </w:t>
      </w:r>
      <w:r>
        <w:rPr>
          <w:i/>
          <w:iCs/>
        </w:rPr>
        <w:t xml:space="preserve">Journal of African History, </w:t>
      </w:r>
      <w:r>
        <w:t>47 (2006), 115-137.</w:t>
      </w:r>
    </w:p>
    <w:p w14:paraId="3FF2D6A7" w14:textId="24494D0F" w:rsidR="002F6B43" w:rsidRDefault="002F6B43" w:rsidP="00647C2F">
      <w:r>
        <w:t xml:space="preserve">Richard Waller, ‘Rebellious Youth in Colonial Africa’, </w:t>
      </w:r>
      <w:r>
        <w:rPr>
          <w:i/>
          <w:iCs/>
        </w:rPr>
        <w:t xml:space="preserve">Journal of African History </w:t>
      </w:r>
      <w:r>
        <w:t>47 (2006), 77-92.</w:t>
      </w:r>
    </w:p>
    <w:p w14:paraId="4F898780" w14:textId="3FFADD2A" w:rsidR="00470BDB" w:rsidRPr="00470BDB" w:rsidRDefault="00470BDB" w:rsidP="00647C2F">
      <w:pPr>
        <w:rPr>
          <w:u w:val="single"/>
        </w:rPr>
      </w:pPr>
      <w:r>
        <w:rPr>
          <w:u w:val="single"/>
        </w:rPr>
        <w:t>Gender</w:t>
      </w:r>
    </w:p>
    <w:p w14:paraId="08E1808F" w14:textId="77777777" w:rsidR="0010551C" w:rsidRDefault="0010551C" w:rsidP="0010551C">
      <w:r>
        <w:t xml:space="preserve">John Iliffe, </w:t>
      </w:r>
      <w:r>
        <w:rPr>
          <w:i/>
          <w:iCs/>
        </w:rPr>
        <w:t xml:space="preserve">Honour in African History </w:t>
      </w:r>
      <w:r>
        <w:t>(2005), Chapter 15.</w:t>
      </w:r>
    </w:p>
    <w:p w14:paraId="4E0DA552" w14:textId="77777777" w:rsidR="0010551C" w:rsidRDefault="0010551C" w:rsidP="0010551C">
      <w:r>
        <w:t xml:space="preserve">Marc Epprecht, ‘The Unsaying of Indigenous Homosexualities in Zimbabwe: Mapping a Blindspot in an African Masculinity’, </w:t>
      </w:r>
      <w:r>
        <w:rPr>
          <w:i/>
          <w:iCs/>
        </w:rPr>
        <w:t xml:space="preserve">Journal of Southern African Studies, </w:t>
      </w:r>
      <w:r>
        <w:t>24 (1998), 631-652.</w:t>
      </w:r>
    </w:p>
    <w:p w14:paraId="7C8C1D8B" w14:textId="77777777" w:rsidR="0010551C" w:rsidRDefault="0010551C" w:rsidP="0010551C">
      <w:r>
        <w:t xml:space="preserve">Luise White, </w:t>
      </w:r>
      <w:r>
        <w:rPr>
          <w:i/>
          <w:iCs/>
        </w:rPr>
        <w:t xml:space="preserve">The Comforts of Home </w:t>
      </w:r>
      <w:r>
        <w:t>(1990), Chapter 5.</w:t>
      </w:r>
    </w:p>
    <w:p w14:paraId="532DA1E4" w14:textId="1F1E2979" w:rsidR="008862ED" w:rsidRDefault="008862ED" w:rsidP="00647C2F">
      <w:pPr>
        <w:rPr>
          <w:b/>
          <w:bCs/>
        </w:rPr>
      </w:pPr>
      <w:r>
        <w:rPr>
          <w:b/>
          <w:bCs/>
        </w:rPr>
        <w:t>Further reading (for essay preparation)</w:t>
      </w:r>
    </w:p>
    <w:p w14:paraId="7593F69C" w14:textId="52508FE9" w:rsidR="009B17F1" w:rsidRPr="009B17F1" w:rsidRDefault="009B17F1" w:rsidP="00647C2F">
      <w:pPr>
        <w:rPr>
          <w:u w:val="single"/>
        </w:rPr>
      </w:pPr>
      <w:r>
        <w:rPr>
          <w:u w:val="single"/>
        </w:rPr>
        <w:t>Age and Generation</w:t>
      </w:r>
    </w:p>
    <w:p w14:paraId="536BFFCA" w14:textId="7341DFAD" w:rsidR="008862ED" w:rsidRDefault="008862ED" w:rsidP="00647C2F">
      <w:r>
        <w:t xml:space="preserve">T. Burgess, ‘Cinema, Bell-Bottoms and Mini-Skirts: Struggles over Youth and Citizenship in Revolutionary Zanzibar’, </w:t>
      </w:r>
      <w:r>
        <w:rPr>
          <w:i/>
          <w:iCs/>
        </w:rPr>
        <w:t xml:space="preserve">International Journal of African Historical Studies </w:t>
      </w:r>
      <w:r>
        <w:t>35 (2002), 287-313.</w:t>
      </w:r>
    </w:p>
    <w:p w14:paraId="02B34637" w14:textId="776797E5" w:rsidR="00FF22B8" w:rsidRDefault="00350F77" w:rsidP="00FF22B8">
      <w:r>
        <w:t xml:space="preserve">A. </w:t>
      </w:r>
      <w:r w:rsidR="00FF22B8" w:rsidRPr="00FF22B8">
        <w:t>Bunting,</w:t>
      </w:r>
      <w:r>
        <w:t xml:space="preserve"> B. Lawrance, and R. Roberts (eds.), </w:t>
      </w:r>
      <w:r w:rsidR="00FF22B8" w:rsidRPr="00FF22B8">
        <w:t xml:space="preserve"> </w:t>
      </w:r>
      <w:r w:rsidR="00FF22B8" w:rsidRPr="00FF22B8">
        <w:rPr>
          <w:i/>
          <w:iCs/>
        </w:rPr>
        <w:t>Marriage by force?</w:t>
      </w:r>
      <w:r w:rsidR="00FF22B8" w:rsidRPr="00FF22B8">
        <w:rPr>
          <w:rFonts w:ascii="Arial" w:hAnsi="Arial" w:cs="Arial"/>
          <w:i/>
          <w:iCs/>
        </w:rPr>
        <w:t> </w:t>
      </w:r>
      <w:r w:rsidR="00FF22B8" w:rsidRPr="00FF22B8">
        <w:rPr>
          <w:i/>
          <w:iCs/>
        </w:rPr>
        <w:t>: contestation over consent and coercion in Africa</w:t>
      </w:r>
      <w:r w:rsidR="00FF22B8" w:rsidRPr="00FF22B8">
        <w:t xml:space="preserve"> (1st ed.)</w:t>
      </w:r>
      <w:r>
        <w:t xml:space="preserve"> (Ohio University Press, 2017). </w:t>
      </w:r>
      <w:r w:rsidR="00FF22B8">
        <w:t>Chapter</w:t>
      </w:r>
      <w:r w:rsidR="00E2552B">
        <w:t>s</w:t>
      </w:r>
      <w:r w:rsidR="00FF22B8">
        <w:t xml:space="preserve"> by Shadle</w:t>
      </w:r>
      <w:r w:rsidR="00E2552B">
        <w:t xml:space="preserve"> and Hynd - **Content note for gender-based violence**.</w:t>
      </w:r>
    </w:p>
    <w:p w14:paraId="3F9F6133" w14:textId="08BF6C38" w:rsidR="008862ED" w:rsidRDefault="008862ED" w:rsidP="00647C2F">
      <w:r w:rsidRPr="008862ED">
        <w:t>A. Burton, ‘Urchins, Loafers a</w:t>
      </w:r>
      <w:r>
        <w:t xml:space="preserve">nd the Cult of the Cowboy: Urbanization and Delinquency in Dar es Salaam, 1919-1961’, </w:t>
      </w:r>
      <w:r>
        <w:rPr>
          <w:i/>
          <w:iCs/>
        </w:rPr>
        <w:t xml:space="preserve">Journal of African History </w:t>
      </w:r>
      <w:r>
        <w:t>42 (2001), 199-216.</w:t>
      </w:r>
    </w:p>
    <w:p w14:paraId="57A67834" w14:textId="2F6B89C8" w:rsidR="008862ED" w:rsidRDefault="008862ED" w:rsidP="00647C2F">
      <w:r w:rsidRPr="008862ED">
        <w:t>C. Campbell, ‘Juvenile Delinquency in</w:t>
      </w:r>
      <w:r>
        <w:t xml:space="preserve"> Colonial Lagos’, </w:t>
      </w:r>
      <w:r>
        <w:rPr>
          <w:i/>
          <w:iCs/>
        </w:rPr>
        <w:t xml:space="preserve">The Historical Journal </w:t>
      </w:r>
      <w:r>
        <w:t>45 (2002), 129-151.</w:t>
      </w:r>
    </w:p>
    <w:p w14:paraId="64C1A7DC" w14:textId="77777777" w:rsidR="00350F77" w:rsidRDefault="00E71850" w:rsidP="00350F77">
      <w:r w:rsidRPr="00E71850">
        <w:t xml:space="preserve">A.A. </w:t>
      </w:r>
      <w:r w:rsidR="00350F77">
        <w:t xml:space="preserve">Diptee </w:t>
      </w:r>
      <w:r w:rsidRPr="00E71850">
        <w:t xml:space="preserve">and </w:t>
      </w:r>
      <w:r w:rsidR="00350F77">
        <w:t xml:space="preserve">M. A. </w:t>
      </w:r>
      <w:r w:rsidRPr="00E71850">
        <w:t xml:space="preserve">Klein, “African Childhoods and the Colonial Project,” </w:t>
      </w:r>
      <w:r w:rsidRPr="00E71850">
        <w:rPr>
          <w:i/>
          <w:iCs/>
        </w:rPr>
        <w:t>Journal of family history</w:t>
      </w:r>
      <w:r w:rsidRPr="00E71850">
        <w:t xml:space="preserve">, </w:t>
      </w:r>
      <w:r w:rsidR="00350F77">
        <w:t xml:space="preserve">35.1 (2010), 3-6. </w:t>
      </w:r>
    </w:p>
    <w:p w14:paraId="62C466C6" w14:textId="77777777" w:rsidR="00350F77" w:rsidRDefault="00350F77" w:rsidP="00350F77">
      <w:r>
        <w:lastRenderedPageBreak/>
        <w:t>C. Field, T-C Owens, M. Chatelain, L. Simmons, A. George, and R. Keyse, ‘</w:t>
      </w:r>
      <w:r w:rsidR="004F6CC5" w:rsidRPr="004F6CC5">
        <w:t>The History of Black Girlhood: Recent Innovations and Future Directions</w:t>
      </w:r>
      <w:r>
        <w:t>’,</w:t>
      </w:r>
      <w:r w:rsidR="004F6CC5" w:rsidRPr="004F6CC5">
        <w:t xml:space="preserve"> </w:t>
      </w:r>
      <w:r w:rsidR="004F6CC5" w:rsidRPr="004F6CC5">
        <w:rPr>
          <w:i/>
          <w:iCs/>
        </w:rPr>
        <w:t>Journal of the History of Childhood and Youth</w:t>
      </w:r>
      <w:r>
        <w:rPr>
          <w:i/>
          <w:iCs/>
        </w:rPr>
        <w:t xml:space="preserve"> </w:t>
      </w:r>
      <w:r>
        <w:t xml:space="preserve">9.3 (2016), 383-401. </w:t>
      </w:r>
    </w:p>
    <w:p w14:paraId="2A4B61DF" w14:textId="2645E73A" w:rsidR="008862ED" w:rsidRDefault="008862ED" w:rsidP="00350F77">
      <w:r w:rsidRPr="008862ED">
        <w:t>Laurent Fourchaud, ‘Lagos and th</w:t>
      </w:r>
      <w:r>
        <w:t xml:space="preserve">e Invention of Juvenile Delinquency in Nigeria, 1920-1960’, </w:t>
      </w:r>
      <w:r>
        <w:rPr>
          <w:i/>
          <w:iCs/>
        </w:rPr>
        <w:t xml:space="preserve">Journal of African History </w:t>
      </w:r>
      <w:r>
        <w:t>47 (2006), 115-137.</w:t>
      </w:r>
    </w:p>
    <w:p w14:paraId="7B9B0D3E" w14:textId="6F96C956" w:rsidR="008862ED" w:rsidRDefault="008862ED" w:rsidP="00647C2F">
      <w:r w:rsidRPr="008862ED">
        <w:t>C. Glaser, ‘Managing the S</w:t>
      </w:r>
      <w:r>
        <w:t xml:space="preserve">exuality of Urban Youth’, </w:t>
      </w:r>
      <w:r>
        <w:rPr>
          <w:i/>
          <w:iCs/>
        </w:rPr>
        <w:t xml:space="preserve">International Journal of African Historical Studies </w:t>
      </w:r>
      <w:r>
        <w:t>38 (2005), 301-27.</w:t>
      </w:r>
    </w:p>
    <w:p w14:paraId="3AC3D0E6" w14:textId="1D2BE9A6" w:rsidR="00CC0720" w:rsidRDefault="00C14FE7" w:rsidP="00350F77">
      <w:r w:rsidRPr="00C14FE7">
        <w:t>A. George, “</w:t>
      </w:r>
      <w:r w:rsidR="00350F77">
        <w:t xml:space="preserve">Within Salvation: Girl Hawkers and the Colonial State in Development-Era Lagos’, </w:t>
      </w:r>
      <w:r w:rsidR="00350F77">
        <w:rPr>
          <w:i/>
          <w:iCs/>
        </w:rPr>
        <w:t xml:space="preserve">Journal of Social History </w:t>
      </w:r>
      <w:r w:rsidR="00350F77">
        <w:t xml:space="preserve">44.3 (2011), 837-859. </w:t>
      </w:r>
    </w:p>
    <w:p w14:paraId="2E2EDB22" w14:textId="38AF48F7" w:rsidR="008862ED" w:rsidRDefault="008862ED" w:rsidP="00647C2F">
      <w:r w:rsidRPr="008862ED">
        <w:t xml:space="preserve">S. Heap, ‘“Jaguda Boys”: Pickpocketing in Ibadan, 1930-60’, </w:t>
      </w:r>
      <w:r w:rsidRPr="008862ED">
        <w:rPr>
          <w:i/>
          <w:iCs/>
        </w:rPr>
        <w:t>Urban</w:t>
      </w:r>
      <w:r>
        <w:rPr>
          <w:i/>
          <w:iCs/>
        </w:rPr>
        <w:t xml:space="preserve"> History </w:t>
      </w:r>
      <w:r>
        <w:t>24 (1997), 324-343.</w:t>
      </w:r>
    </w:p>
    <w:p w14:paraId="5BAA7BAF" w14:textId="61786189" w:rsidR="009E755A" w:rsidRDefault="00350F77" w:rsidP="009E755A">
      <w:r>
        <w:t xml:space="preserve">S. </w:t>
      </w:r>
      <w:r w:rsidR="009E755A" w:rsidRPr="009E755A">
        <w:t xml:space="preserve">Hynd, </w:t>
      </w:r>
      <w:r>
        <w:t>‘</w:t>
      </w:r>
      <w:r w:rsidR="009E755A" w:rsidRPr="009E755A">
        <w:t>Pickpockets, Pilot Boys, and Prostitutes: The Construction of Juvenile Delinquency in the Gold Coast [Colonial Ghana], c. 1929–57</w:t>
      </w:r>
      <w:r>
        <w:t xml:space="preserve">’, </w:t>
      </w:r>
      <w:r w:rsidR="009E755A" w:rsidRPr="009E755A">
        <w:t xml:space="preserve"> </w:t>
      </w:r>
      <w:r w:rsidR="009E755A" w:rsidRPr="009E755A">
        <w:rPr>
          <w:i/>
          <w:iCs/>
        </w:rPr>
        <w:t>Journal of West African History</w:t>
      </w:r>
      <w:r>
        <w:rPr>
          <w:i/>
          <w:iCs/>
        </w:rPr>
        <w:t xml:space="preserve"> </w:t>
      </w:r>
      <w:r>
        <w:t>4.2 (</w:t>
      </w:r>
      <w:r w:rsidR="005219F2">
        <w:t>2018), 47-74.</w:t>
      </w:r>
    </w:p>
    <w:p w14:paraId="4E2145C0" w14:textId="77777777" w:rsidR="005219F2" w:rsidRDefault="005219F2" w:rsidP="00D76B39">
      <w:r>
        <w:t xml:space="preserve">S. </w:t>
      </w:r>
      <w:r w:rsidR="00D76B39" w:rsidRPr="00D76B39">
        <w:t xml:space="preserve">Hynd, </w:t>
      </w:r>
      <w:r>
        <w:t>‘</w:t>
      </w:r>
      <w:r w:rsidR="00D76B39" w:rsidRPr="00D76B39">
        <w:t>Commonalities and change in childhoods and conflicts: historical approaches to child soldiering in Africa</w:t>
      </w:r>
      <w:r>
        <w:t xml:space="preserve">’, </w:t>
      </w:r>
      <w:r>
        <w:rPr>
          <w:i/>
          <w:iCs/>
        </w:rPr>
        <w:t xml:space="preserve">Critical Studies on Security </w:t>
      </w:r>
      <w:r>
        <w:t>13.2 (2025), 274-276.</w:t>
      </w:r>
    </w:p>
    <w:p w14:paraId="1B19811D" w14:textId="2E03DAC4" w:rsidR="008862ED" w:rsidRDefault="008862ED" w:rsidP="00647C2F">
      <w:r>
        <w:t xml:space="preserve">Murray Last, ‘Children and the Experience of Violence: Contrasting Cultures of Violence in Northern Nigeria’, </w:t>
      </w:r>
      <w:r>
        <w:rPr>
          <w:i/>
          <w:iCs/>
        </w:rPr>
        <w:t xml:space="preserve">Africa </w:t>
      </w:r>
      <w:r>
        <w:t>70 (2000), 359-393.</w:t>
      </w:r>
    </w:p>
    <w:p w14:paraId="794A4A16" w14:textId="650F5B2A" w:rsidR="00700740" w:rsidRPr="00700740" w:rsidRDefault="005219F2" w:rsidP="005219F2">
      <w:r>
        <w:t xml:space="preserve">Jack </w:t>
      </w:r>
      <w:r w:rsidR="00700740" w:rsidRPr="00700740">
        <w:t>Lord</w:t>
      </w:r>
      <w:r>
        <w:t>, ‘Child Labor</w:t>
      </w:r>
      <w:r w:rsidR="00700740" w:rsidRPr="00700740">
        <w:t xml:space="preserve"> in the Gold Coast: The Economics of Work, Education, and the Family in Late-Colonial African Childhoods, c. 1940-57</w:t>
      </w:r>
      <w:r>
        <w:t xml:space="preserve">’, </w:t>
      </w:r>
      <w:r w:rsidR="00700740" w:rsidRPr="00700740">
        <w:t xml:space="preserve"> </w:t>
      </w:r>
      <w:r w:rsidR="00700740" w:rsidRPr="00700740">
        <w:rPr>
          <w:i/>
          <w:iCs/>
        </w:rPr>
        <w:t>Journal of the History of Childhood and Yout</w:t>
      </w:r>
      <w:r>
        <w:rPr>
          <w:i/>
          <w:iCs/>
        </w:rPr>
        <w:t xml:space="preserve">h </w:t>
      </w:r>
      <w:r>
        <w:t xml:space="preserve">4.1 (2010), 88-115. </w:t>
      </w:r>
    </w:p>
    <w:p w14:paraId="5A6392BB" w14:textId="479C1155" w:rsidR="008862ED" w:rsidRDefault="008862ED" w:rsidP="00647C2F">
      <w:r w:rsidRPr="008862ED">
        <w:t xml:space="preserve">David Pratten, ‘Masking Youth : Transformation and Transgression in Annang Performance’, </w:t>
      </w:r>
      <w:r w:rsidRPr="008862ED">
        <w:rPr>
          <w:i/>
          <w:iCs/>
        </w:rPr>
        <w:t>African A</w:t>
      </w:r>
      <w:r>
        <w:rPr>
          <w:i/>
          <w:iCs/>
        </w:rPr>
        <w:t xml:space="preserve">rt </w:t>
      </w:r>
      <w:r>
        <w:t>41 (2008), 44-60.</w:t>
      </w:r>
    </w:p>
    <w:p w14:paraId="5E643752" w14:textId="4483A333" w:rsidR="008862ED" w:rsidRDefault="008862ED" w:rsidP="00647C2F">
      <w:r>
        <w:t xml:space="preserve">Richard Waller, ‘Rebellious Youth in Colonial Africa’, </w:t>
      </w:r>
      <w:r>
        <w:rPr>
          <w:i/>
          <w:iCs/>
        </w:rPr>
        <w:t xml:space="preserve">Journal of African History </w:t>
      </w:r>
      <w:r w:rsidR="00E548FC">
        <w:t>47 (2006), 77-92.</w:t>
      </w:r>
    </w:p>
    <w:p w14:paraId="5D28AFF1" w14:textId="26ABD172" w:rsidR="009B17F1" w:rsidRDefault="009B17F1" w:rsidP="00647C2F">
      <w:pPr>
        <w:rPr>
          <w:u w:val="single"/>
        </w:rPr>
      </w:pPr>
      <w:r>
        <w:rPr>
          <w:u w:val="single"/>
        </w:rPr>
        <w:t>Gender</w:t>
      </w:r>
    </w:p>
    <w:p w14:paraId="47E8ECFA" w14:textId="578F65E3" w:rsidR="00BC50CC" w:rsidRDefault="00BC50CC" w:rsidP="004133EB">
      <w:r>
        <w:t xml:space="preserve">Jean </w:t>
      </w:r>
      <w:r w:rsidR="004133EB" w:rsidRPr="004133EB">
        <w:t>Allman,</w:t>
      </w:r>
      <w:r>
        <w:t xml:space="preserve"> ‘</w:t>
      </w:r>
      <w:r w:rsidR="004133EB" w:rsidRPr="004133EB">
        <w:t>Rounding up Spinsters: Gender Chaos and Unmarried Women in Colonial Asante</w:t>
      </w:r>
      <w:r>
        <w:t xml:space="preserve">’, </w:t>
      </w:r>
      <w:r w:rsidR="004133EB" w:rsidRPr="004133EB">
        <w:rPr>
          <w:i/>
          <w:iCs/>
        </w:rPr>
        <w:t>Journal of African History</w:t>
      </w:r>
      <w:r>
        <w:t xml:space="preserve"> 37.2 (1996), 195-214.</w:t>
      </w:r>
    </w:p>
    <w:p w14:paraId="7225C595" w14:textId="6160B8EA" w:rsidR="00CE7AEF" w:rsidRDefault="00BC50CC" w:rsidP="00BC50CC">
      <w:r w:rsidRPr="00BC50CC">
        <w:t>Misty Bastian, ‘Vultures of the Marketplace: Southeastern Nigerian Women and Discourses of the Ogu Umunwaayni (Women’s War) of 1929’, in J. Allman (eds.), African Women in Colonial Histories (Bloomington, 2002), pp. 260-81.</w:t>
      </w:r>
    </w:p>
    <w:p w14:paraId="18964980" w14:textId="0CEFAF8C" w:rsidR="00FF6634" w:rsidRDefault="00FF6634" w:rsidP="00BC50CC">
      <w:r w:rsidRPr="00FF6634">
        <w:t xml:space="preserve">Andrea Cornwall (ed.), </w:t>
      </w:r>
      <w:r w:rsidRPr="00FF6634">
        <w:rPr>
          <w:i/>
          <w:iCs/>
        </w:rPr>
        <w:t xml:space="preserve">Readings in Gender in Africa </w:t>
      </w:r>
      <w:r w:rsidRPr="00FF6634">
        <w:t>(Indiana University Press</w:t>
      </w:r>
      <w:r>
        <w:t xml:space="preserve">, 2005). </w:t>
      </w:r>
      <w:r w:rsidR="007D1297">
        <w:t xml:space="preserve">Especially chapters by Hunt, Mutongi, </w:t>
      </w:r>
      <w:r w:rsidR="0035362A">
        <w:t xml:space="preserve">Cooper, </w:t>
      </w:r>
      <w:r w:rsidR="00DB73CA">
        <w:t xml:space="preserve">and </w:t>
      </w:r>
      <w:r w:rsidR="0035362A">
        <w:t>Gaitskell</w:t>
      </w:r>
      <w:r w:rsidR="00C14A95">
        <w:t>.</w:t>
      </w:r>
    </w:p>
    <w:p w14:paraId="2647D27D" w14:textId="0DE80A14" w:rsidR="00C14A95" w:rsidRDefault="00C14A95" w:rsidP="00C14A95">
      <w:r>
        <w:lastRenderedPageBreak/>
        <w:t xml:space="preserve">R. Grinker and C Steiner (eds.), </w:t>
      </w:r>
      <w:r w:rsidRPr="00C14A95">
        <w:rPr>
          <w:i/>
          <w:iCs/>
        </w:rPr>
        <w:t>Perspectives on Africa: A Reader in Culture, History and Representation</w:t>
      </w:r>
      <w:r w:rsidRPr="00C14A95">
        <w:t xml:space="preserve"> (Oxford, 1997), </w:t>
      </w:r>
      <w:r>
        <w:t xml:space="preserve">especially the chapters in </w:t>
      </w:r>
      <w:r w:rsidRPr="00C14A95">
        <w:t>part VII.</w:t>
      </w:r>
    </w:p>
    <w:p w14:paraId="6403BA07" w14:textId="288F3D03" w:rsidR="00C0088C" w:rsidRDefault="00C0088C" w:rsidP="00C0088C">
      <w:r>
        <w:t xml:space="preserve">D. Hodgson and S. McCurdy (eds), </w:t>
      </w:r>
      <w:r w:rsidRPr="00C0088C">
        <w:rPr>
          <w:i/>
          <w:iCs/>
        </w:rPr>
        <w:t>‘Wicked Women’ and the Reconfiguration of Gender</w:t>
      </w:r>
      <w:r w:rsidRPr="00C0088C">
        <w:t xml:space="preserve"> in Africa (Oxford, 2001).</w:t>
      </w:r>
    </w:p>
    <w:p w14:paraId="7EBF7753" w14:textId="187593AA" w:rsidR="00C0088C" w:rsidRDefault="006A7B88" w:rsidP="006A7B88">
      <w:r>
        <w:t xml:space="preserve">Tabitha Kanogo, </w:t>
      </w:r>
      <w:r w:rsidRPr="006A7B88">
        <w:rPr>
          <w:i/>
          <w:iCs/>
        </w:rPr>
        <w:t>African Womanhood in Colonial Kenya, 1900-50</w:t>
      </w:r>
      <w:r w:rsidRPr="006A7B88">
        <w:t xml:space="preserve"> (Ohio, 2005).</w:t>
      </w:r>
    </w:p>
    <w:p w14:paraId="301CCE7F" w14:textId="645F7497" w:rsidR="00922D89" w:rsidRDefault="00922D89" w:rsidP="00922D89">
      <w:r>
        <w:t xml:space="preserve">Stephen Murray and Will Roscoe, </w:t>
      </w:r>
      <w:r w:rsidRPr="00382DC6">
        <w:rPr>
          <w:i/>
          <w:iCs/>
        </w:rPr>
        <w:t>Boy-Wives and Female Husbands: Studies of African Homosexualities</w:t>
      </w:r>
      <w:r>
        <w:rPr>
          <w:i/>
          <w:iCs/>
        </w:rPr>
        <w:t xml:space="preserve"> </w:t>
      </w:r>
      <w:r>
        <w:t>(SUNY Press, 2021).</w:t>
      </w:r>
    </w:p>
    <w:p w14:paraId="0D439CFB" w14:textId="72C22A7E" w:rsidR="00946C96" w:rsidRDefault="00946C96" w:rsidP="00946C96">
      <w:r>
        <w:t>Elizabeth Schmidt, ‘</w:t>
      </w:r>
      <w:r w:rsidRPr="00946C96">
        <w:t xml:space="preserve">Negotiated Spaces and Contested Terrains: Men, Women and the Law in Colonial Zimbabwe’, </w:t>
      </w:r>
      <w:r w:rsidRPr="00946C96">
        <w:rPr>
          <w:i/>
          <w:iCs/>
        </w:rPr>
        <w:t>Journal of Southern African Studies</w:t>
      </w:r>
      <w:r w:rsidRPr="00946C96">
        <w:t>, 16 (1990), 622-48</w:t>
      </w:r>
    </w:p>
    <w:p w14:paraId="2A846478" w14:textId="174C6495" w:rsidR="00256997" w:rsidRDefault="00256997" w:rsidP="00256997">
      <w:pPr>
        <w:pStyle w:val="Heading2"/>
      </w:pPr>
      <w:r w:rsidRPr="00E548FC">
        <w:t xml:space="preserve">Session </w:t>
      </w:r>
      <w:r w:rsidR="0010551C">
        <w:t>5</w:t>
      </w:r>
      <w:r w:rsidRPr="00E548FC">
        <w:t xml:space="preserve">: </w:t>
      </w:r>
      <w:r w:rsidR="0010551C">
        <w:t>Assignment workshop</w:t>
      </w:r>
    </w:p>
    <w:p w14:paraId="3962570C" w14:textId="45225A96" w:rsidR="00D370C9" w:rsidRPr="00D370C9" w:rsidRDefault="00D370C9" w:rsidP="00D370C9">
      <w:r>
        <w:t xml:space="preserve">This session will discuss your progress on your assignments, </w:t>
      </w:r>
      <w:r w:rsidR="00866487">
        <w:t>and we’ll go through the key components of an effective essay.</w:t>
      </w:r>
    </w:p>
    <w:p w14:paraId="7CA322E3" w14:textId="75E7244A" w:rsidR="00256997" w:rsidRDefault="00256997" w:rsidP="00256997">
      <w:pPr>
        <w:pStyle w:val="Heading2"/>
      </w:pPr>
      <w:r>
        <w:t xml:space="preserve">Session </w:t>
      </w:r>
      <w:r w:rsidR="0010551C">
        <w:t>6</w:t>
      </w:r>
      <w:r>
        <w:t xml:space="preserve">: </w:t>
      </w:r>
      <w:r w:rsidRPr="00647C2F">
        <w:t>Urbanisation and life i</w:t>
      </w:r>
      <w:r>
        <w:t>n the city</w:t>
      </w:r>
    </w:p>
    <w:p w14:paraId="1DD7D6BF" w14:textId="2EA110BA" w:rsidR="00CE7222" w:rsidRPr="00CE7222" w:rsidRDefault="00CE7222" w:rsidP="00CE7222">
      <w:r>
        <w:t>This session will explore urbanisation and life in African cities, with particular attention to the impact of colonialism, migration, and the labour market. We will e</w:t>
      </w:r>
      <w:r w:rsidR="00814EA4">
        <w:t>xamine how class, ethnicity, gender, and generation, influenced life and belonging in the city.</w:t>
      </w:r>
    </w:p>
    <w:p w14:paraId="3B1FE93C" w14:textId="77777777" w:rsidR="00814EA4" w:rsidRDefault="00814EA4" w:rsidP="00256997">
      <w:pPr>
        <w:rPr>
          <w:b/>
          <w:bCs/>
        </w:rPr>
      </w:pPr>
      <w:r>
        <w:rPr>
          <w:b/>
          <w:bCs/>
        </w:rPr>
        <w:t xml:space="preserve">Key questions: </w:t>
      </w:r>
    </w:p>
    <w:p w14:paraId="197E6B68" w14:textId="379A724E" w:rsidR="00256997" w:rsidRDefault="00256997" w:rsidP="00866487">
      <w:pPr>
        <w:pStyle w:val="ListParagraph"/>
        <w:numPr>
          <w:ilvl w:val="0"/>
          <w:numId w:val="20"/>
        </w:numPr>
      </w:pPr>
      <w:r>
        <w:t>How did colonial authorities respond to urbanisation and urban cultures in Africa?</w:t>
      </w:r>
    </w:p>
    <w:p w14:paraId="21EB41E2" w14:textId="77777777" w:rsidR="00256997" w:rsidRDefault="00256997" w:rsidP="00866487">
      <w:pPr>
        <w:pStyle w:val="ListParagraph"/>
        <w:numPr>
          <w:ilvl w:val="0"/>
          <w:numId w:val="20"/>
        </w:numPr>
      </w:pPr>
      <w:r>
        <w:t>What has been the impact of urbanisation on African societies?</w:t>
      </w:r>
    </w:p>
    <w:p w14:paraId="594B516B" w14:textId="77777777" w:rsidR="00256997" w:rsidRDefault="00256997" w:rsidP="00866487">
      <w:pPr>
        <w:pStyle w:val="ListParagraph"/>
        <w:numPr>
          <w:ilvl w:val="0"/>
          <w:numId w:val="20"/>
        </w:numPr>
      </w:pPr>
      <w:r>
        <w:t>How were rural and urban spaces gendered by colonial authorities?</w:t>
      </w:r>
    </w:p>
    <w:p w14:paraId="397F594D" w14:textId="05179DE2" w:rsidR="00256997" w:rsidRDefault="00256997" w:rsidP="00866487">
      <w:pPr>
        <w:pStyle w:val="ListParagraph"/>
        <w:numPr>
          <w:ilvl w:val="0"/>
          <w:numId w:val="20"/>
        </w:numPr>
      </w:pPr>
      <w:r>
        <w:t>What is the relationship between the rural and the urban in modern Africa</w:t>
      </w:r>
      <w:r w:rsidR="009B17F1">
        <w:t>?</w:t>
      </w:r>
    </w:p>
    <w:p w14:paraId="6591BA3C" w14:textId="77777777" w:rsidR="00256997" w:rsidRPr="007317F0" w:rsidRDefault="00256997" w:rsidP="00256997">
      <w:pPr>
        <w:rPr>
          <w:b/>
          <w:bCs/>
        </w:rPr>
      </w:pPr>
      <w:r>
        <w:rPr>
          <w:b/>
          <w:bCs/>
        </w:rPr>
        <w:t>Key Reading</w:t>
      </w:r>
    </w:p>
    <w:p w14:paraId="22A272C7" w14:textId="77777777" w:rsidR="00256997" w:rsidRDefault="00256997" w:rsidP="00256997">
      <w:r w:rsidRPr="00647C2F">
        <w:t>Allen M. Howard, ‘Cities i</w:t>
      </w:r>
      <w:r>
        <w:t xml:space="preserve">n Africa, Past and Present: Contestation, Transformation, Discourse’, </w:t>
      </w:r>
      <w:r>
        <w:rPr>
          <w:i/>
          <w:iCs/>
        </w:rPr>
        <w:t xml:space="preserve">Canadian Journal of African Studies </w:t>
      </w:r>
      <w:r>
        <w:t>37:2-3 (2003), 197-235.</w:t>
      </w:r>
    </w:p>
    <w:p w14:paraId="4D1A141C" w14:textId="77777777" w:rsidR="00256997" w:rsidRDefault="00256997" w:rsidP="00256997">
      <w:r>
        <w:t xml:space="preserve">John Iliffe, </w:t>
      </w:r>
      <w:r>
        <w:rPr>
          <w:i/>
          <w:iCs/>
        </w:rPr>
        <w:t xml:space="preserve">Honour in African History </w:t>
      </w:r>
      <w:r>
        <w:t>(2005), chapter 16.</w:t>
      </w:r>
    </w:p>
    <w:p w14:paraId="7C824B83" w14:textId="77777777" w:rsidR="00256997" w:rsidRDefault="00256997" w:rsidP="00256997">
      <w:r>
        <w:t xml:space="preserve">Luise White, </w:t>
      </w:r>
      <w:r>
        <w:rPr>
          <w:i/>
          <w:iCs/>
        </w:rPr>
        <w:t xml:space="preserve">Speaking with Vampires </w:t>
      </w:r>
      <w:r>
        <w:t>(2000), chapter 4.</w:t>
      </w:r>
    </w:p>
    <w:p w14:paraId="63D7173B" w14:textId="77777777" w:rsidR="00256997" w:rsidRDefault="00256997" w:rsidP="00256997">
      <w:pPr>
        <w:rPr>
          <w:b/>
          <w:bCs/>
        </w:rPr>
      </w:pPr>
      <w:r>
        <w:rPr>
          <w:b/>
          <w:bCs/>
        </w:rPr>
        <w:t>Further reading (for essay preparation)</w:t>
      </w:r>
    </w:p>
    <w:p w14:paraId="4DA32FCA" w14:textId="77777777" w:rsidR="00256997" w:rsidRDefault="00256997" w:rsidP="00256997">
      <w:r>
        <w:t xml:space="preserve">E. Akyeampong and C. Ambler, ‘Leisure in African History: An Introduction’, </w:t>
      </w:r>
      <w:r>
        <w:rPr>
          <w:i/>
          <w:iCs/>
        </w:rPr>
        <w:t xml:space="preserve">International Journal of African Historical Studies </w:t>
      </w:r>
      <w:r>
        <w:t>35 (2002), 1-16.</w:t>
      </w:r>
    </w:p>
    <w:p w14:paraId="086D2DCE" w14:textId="77777777" w:rsidR="00256997" w:rsidRPr="008B252B" w:rsidRDefault="00256997" w:rsidP="00256997">
      <w:r w:rsidRPr="008B252B">
        <w:t>Carole Ammann and Till Förster</w:t>
      </w:r>
      <w:r>
        <w:t xml:space="preserve"> (eds.)</w:t>
      </w:r>
      <w:r w:rsidRPr="008B252B">
        <w:t xml:space="preserve">, </w:t>
      </w:r>
      <w:r w:rsidRPr="008B252B">
        <w:rPr>
          <w:i/>
          <w:iCs/>
        </w:rPr>
        <w:t>African Cit</w:t>
      </w:r>
      <w:r>
        <w:rPr>
          <w:i/>
          <w:iCs/>
        </w:rPr>
        <w:t xml:space="preserve">ies and the Development Conundrum </w:t>
      </w:r>
      <w:r>
        <w:t>(Leiden, 2018).</w:t>
      </w:r>
    </w:p>
    <w:p w14:paraId="5F82EE02" w14:textId="77777777" w:rsidR="00256997" w:rsidRDefault="00256997" w:rsidP="00256997">
      <w:r w:rsidRPr="007317F0">
        <w:lastRenderedPageBreak/>
        <w:t>Teresa Barnes, ‘ “Am I a Man?”: Gender and t</w:t>
      </w:r>
      <w:r>
        <w:t xml:space="preserve">he Pass Laws in Urban Colonial Zimbabwe, 1930-1980’, </w:t>
      </w:r>
      <w:r>
        <w:rPr>
          <w:i/>
          <w:iCs/>
        </w:rPr>
        <w:t xml:space="preserve">African Studies Review </w:t>
      </w:r>
      <w:r>
        <w:t>40:1 (1997), 59-81.</w:t>
      </w:r>
    </w:p>
    <w:p w14:paraId="3CF1A914" w14:textId="44B92C62" w:rsidR="00256997" w:rsidRPr="005F0E21" w:rsidRDefault="00256997" w:rsidP="00256997">
      <w:r>
        <w:t xml:space="preserve">Cathérine Coquéry-Vidrovitch, ‘Racial and Social Zoning in African Cities from Colonization to Postindependence’ in Els Bogaerts and Remco Raben, </w:t>
      </w:r>
      <w:r>
        <w:rPr>
          <w:i/>
          <w:iCs/>
        </w:rPr>
        <w:t xml:space="preserve">Beyond Empire and Nation: The Decolonization of African and Asian Societies, 1930s-1960s </w:t>
      </w:r>
      <w:r>
        <w:t xml:space="preserve">(Leiden, 2012), pp. 267-286. </w:t>
      </w:r>
    </w:p>
    <w:p w14:paraId="1DF042C1" w14:textId="0EE87290" w:rsidR="00256997" w:rsidRDefault="00256997" w:rsidP="005C33BA">
      <w:r>
        <w:t xml:space="preserve">Laurent Fourchaud, ‘Kinshasa: Tales of the Invisible City and the Second World’ in P. Geschiere (ed.), </w:t>
      </w:r>
      <w:r>
        <w:rPr>
          <w:i/>
          <w:iCs/>
        </w:rPr>
        <w:t xml:space="preserve">Readings in Modernity in Africa </w:t>
      </w:r>
      <w:r>
        <w:t xml:space="preserve">(Oxford, 2009), pp.124-134. </w:t>
      </w:r>
    </w:p>
    <w:p w14:paraId="253D9B77" w14:textId="1833152F" w:rsidR="00256997" w:rsidRDefault="00256997" w:rsidP="005C33BA">
      <w:r>
        <w:t xml:space="preserve">Bill Freund, ‘The African City: Decolonization and After’, in Els Bogaerts and Remco Raben, </w:t>
      </w:r>
      <w:r>
        <w:rPr>
          <w:i/>
          <w:iCs/>
        </w:rPr>
        <w:t xml:space="preserve">Beyond Empire and Nation: The Decolonization of African and Asian Societies, 1930s-1960s </w:t>
      </w:r>
      <w:r>
        <w:t xml:space="preserve">(Leiden, 2012), pp. 241-266. </w:t>
      </w:r>
    </w:p>
    <w:p w14:paraId="4781E44B" w14:textId="067FB251" w:rsidR="00256997" w:rsidRPr="005F0E21" w:rsidRDefault="00256997" w:rsidP="00256997">
      <w:r>
        <w:t xml:space="preserve">John Iliffe, </w:t>
      </w:r>
      <w:r>
        <w:rPr>
          <w:i/>
          <w:iCs/>
        </w:rPr>
        <w:t xml:space="preserve">Honour in African History </w:t>
      </w:r>
      <w:r>
        <w:t xml:space="preserve">(Cambridge, 2005), chapter 16. </w:t>
      </w:r>
    </w:p>
    <w:p w14:paraId="5D1FF6B3" w14:textId="77777777" w:rsidR="00256997" w:rsidRPr="005F0E21" w:rsidRDefault="00256997" w:rsidP="00256997">
      <w:r>
        <w:t xml:space="preserve">Diana Jeater, ‘No Place for a Woman: Gwelo Town, Southern Rhodesia, 1894-1920’, </w:t>
      </w:r>
      <w:r>
        <w:rPr>
          <w:i/>
          <w:iCs/>
        </w:rPr>
        <w:t xml:space="preserve">Journal of Southern African Studies </w:t>
      </w:r>
      <w:r>
        <w:t>(2000), 29-42.</w:t>
      </w:r>
    </w:p>
    <w:p w14:paraId="2E48089F" w14:textId="0BC29E33" w:rsidR="00256997" w:rsidRDefault="00256997" w:rsidP="00256997">
      <w:r>
        <w:t xml:space="preserve">Miles Larmer, </w:t>
      </w:r>
      <w:r>
        <w:rPr>
          <w:i/>
          <w:iCs/>
        </w:rPr>
        <w:t xml:space="preserve">Across the Copperbelt: Urban and Social Change in Central Africa’s Borderland Communities </w:t>
      </w:r>
      <w:r>
        <w:t>(Boydell and Brewer, 2021)</w:t>
      </w:r>
      <w:r w:rsidR="005C33BA">
        <w:t>.</w:t>
      </w:r>
    </w:p>
    <w:p w14:paraId="1C7F7C34" w14:textId="77777777" w:rsidR="00256997" w:rsidRPr="008B252B" w:rsidRDefault="00256997" w:rsidP="00256997">
      <w:r w:rsidRPr="008B252B">
        <w:t xml:space="preserve">Ntombini Marrengane and Sylvia Croese (eds.), </w:t>
      </w:r>
      <w:r w:rsidRPr="008B252B">
        <w:rPr>
          <w:i/>
          <w:iCs/>
        </w:rPr>
        <w:t>Reframin</w:t>
      </w:r>
      <w:r>
        <w:rPr>
          <w:i/>
          <w:iCs/>
        </w:rPr>
        <w:t xml:space="preserve">g the Urban Challenge in Africa: Knowledge Co-Production from the South </w:t>
      </w:r>
      <w:r>
        <w:t>(Abingdon, 2021).</w:t>
      </w:r>
    </w:p>
    <w:p w14:paraId="61CC9275" w14:textId="443BB95C" w:rsidR="00256997" w:rsidRDefault="00256997" w:rsidP="005C33BA">
      <w:r>
        <w:t xml:space="preserve">Phyllis M. Martin, </w:t>
      </w:r>
      <w:r>
        <w:rPr>
          <w:i/>
          <w:iCs/>
        </w:rPr>
        <w:t xml:space="preserve">Leisure and Society in Colonial Brazzaville </w:t>
      </w:r>
      <w:r>
        <w:t xml:space="preserve">(Cambridge, 1995). </w:t>
      </w:r>
    </w:p>
    <w:p w14:paraId="001B7BDB" w14:textId="77777777" w:rsidR="00256997" w:rsidRDefault="00256997" w:rsidP="00256997">
      <w:r>
        <w:t xml:space="preserve">David Pratten, ‘The Thief Eats His Shame: Practice and Power in Nigerian Vigilantism’, </w:t>
      </w:r>
      <w:r>
        <w:rPr>
          <w:i/>
          <w:iCs/>
        </w:rPr>
        <w:t xml:space="preserve">Africa </w:t>
      </w:r>
      <w:r>
        <w:t>71 (2008), 64-83.</w:t>
      </w:r>
    </w:p>
    <w:p w14:paraId="396B42DF" w14:textId="77777777" w:rsidR="00256997" w:rsidRPr="00257ECD" w:rsidRDefault="00256997" w:rsidP="00256997">
      <w:r>
        <w:t xml:space="preserve">Kirsten Rüther, ‘The Rule of Rent: The State, Employers, and the Becoming Urban Dweller in Northern Rhodesia Acting Across a Societal Field of Force, c. 1948-1962’, in Martina Barker-Ciganikova, Kirsten Rüther, Daniela Waldburger and Carl-Philipp Bodenstein (eds.), </w:t>
      </w:r>
      <w:r>
        <w:rPr>
          <w:i/>
          <w:iCs/>
        </w:rPr>
        <w:t xml:space="preserve">The Politics of Housing in (Post)colonial Africa: Accommodating Workers and Urban Residents </w:t>
      </w:r>
      <w:r>
        <w:t>(Berlin, 2020), pp. 31-65.</w:t>
      </w:r>
    </w:p>
    <w:p w14:paraId="62F13556" w14:textId="77777777" w:rsidR="00256997" w:rsidRDefault="00256997" w:rsidP="00256997">
      <w:r>
        <w:t xml:space="preserve">Kathleen Sheldon (ed.), </w:t>
      </w:r>
      <w:r>
        <w:rPr>
          <w:i/>
          <w:iCs/>
        </w:rPr>
        <w:t xml:space="preserve">Courtyards, Markets, City Streets: Urban Women in Africa </w:t>
      </w:r>
      <w:r>
        <w:t>(Boulder, CO, 1996).</w:t>
      </w:r>
    </w:p>
    <w:p w14:paraId="5A9801AD" w14:textId="77777777" w:rsidR="00256997" w:rsidRDefault="00256997" w:rsidP="00256997">
      <w:r>
        <w:t xml:space="preserve">Laura Stark and Annika Teppo (eds.), </w:t>
      </w:r>
      <w:r>
        <w:rPr>
          <w:i/>
          <w:iCs/>
        </w:rPr>
        <w:t xml:space="preserve">Power and Informality in Urban Africa: Ethnographic Perspectives </w:t>
      </w:r>
      <w:r>
        <w:t>(Uppsala, 2022).</w:t>
      </w:r>
    </w:p>
    <w:p w14:paraId="07B980BF" w14:textId="18B18F1B" w:rsidR="00647C2F" w:rsidRDefault="00647C2F" w:rsidP="00256997">
      <w:pPr>
        <w:pStyle w:val="Heading2"/>
      </w:pPr>
      <w:r>
        <w:t xml:space="preserve">Session </w:t>
      </w:r>
      <w:r w:rsidR="0010551C">
        <w:t>7</w:t>
      </w:r>
      <w:r>
        <w:t>: Alcohol and drugs</w:t>
      </w:r>
    </w:p>
    <w:p w14:paraId="66583F0B" w14:textId="5AFEBDC5" w:rsidR="005724F8" w:rsidRDefault="005724F8" w:rsidP="005724F8">
      <w:r>
        <w:t xml:space="preserve">This session will explore the historical roles and meanings of alcohol and drugs in African societies. We will consider how and why colonial states sought to regulate, tax, </w:t>
      </w:r>
      <w:r>
        <w:lastRenderedPageBreak/>
        <w:t>or criminalise the consumption of illicit substances, as well as examining moral anxieties, and gendered and generational conflict around the use of alcohol and drugs.</w:t>
      </w:r>
    </w:p>
    <w:p w14:paraId="7586F8A2" w14:textId="74B0BB5F" w:rsidR="005724F8" w:rsidRPr="00D55E30" w:rsidRDefault="00D55E30" w:rsidP="005724F8">
      <w:pPr>
        <w:rPr>
          <w:b/>
          <w:bCs/>
        </w:rPr>
      </w:pPr>
      <w:r>
        <w:rPr>
          <w:b/>
          <w:bCs/>
        </w:rPr>
        <w:t>Key questions:</w:t>
      </w:r>
    </w:p>
    <w:p w14:paraId="47AC5B2B" w14:textId="722327C1" w:rsidR="00647C2F" w:rsidRDefault="00647C2F" w:rsidP="00D55E30">
      <w:pPr>
        <w:pStyle w:val="ListParagraph"/>
        <w:numPr>
          <w:ilvl w:val="0"/>
          <w:numId w:val="12"/>
        </w:numPr>
      </w:pPr>
      <w:r>
        <w:t>Is alcohol a marker of modernity?</w:t>
      </w:r>
    </w:p>
    <w:p w14:paraId="5BAF3C62" w14:textId="0F60DABD" w:rsidR="00647C2F" w:rsidRDefault="00647C2F" w:rsidP="00D55E30">
      <w:pPr>
        <w:pStyle w:val="ListParagraph"/>
        <w:numPr>
          <w:ilvl w:val="0"/>
          <w:numId w:val="12"/>
        </w:numPr>
      </w:pPr>
      <w:r>
        <w:t>How does the history of drinking and drug use reveal social tensions?</w:t>
      </w:r>
    </w:p>
    <w:p w14:paraId="14B0604A" w14:textId="5E8C18FD" w:rsidR="00E548FC" w:rsidRPr="00E548FC" w:rsidRDefault="00E548FC" w:rsidP="00833787">
      <w:pPr>
        <w:rPr>
          <w:b/>
          <w:bCs/>
        </w:rPr>
      </w:pPr>
      <w:r>
        <w:rPr>
          <w:b/>
          <w:bCs/>
        </w:rPr>
        <w:t>Key reading</w:t>
      </w:r>
    </w:p>
    <w:p w14:paraId="4A41E3BB" w14:textId="0BF14542" w:rsidR="00647C2F" w:rsidRDefault="00647C2F" w:rsidP="00833787">
      <w:r>
        <w:t xml:space="preserve">Emmanuel Akyeampong, ‘ “What’s in a Drink”? Class Struggle, Popular Culture and the Politics of </w:t>
      </w:r>
      <w:r>
        <w:rPr>
          <w:i/>
          <w:iCs/>
        </w:rPr>
        <w:t xml:space="preserve">Akpeteshie </w:t>
      </w:r>
      <w:r>
        <w:t xml:space="preserve">in Ghana, 1930-67’, </w:t>
      </w:r>
      <w:r>
        <w:rPr>
          <w:i/>
          <w:iCs/>
        </w:rPr>
        <w:t xml:space="preserve">Journal of African History </w:t>
      </w:r>
      <w:r>
        <w:t>37 (1996), 215-36.</w:t>
      </w:r>
    </w:p>
    <w:p w14:paraId="44EFB76F" w14:textId="6385DFD7" w:rsidR="002F6B43" w:rsidRDefault="002F6B43" w:rsidP="00833787">
      <w:r>
        <w:t xml:space="preserve">J Willis, ‘Drinking Power: Alcohol and History in Africa’, </w:t>
      </w:r>
      <w:r>
        <w:rPr>
          <w:i/>
          <w:iCs/>
        </w:rPr>
        <w:t xml:space="preserve">History Compass </w:t>
      </w:r>
      <w:r>
        <w:t>3 (2005), 1-13.</w:t>
      </w:r>
    </w:p>
    <w:p w14:paraId="09C64C32" w14:textId="1770C83A" w:rsidR="002F6B43" w:rsidRDefault="002F6B43" w:rsidP="00833787">
      <w:r w:rsidRPr="002F6B43">
        <w:t>Neil Carrier, ‘Miraa is Cool</w:t>
      </w:r>
      <w:r>
        <w:t xml:space="preserve">: The Cultural Importance of Miraa (Khat) for Tigania and Igembe Youth in Kenya’, </w:t>
      </w:r>
      <w:r>
        <w:rPr>
          <w:i/>
          <w:iCs/>
        </w:rPr>
        <w:t xml:space="preserve">Journal of African Cultural Studies </w:t>
      </w:r>
      <w:r>
        <w:t>17 (2005), 201-18.</w:t>
      </w:r>
    </w:p>
    <w:p w14:paraId="1917D158" w14:textId="0C22B107" w:rsidR="00E548FC" w:rsidRDefault="00E548FC" w:rsidP="00833787">
      <w:pPr>
        <w:rPr>
          <w:b/>
          <w:bCs/>
        </w:rPr>
      </w:pPr>
      <w:r>
        <w:rPr>
          <w:b/>
          <w:bCs/>
        </w:rPr>
        <w:t>Further reading (for essay preparation)</w:t>
      </w:r>
    </w:p>
    <w:p w14:paraId="2E54094B" w14:textId="77777777" w:rsidR="00257ECD" w:rsidRDefault="00257ECD" w:rsidP="00833787">
      <w:r>
        <w:t xml:space="preserve">Emmanuel Akyeampong, ‘Alcoholism in Ghana: A Socio-Cultural Exploration’, </w:t>
      </w:r>
      <w:r>
        <w:rPr>
          <w:i/>
          <w:iCs/>
        </w:rPr>
        <w:t xml:space="preserve">Culture, Medicine and Psychiatry </w:t>
      </w:r>
      <w:r>
        <w:t>19 (1995), 261-280.</w:t>
      </w:r>
    </w:p>
    <w:p w14:paraId="2F67689B" w14:textId="273B7068" w:rsidR="00E548FC" w:rsidRDefault="00E548FC" w:rsidP="00833787">
      <w:r w:rsidRPr="00E548FC">
        <w:t>Charles Ambler, ‘Alcohol, Racial Segregation and Popular Politics in</w:t>
      </w:r>
      <w:r>
        <w:t xml:space="preserve"> Northern Rhodesia’, </w:t>
      </w:r>
      <w:r>
        <w:rPr>
          <w:i/>
          <w:iCs/>
        </w:rPr>
        <w:t xml:space="preserve">Journal of African History </w:t>
      </w:r>
      <w:r>
        <w:t>31 (1990), 295-313.</w:t>
      </w:r>
    </w:p>
    <w:p w14:paraId="24E52D78" w14:textId="21741D2B" w:rsidR="00E548FC" w:rsidRDefault="00E548FC" w:rsidP="00833787">
      <w:r>
        <w:t xml:space="preserve">David Anderson and Neil Carrier, ‘Khat in Colonial Kenya: A History of Prohibition and Control’, </w:t>
      </w:r>
      <w:r>
        <w:rPr>
          <w:i/>
          <w:iCs/>
        </w:rPr>
        <w:t xml:space="preserve">Journal of African History </w:t>
      </w:r>
      <w:r>
        <w:t>50 (2009), 377-397.</w:t>
      </w:r>
    </w:p>
    <w:p w14:paraId="5989294F" w14:textId="272DD42A" w:rsidR="00E628C8" w:rsidRPr="00E628C8" w:rsidRDefault="00E628C8" w:rsidP="00833787">
      <w:r>
        <w:t xml:space="preserve">Nicodemus Fru Awasom, ‘The Emergence of Public Spheres in Colonial Cameroon: Palm Wine Drinking Joints in Bamenda Township, </w:t>
      </w:r>
      <w:r>
        <w:rPr>
          <w:i/>
          <w:iCs/>
        </w:rPr>
        <w:t xml:space="preserve">Africa Development </w:t>
      </w:r>
      <w:r>
        <w:t>37 (2012), 69-84.</w:t>
      </w:r>
    </w:p>
    <w:p w14:paraId="6495F91F" w14:textId="19DB7914" w:rsidR="00E628C8" w:rsidRPr="00E628C8" w:rsidRDefault="00E628C8" w:rsidP="00833787">
      <w:r w:rsidRPr="00E628C8">
        <w:t>Dmitri van den Bersselaar, ‘Who Belongs to th</w:t>
      </w:r>
      <w:r>
        <w:t xml:space="preserve">e “Star People”? Negotiating Beer and Gin Advertisements in West Africa, 1949-1975’, </w:t>
      </w:r>
      <w:r>
        <w:rPr>
          <w:i/>
          <w:iCs/>
        </w:rPr>
        <w:t xml:space="preserve">Journal of African History </w:t>
      </w:r>
      <w:r>
        <w:t>52 (2011), 385-408.</w:t>
      </w:r>
    </w:p>
    <w:p w14:paraId="58C2B443" w14:textId="56B104FF" w:rsidR="00E548FC" w:rsidRDefault="00E548FC" w:rsidP="00E548FC">
      <w:r w:rsidRPr="00E548FC">
        <w:t>P. L. Bonner, ‘Desirable or Undesirable Wome</w:t>
      </w:r>
      <w:r>
        <w:t xml:space="preserve">n? Liquor, Prostitution and the Migration of Basotho Women to the Rand, 1920-1945’ in C. Walker (ed.), </w:t>
      </w:r>
      <w:r>
        <w:rPr>
          <w:i/>
          <w:iCs/>
        </w:rPr>
        <w:t xml:space="preserve">Women and Gender in Southern Africa to 1945 </w:t>
      </w:r>
      <w:r>
        <w:t>(London, 1990), pp. 221-50. Full text online in library.</w:t>
      </w:r>
    </w:p>
    <w:p w14:paraId="0C55FD84" w14:textId="34B3548A" w:rsidR="00E628C8" w:rsidRDefault="00E628C8" w:rsidP="00E548FC">
      <w:r>
        <w:t xml:space="preserve">Simon Heap, ‘ “We Think Prohibition is a Farce”: Drinking in the Alcohol-Prohibited Zone of Colonial Northern Nigeria’, </w:t>
      </w:r>
      <w:r>
        <w:rPr>
          <w:i/>
          <w:iCs/>
        </w:rPr>
        <w:t xml:space="preserve">International Journal of African Historical Studies </w:t>
      </w:r>
      <w:r>
        <w:t>31 (1998), 23-51.</w:t>
      </w:r>
    </w:p>
    <w:p w14:paraId="6ED6829C" w14:textId="06019937" w:rsidR="00257ECD" w:rsidRPr="00257ECD" w:rsidRDefault="00257ECD" w:rsidP="00E548FC">
      <w:r>
        <w:t xml:space="preserve">Simon Heap, ‘ “A Bottle of Gin is Dangled Before the Nose of the Natives”: The Economic Uses of Imported Liquor in Southern Nigeria, 1860-1920’, </w:t>
      </w:r>
      <w:r>
        <w:rPr>
          <w:i/>
          <w:iCs/>
        </w:rPr>
        <w:t xml:space="preserve">African Economic History </w:t>
      </w:r>
      <w:r>
        <w:t>33 (2005), 69-85.</w:t>
      </w:r>
    </w:p>
    <w:p w14:paraId="46B737EC" w14:textId="503767D6" w:rsidR="00E628C8" w:rsidRPr="00E628C8" w:rsidRDefault="00E628C8" w:rsidP="00E548FC">
      <w:r>
        <w:lastRenderedPageBreak/>
        <w:t xml:space="preserve">Maurice Hutton, ‘Drinking for Development: Transformation of the Beer Hall System in Late Colonial Bulawayo, Zimbabwe’, </w:t>
      </w:r>
      <w:r>
        <w:rPr>
          <w:i/>
          <w:iCs/>
        </w:rPr>
        <w:t xml:space="preserve">Journal of Imperial and Commonwealth History </w:t>
      </w:r>
      <w:r>
        <w:t>(2023), p. 1-30.</w:t>
      </w:r>
    </w:p>
    <w:p w14:paraId="0559AE65" w14:textId="686C6467" w:rsidR="00E628C8" w:rsidRDefault="00E628C8" w:rsidP="00E548FC">
      <w:r w:rsidRPr="00E628C8">
        <w:t>Chima J. Korieh, ‘Alcohol and</w:t>
      </w:r>
      <w:r>
        <w:t xml:space="preserve"> Empire: “Illicit” Gin Prohibition and Control in Colonial Eastern Nigeria’ </w:t>
      </w:r>
      <w:r>
        <w:rPr>
          <w:i/>
          <w:iCs/>
        </w:rPr>
        <w:t xml:space="preserve">African Economic History </w:t>
      </w:r>
      <w:r>
        <w:t>31 (2003), 111-134.</w:t>
      </w:r>
    </w:p>
    <w:p w14:paraId="6082BA9C" w14:textId="00031344" w:rsidR="00E628C8" w:rsidRPr="00E628C8" w:rsidRDefault="00E628C8" w:rsidP="00E548FC">
      <w:r>
        <w:t xml:space="preserve">Uche Uwaezuoke Okonkwo, ‘The Advertisement of Alcohol in Colonial and Post-colonial Times in Southern Nigeria’, </w:t>
      </w:r>
      <w:r>
        <w:rPr>
          <w:i/>
          <w:iCs/>
        </w:rPr>
        <w:t xml:space="preserve">Journal of Historical Sociology </w:t>
      </w:r>
      <w:r>
        <w:t>31 (2018), 497-511.</w:t>
      </w:r>
    </w:p>
    <w:p w14:paraId="12774367" w14:textId="18DE1832" w:rsidR="00E548FC" w:rsidRDefault="00E548FC" w:rsidP="00833787">
      <w:r>
        <w:t xml:space="preserve">Jonathan Robins, ‘ “Imbibing the Lesson of Defiance”: Oil Palms and Alcohol in Colonial Ghana, 1900-1940’, </w:t>
      </w:r>
      <w:r>
        <w:rPr>
          <w:i/>
          <w:iCs/>
        </w:rPr>
        <w:t xml:space="preserve">Environmental History </w:t>
      </w:r>
      <w:r>
        <w:t>23 (2018), 293-317.</w:t>
      </w:r>
    </w:p>
    <w:p w14:paraId="4D0A98DB" w14:textId="40A41B04" w:rsidR="00E548FC" w:rsidRDefault="00E548FC" w:rsidP="00833787">
      <w:r w:rsidRPr="00E548FC">
        <w:t>Danielle Porter Sanchez, ‘Bar-Dancing, Palm Win</w:t>
      </w:r>
      <w:r>
        <w:t xml:space="preserve">e, and Letters: Alcohol Consumption and Colonial Anxieties in Free French Brazzaville, 1940-1943’, </w:t>
      </w:r>
      <w:r>
        <w:rPr>
          <w:i/>
          <w:iCs/>
        </w:rPr>
        <w:t xml:space="preserve">Journal of African Military History </w:t>
      </w:r>
      <w:r>
        <w:t>3 (2019), 123-154.</w:t>
      </w:r>
    </w:p>
    <w:p w14:paraId="608C0B87" w14:textId="296FC7D5" w:rsidR="00E628C8" w:rsidRPr="00E628C8" w:rsidRDefault="00E628C8" w:rsidP="00833787">
      <w:r>
        <w:t xml:space="preserve">Lynn Schler, ‘Looking Through a Glass of Beer: Alcohol in the Cultural Spaces of Colonial Douala, 1910-1945’, </w:t>
      </w:r>
      <w:r>
        <w:rPr>
          <w:i/>
          <w:iCs/>
        </w:rPr>
        <w:t xml:space="preserve">International Journal of African Historical Studies </w:t>
      </w:r>
      <w:r>
        <w:t>35 (2003), 315-334.</w:t>
      </w:r>
    </w:p>
    <w:p w14:paraId="3773037C" w14:textId="333A38DA" w:rsidR="00E548FC" w:rsidRDefault="00E548FC" w:rsidP="00833787">
      <w:r w:rsidRPr="00E548FC">
        <w:t xml:space="preserve">Mark Lawrence Schrad, </w:t>
      </w:r>
      <w:r w:rsidRPr="00E548FC">
        <w:rPr>
          <w:i/>
          <w:iCs/>
        </w:rPr>
        <w:t>Smashing th</w:t>
      </w:r>
      <w:r>
        <w:rPr>
          <w:i/>
          <w:iCs/>
        </w:rPr>
        <w:t xml:space="preserve">e Liquor Machine: A Global History of Prohibition </w:t>
      </w:r>
      <w:r>
        <w:t xml:space="preserve">(Oxford, 2021), Chapter 6. </w:t>
      </w:r>
    </w:p>
    <w:p w14:paraId="1B4E35D0" w14:textId="70867C8E" w:rsidR="00257ECD" w:rsidRPr="00257ECD" w:rsidRDefault="00257ECD" w:rsidP="00833787">
      <w:r>
        <w:t xml:space="preserve">Johan de Smedt, ‘ “Kill Me Quick”: A History of Nubian Gin in Kibera’, </w:t>
      </w:r>
      <w:r>
        <w:rPr>
          <w:i/>
          <w:iCs/>
        </w:rPr>
        <w:t xml:space="preserve">International Journal of African Historical Studies </w:t>
      </w:r>
      <w:r>
        <w:t>42 (2009), 201-220.</w:t>
      </w:r>
    </w:p>
    <w:p w14:paraId="2595D96B" w14:textId="3B40C697" w:rsidR="00E628C8" w:rsidRDefault="00E628C8" w:rsidP="00833787">
      <w:r>
        <w:t xml:space="preserve">Michael West, ‘Liquor and Libido: “Joint Drinking” and the Politics of Sexual Control in Colonial Zimbabwe’, </w:t>
      </w:r>
      <w:r>
        <w:rPr>
          <w:i/>
          <w:iCs/>
        </w:rPr>
        <w:t xml:space="preserve">Journal of Social History </w:t>
      </w:r>
      <w:r>
        <w:t>30 (1997), 645-667.</w:t>
      </w:r>
    </w:p>
    <w:p w14:paraId="4AF16033" w14:textId="585920C1" w:rsidR="00E628C8" w:rsidRPr="00E628C8" w:rsidRDefault="00E628C8" w:rsidP="00833787">
      <w:r>
        <w:t xml:space="preserve">Michael West, ‘ “Equal Rights for All Civilized Men”: Elite Africans and the Quest for “European Liquor” in Colonial Zimbabwe’, </w:t>
      </w:r>
      <w:r>
        <w:rPr>
          <w:i/>
          <w:iCs/>
        </w:rPr>
        <w:t xml:space="preserve">International Review of Social History </w:t>
      </w:r>
      <w:r>
        <w:t>37 (1992), 376-397.</w:t>
      </w:r>
    </w:p>
    <w:p w14:paraId="40CB28CA" w14:textId="7BAB6CB1" w:rsidR="00E548FC" w:rsidRDefault="00E548FC" w:rsidP="00833787">
      <w:r w:rsidRPr="00E548FC">
        <w:t>Owen White, ‘Drunken States: Temperance a</w:t>
      </w:r>
      <w:r>
        <w:t xml:space="preserve">nd French Rule in Côte D’Ivoire, 1908-1916’, </w:t>
      </w:r>
      <w:r>
        <w:rPr>
          <w:i/>
          <w:iCs/>
        </w:rPr>
        <w:t xml:space="preserve">Journal of Social History </w:t>
      </w:r>
      <w:r>
        <w:t>40 (2007), 663-684.</w:t>
      </w:r>
    </w:p>
    <w:p w14:paraId="4D936B0A" w14:textId="6192D094" w:rsidR="00E628C8" w:rsidRDefault="00E628C8" w:rsidP="00833787">
      <w:r>
        <w:t xml:space="preserve">Justin Willis, ‘ “Beer Used to Belong to Older Men”: Drink and Authority Among the Nyakyusa of Tanzania’, </w:t>
      </w:r>
      <w:r>
        <w:rPr>
          <w:i/>
          <w:iCs/>
        </w:rPr>
        <w:t xml:space="preserve">Africa </w:t>
      </w:r>
      <w:r>
        <w:t>71 (2001), 373-390.</w:t>
      </w:r>
    </w:p>
    <w:p w14:paraId="6B9B005C" w14:textId="0E2E1BA9" w:rsidR="00257ECD" w:rsidRPr="00257ECD" w:rsidRDefault="00257ECD" w:rsidP="00833787">
      <w:r>
        <w:t xml:space="preserve">Justin Willis, ‘Demoralised Natives, Black-Coated Consumers, and Clean Spirit: European Liquor in East Africa, 1890-1955’, </w:t>
      </w:r>
      <w:r>
        <w:rPr>
          <w:i/>
          <w:iCs/>
        </w:rPr>
        <w:t xml:space="preserve">Journal of Imperial and Commonwealth History </w:t>
      </w:r>
      <w:r>
        <w:t>29 (2001), 55-74.</w:t>
      </w:r>
    </w:p>
    <w:p w14:paraId="0AC02178" w14:textId="303E487F" w:rsidR="002F6B43" w:rsidRDefault="002F6B43" w:rsidP="00256997">
      <w:pPr>
        <w:pStyle w:val="Heading2"/>
      </w:pPr>
      <w:r>
        <w:t xml:space="preserve">Session </w:t>
      </w:r>
      <w:r w:rsidR="00256997">
        <w:t>7</w:t>
      </w:r>
      <w:r>
        <w:t>: Witchcraft</w:t>
      </w:r>
    </w:p>
    <w:p w14:paraId="6B856D18" w14:textId="45FF1688" w:rsidR="00B86E2C" w:rsidRPr="00B86E2C" w:rsidRDefault="00B86E2C" w:rsidP="00B86E2C">
      <w:r>
        <w:t xml:space="preserve">This seminar will explore witchcraft as an historical and social category in African history. We will examine how beliefs, accusations, and anxieties around witchcraft have </w:t>
      </w:r>
      <w:r>
        <w:lastRenderedPageBreak/>
        <w:t>been shaped by changing political, economic, and social contexts. Challenging simplistic interpretations of witchcraft as a</w:t>
      </w:r>
      <w:r w:rsidR="00F0550E">
        <w:t xml:space="preserve"> static, or ‘traditional’ phenomenon, this session seeks to historicise and contextualise it within histories of colonial rule, Christianity</w:t>
      </w:r>
      <w:r w:rsidR="00C26294">
        <w:t>, and changing ideas of power. We will analyse how witchcraft has been used as an idiom to express concerns over morality, inequality, gender, generation, and social change, as well as paying attention to how colonial and postcolonial authorities have sought to regulate witchcraft beliefs.  In so doing, we will</w:t>
      </w:r>
      <w:r w:rsidR="006615B4">
        <w:t xml:space="preserve"> move beyond interpretations of African witchcraft as illogical, seeking instead to analyse the meanings people have attached to </w:t>
      </w:r>
      <w:r w:rsidR="00E859F5">
        <w:t>these beliefs.</w:t>
      </w:r>
    </w:p>
    <w:p w14:paraId="46C26148" w14:textId="4BBB6C2C" w:rsidR="00B86E2C" w:rsidRPr="00E859F5" w:rsidRDefault="00E859F5" w:rsidP="00B86E2C">
      <w:pPr>
        <w:rPr>
          <w:b/>
          <w:bCs/>
        </w:rPr>
      </w:pPr>
      <w:r>
        <w:rPr>
          <w:b/>
          <w:bCs/>
        </w:rPr>
        <w:t>Key questions:</w:t>
      </w:r>
    </w:p>
    <w:p w14:paraId="2995F484" w14:textId="65D65282" w:rsidR="002F6B43" w:rsidRDefault="002F6B43" w:rsidP="00E859F5">
      <w:pPr>
        <w:pStyle w:val="ListParagraph"/>
        <w:numPr>
          <w:ilvl w:val="0"/>
          <w:numId w:val="13"/>
        </w:numPr>
      </w:pPr>
      <w:r>
        <w:t>How should we understand African ideas of ‘witchcraft’?</w:t>
      </w:r>
    </w:p>
    <w:p w14:paraId="2583A411" w14:textId="12E6D7CA" w:rsidR="002F6B43" w:rsidRDefault="002F6B43" w:rsidP="00E859F5">
      <w:pPr>
        <w:pStyle w:val="ListParagraph"/>
        <w:numPr>
          <w:ilvl w:val="0"/>
          <w:numId w:val="13"/>
        </w:numPr>
      </w:pPr>
      <w:r>
        <w:t>Why have witchcraft beliefs proved persistent in Africa?</w:t>
      </w:r>
    </w:p>
    <w:p w14:paraId="0A904E32" w14:textId="1AA78693" w:rsidR="002F6B43" w:rsidRDefault="002F6B43" w:rsidP="00E859F5">
      <w:pPr>
        <w:pStyle w:val="ListParagraph"/>
        <w:numPr>
          <w:ilvl w:val="0"/>
          <w:numId w:val="13"/>
        </w:numPr>
      </w:pPr>
      <w:r>
        <w:t>How do African communities use witchcraft to explore sites of social tension?</w:t>
      </w:r>
    </w:p>
    <w:p w14:paraId="145DB0FD" w14:textId="6DF2FFAA" w:rsidR="00E859F5" w:rsidRPr="00E859F5" w:rsidRDefault="00E859F5" w:rsidP="00E859F5">
      <w:pPr>
        <w:rPr>
          <w:b/>
          <w:bCs/>
        </w:rPr>
      </w:pPr>
      <w:r>
        <w:rPr>
          <w:b/>
          <w:bCs/>
        </w:rPr>
        <w:t>Key reading:</w:t>
      </w:r>
    </w:p>
    <w:p w14:paraId="18B3139B" w14:textId="77777777" w:rsidR="00E859F5" w:rsidRDefault="00E859F5" w:rsidP="00E859F5">
      <w:r>
        <w:t xml:space="preserve">E. E. Evans Pritchard, ‘The Notion of Witchcraft Explains Unfortunate Events’ in Grinker and Steiner (eds.), </w:t>
      </w:r>
      <w:r>
        <w:rPr>
          <w:i/>
          <w:iCs/>
        </w:rPr>
        <w:t xml:space="preserve">Perspectives on Africa </w:t>
      </w:r>
      <w:r>
        <w:t>(Oxford, 1997), 303-11.</w:t>
      </w:r>
    </w:p>
    <w:p w14:paraId="3C73AC59" w14:textId="5CEDFE08" w:rsidR="002F6B43" w:rsidRDefault="002F6B43" w:rsidP="00833787">
      <w:r>
        <w:t xml:space="preserve">Jean and John Comaroff, ‘Occult Economies and the Violence of Abstraction: Notes from the South African Post-Colony’, </w:t>
      </w:r>
      <w:r>
        <w:rPr>
          <w:i/>
          <w:iCs/>
        </w:rPr>
        <w:t xml:space="preserve">American Ethnologist </w:t>
      </w:r>
      <w:r>
        <w:t>26 (1999).</w:t>
      </w:r>
    </w:p>
    <w:p w14:paraId="7E64B572" w14:textId="2EAC2A0F" w:rsidR="00E859F5" w:rsidRDefault="00E859F5" w:rsidP="00833787">
      <w:pPr>
        <w:rPr>
          <w:b/>
          <w:bCs/>
        </w:rPr>
      </w:pPr>
      <w:r>
        <w:rPr>
          <w:b/>
          <w:bCs/>
        </w:rPr>
        <w:t>Further reading (for essay preparation)</w:t>
      </w:r>
    </w:p>
    <w:p w14:paraId="66E480BE" w14:textId="67574410" w:rsidR="00AF7B65" w:rsidRDefault="00AF7B65" w:rsidP="007753F2">
      <w:pPr>
        <w:rPr>
          <w:b/>
          <w:bCs/>
        </w:rPr>
      </w:pPr>
      <w:r w:rsidRPr="00AF7B65">
        <w:t xml:space="preserve">Ashforth, A. (2015) “Witchcraft Justice, and Human Rights in Africa: Cases from Malawi,” </w:t>
      </w:r>
      <w:r w:rsidRPr="00AF7B65">
        <w:rPr>
          <w:i/>
          <w:iCs/>
        </w:rPr>
        <w:t>African studies review</w:t>
      </w:r>
      <w:r w:rsidRPr="00AF7B65">
        <w:t xml:space="preserve">, 58(1), pp. 5–38. </w:t>
      </w:r>
    </w:p>
    <w:p w14:paraId="3F6E261D" w14:textId="1EB1B27D" w:rsidR="00E859F5" w:rsidRPr="007753F2" w:rsidRDefault="00A400C1" w:rsidP="00A400C1">
      <w:r w:rsidRPr="007753F2">
        <w:t>Bastian, Misty ‘“The Daughter She Will Eat Agousie in the World of the Spirits”: Witchcraft Confessions in Missionised Onitsha, Nigeria’, Africa, 72 (2002), 84-11.</w:t>
      </w:r>
    </w:p>
    <w:p w14:paraId="20F02C0B" w14:textId="77777777" w:rsidR="0051619C" w:rsidRPr="0051619C" w:rsidRDefault="0051619C" w:rsidP="0051619C">
      <w:r w:rsidRPr="0051619C">
        <w:t xml:space="preserve">Bonhomme, J. (2012) “The dangers of anonymity: Witchcraft, rumor, and modernity in Africa,” </w:t>
      </w:r>
      <w:r w:rsidRPr="0051619C">
        <w:rPr>
          <w:i/>
          <w:iCs/>
        </w:rPr>
        <w:t>HAU journal of ethnographic theory</w:t>
      </w:r>
      <w:r w:rsidRPr="0051619C">
        <w:t>, 2(2), pp. 205–233. Available at: https://doi.org/10.14318/hau2.2.012.</w:t>
      </w:r>
    </w:p>
    <w:p w14:paraId="1041933F" w14:textId="499C1FB8" w:rsidR="00DF1BE3" w:rsidRPr="007753F2" w:rsidRDefault="00DF1BE3" w:rsidP="00DF1BE3">
      <w:r w:rsidRPr="007753F2">
        <w:t xml:space="preserve">Comaroff, Jean and John (eds.) </w:t>
      </w:r>
      <w:r w:rsidRPr="007753F2">
        <w:rPr>
          <w:i/>
          <w:iCs/>
        </w:rPr>
        <w:t>Modernity and Its Malcontents. Ritual and Power in Postcolonial Africa</w:t>
      </w:r>
      <w:r w:rsidRPr="007753F2">
        <w:t xml:space="preserve"> (Chicago, 1993).</w:t>
      </w:r>
    </w:p>
    <w:p w14:paraId="46939045" w14:textId="52306131" w:rsidR="00C55E1B" w:rsidRPr="007753F2" w:rsidRDefault="00C55E1B" w:rsidP="00C55E1B">
      <w:r w:rsidRPr="007753F2">
        <w:t xml:space="preserve">Clifton Crais, </w:t>
      </w:r>
      <w:r w:rsidRPr="007753F2">
        <w:rPr>
          <w:i/>
          <w:iCs/>
        </w:rPr>
        <w:t>The Politics of Evil: Magic, State Power and the Political Imagination in South Africa</w:t>
      </w:r>
      <w:r w:rsidRPr="007753F2">
        <w:t xml:space="preserve"> (Cambridge, 2002).</w:t>
      </w:r>
    </w:p>
    <w:p w14:paraId="1356CD58" w14:textId="7D163B08" w:rsidR="00C55E1B" w:rsidRPr="007753F2" w:rsidRDefault="003A30B8" w:rsidP="003A30B8">
      <w:r w:rsidRPr="007753F2">
        <w:t xml:space="preserve">Natasha Gray, ‘Witchcraft, Oracles and Colonial Law: Evolving Anti-Witchcraft Practises in Ghana, 1927-32’, </w:t>
      </w:r>
      <w:r w:rsidRPr="007753F2">
        <w:rPr>
          <w:i/>
          <w:iCs/>
        </w:rPr>
        <w:t>International Journal of African Historical Studies</w:t>
      </w:r>
      <w:r w:rsidRPr="007753F2">
        <w:t>, 34 (2001), 339-62.</w:t>
      </w:r>
    </w:p>
    <w:p w14:paraId="1CA249FC" w14:textId="7C39D3AC" w:rsidR="002F6B43" w:rsidRDefault="002F6B43" w:rsidP="00833787">
      <w:r w:rsidRPr="002F6B43">
        <w:lastRenderedPageBreak/>
        <w:t>Peter Geschiere, ‘Kinship, Witchcraft and th</w:t>
      </w:r>
      <w:r>
        <w:t xml:space="preserve">e Market’ in Grinker and Steiner (eds.), </w:t>
      </w:r>
      <w:r>
        <w:rPr>
          <w:i/>
          <w:iCs/>
        </w:rPr>
        <w:t xml:space="preserve">Perspectives on Africa </w:t>
      </w:r>
      <w:r>
        <w:t>(Oxford, 1997), 340-357.</w:t>
      </w:r>
    </w:p>
    <w:p w14:paraId="5D3F93C1" w14:textId="47CDD07C" w:rsidR="002F6B43" w:rsidRDefault="002F6B43" w:rsidP="00833787">
      <w:r>
        <w:t xml:space="preserve">Rosalind Shaw, ‘The Production of Witchcraft/Witchcraft as Production: Memory, Modernity and the Slave Trade in Sierra Leone’, </w:t>
      </w:r>
      <w:r>
        <w:rPr>
          <w:i/>
          <w:iCs/>
        </w:rPr>
        <w:t xml:space="preserve">American Ethnologist </w:t>
      </w:r>
      <w:r>
        <w:t>24:4 (1997), 856-76.</w:t>
      </w:r>
    </w:p>
    <w:p w14:paraId="3C1C4B1E" w14:textId="0721A831" w:rsidR="009218C3" w:rsidRDefault="009218C3" w:rsidP="009218C3">
      <w:r w:rsidRPr="009218C3">
        <w:t>Geschiere, Peter</w:t>
      </w:r>
      <w:r>
        <w:t xml:space="preserve">, </w:t>
      </w:r>
      <w:r w:rsidRPr="009218C3">
        <w:t>Modernity of Witchcraft: Politics and the Occult in Post-Colonial Africa (Virginia, 1997)</w:t>
      </w:r>
    </w:p>
    <w:p w14:paraId="76FC7568" w14:textId="290F52EB" w:rsidR="0000645C" w:rsidRDefault="0000645C" w:rsidP="0000645C">
      <w:r>
        <w:t xml:space="preserve">Elizabeth Hopkins, </w:t>
      </w:r>
      <w:r w:rsidRPr="0000645C">
        <w:t>The Politics of Crime: Aggression and Control in a Colonial Context’, American Anthropologist, 75 (1973), 731-42.</w:t>
      </w:r>
    </w:p>
    <w:p w14:paraId="579FC3ED" w14:textId="50AE2142" w:rsidR="0000645C" w:rsidRDefault="0000645C" w:rsidP="0000645C">
      <w:r>
        <w:t xml:space="preserve">Cherry Leonardi, </w:t>
      </w:r>
      <w:r w:rsidRPr="0000645C">
        <w:t>‘The Poison in the Ink Bottle: Poison Cases and the Moral Economy of Knowledge in 1930s Equatoria, Sudan’, Journal of Eastern African Studies, 1:1 (2007), 34-56.</w:t>
      </w:r>
    </w:p>
    <w:p w14:paraId="7DBD7CB8" w14:textId="0AE00FC7" w:rsidR="00423205" w:rsidRPr="00423205" w:rsidRDefault="007753F2" w:rsidP="00423205">
      <w:r w:rsidRPr="00B97D4C">
        <w:t xml:space="preserve">Katherine Luongo, </w:t>
      </w:r>
      <w:r w:rsidR="00423205" w:rsidRPr="00423205">
        <w:t xml:space="preserve">“Prophecy, Possession, and Politics: Negotiating the Supernatural in 20th Century Machakos, Kenya,” </w:t>
      </w:r>
      <w:r w:rsidR="00423205" w:rsidRPr="00423205">
        <w:rPr>
          <w:i/>
          <w:iCs/>
        </w:rPr>
        <w:t>The International journal of African historical studies</w:t>
      </w:r>
      <w:r w:rsidR="00423205" w:rsidRPr="00423205">
        <w:t>, 45(2), pp. 191–216.</w:t>
      </w:r>
    </w:p>
    <w:p w14:paraId="6F508073" w14:textId="3CD18347" w:rsidR="001309B2" w:rsidRPr="001309B2" w:rsidRDefault="007753F2" w:rsidP="007753F2">
      <w:r w:rsidRPr="00B97D4C">
        <w:t>Katherine Luongo,</w:t>
      </w:r>
      <w:r w:rsidR="001309B2" w:rsidRPr="001309B2">
        <w:t xml:space="preserve"> (2020) “‘The Problem of Witchcraft’: Violence and the Supernatural in Global African Refugee Mobilities,” </w:t>
      </w:r>
      <w:r w:rsidR="001309B2" w:rsidRPr="001309B2">
        <w:rPr>
          <w:i/>
          <w:iCs/>
        </w:rPr>
        <w:t>African studies review</w:t>
      </w:r>
      <w:r w:rsidR="001309B2" w:rsidRPr="001309B2">
        <w:t xml:space="preserve">, 63(3), pp. 660–682. </w:t>
      </w:r>
    </w:p>
    <w:p w14:paraId="196340F6" w14:textId="62CE6AC7" w:rsidR="00B50615" w:rsidRPr="00B50615" w:rsidRDefault="007753F2" w:rsidP="007753F2">
      <w:r w:rsidRPr="00B97D4C">
        <w:t xml:space="preserve">Katherine </w:t>
      </w:r>
      <w:r w:rsidR="00B50615" w:rsidRPr="00B50615">
        <w:t xml:space="preserve">Luongo, “Polling places and ‘slow punctured provocation’: occult-driven cases in postcolonial Kenya’s High Courts,” </w:t>
      </w:r>
      <w:r w:rsidR="00B50615" w:rsidRPr="00B50615">
        <w:rPr>
          <w:i/>
          <w:iCs/>
        </w:rPr>
        <w:t>Journal of Eastern African studies</w:t>
      </w:r>
      <w:r w:rsidR="00B50615" w:rsidRPr="00B50615">
        <w:t xml:space="preserve">, 4(3), pp. 577–591. </w:t>
      </w:r>
    </w:p>
    <w:p w14:paraId="0D062E11" w14:textId="26E89C0A" w:rsidR="00E7640D" w:rsidRPr="00E7640D" w:rsidRDefault="007753F2" w:rsidP="00E7640D">
      <w:r w:rsidRPr="00B97D4C">
        <w:t xml:space="preserve">Katherine </w:t>
      </w:r>
      <w:r w:rsidR="00E7640D" w:rsidRPr="00E7640D">
        <w:t xml:space="preserve">Luongo, (2008) “Motive Rather than Means: Legal Genealogies of Witch-Killing Cases in Kenya,” </w:t>
      </w:r>
      <w:r w:rsidR="00E7640D" w:rsidRPr="00E7640D">
        <w:rPr>
          <w:i/>
          <w:iCs/>
        </w:rPr>
        <w:t>Cahiers d’études africaines</w:t>
      </w:r>
      <w:r w:rsidR="00E7640D" w:rsidRPr="00E7640D">
        <w:t xml:space="preserve">, 48(189–190), pp. 35–57. </w:t>
      </w:r>
    </w:p>
    <w:p w14:paraId="0FF2FF80" w14:textId="35E1285F" w:rsidR="00D56FF1" w:rsidRPr="00D56FF1" w:rsidRDefault="00B97D4C" w:rsidP="00D56FF1">
      <w:r w:rsidRPr="00B97D4C">
        <w:t xml:space="preserve">Katherine </w:t>
      </w:r>
      <w:r w:rsidR="00D56FF1" w:rsidRPr="00D56FF1">
        <w:t xml:space="preserve">Luongo, (2006) “If You can’t Beat Them, Join Them: Government Cleansings of Witches and Mau Mau in 1950s Kenya,” </w:t>
      </w:r>
      <w:r w:rsidR="00D56FF1" w:rsidRPr="00D56FF1">
        <w:rPr>
          <w:i/>
          <w:iCs/>
        </w:rPr>
        <w:t>History in Africa</w:t>
      </w:r>
      <w:r w:rsidR="00D56FF1" w:rsidRPr="00D56FF1">
        <w:t xml:space="preserve">, 33, pp. 451–471. </w:t>
      </w:r>
    </w:p>
    <w:p w14:paraId="70381AD5" w14:textId="16CA4637" w:rsidR="00686DA1" w:rsidRDefault="00686DA1" w:rsidP="00686DA1">
      <w:r w:rsidRPr="00686DA1">
        <w:t>Moore, H. &amp; Sanders T. (eds.) Magical Interpretations, Material Realities: Modernity, Witchcraft and the Occult in Postcolonial Africa (London, 2001).</w:t>
      </w:r>
    </w:p>
    <w:p w14:paraId="13D4F670" w14:textId="3C916BBD" w:rsidR="00686DA1" w:rsidRDefault="00686DA1" w:rsidP="00686DA1">
      <w:r>
        <w:t xml:space="preserve">I. Niehaus, </w:t>
      </w:r>
      <w:r w:rsidRPr="00686DA1">
        <w:t>‘Witch-hunting and Political Legitimacy: Continuity and Change in Green Valley, 1930-1991’, in P. Geschiere (eds.), Readings in Modernity in Africa (Oxford, 2009), pp. 165-76</w:t>
      </w:r>
    </w:p>
    <w:p w14:paraId="7E8A07E6" w14:textId="43DB9CD4" w:rsidR="00555202" w:rsidRDefault="00555202" w:rsidP="00555202">
      <w:r>
        <w:t>Rosalind Shaw, ‘</w:t>
      </w:r>
      <w:r w:rsidRPr="00555202">
        <w:t>The Production of Witchcraft/Witchcraft as Production: Memory, Modernity and the Slave Trade in Sierra Leone’, American Ethnologist, 24: 4 (1997), 856-76.</w:t>
      </w:r>
    </w:p>
    <w:p w14:paraId="18D396D8" w14:textId="77777777" w:rsidR="00FC3C42" w:rsidRPr="00FC3C42" w:rsidRDefault="00FC3C42" w:rsidP="00FC3C42">
      <w:r w:rsidRPr="00FC3C42">
        <w:t xml:space="preserve">Wallace, D. (2015) “Rethinking Religion, Magic and Witchcraft in South Africa: From Colonial Coherence to Postcolonial Conundrum,” </w:t>
      </w:r>
      <w:r w:rsidRPr="00FC3C42">
        <w:rPr>
          <w:i/>
          <w:iCs/>
        </w:rPr>
        <w:t>Journal for the study of religion</w:t>
      </w:r>
      <w:r w:rsidRPr="00FC3C42">
        <w:t>, 28(1), pp. 23–51.</w:t>
      </w:r>
    </w:p>
    <w:p w14:paraId="57A4CB51" w14:textId="6E2ED300" w:rsidR="00B35C91" w:rsidRDefault="00B35C91" w:rsidP="00B35C91">
      <w:r>
        <w:lastRenderedPageBreak/>
        <w:t>Richard Waller, ‘</w:t>
      </w:r>
      <w:r w:rsidRPr="00B35C91">
        <w:t>Witchcraft and Colonial Law in Kenya’, Past &amp; Present, 180 (2003), 241-75.</w:t>
      </w:r>
    </w:p>
    <w:p w14:paraId="2169CF69" w14:textId="2DF484DA" w:rsidR="002F6B43" w:rsidRDefault="002F6B43" w:rsidP="00256997">
      <w:pPr>
        <w:pStyle w:val="Heading2"/>
      </w:pPr>
      <w:r>
        <w:t xml:space="preserve">Session </w:t>
      </w:r>
      <w:r w:rsidR="00256997">
        <w:t>8</w:t>
      </w:r>
      <w:r>
        <w:t xml:space="preserve">: </w:t>
      </w:r>
      <w:r w:rsidR="00B97D4C">
        <w:t>Pandemics, health, and healing: Historicising the HIV/AIDS crisis in Africa</w:t>
      </w:r>
    </w:p>
    <w:p w14:paraId="2AE70F86" w14:textId="379162FB" w:rsidR="00F57AA3" w:rsidRPr="00F57AA3" w:rsidRDefault="00F57AA3" w:rsidP="00F57AA3">
      <w:r>
        <w:t xml:space="preserve">This seminar historicises the HIV/AIDS crisis in Africa, situating it within longer histories of health and healing. It examines how the pandemic emerged into </w:t>
      </w:r>
      <w:r w:rsidR="00D55411">
        <w:t>specific political, social, and economic contexts shaped by colonial medicine, postcolonial state capacity, and global health interventions. We will also explore responses to HIV/AIDS at state, international, and community levels</w:t>
      </w:r>
      <w:r w:rsidR="0033543B">
        <w:t>. Seeking to treat the pandemic as an historical phenomenon rather than a purely biomedical problem, we will analyse how power relations, and community responses, have shaped experiences of illness and healing.</w:t>
      </w:r>
    </w:p>
    <w:p w14:paraId="6F79863C" w14:textId="0BF325C1" w:rsidR="00F57AA3" w:rsidRPr="0033543B" w:rsidRDefault="0033543B" w:rsidP="00F57AA3">
      <w:pPr>
        <w:rPr>
          <w:b/>
          <w:bCs/>
        </w:rPr>
      </w:pPr>
      <w:r>
        <w:rPr>
          <w:b/>
          <w:bCs/>
        </w:rPr>
        <w:t>Key questions:</w:t>
      </w:r>
    </w:p>
    <w:p w14:paraId="13A12F99" w14:textId="18F2A0FE" w:rsidR="002F6B43" w:rsidRDefault="002F6B43" w:rsidP="0033543B">
      <w:pPr>
        <w:pStyle w:val="ListParagraph"/>
        <w:numPr>
          <w:ilvl w:val="0"/>
          <w:numId w:val="16"/>
        </w:numPr>
      </w:pPr>
      <w:r>
        <w:t>What were the origins of the HIV/AIDS pandemic in Africa?</w:t>
      </w:r>
    </w:p>
    <w:p w14:paraId="3900543F" w14:textId="5A97251D" w:rsidR="002F6B43" w:rsidRDefault="002F6B43" w:rsidP="0033543B">
      <w:pPr>
        <w:pStyle w:val="ListParagraph"/>
        <w:numPr>
          <w:ilvl w:val="0"/>
          <w:numId w:val="16"/>
        </w:numPr>
      </w:pPr>
      <w:r>
        <w:t>What impact has HIV/AIDS had on African social structures?</w:t>
      </w:r>
    </w:p>
    <w:p w14:paraId="6C419B5F" w14:textId="59FAD5CE" w:rsidR="0033543B" w:rsidRDefault="0033543B" w:rsidP="0033543B">
      <w:pPr>
        <w:rPr>
          <w:b/>
          <w:bCs/>
        </w:rPr>
      </w:pPr>
      <w:r>
        <w:rPr>
          <w:b/>
          <w:bCs/>
        </w:rPr>
        <w:t>Key reading:</w:t>
      </w:r>
    </w:p>
    <w:p w14:paraId="37A7923A" w14:textId="5562B1AC" w:rsidR="0033543B" w:rsidRPr="002857A6" w:rsidRDefault="002857A6" w:rsidP="002857A6">
      <w:r w:rsidRPr="002857A6">
        <w:t xml:space="preserve">A. </w:t>
      </w:r>
      <w:r w:rsidR="00155EB3" w:rsidRPr="002857A6">
        <w:t>Flint</w:t>
      </w:r>
      <w:r w:rsidRPr="002857A6">
        <w:t xml:space="preserve"> </w:t>
      </w:r>
      <w:r w:rsidR="00155EB3" w:rsidRPr="002857A6">
        <w:t xml:space="preserve">and </w:t>
      </w:r>
      <w:r w:rsidRPr="002857A6">
        <w:t xml:space="preserve">V. </w:t>
      </w:r>
      <w:r w:rsidR="00155EB3" w:rsidRPr="002857A6">
        <w:t>Hewitt, ‘Colonial tropes and HIV/AIDS in Africa: sex, disease and race’, </w:t>
      </w:r>
      <w:r w:rsidR="00155EB3" w:rsidRPr="002857A6">
        <w:rPr>
          <w:i/>
          <w:iCs/>
        </w:rPr>
        <w:t>Commonwealth &amp; Comparative Politics</w:t>
      </w:r>
      <w:r w:rsidR="00155EB3" w:rsidRPr="002857A6">
        <w:t>, 53</w:t>
      </w:r>
      <w:r w:rsidRPr="002857A6">
        <w:t xml:space="preserve">.3, </w:t>
      </w:r>
      <w:r w:rsidR="00155EB3" w:rsidRPr="002857A6">
        <w:t>pp. 294–314</w:t>
      </w:r>
      <w:r w:rsidRPr="002857A6">
        <w:t>.</w:t>
      </w:r>
    </w:p>
    <w:p w14:paraId="521FDE85" w14:textId="482989AF" w:rsidR="00155EB3" w:rsidRDefault="00155EB3" w:rsidP="00155EB3">
      <w:r w:rsidRPr="00147E55">
        <w:t xml:space="preserve">John Iliffe, </w:t>
      </w:r>
      <w:r w:rsidRPr="00147E55">
        <w:rPr>
          <w:i/>
          <w:iCs/>
        </w:rPr>
        <w:t xml:space="preserve">The African AIDS Epidemic: A History </w:t>
      </w:r>
      <w:r w:rsidRPr="00147E55">
        <w:t>(Oxford, 2006), especially pp. 3-9 and 58-64.</w:t>
      </w:r>
    </w:p>
    <w:p w14:paraId="2AB6553A" w14:textId="671EFCA6" w:rsidR="00147E55" w:rsidRDefault="00147E55" w:rsidP="00155EB3">
      <w:pPr>
        <w:rPr>
          <w:b/>
          <w:bCs/>
        </w:rPr>
      </w:pPr>
      <w:r>
        <w:rPr>
          <w:b/>
          <w:bCs/>
        </w:rPr>
        <w:t>Further reading (for essay preparation)</w:t>
      </w:r>
    </w:p>
    <w:p w14:paraId="384E7411" w14:textId="64687FEE" w:rsidR="006076D1" w:rsidRPr="00147E55" w:rsidRDefault="00147E55" w:rsidP="006076D1">
      <w:r w:rsidRPr="00147E55">
        <w:t xml:space="preserve">Tim </w:t>
      </w:r>
      <w:r w:rsidR="006076D1" w:rsidRPr="00147E55">
        <w:t xml:space="preserve">Allen, ‘Witchcraft, Sexuality and HIV/AIDS among the Azande of Sudan’, </w:t>
      </w:r>
      <w:r w:rsidR="006076D1" w:rsidRPr="00147E55">
        <w:rPr>
          <w:i/>
          <w:iCs/>
        </w:rPr>
        <w:t>Journal of Eastern African Studies</w:t>
      </w:r>
      <w:r w:rsidR="006076D1" w:rsidRPr="00147E55">
        <w:t xml:space="preserve">, 1 (2007), 359-96. </w:t>
      </w:r>
    </w:p>
    <w:p w14:paraId="3D4A3DC0" w14:textId="7D2C1340" w:rsidR="00901A60" w:rsidRPr="00147E55" w:rsidRDefault="00147E55" w:rsidP="006076D1">
      <w:r w:rsidRPr="00147E55">
        <w:t xml:space="preserve">Clare </w:t>
      </w:r>
      <w:r w:rsidR="00167FE4" w:rsidRPr="00147E55">
        <w:t>Anderson, David Arnold, Juanita De Barros, Luka Bair, and Robert Peckham</w:t>
      </w:r>
      <w:r w:rsidRPr="00147E55">
        <w:t xml:space="preserve">, </w:t>
      </w:r>
      <w:r w:rsidR="00167FE4" w:rsidRPr="00147E55">
        <w:t xml:space="preserve"> "Epidemics in the Past and Now: A roundtable on colonial and postcolonial history." </w:t>
      </w:r>
      <w:r w:rsidR="00167FE4" w:rsidRPr="00147E55">
        <w:rPr>
          <w:i/>
          <w:iCs/>
        </w:rPr>
        <w:t>Journal of Colonialism and Colonial History</w:t>
      </w:r>
      <w:r w:rsidR="00167FE4" w:rsidRPr="00147E55">
        <w:t> 22</w:t>
      </w:r>
      <w:r w:rsidRPr="00147E55">
        <w:t>.1 (2021).</w:t>
      </w:r>
      <w:r w:rsidR="00167FE4" w:rsidRPr="00147E55">
        <w:t> </w:t>
      </w:r>
      <w:hyperlink r:id="rId16" w:history="1">
        <w:r w:rsidR="00167FE4" w:rsidRPr="00147E55">
          <w:rPr>
            <w:rStyle w:val="Hyperlink"/>
          </w:rPr>
          <w:t>https://dx.doi.org/10.1353/cch.2021.0003</w:t>
        </w:r>
      </w:hyperlink>
      <w:r w:rsidR="00167FE4" w:rsidRPr="00147E55">
        <w:t>.</w:t>
      </w:r>
    </w:p>
    <w:p w14:paraId="2076B2A3" w14:textId="6878C515" w:rsidR="00AF2809" w:rsidRPr="00AF2809" w:rsidRDefault="00147E55" w:rsidP="00AF2809">
      <w:r w:rsidRPr="00147E55">
        <w:t xml:space="preserve">T. </w:t>
      </w:r>
      <w:r w:rsidR="00AF2809" w:rsidRPr="00AF2809">
        <w:t xml:space="preserve">Barnett, and </w:t>
      </w:r>
      <w:r w:rsidRPr="00147E55">
        <w:t xml:space="preserve">A. </w:t>
      </w:r>
      <w:r w:rsidR="00AF2809" w:rsidRPr="00AF2809">
        <w:t xml:space="preserve">Whiteside, </w:t>
      </w:r>
      <w:r w:rsidR="00AF2809" w:rsidRPr="00AF2809">
        <w:rPr>
          <w:i/>
          <w:iCs/>
        </w:rPr>
        <w:t>AIDS in the twenty-first century</w:t>
      </w:r>
      <w:r w:rsidR="00AF2809" w:rsidRPr="00AF2809">
        <w:rPr>
          <w:rFonts w:ascii="Arial" w:hAnsi="Arial" w:cs="Arial"/>
          <w:i/>
          <w:iCs/>
        </w:rPr>
        <w:t> </w:t>
      </w:r>
      <w:r w:rsidR="00AF2809" w:rsidRPr="00AF2809">
        <w:rPr>
          <w:i/>
          <w:iCs/>
        </w:rPr>
        <w:t>: disease and globalization</w:t>
      </w:r>
      <w:r w:rsidRPr="00147E55">
        <w:t xml:space="preserve"> (Basingstoke, 2002). </w:t>
      </w:r>
    </w:p>
    <w:p w14:paraId="285F4FBE" w14:textId="3DBFA900" w:rsidR="005966A3" w:rsidRPr="005966A3" w:rsidRDefault="00147E55" w:rsidP="00147E55">
      <w:r w:rsidRPr="00147E55">
        <w:t xml:space="preserve">A. </w:t>
      </w:r>
      <w:r w:rsidR="005966A3" w:rsidRPr="005966A3">
        <w:t xml:space="preserve">Butler, (2005) “South Africa’s HIV/AIDS policy, 1994–2004: How can it be explained?,” </w:t>
      </w:r>
      <w:r w:rsidR="005966A3" w:rsidRPr="005966A3">
        <w:rPr>
          <w:i/>
          <w:iCs/>
        </w:rPr>
        <w:t xml:space="preserve">African affairs </w:t>
      </w:r>
      <w:r w:rsidR="005966A3" w:rsidRPr="005966A3">
        <w:t>104</w:t>
      </w:r>
      <w:r w:rsidRPr="00147E55">
        <w:t xml:space="preserve"> (2005), 591-614.</w:t>
      </w:r>
    </w:p>
    <w:p w14:paraId="4EF474DC" w14:textId="32C9BB19" w:rsidR="002F6B43" w:rsidRDefault="002F6B43" w:rsidP="00833787">
      <w:r>
        <w:t xml:space="preserve">J. Caldwell, ‘Rethinking the African AIDS epidemic’, </w:t>
      </w:r>
      <w:r>
        <w:rPr>
          <w:i/>
          <w:iCs/>
        </w:rPr>
        <w:t xml:space="preserve">Population and Demography Review </w:t>
      </w:r>
      <w:r>
        <w:t>26 (2000), 117-135.</w:t>
      </w:r>
    </w:p>
    <w:p w14:paraId="6B70F9B7" w14:textId="0E5C8D9D" w:rsidR="00556ECC" w:rsidRPr="00556ECC" w:rsidRDefault="00CF5D64" w:rsidP="00556ECC">
      <w:r>
        <w:lastRenderedPageBreak/>
        <w:t xml:space="preserve">C. </w:t>
      </w:r>
      <w:r w:rsidR="00556ECC" w:rsidRPr="00556ECC">
        <w:t xml:space="preserve">Cynn, </w:t>
      </w:r>
      <w:r w:rsidR="00556ECC" w:rsidRPr="00556ECC">
        <w:rPr>
          <w:i/>
          <w:iCs/>
        </w:rPr>
        <w:t>Prevention</w:t>
      </w:r>
      <w:r w:rsidR="00556ECC" w:rsidRPr="00556ECC">
        <w:rPr>
          <w:rFonts w:ascii="Arial" w:hAnsi="Arial" w:cs="Arial"/>
          <w:i/>
          <w:iCs/>
        </w:rPr>
        <w:t> </w:t>
      </w:r>
      <w:r w:rsidR="00556ECC" w:rsidRPr="00556ECC">
        <w:rPr>
          <w:i/>
          <w:iCs/>
        </w:rPr>
        <w:t>: gender, sexuality, HIV, and the media in Co</w:t>
      </w:r>
      <w:r w:rsidR="00556ECC" w:rsidRPr="00556ECC">
        <w:rPr>
          <w:rFonts w:ascii="Aptos" w:hAnsi="Aptos" w:cs="Aptos"/>
          <w:i/>
          <w:iCs/>
        </w:rPr>
        <w:t>̂</w:t>
      </w:r>
      <w:r w:rsidR="00556ECC" w:rsidRPr="00556ECC">
        <w:rPr>
          <w:i/>
          <w:iCs/>
        </w:rPr>
        <w:t>te d</w:t>
      </w:r>
      <w:r w:rsidR="00556ECC" w:rsidRPr="00556ECC">
        <w:rPr>
          <w:rFonts w:ascii="Aptos" w:hAnsi="Aptos" w:cs="Aptos"/>
          <w:i/>
          <w:iCs/>
        </w:rPr>
        <w:t>’</w:t>
      </w:r>
      <w:r w:rsidR="00556ECC" w:rsidRPr="00556ECC">
        <w:rPr>
          <w:i/>
          <w:iCs/>
        </w:rPr>
        <w:t>Ivoire</w:t>
      </w:r>
      <w:r w:rsidR="00556ECC" w:rsidRPr="00556ECC">
        <w:t xml:space="preserve">. </w:t>
      </w:r>
      <w:r>
        <w:t>(</w:t>
      </w:r>
      <w:r w:rsidR="00556ECC" w:rsidRPr="00556ECC">
        <w:t>Columbus, OH</w:t>
      </w:r>
      <w:r>
        <w:t>, 2018).</w:t>
      </w:r>
    </w:p>
    <w:p w14:paraId="37CC11EB" w14:textId="4655C46B" w:rsidR="002F6B43" w:rsidRDefault="002F6B43" w:rsidP="00833787">
      <w:r w:rsidRPr="002F6B43">
        <w:t xml:space="preserve">Alex de Waal, ‘How will </w:t>
      </w:r>
      <w:r>
        <w:t xml:space="preserve">HIV/AIDS transform African governance?’, </w:t>
      </w:r>
      <w:r>
        <w:rPr>
          <w:i/>
          <w:iCs/>
        </w:rPr>
        <w:t xml:space="preserve">African Affairs </w:t>
      </w:r>
      <w:r>
        <w:t>102 (2003), 1-23.</w:t>
      </w:r>
    </w:p>
    <w:p w14:paraId="323014AA" w14:textId="77777777" w:rsidR="00CF5D64" w:rsidRDefault="00CF5D64" w:rsidP="00E214CD">
      <w:r>
        <w:t xml:space="preserve">Alex </w:t>
      </w:r>
      <w:r w:rsidR="00E214CD" w:rsidRPr="00E214CD">
        <w:t>de Waal,</w:t>
      </w:r>
      <w:r>
        <w:t xml:space="preserve"> </w:t>
      </w:r>
      <w:r w:rsidR="00E214CD" w:rsidRPr="00E214CD">
        <w:t xml:space="preserve"> </w:t>
      </w:r>
      <w:r w:rsidR="00E214CD" w:rsidRPr="00E214CD">
        <w:rPr>
          <w:i/>
          <w:iCs/>
        </w:rPr>
        <w:t>AIDS and power: Why there is no political crisis – yet</w:t>
      </w:r>
      <w:r>
        <w:t xml:space="preserve"> (London, 2006).</w:t>
      </w:r>
    </w:p>
    <w:p w14:paraId="648158CB" w14:textId="1FFBC3F9" w:rsidR="00C61C4C" w:rsidRDefault="00CF5D64" w:rsidP="00C61C4C">
      <w:r>
        <w:t xml:space="preserve">P. </w:t>
      </w:r>
      <w:r w:rsidR="00C61C4C" w:rsidRPr="00C61C4C">
        <w:t xml:space="preserve">Delius </w:t>
      </w:r>
      <w:r>
        <w:t xml:space="preserve">and C. </w:t>
      </w:r>
      <w:r w:rsidR="00C61C4C" w:rsidRPr="00C61C4C">
        <w:t xml:space="preserve">Glaser, </w:t>
      </w:r>
      <w:r>
        <w:t>‘</w:t>
      </w:r>
      <w:r w:rsidR="00C61C4C" w:rsidRPr="00C61C4C">
        <w:t>Sex, disease and stigma in South Africa: historical perspectives</w:t>
      </w:r>
      <w:r>
        <w:t>’</w:t>
      </w:r>
      <w:r w:rsidR="004B1B85">
        <w:t xml:space="preserve">, </w:t>
      </w:r>
      <w:r w:rsidR="00C61C4C" w:rsidRPr="00C61C4C">
        <w:t> </w:t>
      </w:r>
      <w:r w:rsidR="00C61C4C" w:rsidRPr="00C61C4C">
        <w:rPr>
          <w:i/>
          <w:iCs/>
        </w:rPr>
        <w:t>African Journal of AIDS research</w:t>
      </w:r>
      <w:r w:rsidR="00C61C4C" w:rsidRPr="00C61C4C">
        <w:t>, </w:t>
      </w:r>
      <w:r w:rsidR="004B1B85">
        <w:t xml:space="preserve">4.1 (2005), 29-36. </w:t>
      </w:r>
    </w:p>
    <w:p w14:paraId="05DE0E8D" w14:textId="23C944FC" w:rsidR="002F6B43" w:rsidRDefault="002F6B43" w:rsidP="00833787">
      <w:r>
        <w:t xml:space="preserve">M. Doran, ‘Reconstructing Mchape ’95: AIDS, Billy Chisupe and the Politics of Persuasion’, </w:t>
      </w:r>
      <w:r>
        <w:rPr>
          <w:i/>
          <w:iCs/>
        </w:rPr>
        <w:t xml:space="preserve">Journal of Eastern African Studies </w:t>
      </w:r>
      <w:r>
        <w:t>1 (2007), 397-416.</w:t>
      </w:r>
    </w:p>
    <w:p w14:paraId="2133AD5C" w14:textId="50835B10" w:rsidR="000A2800" w:rsidRDefault="004B1B85" w:rsidP="004B1B85">
      <w:r>
        <w:t xml:space="preserve">S. </w:t>
      </w:r>
      <w:r w:rsidR="000A2800" w:rsidRPr="000A2800">
        <w:t xml:space="preserve">Doyle, </w:t>
      </w:r>
      <w:r>
        <w:t>‘</w:t>
      </w:r>
      <w:r w:rsidR="000A2800" w:rsidRPr="000A2800">
        <w:t>Chronology and Causality in Africa’s HIV Pandemic: The Production of History Between the Laboratory and the Archive</w:t>
      </w:r>
      <w:r>
        <w:t>’</w:t>
      </w:r>
      <w:r w:rsidR="000A2800" w:rsidRPr="000A2800">
        <w:t>. </w:t>
      </w:r>
      <w:r w:rsidR="000A2800" w:rsidRPr="000A2800">
        <w:rPr>
          <w:i/>
          <w:iCs/>
        </w:rPr>
        <w:t>Past &amp; Present</w:t>
      </w:r>
      <w:r>
        <w:t xml:space="preserve"> 252.1 (2021), 249-290</w:t>
      </w:r>
    </w:p>
    <w:p w14:paraId="02411114" w14:textId="5191EAA0" w:rsidR="004B1B85" w:rsidRDefault="004B1B85" w:rsidP="004B1B85">
      <w:r>
        <w:t xml:space="preserve">S. </w:t>
      </w:r>
      <w:r w:rsidRPr="00DF76ED">
        <w:t>Doyle, "Pandemics and soft power: HIV/AIDS and Uganda on the global stage." </w:t>
      </w:r>
      <w:r w:rsidRPr="00DF76ED">
        <w:rPr>
          <w:i/>
          <w:iCs/>
        </w:rPr>
        <w:t>Journal of global history</w:t>
      </w:r>
      <w:r w:rsidRPr="00DF76ED">
        <w:t> 15</w:t>
      </w:r>
      <w:r>
        <w:t>.3</w:t>
      </w:r>
      <w:r w:rsidRPr="00DF76ED">
        <w:t xml:space="preserve"> (2020): 478-492.</w:t>
      </w:r>
    </w:p>
    <w:p w14:paraId="639591CB" w14:textId="52C32DDE" w:rsidR="00901A60" w:rsidRDefault="004B1B85" w:rsidP="004B1B85">
      <w:r w:rsidRPr="004B1B85">
        <w:t xml:space="preserve">Tamara </w:t>
      </w:r>
      <w:r w:rsidR="00901A60" w:rsidRPr="004B1B85">
        <w:t xml:space="preserve">Giles-Vernick, Ch. </w:t>
      </w:r>
      <w:r w:rsidR="00901A60" w:rsidRPr="00901A60">
        <w:t>Didier Gondola, Guillaume Lachenal, and William H. Schneider, ‘S</w:t>
      </w:r>
      <w:r>
        <w:t xml:space="preserve">ocial History, Biology, and the Emergence of HIV in Colonial Africa’, </w:t>
      </w:r>
      <w:r>
        <w:rPr>
          <w:i/>
          <w:iCs/>
        </w:rPr>
        <w:t xml:space="preserve">Journal of African History </w:t>
      </w:r>
      <w:r>
        <w:t xml:space="preserve">54 (2013), 11-30. </w:t>
      </w:r>
    </w:p>
    <w:p w14:paraId="6ACA9EA5" w14:textId="5BBE1A63" w:rsidR="00516F06" w:rsidRDefault="004B1B85" w:rsidP="00471DF3">
      <w:r>
        <w:t xml:space="preserve">Shula </w:t>
      </w:r>
      <w:r w:rsidR="00471DF3" w:rsidRPr="00471DF3">
        <w:t>Marks, "An epidemic waiting to happen? The spread of HIV/AIDS in South Africa in social and historical perspective." </w:t>
      </w:r>
      <w:r w:rsidR="00471DF3" w:rsidRPr="00471DF3">
        <w:rPr>
          <w:i/>
          <w:iCs/>
        </w:rPr>
        <w:t>African Studies</w:t>
      </w:r>
      <w:r w:rsidR="00471DF3" w:rsidRPr="00471DF3">
        <w:t> 61</w:t>
      </w:r>
      <w:r>
        <w:t>.1</w:t>
      </w:r>
      <w:r w:rsidR="00471DF3" w:rsidRPr="00471DF3">
        <w:t xml:space="preserve"> (2002): 13-26.</w:t>
      </w:r>
    </w:p>
    <w:p w14:paraId="4BF6F023" w14:textId="159A0B04" w:rsidR="004B1B85" w:rsidRDefault="004B1B85" w:rsidP="004B1B85">
      <w:r>
        <w:t xml:space="preserve">R.G. </w:t>
      </w:r>
      <w:r w:rsidRPr="00AB2FBE">
        <w:t xml:space="preserve">Parker, and </w:t>
      </w:r>
      <w:r>
        <w:t xml:space="preserve">P. </w:t>
      </w:r>
      <w:r w:rsidRPr="00AB2FBE">
        <w:t>Aggleton, </w:t>
      </w:r>
      <w:r w:rsidRPr="00AB2FBE">
        <w:rPr>
          <w:i/>
          <w:iCs/>
        </w:rPr>
        <w:t>Culture, society and sexuality</w:t>
      </w:r>
      <w:r w:rsidRPr="00AB2FBE">
        <w:rPr>
          <w:rFonts w:ascii="Arial" w:hAnsi="Arial" w:cs="Arial"/>
          <w:i/>
          <w:iCs/>
        </w:rPr>
        <w:t> </w:t>
      </w:r>
      <w:r w:rsidRPr="00AB2FBE">
        <w:rPr>
          <w:i/>
          <w:iCs/>
        </w:rPr>
        <w:t>: a reader</w:t>
      </w:r>
      <w:r w:rsidRPr="00AB2FBE">
        <w:t xml:space="preserve">. 2nd ed. </w:t>
      </w:r>
      <w:r>
        <w:t>(</w:t>
      </w:r>
      <w:r w:rsidRPr="00AB2FBE">
        <w:t>London</w:t>
      </w:r>
      <w:r>
        <w:t>, 2007), chapter by Patton.</w:t>
      </w:r>
    </w:p>
    <w:p w14:paraId="57FBB32C" w14:textId="5B7D86C4" w:rsidR="004B1B85" w:rsidRDefault="004B1B85" w:rsidP="004B1B85">
      <w:r>
        <w:t xml:space="preserve">H. </w:t>
      </w:r>
      <w:r w:rsidRPr="00B233BC">
        <w:t xml:space="preserve">Phillips, </w:t>
      </w:r>
      <w:r>
        <w:t>‘</w:t>
      </w:r>
      <w:r w:rsidRPr="00B233BC">
        <w:t>Aids in the context of South Africa's epidemic history: preliminary historical thoughts: histories of reproductive health and the control of sexually transmitted disease in Southern Africa: a century of controversy</w:t>
      </w:r>
      <w:r>
        <w:t xml:space="preserve">’, </w:t>
      </w:r>
      <w:r w:rsidRPr="00B233BC">
        <w:rPr>
          <w:i/>
          <w:iCs/>
        </w:rPr>
        <w:t>South African Historical Journal</w:t>
      </w:r>
      <w:r w:rsidRPr="00B233BC">
        <w:t>, </w:t>
      </w:r>
      <w:r>
        <w:t xml:space="preserve">45.1 (2001), </w:t>
      </w:r>
      <w:r w:rsidRPr="00B233BC">
        <w:t>11-26.</w:t>
      </w:r>
    </w:p>
    <w:p w14:paraId="3A1AE758" w14:textId="1CBE205F" w:rsidR="003A2272" w:rsidRDefault="004B1B85" w:rsidP="003A2272">
      <w:r>
        <w:t xml:space="preserve">Nana </w:t>
      </w:r>
      <w:r w:rsidR="003A2272" w:rsidRPr="003A2272">
        <w:t>Poku, “Africa’s AIDS Crisis in Context: ‘How the Poor Are Dying.’” </w:t>
      </w:r>
      <w:r w:rsidR="003A2272" w:rsidRPr="003A2272">
        <w:rPr>
          <w:i/>
          <w:iCs/>
        </w:rPr>
        <w:t>Third World Quarterly</w:t>
      </w:r>
      <w:r w:rsidR="003A2272" w:rsidRPr="003A2272">
        <w:t> 22</w:t>
      </w:r>
      <w:r>
        <w:t>.2</w:t>
      </w:r>
      <w:r w:rsidR="003A2272" w:rsidRPr="003A2272">
        <w:t xml:space="preserve"> (2001): 191–204. </w:t>
      </w:r>
    </w:p>
    <w:p w14:paraId="60DBC264" w14:textId="45F9D659" w:rsidR="002857A6" w:rsidRDefault="004B1B85" w:rsidP="004B1B85">
      <w:r>
        <w:t xml:space="preserve">D. </w:t>
      </w:r>
      <w:r w:rsidR="002857A6" w:rsidRPr="002857A6">
        <w:t xml:space="preserve">Posel,  “Sex, Death and the Fate of the Nation: Reflections on the Politicization of Sexuality in Post-Apartheid South Africa,” </w:t>
      </w:r>
      <w:r w:rsidR="002857A6" w:rsidRPr="002857A6">
        <w:rPr>
          <w:i/>
          <w:iCs/>
        </w:rPr>
        <w:t xml:space="preserve">Africa </w:t>
      </w:r>
      <w:r w:rsidR="002857A6" w:rsidRPr="002857A6">
        <w:t>75</w:t>
      </w:r>
      <w:r>
        <w:t xml:space="preserve">.2 (2005), </w:t>
      </w:r>
      <w:r w:rsidR="002857A6" w:rsidRPr="002857A6">
        <w:t xml:space="preserve">125–153. </w:t>
      </w:r>
    </w:p>
    <w:p w14:paraId="2FB76F02" w14:textId="03299072" w:rsidR="004B1B85" w:rsidRDefault="004B1B85" w:rsidP="004B1B85">
      <w:r w:rsidRPr="004B1B85">
        <w:t>D. Posel, K. Kahn, and L. Walker, ‘</w:t>
      </w:r>
      <w:r w:rsidRPr="00CC30E7">
        <w:t>Living with death in a time of AIDS: A rural South African case study</w:t>
      </w:r>
      <w:r>
        <w:t>’,</w:t>
      </w:r>
      <w:r w:rsidRPr="00CC30E7">
        <w:t> </w:t>
      </w:r>
      <w:r w:rsidRPr="00CC30E7">
        <w:rPr>
          <w:i/>
          <w:iCs/>
        </w:rPr>
        <w:t>Scandinavian Journal of Public Health</w:t>
      </w:r>
      <w:r w:rsidRPr="00CC30E7">
        <w:t>, </w:t>
      </w:r>
      <w:r>
        <w:t xml:space="preserve">35 (2007), 138-146. </w:t>
      </w:r>
    </w:p>
    <w:p w14:paraId="028C1EBA" w14:textId="7C5038E5" w:rsidR="003A6E08" w:rsidRDefault="004B1B85" w:rsidP="003A6E08">
      <w:r w:rsidRPr="004B1B85">
        <w:t xml:space="preserve">C. E. </w:t>
      </w:r>
      <w:r w:rsidR="003A6E08" w:rsidRPr="004B1B85">
        <w:t>Rosenberg,</w:t>
      </w:r>
      <w:r w:rsidRPr="004B1B85">
        <w:t xml:space="preserve"> </w:t>
      </w:r>
      <w:r>
        <w:t>‘</w:t>
      </w:r>
      <w:r w:rsidR="003A6E08" w:rsidRPr="003A6E08">
        <w:t>What is an epidemic? AIDS in historical perspective</w:t>
      </w:r>
      <w:r>
        <w:t>’</w:t>
      </w:r>
      <w:r w:rsidR="003A6E08" w:rsidRPr="003A6E08">
        <w:t>. </w:t>
      </w:r>
      <w:r w:rsidR="003A6E08" w:rsidRPr="003A6E08">
        <w:rPr>
          <w:i/>
          <w:iCs/>
        </w:rPr>
        <w:t>Bulletin of the History of Medicine</w:t>
      </w:r>
      <w:r w:rsidR="003A6E08" w:rsidRPr="003A6E08">
        <w:t>,</w:t>
      </w:r>
      <w:r>
        <w:t xml:space="preserve"> </w:t>
      </w:r>
      <w:r w:rsidR="003A6E08" w:rsidRPr="003A6E08">
        <w:t> </w:t>
      </w:r>
      <w:r>
        <w:t xml:space="preserve">94.4 (2020), </w:t>
      </w:r>
      <w:r w:rsidR="003A6E08" w:rsidRPr="003A6E08">
        <w:t>563-577.</w:t>
      </w:r>
    </w:p>
    <w:p w14:paraId="13E66B5C" w14:textId="31E20A6C" w:rsidR="00212E79" w:rsidRDefault="004B1B85" w:rsidP="004B1B85">
      <w:r>
        <w:lastRenderedPageBreak/>
        <w:t>J. D. So</w:t>
      </w:r>
      <w:r w:rsidR="00212E79" w:rsidRPr="00212E79">
        <w:t xml:space="preserve">usa, </w:t>
      </w:r>
      <w:r>
        <w:t xml:space="preserve">P.J. </w:t>
      </w:r>
      <w:r w:rsidR="00212E79" w:rsidRPr="00212E79">
        <w:t>Havik, and</w:t>
      </w:r>
      <w:r>
        <w:t xml:space="preserve"> A.M. </w:t>
      </w:r>
      <w:r w:rsidR="00212E79" w:rsidRPr="00212E79">
        <w:t>Vandamme</w:t>
      </w:r>
      <w:r>
        <w:t xml:space="preserve">, </w:t>
      </w:r>
      <w:r w:rsidR="00212E79" w:rsidRPr="00212E79">
        <w:t xml:space="preserve">(2021) “Sexually transmitted infections, their treatment and urban change in colonial Leopoldville, 1910–1960,” </w:t>
      </w:r>
      <w:r w:rsidR="00212E79" w:rsidRPr="00212E79">
        <w:rPr>
          <w:i/>
          <w:iCs/>
        </w:rPr>
        <w:t>Medical history</w:t>
      </w:r>
      <w:r w:rsidR="00212E79" w:rsidRPr="00212E79">
        <w:t>, 65</w:t>
      </w:r>
      <w:r>
        <w:t xml:space="preserve">.2 (2021), 178-196. </w:t>
      </w:r>
    </w:p>
    <w:p w14:paraId="4A6536FB" w14:textId="77777777" w:rsidR="006076D1" w:rsidRDefault="006076D1" w:rsidP="00B233BC"/>
    <w:p w14:paraId="60269E46" w14:textId="34B4CC32" w:rsidR="00DC2C0C" w:rsidRDefault="00DC2C0C" w:rsidP="00256997">
      <w:pPr>
        <w:pStyle w:val="Heading2"/>
      </w:pPr>
      <w:r w:rsidRPr="00F97F55">
        <w:t xml:space="preserve">Session </w:t>
      </w:r>
      <w:r w:rsidR="00351260">
        <w:t>9</w:t>
      </w:r>
      <w:r w:rsidRPr="00F97F55">
        <w:t xml:space="preserve">: </w:t>
      </w:r>
      <w:r w:rsidR="00256997" w:rsidRPr="00F97F55">
        <w:t>Popular cultures</w:t>
      </w:r>
      <w:r w:rsidR="00822D09">
        <w:t xml:space="preserve">: </w:t>
      </w:r>
      <w:r w:rsidR="00256997" w:rsidRPr="00F97F55">
        <w:t xml:space="preserve"> Music, cinema</w:t>
      </w:r>
      <w:r w:rsidR="00C607A9" w:rsidRPr="00F97F55">
        <w:t xml:space="preserve">, literature, </w:t>
      </w:r>
      <w:r w:rsidR="00CC729F">
        <w:t xml:space="preserve">fashion. </w:t>
      </w:r>
    </w:p>
    <w:p w14:paraId="41EC3DC2" w14:textId="77777777" w:rsidR="006E1CD0" w:rsidRDefault="001F046F" w:rsidP="001F046F">
      <w:r w:rsidRPr="001F046F">
        <w:t xml:space="preserve">This seminar explores African popular cultures as dynamic historical sites where politics, identity, and everyday life intersect. Focusing on forms such as cinema, fashion, literature, and music, </w:t>
      </w:r>
      <w:r>
        <w:t>we will explore how cultural production has reflected and shaped social change in colonial and postcolonial Africa. We will consider popular culture as a site of creativity, critique, and identity formation, and engage with themes such as urbanisation, youth, gender, and global circulation.</w:t>
      </w:r>
      <w:r w:rsidR="006E1CD0">
        <w:t xml:space="preserve"> </w:t>
      </w:r>
    </w:p>
    <w:p w14:paraId="21E2962A" w14:textId="65C53D10" w:rsidR="001F046F" w:rsidRDefault="006E1CD0" w:rsidP="001F046F">
      <w:pPr>
        <w:rPr>
          <w:b/>
          <w:bCs/>
        </w:rPr>
      </w:pPr>
      <w:r>
        <w:rPr>
          <w:b/>
          <w:bCs/>
        </w:rPr>
        <w:t xml:space="preserve">Key reading: </w:t>
      </w:r>
    </w:p>
    <w:p w14:paraId="3C9C1895" w14:textId="21E0C816" w:rsidR="006E1CD0" w:rsidRPr="006E1CD0" w:rsidRDefault="006E1CD0" w:rsidP="001F046F">
      <w:r>
        <w:rPr>
          <w:b/>
          <w:bCs/>
        </w:rPr>
        <w:t xml:space="preserve">There is no set key reading for this class. </w:t>
      </w:r>
      <w:r>
        <w:t xml:space="preserve">Instead, please select one or two readings about </w:t>
      </w:r>
      <w:r w:rsidR="00AF3760">
        <w:t>your</w:t>
      </w:r>
      <w:r>
        <w:t xml:space="preserve"> chosen form of popular culture (cinema, music, literature, fashion)</w:t>
      </w:r>
      <w:r w:rsidR="00AF3760">
        <w:t xml:space="preserve"> from the further reading list below, and come to class prepared to share what you have read.</w:t>
      </w:r>
    </w:p>
    <w:p w14:paraId="72D5EF37" w14:textId="77777777" w:rsidR="00AF3760" w:rsidRDefault="00AF3760" w:rsidP="00686CAA">
      <w:pPr>
        <w:rPr>
          <w:b/>
          <w:bCs/>
        </w:rPr>
      </w:pPr>
      <w:r>
        <w:rPr>
          <w:b/>
          <w:bCs/>
        </w:rPr>
        <w:t>Further reading:</w:t>
      </w:r>
    </w:p>
    <w:p w14:paraId="21A8E436" w14:textId="1316F587" w:rsidR="00DB69EE" w:rsidRDefault="00DB69EE" w:rsidP="00686CAA">
      <w:pPr>
        <w:rPr>
          <w:u w:val="single"/>
        </w:rPr>
      </w:pPr>
      <w:r>
        <w:rPr>
          <w:u w:val="single"/>
        </w:rPr>
        <w:t>Cinema</w:t>
      </w:r>
    </w:p>
    <w:p w14:paraId="60861E4F" w14:textId="77777777" w:rsidR="00517775" w:rsidRPr="00517775" w:rsidRDefault="00517775" w:rsidP="00517775">
      <w:r w:rsidRPr="00517775">
        <w:t xml:space="preserve">Ambler, C. (2001) “Popular Films and Colonial Audiences: The Movies in Northern Rhodesia,” </w:t>
      </w:r>
      <w:r w:rsidRPr="00517775">
        <w:rPr>
          <w:i/>
          <w:iCs/>
        </w:rPr>
        <w:t>The American historical review</w:t>
      </w:r>
      <w:r w:rsidRPr="00517775">
        <w:t>, 106(1), p. 81. Available at: https://doi.org/10.2307/2652225.</w:t>
      </w:r>
    </w:p>
    <w:p w14:paraId="29329845" w14:textId="77777777" w:rsidR="00B85D8B" w:rsidRPr="00B85D8B" w:rsidRDefault="00B85D8B" w:rsidP="00B85D8B">
      <w:r w:rsidRPr="00B85D8B">
        <w:t xml:space="preserve">Armes, R. (2006) </w:t>
      </w:r>
      <w:r w:rsidRPr="00B85D8B">
        <w:rPr>
          <w:i/>
          <w:iCs/>
        </w:rPr>
        <w:t>African filmmaking</w:t>
      </w:r>
      <w:r w:rsidRPr="00B85D8B">
        <w:rPr>
          <w:rFonts w:ascii="Arial" w:hAnsi="Arial" w:cs="Arial"/>
          <w:i/>
          <w:iCs/>
        </w:rPr>
        <w:t> </w:t>
      </w:r>
      <w:r w:rsidRPr="00B85D8B">
        <w:rPr>
          <w:i/>
          <w:iCs/>
        </w:rPr>
        <w:t>: North and South of the Sahara</w:t>
      </w:r>
      <w:r w:rsidRPr="00B85D8B">
        <w:t>. 1st ed. Scotland: Edinburgh U.P. Available at: https://doi.org/10.1515/9780748628063.</w:t>
      </w:r>
    </w:p>
    <w:p w14:paraId="6BD953F0" w14:textId="77777777" w:rsidR="00087E06" w:rsidRDefault="00087E06" w:rsidP="00087E06">
      <w:r w:rsidRPr="00087E06">
        <w:t xml:space="preserve">Kros, C. and Auguiste, P. (eds.) (2022) </w:t>
      </w:r>
      <w:r w:rsidRPr="00087E06">
        <w:rPr>
          <w:i/>
          <w:iCs/>
        </w:rPr>
        <w:t>Reframing Africa?</w:t>
      </w:r>
      <w:r w:rsidRPr="00087E06">
        <w:rPr>
          <w:rFonts w:ascii="Arial" w:hAnsi="Arial" w:cs="Arial"/>
          <w:i/>
          <w:iCs/>
        </w:rPr>
        <w:t> </w:t>
      </w:r>
      <w:r w:rsidRPr="00087E06">
        <w:rPr>
          <w:i/>
          <w:iCs/>
        </w:rPr>
        <w:t>: Reflections on Modernity and the Moving Image</w:t>
      </w:r>
      <w:r w:rsidRPr="00087E06">
        <w:t>. First edition. Cape Town, South Africa: African Minds.</w:t>
      </w:r>
    </w:p>
    <w:p w14:paraId="61DC82F6" w14:textId="77777777" w:rsidR="00BC4113" w:rsidRPr="00BC4113" w:rsidRDefault="00BC4113" w:rsidP="00BC4113">
      <w:r w:rsidRPr="00BC4113">
        <w:t xml:space="preserve">Meyer, B. (1999) “Popular Ghanaian Cinema and ‘African Heritage,’” </w:t>
      </w:r>
      <w:r w:rsidRPr="00BC4113">
        <w:rPr>
          <w:i/>
          <w:iCs/>
        </w:rPr>
        <w:t>Africa today</w:t>
      </w:r>
      <w:r w:rsidRPr="00BC4113">
        <w:t>, 46(2), pp. 93–114. Available at: https://doi.org/10.1353/at.1999.0007.</w:t>
      </w:r>
    </w:p>
    <w:p w14:paraId="4143CF9E" w14:textId="477A8CE5" w:rsidR="00BC4113" w:rsidRPr="000E7FA4" w:rsidRDefault="00A5747B" w:rsidP="00A5747B">
      <w:r w:rsidRPr="00A5747B">
        <w:t xml:space="preserve">McCall, J.C. (2004) “Nollywood Confidential,” </w:t>
      </w:r>
      <w:r w:rsidRPr="00A5747B">
        <w:rPr>
          <w:i/>
          <w:iCs/>
        </w:rPr>
        <w:t>Transition (Kampala, Uganda)</w:t>
      </w:r>
      <w:r w:rsidRPr="00A5747B">
        <w:t>, (95), pp. 98–109.</w:t>
      </w:r>
    </w:p>
    <w:p w14:paraId="588390E9" w14:textId="14471382" w:rsidR="000E7FA4" w:rsidRPr="000E7FA4" w:rsidRDefault="000E7FA4" w:rsidP="00AF3760">
      <w:r w:rsidRPr="000E7FA4">
        <w:t xml:space="preserve">Murphy, D. (2021) “Africans Filming Africa: Questioning Theories of an Authentic African Cinema,” </w:t>
      </w:r>
      <w:r w:rsidRPr="000E7FA4">
        <w:rPr>
          <w:i/>
          <w:iCs/>
        </w:rPr>
        <w:t>Black camera</w:t>
      </w:r>
      <w:r w:rsidRPr="000E7FA4">
        <w:rPr>
          <w:rFonts w:ascii="Arial" w:hAnsi="Arial" w:cs="Arial"/>
          <w:i/>
          <w:iCs/>
        </w:rPr>
        <w:t> </w:t>
      </w:r>
      <w:r w:rsidRPr="000E7FA4">
        <w:rPr>
          <w:i/>
          <w:iCs/>
        </w:rPr>
        <w:t>: the newsletter of the Black Film Center/Archives</w:t>
      </w:r>
      <w:r w:rsidRPr="000E7FA4">
        <w:t xml:space="preserve">, 12(2), pp. 338–357. </w:t>
      </w:r>
    </w:p>
    <w:p w14:paraId="2A8BE87E" w14:textId="77777777" w:rsidR="00545A1A" w:rsidRDefault="00545A1A" w:rsidP="00545A1A">
      <w:r w:rsidRPr="00545A1A">
        <w:t xml:space="preserve">Ukadike, N.F. (2002) </w:t>
      </w:r>
      <w:r w:rsidRPr="00545A1A">
        <w:rPr>
          <w:i/>
          <w:iCs/>
        </w:rPr>
        <w:t>Questioning African cinema</w:t>
      </w:r>
      <w:r w:rsidRPr="00545A1A">
        <w:rPr>
          <w:rFonts w:ascii="Arial" w:hAnsi="Arial" w:cs="Arial"/>
          <w:i/>
          <w:iCs/>
        </w:rPr>
        <w:t> </w:t>
      </w:r>
      <w:r w:rsidRPr="00545A1A">
        <w:rPr>
          <w:i/>
          <w:iCs/>
        </w:rPr>
        <w:t>: conversations with filmmakers</w:t>
      </w:r>
      <w:r w:rsidRPr="00545A1A">
        <w:t>. Minneapolis: University of Minnesota Press.</w:t>
      </w:r>
    </w:p>
    <w:p w14:paraId="4B0A77B4" w14:textId="05C425E4" w:rsidR="00D37CF8" w:rsidRPr="00D37CF8" w:rsidRDefault="00D37CF8" w:rsidP="00AF3760">
      <w:r w:rsidRPr="00D37CF8">
        <w:lastRenderedPageBreak/>
        <w:t xml:space="preserve">Ukadike, N.F. (1995) </w:t>
      </w:r>
      <w:r w:rsidRPr="00D37CF8">
        <w:rPr>
          <w:i/>
          <w:iCs/>
        </w:rPr>
        <w:t>Black African cinema</w:t>
      </w:r>
      <w:r w:rsidRPr="00D37CF8">
        <w:t xml:space="preserve">. Reprint 2019. Berkeley, CA: University of California Press. </w:t>
      </w:r>
    </w:p>
    <w:p w14:paraId="4396FEDC" w14:textId="364F7784" w:rsidR="00DB69EE" w:rsidRDefault="00DB69EE" w:rsidP="00686CAA">
      <w:pPr>
        <w:rPr>
          <w:u w:val="single"/>
        </w:rPr>
      </w:pPr>
      <w:r>
        <w:rPr>
          <w:u w:val="single"/>
        </w:rPr>
        <w:t>Literature</w:t>
      </w:r>
    </w:p>
    <w:p w14:paraId="7F770C3C" w14:textId="77777777" w:rsidR="00E60E3A" w:rsidRDefault="00E60E3A" w:rsidP="00E60E3A">
      <w:r w:rsidRPr="00E60E3A">
        <w:t>Fabian, J. and American Council of Learned Societies. (1986) </w:t>
      </w:r>
      <w:r w:rsidRPr="00E60E3A">
        <w:rPr>
          <w:i/>
          <w:iCs/>
        </w:rPr>
        <w:t>Language and colonial power</w:t>
      </w:r>
      <w:r w:rsidRPr="00E60E3A">
        <w:rPr>
          <w:rFonts w:ascii="Arial" w:hAnsi="Arial" w:cs="Arial"/>
          <w:i/>
          <w:iCs/>
        </w:rPr>
        <w:t> </w:t>
      </w:r>
      <w:r w:rsidRPr="00E60E3A">
        <w:rPr>
          <w:i/>
          <w:iCs/>
        </w:rPr>
        <w:t>: the appropriation of Swahili in the former Belgian Congo, 1880-1938</w:t>
      </w:r>
      <w:r w:rsidRPr="00E60E3A">
        <w:t>. Cambridge [England]</w:t>
      </w:r>
      <w:r w:rsidRPr="00E60E3A">
        <w:rPr>
          <w:rFonts w:ascii="Arial" w:hAnsi="Arial" w:cs="Arial"/>
        </w:rPr>
        <w:t> </w:t>
      </w:r>
      <w:r w:rsidRPr="00E60E3A">
        <w:t>; Cambridge University Press.</w:t>
      </w:r>
    </w:p>
    <w:p w14:paraId="0815D95F" w14:textId="3E74B070" w:rsidR="00686CAA" w:rsidRDefault="00686CAA" w:rsidP="00AF3760">
      <w:r w:rsidRPr="00686CAA">
        <w:t xml:space="preserve">Newell, S. and Griswold, W. (2017) </w:t>
      </w:r>
      <w:r w:rsidRPr="00686CAA">
        <w:rPr>
          <w:i/>
          <w:iCs/>
        </w:rPr>
        <w:t>Writing African women: gender, popular culture and literature in West Africa</w:t>
      </w:r>
      <w:r w:rsidRPr="00686CAA">
        <w:t xml:space="preserve">. Second edition. Zed Books. </w:t>
      </w:r>
    </w:p>
    <w:p w14:paraId="3B89DEB1" w14:textId="77777777" w:rsidR="00133EAF" w:rsidRPr="00133EAF" w:rsidRDefault="00133EAF" w:rsidP="00133EAF">
      <w:r w:rsidRPr="00133EAF">
        <w:t>Ngũgĩ wa Thiong</w:t>
      </w:r>
      <w:r w:rsidRPr="00133EAF">
        <w:rPr>
          <w:rFonts w:ascii="Arial" w:hAnsi="Arial" w:cs="Arial"/>
        </w:rPr>
        <w:t>ʼ</w:t>
      </w:r>
      <w:r w:rsidRPr="00133EAF">
        <w:t xml:space="preserve">o (1986) </w:t>
      </w:r>
      <w:r w:rsidRPr="00133EAF">
        <w:rPr>
          <w:i/>
          <w:iCs/>
        </w:rPr>
        <w:t>Decolonising the mind</w:t>
      </w:r>
      <w:r w:rsidRPr="00133EAF">
        <w:rPr>
          <w:rFonts w:ascii="Arial" w:hAnsi="Arial" w:cs="Arial"/>
          <w:i/>
          <w:iCs/>
        </w:rPr>
        <w:t> </w:t>
      </w:r>
      <w:r w:rsidRPr="00133EAF">
        <w:rPr>
          <w:i/>
          <w:iCs/>
        </w:rPr>
        <w:t>: the politics of language in African literature.</w:t>
      </w:r>
      <w:r w:rsidRPr="00133EAF">
        <w:t xml:space="preserve"> London: Currey.</w:t>
      </w:r>
    </w:p>
    <w:p w14:paraId="00805F87" w14:textId="77777777" w:rsidR="00D56978" w:rsidRPr="00D56978" w:rsidRDefault="00D56978" w:rsidP="00D56978">
      <w:r w:rsidRPr="00D56978">
        <w:t xml:space="preserve">Priebe, R. (1978) “Popular Writing in Ghana: A Sociology and Rhetoric,” </w:t>
      </w:r>
      <w:r w:rsidRPr="00D56978">
        <w:rPr>
          <w:i/>
          <w:iCs/>
        </w:rPr>
        <w:t>Research in African literatures</w:t>
      </w:r>
      <w:r w:rsidRPr="00D56978">
        <w:t>, 9(3), pp. 395–432.</w:t>
      </w:r>
    </w:p>
    <w:p w14:paraId="68E30089" w14:textId="58DB4998" w:rsidR="00686CAA" w:rsidRPr="00686CAA" w:rsidRDefault="00686CAA" w:rsidP="00CA3843">
      <w:pPr>
        <w:rPr>
          <w:u w:val="single"/>
        </w:rPr>
      </w:pPr>
      <w:r>
        <w:rPr>
          <w:u w:val="single"/>
        </w:rPr>
        <w:t>Music</w:t>
      </w:r>
    </w:p>
    <w:p w14:paraId="7E82E077" w14:textId="77777777" w:rsidR="008E1F9B" w:rsidRPr="008E1F9B" w:rsidRDefault="008E1F9B" w:rsidP="008E1F9B">
      <w:r w:rsidRPr="008E1F9B">
        <w:t xml:space="preserve">Akyeampong, E. (2020) “Highlife Music, Hiplife, and Leisure in Ghana,” </w:t>
      </w:r>
      <w:r w:rsidRPr="008E1F9B">
        <w:rPr>
          <w:i/>
          <w:iCs/>
        </w:rPr>
        <w:t>African studies review</w:t>
      </w:r>
      <w:r w:rsidRPr="008E1F9B">
        <w:t>, 63(2), pp. 436–440. Available at: https://doi.org/10.1017/asr.2019.86.</w:t>
      </w:r>
    </w:p>
    <w:p w14:paraId="00943BCD" w14:textId="1DA18830" w:rsidR="00676A61" w:rsidRDefault="00676A61" w:rsidP="00676A61">
      <w:r w:rsidRPr="00676A61">
        <w:t xml:space="preserve">Annin, F. and Addei, C. (2024) “The Iconography of Pop Culture in Ghana: Black Sherif’s Music in Perspective,” </w:t>
      </w:r>
      <w:r w:rsidRPr="00676A61">
        <w:rPr>
          <w:i/>
          <w:iCs/>
        </w:rPr>
        <w:t>Kata (Surabaya)</w:t>
      </w:r>
      <w:r w:rsidRPr="00676A61">
        <w:t xml:space="preserve">, 26(1), pp. 14–24. </w:t>
      </w:r>
    </w:p>
    <w:p w14:paraId="59A0D216" w14:textId="2E694312" w:rsidR="00CC2C1C" w:rsidRDefault="00CC2C1C" w:rsidP="00CC2C1C">
      <w:r>
        <w:t xml:space="preserve">K. Askew, </w:t>
      </w:r>
      <w:r w:rsidRPr="00CC2C1C">
        <w:t>‘As Plato Duly Warned’: Music, Politics and Social Change in Coastal East Africa’, Anthropological Quarterly, 76 (2003), 609-37.</w:t>
      </w:r>
    </w:p>
    <w:p w14:paraId="5A8149E9" w14:textId="58F26890" w:rsidR="00C428A7" w:rsidRPr="00676A61" w:rsidRDefault="00C428A7" w:rsidP="00AF3760">
      <w:r w:rsidRPr="00C428A7">
        <w:t xml:space="preserve">Ayettey, B.O. (2016) “Jumping like a Kangaroo: Music and Dance in the Campaign Strategy of Ghanaian Political Parties,” </w:t>
      </w:r>
      <w:r w:rsidRPr="00C428A7">
        <w:rPr>
          <w:i/>
          <w:iCs/>
        </w:rPr>
        <w:t>Muziki</w:t>
      </w:r>
      <w:r w:rsidRPr="00C428A7">
        <w:rPr>
          <w:rFonts w:ascii="Arial" w:hAnsi="Arial" w:cs="Arial"/>
          <w:i/>
          <w:iCs/>
        </w:rPr>
        <w:t> </w:t>
      </w:r>
      <w:r w:rsidRPr="00C428A7">
        <w:rPr>
          <w:i/>
          <w:iCs/>
        </w:rPr>
        <w:t>: journal of music research in Africa</w:t>
      </w:r>
      <w:r w:rsidRPr="00C428A7">
        <w:t xml:space="preserve">, 13(1), pp. 2–18. </w:t>
      </w:r>
    </w:p>
    <w:p w14:paraId="6BB2D630" w14:textId="467CB52C" w:rsidR="00A5703F" w:rsidRDefault="00A5703F" w:rsidP="00C607A9">
      <w:r w:rsidRPr="00CA3843">
        <w:t xml:space="preserve">Felix Banda and Kelvin Mambwe, ‘Fighting HIV/AIDS Through Popular Zambian Music’., </w:t>
      </w:r>
      <w:r w:rsidRPr="00CA3843">
        <w:rPr>
          <w:i/>
          <w:iCs/>
        </w:rPr>
        <w:t xml:space="preserve">Muziki </w:t>
      </w:r>
      <w:r w:rsidRPr="00CA3843">
        <w:t>10 (2013), 1-12.</w:t>
      </w:r>
    </w:p>
    <w:p w14:paraId="5CB73A4C" w14:textId="095560FC" w:rsidR="00021B88" w:rsidRDefault="00021B88" w:rsidP="00021B88">
      <w:r w:rsidRPr="00021B88">
        <w:t xml:space="preserve">Clark, M.K. (2012) “Hip hop as social commentary in Accra and Dar es Salaam,” </w:t>
      </w:r>
      <w:r w:rsidRPr="00021B88">
        <w:rPr>
          <w:i/>
          <w:iCs/>
        </w:rPr>
        <w:t>African studies quarterly</w:t>
      </w:r>
      <w:r w:rsidRPr="00021B88">
        <w:t>, 13(3), pp. 23–46.</w:t>
      </w:r>
    </w:p>
    <w:p w14:paraId="57C51ED6" w14:textId="66A22EF5" w:rsidR="00BD2686" w:rsidRDefault="00BD2686" w:rsidP="00BD2686">
      <w:r w:rsidRPr="00BD2686">
        <w:t>Coplan, David B. “Eloquent Knowledge: Lesotho Migrants’ Songs and the Anthropology of Experience.” </w:t>
      </w:r>
      <w:r w:rsidRPr="00BD2686">
        <w:rPr>
          <w:i/>
          <w:iCs/>
        </w:rPr>
        <w:t>American Ethnologist</w:t>
      </w:r>
      <w:r w:rsidRPr="00BD2686">
        <w:t xml:space="preserve"> 14, no. 3 (1987): 413–33. </w:t>
      </w:r>
    </w:p>
    <w:p w14:paraId="21DDE0E5" w14:textId="228EA6A8" w:rsidR="00343F5E" w:rsidRDefault="00343F5E" w:rsidP="00343F5E">
      <w:r>
        <w:t xml:space="preserve">L. Fair, </w:t>
      </w:r>
      <w:r w:rsidRPr="00343F5E">
        <w:t>It’s Just no Fun Anymore”: Women’s Experiences of Taraab before and after the 1964 Zanzibar Revolution’, International Journal of African Historical Studies, 35 (2002), 61-81.</w:t>
      </w:r>
    </w:p>
    <w:p w14:paraId="58E28F98" w14:textId="642A547A" w:rsidR="00274016" w:rsidRPr="00CA3843" w:rsidRDefault="00274016" w:rsidP="00274016">
      <w:r w:rsidRPr="00EE108C">
        <w:t>Grinker, R. &amp; Steiner, C (eds.) Perspectives on Africa: A Reader in Culture, History and Representation (Oxford, 1997</w:t>
      </w:r>
      <w:r>
        <w:t>, especially chapter by Coplan.</w:t>
      </w:r>
    </w:p>
    <w:p w14:paraId="76194B82" w14:textId="1CD5937C" w:rsidR="00A5703F" w:rsidRPr="00F97F55" w:rsidRDefault="00A5703F" w:rsidP="00C607A9">
      <w:r w:rsidRPr="00F97F55">
        <w:lastRenderedPageBreak/>
        <w:t xml:space="preserve">Isabel Hofmeyr, Joyce Nyairo and James Ogude, ‘Specificities : “Who can Bwogo Me?” Popular Culture in Kenya’, </w:t>
      </w:r>
      <w:r w:rsidRPr="00F97F55">
        <w:rPr>
          <w:i/>
          <w:iCs/>
        </w:rPr>
        <w:t xml:space="preserve">Social Identities </w:t>
      </w:r>
      <w:r w:rsidRPr="00F97F55">
        <w:t>9 (2003), 373-382.</w:t>
      </w:r>
    </w:p>
    <w:p w14:paraId="1AD92331" w14:textId="4BE92A1E" w:rsidR="00B82101" w:rsidRDefault="00B82101" w:rsidP="00C607A9">
      <w:r w:rsidRPr="00B82101">
        <w:t>Amon Kipyegon Kirui, ‘Music Dual</w:t>
      </w:r>
      <w:r>
        <w:t xml:space="preserve">ism: Political Intolerance in Kenya and the Gen-Z Movement’, </w:t>
      </w:r>
      <w:r>
        <w:rPr>
          <w:i/>
          <w:iCs/>
        </w:rPr>
        <w:t xml:space="preserve">Journal of Music and Creative Arts </w:t>
      </w:r>
      <w:r>
        <w:t>4  (2025), 1-15.</w:t>
      </w:r>
    </w:p>
    <w:p w14:paraId="4EF188B2" w14:textId="615C7EDB" w:rsidR="00A43B06" w:rsidRDefault="00A43B06" w:rsidP="00C607A9">
      <w:r>
        <w:t xml:space="preserve">Bernard Mwansa Nchindila, ‘Honest by Chance: An Investigation into Bemba Music in Zambian Politics’, </w:t>
      </w:r>
      <w:r>
        <w:rPr>
          <w:i/>
          <w:iCs/>
        </w:rPr>
        <w:t xml:space="preserve">Muziki </w:t>
      </w:r>
      <w:r>
        <w:t>5 (2008), 298-322.</w:t>
      </w:r>
    </w:p>
    <w:p w14:paraId="66E0012F" w14:textId="29D258E0" w:rsidR="002821D2" w:rsidRPr="00A43B06" w:rsidRDefault="002821D2" w:rsidP="002821D2">
      <w:r w:rsidRPr="002821D2">
        <w:t xml:space="preserve">Jabbaar-Gyambrah, T.A. (2008) “Triple M, Representin, ’Reconstructin’ and Resistin’: Ideologies of Gender and Sexuality in Hip-Life Music in Ghana,” </w:t>
      </w:r>
      <w:r w:rsidRPr="002821D2">
        <w:rPr>
          <w:i/>
          <w:iCs/>
        </w:rPr>
        <w:t>The journal of race &amp; policy</w:t>
      </w:r>
      <w:r w:rsidRPr="002821D2">
        <w:t>, 4(1), pp. 86–99.</w:t>
      </w:r>
    </w:p>
    <w:p w14:paraId="1C704ACC" w14:textId="06991677" w:rsidR="00A5703F" w:rsidRPr="00B82101" w:rsidRDefault="00A5703F" w:rsidP="00C607A9">
      <w:r w:rsidRPr="00B82101">
        <w:t xml:space="preserve">Joyce Nyairo and James Ogude, ‘Popular Music, Popular Politics: Unbwogable and the Idioms of Freedom in Kenyan Popular Music’, </w:t>
      </w:r>
      <w:r w:rsidRPr="00B82101">
        <w:rPr>
          <w:i/>
          <w:iCs/>
        </w:rPr>
        <w:t xml:space="preserve">African Affairs </w:t>
      </w:r>
      <w:r w:rsidRPr="00B82101">
        <w:t>104 (2005), 225-249.</w:t>
      </w:r>
    </w:p>
    <w:p w14:paraId="27BCBC19" w14:textId="5AC25139" w:rsidR="00C607A9" w:rsidRDefault="00A5703F" w:rsidP="00C607A9">
      <w:r w:rsidRPr="00F97F55">
        <w:t xml:space="preserve">Aaron Louis Rosenberg, ‘Mwenye ? Muhindi ? Mwafrika ? </w:t>
      </w:r>
      <w:r w:rsidRPr="00A5703F">
        <w:t>Creative Encounters with Afro-A</w:t>
      </w:r>
      <w:r>
        <w:t xml:space="preserve">sians in Tanzania, Zambia and Kenya’, </w:t>
      </w:r>
      <w:r>
        <w:rPr>
          <w:i/>
          <w:iCs/>
        </w:rPr>
        <w:t xml:space="preserve">Patterns of Prejudice </w:t>
      </w:r>
      <w:r>
        <w:t>47 (2013), 483-501.</w:t>
      </w:r>
    </w:p>
    <w:p w14:paraId="74F7B19D" w14:textId="76F05441" w:rsidR="00327FD5" w:rsidRDefault="00327FD5" w:rsidP="00327FD5">
      <w:r w:rsidRPr="00327FD5">
        <w:t xml:space="preserve">Russell, A. (2011) “Home, music and memory for the Congolese in Kampala,” </w:t>
      </w:r>
      <w:r w:rsidRPr="00327FD5">
        <w:rPr>
          <w:i/>
          <w:iCs/>
        </w:rPr>
        <w:t>Journal of Eastern African studies</w:t>
      </w:r>
      <w:r w:rsidRPr="00327FD5">
        <w:t xml:space="preserve">, 5(2), pp. 294–312. </w:t>
      </w:r>
    </w:p>
    <w:p w14:paraId="402DE86D" w14:textId="7CDD26FD" w:rsidR="00D66595" w:rsidRPr="00D66595" w:rsidRDefault="00D66595" w:rsidP="00AF3760">
      <w:r w:rsidRPr="00D66595">
        <w:t>Segun, E.O. and Ojakorotu, V. (2019) “Indigenised popular songs for oppositional political communication</w:t>
      </w:r>
      <w:r w:rsidRPr="00D66595">
        <w:rPr>
          <w:rFonts w:ascii="Arial" w:hAnsi="Arial" w:cs="Arial"/>
        </w:rPr>
        <w:t> </w:t>
      </w:r>
      <w:r w:rsidRPr="00D66595">
        <w:t>: Fela Kuti and Miriam Makeba in perspectives,</w:t>
      </w:r>
      <w:r w:rsidRPr="00D66595">
        <w:rPr>
          <w:rFonts w:ascii="Aptos" w:hAnsi="Aptos" w:cs="Aptos"/>
        </w:rPr>
        <w:t>”</w:t>
      </w:r>
      <w:r w:rsidRPr="00D66595">
        <w:t xml:space="preserve"> </w:t>
      </w:r>
      <w:r w:rsidRPr="00D66595">
        <w:rPr>
          <w:i/>
          <w:iCs/>
        </w:rPr>
        <w:t>African renaissance</w:t>
      </w:r>
      <w:r w:rsidRPr="00D66595">
        <w:t xml:space="preserve">, 16(1), pp. 233–251. </w:t>
      </w:r>
    </w:p>
    <w:p w14:paraId="28A53D91" w14:textId="4369AB50" w:rsidR="00B82101" w:rsidRPr="00B82101" w:rsidRDefault="00B82101" w:rsidP="00B82101">
      <w:pPr>
        <w:rPr>
          <w:b/>
          <w:bCs/>
        </w:rPr>
      </w:pPr>
      <w:r>
        <w:t xml:space="preserve">Ruth M. Stone, </w:t>
      </w:r>
      <w:r>
        <w:rPr>
          <w:i/>
          <w:iCs/>
        </w:rPr>
        <w:t xml:space="preserve">The Garland Handbook of African Music </w:t>
      </w:r>
      <w:r>
        <w:t xml:space="preserve">(Abingdon, 2008), Chapters by Impey; Barz and Cohen. </w:t>
      </w:r>
      <w:hyperlink r:id="rId17" w:anchor="page=145" w:history="1">
        <w:r w:rsidRPr="00B82101">
          <w:rPr>
            <w:rStyle w:val="Hyperlink"/>
          </w:rPr>
          <w:t>The Garland Handbook of African Music, Second Edition</w:t>
        </w:r>
      </w:hyperlink>
    </w:p>
    <w:p w14:paraId="125F52AD" w14:textId="2F729D93" w:rsidR="00A5703F" w:rsidRDefault="00A5703F" w:rsidP="00A5703F">
      <w:r w:rsidRPr="00A5703F">
        <w:t>Matthew Tembo, ‘</w:t>
      </w:r>
      <w:r w:rsidRPr="00A5703F">
        <w:rPr>
          <w:i/>
          <w:iCs/>
        </w:rPr>
        <w:t xml:space="preserve">Zed Beats : </w:t>
      </w:r>
      <w:r w:rsidRPr="00A5703F">
        <w:t>A</w:t>
      </w:r>
      <w:r>
        <w:t xml:space="preserve"> Historical Ethnography of Musical Production and Musical Labour in Zambian Popular Music’, Unpublished PhD Thesis, University of Pittsburgh, 2024. </w:t>
      </w:r>
      <w:hyperlink r:id="rId18" w:history="1">
        <w:r w:rsidRPr="00A5703F">
          <w:rPr>
            <w:rStyle w:val="Hyperlink"/>
          </w:rPr>
          <w:t>MT Diss. For Re-Deposition, 12_11.pdf</w:t>
        </w:r>
      </w:hyperlink>
    </w:p>
    <w:p w14:paraId="141C2523" w14:textId="2B78A953" w:rsidR="00D37AD8" w:rsidRDefault="00D37AD8" w:rsidP="00D37AD8">
      <w:r w:rsidRPr="00D37AD8">
        <w:t>Waterman, Christopher A. “‘Our Tradition Is a Very Modern Tradition’: Popular Music and the Construction of Pan-Yoruba Identity.” </w:t>
      </w:r>
      <w:r w:rsidRPr="00D37AD8">
        <w:rPr>
          <w:i/>
          <w:iCs/>
        </w:rPr>
        <w:t>Ethnomusicology</w:t>
      </w:r>
      <w:r w:rsidRPr="00D37AD8">
        <w:t> 34, no. 3 (1990): 367–79. https://doi.org/10.2307/851623.</w:t>
      </w:r>
    </w:p>
    <w:p w14:paraId="4DE26B17" w14:textId="46C6919A" w:rsidR="00DB69EE" w:rsidRDefault="00DB69EE" w:rsidP="00A5703F">
      <w:pPr>
        <w:rPr>
          <w:u w:val="single"/>
        </w:rPr>
      </w:pPr>
      <w:r>
        <w:rPr>
          <w:u w:val="single"/>
        </w:rPr>
        <w:t>Fashion</w:t>
      </w:r>
    </w:p>
    <w:p w14:paraId="3E6CE1E7" w14:textId="63DC9D16" w:rsidR="00274016" w:rsidRDefault="00274016" w:rsidP="00274016">
      <w:r w:rsidRPr="002D3336">
        <w:t>Allman, J</w:t>
      </w:r>
      <w:r>
        <w:t xml:space="preserve">, </w:t>
      </w:r>
      <w:r w:rsidRPr="002B58E7">
        <w:rPr>
          <w:i/>
          <w:iCs/>
        </w:rPr>
        <w:t>Fashioning Africa. Power and the Politics of Dress</w:t>
      </w:r>
      <w:r w:rsidRPr="002D3336">
        <w:t xml:space="preserve"> (Bloomington, 2004).</w:t>
      </w:r>
    </w:p>
    <w:p w14:paraId="1EC07130" w14:textId="77777777" w:rsidR="002B58E7" w:rsidRPr="002B58E7" w:rsidRDefault="002B58E7" w:rsidP="002B58E7">
      <w:r w:rsidRPr="002B58E7">
        <w:t xml:space="preserve">Farber, L. (2010) “Africanising hybridity? Toward an Afropolitan aesthetic in contemporary South African fashion design,” </w:t>
      </w:r>
      <w:r w:rsidRPr="002B58E7">
        <w:rPr>
          <w:i/>
          <w:iCs/>
        </w:rPr>
        <w:t>Critical arts</w:t>
      </w:r>
      <w:r w:rsidRPr="002B58E7">
        <w:t>, 24(1), pp. 128–167. Available at: https://doi.org/10.1080/02560040903509234.</w:t>
      </w:r>
    </w:p>
    <w:p w14:paraId="64D0059C" w14:textId="6E814ACA" w:rsidR="00A43B06" w:rsidRDefault="00A43B06" w:rsidP="00A43B06">
      <w:r w:rsidRPr="00A43B06">
        <w:t>Heike Jenss and Vio</w:t>
      </w:r>
      <w:r>
        <w:t xml:space="preserve">la Hofmann (eds.), </w:t>
      </w:r>
      <w:r>
        <w:rPr>
          <w:i/>
          <w:iCs/>
        </w:rPr>
        <w:t xml:space="preserve">Fashion and Materiality: Cultural Practices in Global Contexts </w:t>
      </w:r>
      <w:r>
        <w:t>(London, 2019).</w:t>
      </w:r>
    </w:p>
    <w:p w14:paraId="1C711A7B" w14:textId="77777777" w:rsidR="00A4069B" w:rsidRDefault="00A4069B" w:rsidP="00A4069B">
      <w:r w:rsidRPr="00A4069B">
        <w:lastRenderedPageBreak/>
        <w:t>Gondola, D. ‘Dream and Drama: The Search for Elegance Among Congolese Youth’, African Studies Review 4 (1999), 23-48.</w:t>
      </w:r>
    </w:p>
    <w:p w14:paraId="00A38401" w14:textId="53A71651" w:rsidR="004525B9" w:rsidRDefault="004525B9" w:rsidP="004525B9">
      <w:r w:rsidRPr="004525B9">
        <w:t xml:space="preserve">LeBlanc, M.N. (2000) “Versioning Womanhood and Muslimhood: ‘Fashion’ and the Life Course in Contemporary Bouaké, Côte D’ivoire,” </w:t>
      </w:r>
      <w:r w:rsidRPr="004525B9">
        <w:rPr>
          <w:i/>
          <w:iCs/>
        </w:rPr>
        <w:t>Africa (London. 1928)</w:t>
      </w:r>
      <w:r w:rsidRPr="004525B9">
        <w:t xml:space="preserve">, 70(3), pp. 442–481. </w:t>
      </w:r>
    </w:p>
    <w:p w14:paraId="49FADBFC" w14:textId="31EBE830" w:rsidR="00D540B0" w:rsidRDefault="00D540B0" w:rsidP="00D540B0">
      <w:r w:rsidRPr="00D540B0">
        <w:t xml:space="preserve">Martin, P. (2009) </w:t>
      </w:r>
      <w:r w:rsidRPr="00D540B0">
        <w:rPr>
          <w:i/>
          <w:iCs/>
        </w:rPr>
        <w:t>Leisure and Society in Colonial Brazzaville</w:t>
      </w:r>
      <w:r w:rsidRPr="00D540B0">
        <w:t>. Cambridge University Press</w:t>
      </w:r>
      <w:r>
        <w:t>, Chapter 6.</w:t>
      </w:r>
    </w:p>
    <w:p w14:paraId="07899649" w14:textId="361DE36D" w:rsidR="00D361E5" w:rsidRDefault="00D361E5" w:rsidP="00D361E5">
      <w:r w:rsidRPr="00D361E5">
        <w:t xml:space="preserve">Dolat, S. (2025) “Beyond the Monolith: Redefining African Fashion, Identity, and Design Narratives,” </w:t>
      </w:r>
      <w:r w:rsidRPr="00D361E5">
        <w:rPr>
          <w:i/>
          <w:iCs/>
        </w:rPr>
        <w:t>Fashion theory</w:t>
      </w:r>
      <w:r w:rsidRPr="00D361E5">
        <w:t xml:space="preserve">, 29(3), pp. 291–299. </w:t>
      </w:r>
    </w:p>
    <w:p w14:paraId="7BA0CCC9" w14:textId="2817DD49" w:rsidR="0024550E" w:rsidRPr="00D361E5" w:rsidRDefault="0024550E" w:rsidP="0024550E">
      <w:r w:rsidRPr="0024550E">
        <w:t xml:space="preserve">Ogunyankin, G.A. (2016) “These Girls’ Fashion is Sick!: An African City and the Geography of Sartorial Worldliness,” </w:t>
      </w:r>
      <w:r w:rsidRPr="0024550E">
        <w:rPr>
          <w:i/>
          <w:iCs/>
        </w:rPr>
        <w:t>Feminist Africa</w:t>
      </w:r>
      <w:r w:rsidRPr="0024550E">
        <w:t>, (21), pp. 37–51.</w:t>
      </w:r>
    </w:p>
    <w:p w14:paraId="0D57CF9E" w14:textId="5CD30FBA" w:rsidR="009801D8" w:rsidRDefault="009801D8" w:rsidP="009801D8">
      <w:r w:rsidRPr="009801D8">
        <w:t xml:space="preserve">Pouillard, V. and Dubé-Senécal, V. (2024) </w:t>
      </w:r>
      <w:r w:rsidRPr="009801D8">
        <w:rPr>
          <w:i/>
          <w:iCs/>
        </w:rPr>
        <w:t>The Routledge History of Fashion and Dress, 1800 to the Present</w:t>
      </w:r>
      <w:r w:rsidRPr="009801D8">
        <w:t xml:space="preserve">. 1st ed. Edited by Veronique Pouillard and V. Dubé-Senécal. London: Routledge. </w:t>
      </w:r>
      <w:r>
        <w:t>Chapters by Grosfilley and Omoyele</w:t>
      </w:r>
    </w:p>
    <w:p w14:paraId="392C8555" w14:textId="45386729" w:rsidR="00695FAC" w:rsidRDefault="00695FAC" w:rsidP="00695FAC">
      <w:r w:rsidRPr="00695FAC">
        <w:t xml:space="preserve">Thomas, K. </w:t>
      </w:r>
      <w:r w:rsidRPr="00695FAC">
        <w:rPr>
          <w:i/>
          <w:iCs/>
        </w:rPr>
        <w:t>et al.</w:t>
      </w:r>
      <w:r w:rsidRPr="00695FAC">
        <w:t xml:space="preserve"> (2012) “Style Reimagined: Exploring Fashion and Identity Among South African Smarteez,” in </w:t>
      </w:r>
      <w:r w:rsidRPr="00695FAC">
        <w:rPr>
          <w:i/>
          <w:iCs/>
        </w:rPr>
        <w:t>Advances in consumer research</w:t>
      </w:r>
      <w:r w:rsidRPr="00695FAC">
        <w:t>. Urbana: Association for Consumer Research, p. 1112.</w:t>
      </w:r>
    </w:p>
    <w:p w14:paraId="0209BAF1" w14:textId="33AA8BEA" w:rsidR="00B9375B" w:rsidRDefault="00B9375B" w:rsidP="00B9375B">
      <w:r w:rsidRPr="00B9375B">
        <w:t xml:space="preserve">Tse, T. (2026) “Fashions in Africa, and Africas in Fashion – Global Africa as Method,” </w:t>
      </w:r>
      <w:r w:rsidRPr="00B9375B">
        <w:rPr>
          <w:i/>
          <w:iCs/>
        </w:rPr>
        <w:t>Fashion theory</w:t>
      </w:r>
      <w:r w:rsidRPr="00B9375B">
        <w:t xml:space="preserve">, pp. 1–30. </w:t>
      </w:r>
    </w:p>
    <w:p w14:paraId="71EFA084" w14:textId="4005C3D7" w:rsidR="009F17B8" w:rsidRDefault="009F17B8" w:rsidP="009F17B8">
      <w:r w:rsidRPr="009F17B8">
        <w:t xml:space="preserve">Vilarinho, S. and Christiaans, H. (2020) “Identity Building Through Mediation by African Tailors,” </w:t>
      </w:r>
      <w:r w:rsidRPr="009F17B8">
        <w:rPr>
          <w:i/>
          <w:iCs/>
        </w:rPr>
        <w:t>International journal of urban and regional research</w:t>
      </w:r>
      <w:r w:rsidRPr="009F17B8">
        <w:t xml:space="preserve">, 44(5), pp. 841–856. </w:t>
      </w:r>
    </w:p>
    <w:p w14:paraId="25755A8E" w14:textId="69F918A4" w:rsidR="00A4069B" w:rsidRPr="00A43B06" w:rsidRDefault="00386E19" w:rsidP="00620447">
      <w:r w:rsidRPr="00386E19">
        <w:t xml:space="preserve">Way, E. </w:t>
      </w:r>
      <w:r>
        <w:t xml:space="preserve">(ed.), </w:t>
      </w:r>
      <w:r w:rsidRPr="00386E19">
        <w:t xml:space="preserve">(2025) </w:t>
      </w:r>
      <w:r w:rsidRPr="00386E19">
        <w:rPr>
          <w:i/>
          <w:iCs/>
        </w:rPr>
        <w:t>Africa’s fashion diaspora</w:t>
      </w:r>
      <w:r w:rsidRPr="00386E19">
        <w:t>. New Haven</w:t>
      </w:r>
      <w:r w:rsidRPr="00386E19">
        <w:rPr>
          <w:rFonts w:ascii="Arial" w:hAnsi="Arial" w:cs="Arial"/>
        </w:rPr>
        <w:t> </w:t>
      </w:r>
      <w:r w:rsidRPr="00386E19">
        <w:t>; Yale University Press.</w:t>
      </w:r>
    </w:p>
    <w:p w14:paraId="1E99320A" w14:textId="48F5CA12" w:rsidR="00DC2C0C" w:rsidRDefault="00DC2C0C" w:rsidP="00256997">
      <w:pPr>
        <w:pStyle w:val="Heading2"/>
      </w:pPr>
      <w:r>
        <w:t>Session 1</w:t>
      </w:r>
      <w:r w:rsidR="00351260">
        <w:t>1</w:t>
      </w:r>
      <w:r>
        <w:t>: Human Rights</w:t>
      </w:r>
    </w:p>
    <w:p w14:paraId="765665B7" w14:textId="015BF162" w:rsidR="00F87D37" w:rsidRPr="00F87D37" w:rsidRDefault="00F87D37" w:rsidP="006F5EE0">
      <w:r w:rsidRPr="00F87D37">
        <w:t xml:space="preserve">This seminar examines </w:t>
      </w:r>
      <w:r>
        <w:t>human rights in African history. We will critically explore how discourses of universal human rights have been constructed, deployed, and contested.</w:t>
      </w:r>
      <w:r w:rsidR="006F5EE0">
        <w:t xml:space="preserve"> Using the debates over female circumcision as a central case study, we will analyse how colonial and postcolonial interventions, humanitarian campaigns and international human rights frameworks have often framed African practices through ‘civilising’ and ‘modernising’ narratives. We will also explore African responses, to show how debates over rights and bodily practices are embedded in struggles over gender, power, sovereignty, and cultural authority. </w:t>
      </w:r>
      <w:r w:rsidRPr="00F87D37">
        <w:t xml:space="preserve"> </w:t>
      </w:r>
    </w:p>
    <w:p w14:paraId="022F38B8" w14:textId="77777777" w:rsidR="00F87D37" w:rsidRPr="00F87D37" w:rsidRDefault="00F87D37" w:rsidP="00F87D37"/>
    <w:p w14:paraId="092283E6" w14:textId="77777777" w:rsidR="006F5EE0" w:rsidRDefault="006F5EE0" w:rsidP="00DC2C0C">
      <w:pPr>
        <w:rPr>
          <w:b/>
          <w:bCs/>
        </w:rPr>
      </w:pPr>
      <w:r>
        <w:rPr>
          <w:b/>
          <w:bCs/>
        </w:rPr>
        <w:t xml:space="preserve">Key questions: </w:t>
      </w:r>
    </w:p>
    <w:p w14:paraId="7FAADF2A" w14:textId="28275CDE" w:rsidR="00F041C4" w:rsidRDefault="00F041C4" w:rsidP="006F5EE0">
      <w:pPr>
        <w:pStyle w:val="ListParagraph"/>
        <w:numPr>
          <w:ilvl w:val="0"/>
          <w:numId w:val="17"/>
        </w:numPr>
      </w:pPr>
      <w:r>
        <w:t>How far are human rights a Western imposition on Africa?</w:t>
      </w:r>
    </w:p>
    <w:p w14:paraId="0DAC8014" w14:textId="167FA7BA" w:rsidR="00F041C4" w:rsidRDefault="00F041C4" w:rsidP="006F5EE0">
      <w:pPr>
        <w:pStyle w:val="ListParagraph"/>
        <w:numPr>
          <w:ilvl w:val="0"/>
          <w:numId w:val="17"/>
        </w:numPr>
      </w:pPr>
      <w:r>
        <w:lastRenderedPageBreak/>
        <w:t>Should female circumcision be a human rights issue?</w:t>
      </w:r>
    </w:p>
    <w:p w14:paraId="46EA813D" w14:textId="5F87176A" w:rsidR="00562280" w:rsidRDefault="00562280" w:rsidP="00DC2C0C">
      <w:pPr>
        <w:rPr>
          <w:b/>
          <w:bCs/>
        </w:rPr>
      </w:pPr>
      <w:r w:rsidRPr="00562280">
        <w:rPr>
          <w:b/>
          <w:bCs/>
        </w:rPr>
        <w:t>Key reading:</w:t>
      </w:r>
    </w:p>
    <w:p w14:paraId="7C220848" w14:textId="4848C08C" w:rsidR="00826C68" w:rsidRPr="00826C68" w:rsidRDefault="00826C68" w:rsidP="00826C68">
      <w:r>
        <w:t xml:space="preserve">M. Mutua, </w:t>
      </w:r>
      <w:r w:rsidRPr="00826C68">
        <w:t>‘Savage, Victim, Saviour: The Metaphor of Human Rights’, Harvard International Law Journal, 42.1 (2001), 201-09.</w:t>
      </w:r>
      <w:r>
        <w:t xml:space="preserve"> Available here:</w:t>
      </w:r>
      <w:r w:rsidRPr="00826C68">
        <w:t xml:space="preserve"> </w:t>
      </w:r>
      <w:hyperlink r:id="rId19" w:history="1">
        <w:r w:rsidRPr="00814E1C">
          <w:rPr>
            <w:rStyle w:val="Hyperlink"/>
          </w:rPr>
          <w:t>Savages, Victims, and Saviors: The Metaphor of Human Rights</w:t>
        </w:r>
      </w:hyperlink>
    </w:p>
    <w:p w14:paraId="5DCF76A0" w14:textId="78751EC0" w:rsidR="00B700E5" w:rsidRDefault="00B700E5" w:rsidP="00B700E5">
      <w:r w:rsidRPr="00B700E5">
        <w:t xml:space="preserve">Parker, M. (1995) “Rethinking female circumcision,” </w:t>
      </w:r>
      <w:r w:rsidRPr="00B700E5">
        <w:rPr>
          <w:i/>
          <w:iCs/>
        </w:rPr>
        <w:t>Africa (London. 1928)</w:t>
      </w:r>
      <w:r w:rsidRPr="00B700E5">
        <w:t xml:space="preserve">, 65(4), pp. 506–523. </w:t>
      </w:r>
    </w:p>
    <w:p w14:paraId="00919D2D" w14:textId="7833A12E" w:rsidR="00826C68" w:rsidRDefault="00826C68" w:rsidP="00B700E5">
      <w:pPr>
        <w:rPr>
          <w:b/>
          <w:bCs/>
        </w:rPr>
      </w:pPr>
      <w:r>
        <w:rPr>
          <w:b/>
          <w:bCs/>
        </w:rPr>
        <w:t>Further reading (for essay preparation):</w:t>
      </w:r>
    </w:p>
    <w:p w14:paraId="4BB486F1" w14:textId="77777777" w:rsidR="00826C68" w:rsidRDefault="00826C68" w:rsidP="00826C68">
      <w:r w:rsidRPr="00F041C4">
        <w:t>Abdullahi An Na’im,</w:t>
      </w:r>
      <w:r>
        <w:t xml:space="preserve"> ‘Introduction’ and </w:t>
      </w:r>
      <w:r w:rsidRPr="00F041C4">
        <w:t>‘Cultural transformation and h</w:t>
      </w:r>
      <w:r>
        <w:t xml:space="preserve">uman rights in African societies’ in A. An Na’im (ed.), </w:t>
      </w:r>
      <w:r>
        <w:rPr>
          <w:i/>
          <w:iCs/>
        </w:rPr>
        <w:t xml:space="preserve">Cultural Transformation and Human Rights in Africa </w:t>
      </w:r>
      <w:r>
        <w:t>(2002).</w:t>
      </w:r>
    </w:p>
    <w:p w14:paraId="6EFEE545" w14:textId="052492A0" w:rsidR="001919CF" w:rsidRDefault="001919CF" w:rsidP="001919CF">
      <w:r w:rsidRPr="001919CF">
        <w:t xml:space="preserve">Boddy, J. (2018) </w:t>
      </w:r>
      <w:r w:rsidRPr="001919CF">
        <w:rPr>
          <w:i/>
          <w:iCs/>
        </w:rPr>
        <w:t>Civilizing Women</w:t>
      </w:r>
      <w:r w:rsidRPr="001919CF">
        <w:rPr>
          <w:rFonts w:ascii="Arial" w:hAnsi="Arial" w:cs="Arial"/>
          <w:i/>
          <w:iCs/>
        </w:rPr>
        <w:t> </w:t>
      </w:r>
      <w:r w:rsidRPr="001919CF">
        <w:rPr>
          <w:i/>
          <w:iCs/>
        </w:rPr>
        <w:t>: British Crusades in Colonial Sudan</w:t>
      </w:r>
      <w:r w:rsidRPr="001919CF">
        <w:t>. Princeton, NJ: Princeton University Press.</w:t>
      </w:r>
    </w:p>
    <w:p w14:paraId="666516CA" w14:textId="3ECFA373" w:rsidR="00873AC5" w:rsidRDefault="00873AC5" w:rsidP="00873AC5">
      <w:r w:rsidRPr="00873AC5">
        <w:t xml:space="preserve">Cheney, K. (2012) “Locating Neocolonialism, ‘Tradition,’ and Human Rights in Uganda’s ‘Gay Death Penalty,’” </w:t>
      </w:r>
      <w:r w:rsidRPr="00873AC5">
        <w:rPr>
          <w:i/>
          <w:iCs/>
        </w:rPr>
        <w:t>African studies review</w:t>
      </w:r>
      <w:r w:rsidRPr="00873AC5">
        <w:t>, 55(2), pp. 77–95. Available at: https://doi.org/10.1353/arw.2012.0031.</w:t>
      </w:r>
    </w:p>
    <w:p w14:paraId="739997B3" w14:textId="357DD116" w:rsidR="00E53E73" w:rsidRDefault="00E53E73" w:rsidP="00E53E73">
      <w:r w:rsidRPr="00E53E73">
        <w:t xml:space="preserve">Conklin, A.L. (1998) “Colonialism and Human Rights, A Contradiction in Terms? The Case of France and West Africa, 1895–1914,” </w:t>
      </w:r>
      <w:r w:rsidRPr="00E53E73">
        <w:rPr>
          <w:i/>
          <w:iCs/>
        </w:rPr>
        <w:t>The American historical review</w:t>
      </w:r>
      <w:r w:rsidRPr="00E53E73">
        <w:t xml:space="preserve">, 103(2), pp. 419–442. </w:t>
      </w:r>
    </w:p>
    <w:p w14:paraId="4EC60D1E" w14:textId="0EC033D9" w:rsidR="0072001D" w:rsidRDefault="0072001D" w:rsidP="0072001D">
      <w:r w:rsidRPr="0072001D">
        <w:t xml:space="preserve">Eze, C. (2021) </w:t>
      </w:r>
      <w:r w:rsidRPr="0072001D">
        <w:rPr>
          <w:i/>
          <w:iCs/>
        </w:rPr>
        <w:t>Justice and human rights in the African imagination</w:t>
      </w:r>
      <w:r w:rsidRPr="0072001D">
        <w:rPr>
          <w:rFonts w:ascii="Arial" w:hAnsi="Arial" w:cs="Arial"/>
          <w:i/>
          <w:iCs/>
        </w:rPr>
        <w:t> </w:t>
      </w:r>
      <w:r w:rsidRPr="0072001D">
        <w:rPr>
          <w:i/>
          <w:iCs/>
        </w:rPr>
        <w:t>: we, too, are humans</w:t>
      </w:r>
      <w:r w:rsidRPr="0072001D">
        <w:t>. 1st ed. London</w:t>
      </w:r>
      <w:r w:rsidRPr="0072001D">
        <w:rPr>
          <w:rFonts w:ascii="Arial" w:hAnsi="Arial" w:cs="Arial"/>
        </w:rPr>
        <w:t> </w:t>
      </w:r>
      <w:r w:rsidRPr="0072001D">
        <w:t>; Routledge.</w:t>
      </w:r>
    </w:p>
    <w:p w14:paraId="7F094EBB" w14:textId="3010020C" w:rsidR="00AB2D53" w:rsidRDefault="00AB2D53" w:rsidP="00AB2D53">
      <w:r w:rsidRPr="00AB2D53">
        <w:t xml:space="preserve">Gordon, N.M. (1997) “‘Tonguing the Body’: Placing Female Circumcision within African Feminist Discourse,” </w:t>
      </w:r>
      <w:r w:rsidRPr="00AB2D53">
        <w:rPr>
          <w:i/>
          <w:iCs/>
        </w:rPr>
        <w:t xml:space="preserve">Issue </w:t>
      </w:r>
      <w:r w:rsidRPr="00AB2D53">
        <w:t xml:space="preserve"> 25(2), pp. 24–27. </w:t>
      </w:r>
    </w:p>
    <w:p w14:paraId="152438EA" w14:textId="6719AC5C" w:rsidR="003F3045" w:rsidRDefault="003F3045" w:rsidP="00866487">
      <w:r w:rsidRPr="003F3045">
        <w:t xml:space="preserve">Hetherington, P. (1998) “The politics of female circumcision in the central province of Colonial Kenya, 1920-30,” </w:t>
      </w:r>
      <w:r w:rsidRPr="003F3045">
        <w:rPr>
          <w:i/>
          <w:iCs/>
        </w:rPr>
        <w:t>Journal of imperial and Commonwealth history</w:t>
      </w:r>
      <w:r w:rsidRPr="003F3045">
        <w:t xml:space="preserve">, 26(1), pp. 93–126. </w:t>
      </w:r>
    </w:p>
    <w:p w14:paraId="511AF0A9" w14:textId="5EF63404" w:rsidR="003A7F8A" w:rsidRPr="003A7F8A" w:rsidRDefault="003A7F8A" w:rsidP="00866487">
      <w:r w:rsidRPr="003A7F8A">
        <w:t xml:space="preserve">Ibhawoh, B. (2025) “For their Own Ends: Universalist Idealism and Political Pragmatism in Late Colonial Human Rights Reforms,” </w:t>
      </w:r>
      <w:r w:rsidRPr="003A7F8A">
        <w:rPr>
          <w:i/>
          <w:iCs/>
        </w:rPr>
        <w:t>Itinerario</w:t>
      </w:r>
      <w:r w:rsidRPr="003A7F8A">
        <w:t xml:space="preserve">, 49(3), pp. 548–564. </w:t>
      </w:r>
    </w:p>
    <w:p w14:paraId="00026A40" w14:textId="391C0408" w:rsidR="005035F7" w:rsidRPr="005035F7" w:rsidRDefault="005035F7" w:rsidP="005035F7">
      <w:r w:rsidRPr="005035F7">
        <w:t xml:space="preserve">Ibhawoh, B. (2023) “Inalienable Dignity: Writing Counterhegemonic Universal Human Rights Histories,” </w:t>
      </w:r>
      <w:r w:rsidRPr="005035F7">
        <w:rPr>
          <w:i/>
          <w:iCs/>
        </w:rPr>
        <w:t>Ethnohistory</w:t>
      </w:r>
      <w:r w:rsidRPr="005035F7">
        <w:t xml:space="preserve">, 70(2), pp. 187–199. </w:t>
      </w:r>
    </w:p>
    <w:p w14:paraId="60E680C9" w14:textId="10A8DC67" w:rsidR="00982222" w:rsidRDefault="00982222" w:rsidP="00982222">
      <w:r w:rsidRPr="00982222">
        <w:t xml:space="preserve">Ibhawoh, B. (2014) “Testing the Atlantic Charter: linking anticolonialism, self-determination and universal human rights,” </w:t>
      </w:r>
      <w:r w:rsidRPr="00982222">
        <w:rPr>
          <w:i/>
          <w:iCs/>
        </w:rPr>
        <w:t>The international journal of human rights</w:t>
      </w:r>
      <w:r w:rsidRPr="00982222">
        <w:t xml:space="preserve">, 18(7–8), pp. 842–860. </w:t>
      </w:r>
    </w:p>
    <w:p w14:paraId="4DA3CCD3" w14:textId="02D36B9F" w:rsidR="00A04433" w:rsidRDefault="00A04433" w:rsidP="00A04433">
      <w:r w:rsidRPr="00A04433">
        <w:lastRenderedPageBreak/>
        <w:t xml:space="preserve">Keyse, R.E. (2022) “‘Hidden Motives’? African Women, Forced Marriage and Knowledge Production at the United Nations, 1950—62,” </w:t>
      </w:r>
      <w:r w:rsidRPr="00A04433">
        <w:rPr>
          <w:i/>
          <w:iCs/>
        </w:rPr>
        <w:t>Journal of contemporary history</w:t>
      </w:r>
      <w:r w:rsidRPr="00A04433">
        <w:t xml:space="preserve">, 57(2), pp. 268–292. </w:t>
      </w:r>
    </w:p>
    <w:p w14:paraId="2118C076" w14:textId="3040DF3D" w:rsidR="00D0355C" w:rsidRDefault="00D0355C" w:rsidP="001D6F2B">
      <w:r w:rsidRPr="00D0355C">
        <w:t xml:space="preserve">Koomen, J. (2014) “Global governance and the politics of culture: campaigns against female circumcision in East Africa,” </w:t>
      </w:r>
      <w:r w:rsidRPr="00D0355C">
        <w:rPr>
          <w:i/>
          <w:iCs/>
        </w:rPr>
        <w:t>Gender, place and culture</w:t>
      </w:r>
      <w:r w:rsidRPr="00D0355C">
        <w:rPr>
          <w:rFonts w:ascii="Arial" w:hAnsi="Arial" w:cs="Arial"/>
          <w:i/>
          <w:iCs/>
        </w:rPr>
        <w:t> </w:t>
      </w:r>
      <w:r w:rsidRPr="00D0355C">
        <w:rPr>
          <w:i/>
          <w:iCs/>
        </w:rPr>
        <w:t>: a journal of feminist geography</w:t>
      </w:r>
      <w:r w:rsidRPr="00D0355C">
        <w:t xml:space="preserve">, 21(2), pp. 244–261. </w:t>
      </w:r>
    </w:p>
    <w:p w14:paraId="4D397DC4" w14:textId="2B532861" w:rsidR="00D42FEF" w:rsidRDefault="00D42FEF" w:rsidP="00D42FEF">
      <w:r w:rsidRPr="00D42FEF">
        <w:t xml:space="preserve">Mwenda, K.K. (2000) “Deconstructing the concept of human rights in Africa,” </w:t>
      </w:r>
      <w:r w:rsidRPr="00D42FEF">
        <w:rPr>
          <w:i/>
          <w:iCs/>
        </w:rPr>
        <w:t>Alternative law journal</w:t>
      </w:r>
      <w:r w:rsidRPr="00D42FEF">
        <w:t xml:space="preserve">, 25(6), pp. 292–302. </w:t>
      </w:r>
    </w:p>
    <w:p w14:paraId="39708498" w14:textId="0F01A654" w:rsidR="00D37F55" w:rsidRPr="00D37F55" w:rsidRDefault="00D37F55" w:rsidP="00D37F55">
      <w:r w:rsidRPr="00D37F55">
        <w:t xml:space="preserve">Ngarúiya Njambi, W. (2007) “Irua Ria Atumia and Anti-Colonial Struggles Among the Gĩkũyũ of Kenya: A Counter Narrative on ‘Female Genital Mutulation’ 1,” </w:t>
      </w:r>
      <w:r w:rsidRPr="00D37F55">
        <w:rPr>
          <w:i/>
          <w:iCs/>
        </w:rPr>
        <w:t>Critical sociology</w:t>
      </w:r>
      <w:r w:rsidRPr="00D37F55">
        <w:t xml:space="preserve">, 33(4), pp. 689–708. </w:t>
      </w:r>
    </w:p>
    <w:p w14:paraId="1019B1B0" w14:textId="77777777" w:rsidR="00C51C4A" w:rsidRDefault="00C51C4A" w:rsidP="00C51C4A">
      <w:r w:rsidRPr="00C51C4A">
        <w:t xml:space="preserve">Nault, D.M. (2022) </w:t>
      </w:r>
      <w:r w:rsidRPr="00C51C4A">
        <w:rPr>
          <w:i/>
          <w:iCs/>
        </w:rPr>
        <w:t>Africa and the shaping of international human rights</w:t>
      </w:r>
      <w:r w:rsidRPr="00C51C4A">
        <w:t>. First edition. Oxford: Oxford University Press.</w:t>
      </w:r>
    </w:p>
    <w:p w14:paraId="15F292AD" w14:textId="0665B6BE" w:rsidR="00260A23" w:rsidRDefault="00260A23" w:rsidP="00260A23">
      <w:r w:rsidRPr="00260A23">
        <w:t xml:space="preserve">Obermeyer, C.M. (1999) “Female Genital Surgeries: The Known, the Unknown, and the Unknowable,” </w:t>
      </w:r>
      <w:r w:rsidRPr="00260A23">
        <w:rPr>
          <w:i/>
          <w:iCs/>
        </w:rPr>
        <w:t>Medical anthropology quarterly</w:t>
      </w:r>
      <w:r w:rsidRPr="00260A23">
        <w:t xml:space="preserve">, 13(1), pp. 79–106. </w:t>
      </w:r>
    </w:p>
    <w:p w14:paraId="755B7356" w14:textId="4F592E54" w:rsidR="001D6F2B" w:rsidRDefault="001D6F2B" w:rsidP="001D6F2B">
      <w:r w:rsidRPr="001D6F2B">
        <w:t xml:space="preserve">Robertson, C. (1996) “Grassroots in Kenya: Women, Genital Mutilation, and Collective Action, 1920-1990,” </w:t>
      </w:r>
      <w:r w:rsidRPr="001D6F2B">
        <w:rPr>
          <w:i/>
          <w:iCs/>
        </w:rPr>
        <w:t>Signs: Journal of Women in Culture and Society</w:t>
      </w:r>
      <w:r w:rsidRPr="001D6F2B">
        <w:t xml:space="preserve">, 21(3), pp. 615–642. </w:t>
      </w:r>
    </w:p>
    <w:p w14:paraId="32E74928" w14:textId="77777777" w:rsidR="006C5742" w:rsidRPr="006C5742" w:rsidRDefault="006C5742" w:rsidP="006C5742">
      <w:r w:rsidRPr="006C5742">
        <w:t>THOMAS, L.M. (1998) “Imperial concerns and ’women’s affairs’</w:t>
      </w:r>
      <w:r w:rsidRPr="006C5742">
        <w:rPr>
          <w:rFonts w:ascii="Arial" w:hAnsi="Arial" w:cs="Arial"/>
        </w:rPr>
        <w:t> </w:t>
      </w:r>
      <w:r w:rsidRPr="006C5742">
        <w:t>: State efforts to regulate clitoridectomy and eradicate abortion in Meru, Kenya, c.1910-1950,</w:t>
      </w:r>
      <w:r w:rsidRPr="006C5742">
        <w:rPr>
          <w:rFonts w:ascii="Aptos" w:hAnsi="Aptos" w:cs="Aptos"/>
        </w:rPr>
        <w:t>”</w:t>
      </w:r>
      <w:r w:rsidRPr="006C5742">
        <w:t xml:space="preserve"> </w:t>
      </w:r>
      <w:r w:rsidRPr="006C5742">
        <w:rPr>
          <w:i/>
          <w:iCs/>
        </w:rPr>
        <w:t>Journal of African history</w:t>
      </w:r>
      <w:r w:rsidRPr="006C5742">
        <w:t>, 39(1), pp. 121–145.</w:t>
      </w:r>
    </w:p>
    <w:p w14:paraId="752B1CCC" w14:textId="26E68740" w:rsidR="00C2346A" w:rsidRDefault="00C2346A" w:rsidP="00C2346A">
      <w:r w:rsidRPr="00C2346A">
        <w:t xml:space="preserve">Thomas, L.M. (2003) </w:t>
      </w:r>
      <w:r w:rsidRPr="00C2346A">
        <w:rPr>
          <w:i/>
          <w:iCs/>
        </w:rPr>
        <w:t>Politics of the Womb: Women, Reproduction, and the State in Kenya</w:t>
      </w:r>
      <w:r w:rsidRPr="00C2346A">
        <w:t>. 1st ed. Berkeley: University of California Press</w:t>
      </w:r>
      <w:r>
        <w:t>.</w:t>
      </w:r>
    </w:p>
    <w:p w14:paraId="3541DE6B" w14:textId="2627457A" w:rsidR="00351260" w:rsidRDefault="00351260" w:rsidP="006F5EE0">
      <w:pPr>
        <w:pStyle w:val="Heading2"/>
      </w:pPr>
      <w:r>
        <w:t>Session 12: Assignment workshop</w:t>
      </w:r>
    </w:p>
    <w:p w14:paraId="0E552332" w14:textId="7F407D5B" w:rsidR="00866487" w:rsidRPr="00866487" w:rsidRDefault="00866487" w:rsidP="00866487">
      <w:r>
        <w:t>Our final session will round up any residual questions you might have about the module, and provide space for us to discuss your final assignments.</w:t>
      </w:r>
    </w:p>
    <w:p w14:paraId="76A1DF7E" w14:textId="48C8E95E" w:rsidR="00F041C4" w:rsidRPr="00F041C4" w:rsidRDefault="00F041C4" w:rsidP="00F041C4"/>
    <w:p w14:paraId="25BECF21" w14:textId="77777777" w:rsidR="00696795" w:rsidRDefault="00696795" w:rsidP="00696795"/>
    <w:p w14:paraId="49CAD2AB" w14:textId="77777777" w:rsidR="00696795" w:rsidRDefault="00696795" w:rsidP="00F97F55"/>
    <w:p w14:paraId="4A36C3A1" w14:textId="5BA9F7E6" w:rsidR="00647C2F" w:rsidRPr="002F6B43" w:rsidRDefault="00647C2F" w:rsidP="00833787"/>
    <w:sectPr w:rsidR="00647C2F" w:rsidRPr="002F6B43">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41FEE" w14:textId="77777777" w:rsidR="00745B89" w:rsidRDefault="00745B89" w:rsidP="00F97F55">
      <w:pPr>
        <w:spacing w:after="0" w:line="240" w:lineRule="auto"/>
      </w:pPr>
      <w:r>
        <w:separator/>
      </w:r>
    </w:p>
  </w:endnote>
  <w:endnote w:type="continuationSeparator" w:id="0">
    <w:p w14:paraId="77F1AEDD" w14:textId="77777777" w:rsidR="00745B89" w:rsidRDefault="00745B89" w:rsidP="00F97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BE64F" w14:textId="77777777" w:rsidR="00745B89" w:rsidRDefault="00745B89" w:rsidP="00F97F55">
      <w:pPr>
        <w:spacing w:after="0" w:line="240" w:lineRule="auto"/>
      </w:pPr>
      <w:r>
        <w:separator/>
      </w:r>
    </w:p>
  </w:footnote>
  <w:footnote w:type="continuationSeparator" w:id="0">
    <w:p w14:paraId="4DCF3591" w14:textId="77777777" w:rsidR="00745B89" w:rsidRDefault="00745B89" w:rsidP="00F97F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3711328"/>
      <w:docPartObj>
        <w:docPartGallery w:val="Page Numbers (Top of Page)"/>
        <w:docPartUnique/>
      </w:docPartObj>
    </w:sdtPr>
    <w:sdtEndPr>
      <w:rPr>
        <w:noProof/>
      </w:rPr>
    </w:sdtEndPr>
    <w:sdtContent>
      <w:p w14:paraId="6C1B0EBB" w14:textId="78CC3BCD" w:rsidR="00720846" w:rsidRDefault="0072084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4A45CD" w14:textId="77777777" w:rsidR="00720846" w:rsidRDefault="00720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FB7"/>
    <w:multiLevelType w:val="hybridMultilevel"/>
    <w:tmpl w:val="EF1A78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765E7"/>
    <w:multiLevelType w:val="hybridMultilevel"/>
    <w:tmpl w:val="5BB6B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54D23"/>
    <w:multiLevelType w:val="hybridMultilevel"/>
    <w:tmpl w:val="E8780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190E85"/>
    <w:multiLevelType w:val="hybridMultilevel"/>
    <w:tmpl w:val="795A066A"/>
    <w:lvl w:ilvl="0" w:tplc="BB900B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23F2C"/>
    <w:multiLevelType w:val="hybridMultilevel"/>
    <w:tmpl w:val="5860B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B10E4"/>
    <w:multiLevelType w:val="hybridMultilevel"/>
    <w:tmpl w:val="589CF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F5AC3"/>
    <w:multiLevelType w:val="hybridMultilevel"/>
    <w:tmpl w:val="4DA62E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3D56928"/>
    <w:multiLevelType w:val="hybridMultilevel"/>
    <w:tmpl w:val="FA565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E604F"/>
    <w:multiLevelType w:val="hybridMultilevel"/>
    <w:tmpl w:val="4096375C"/>
    <w:lvl w:ilvl="0" w:tplc="484ACB7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33028E"/>
    <w:multiLevelType w:val="hybridMultilevel"/>
    <w:tmpl w:val="6DEC7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400057"/>
    <w:multiLevelType w:val="hybridMultilevel"/>
    <w:tmpl w:val="78889B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A71683"/>
    <w:multiLevelType w:val="hybridMultilevel"/>
    <w:tmpl w:val="C8FAD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656C6B"/>
    <w:multiLevelType w:val="multilevel"/>
    <w:tmpl w:val="2F6A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A57AD5"/>
    <w:multiLevelType w:val="hybridMultilevel"/>
    <w:tmpl w:val="3F3C5F9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4F802F62"/>
    <w:multiLevelType w:val="hybridMultilevel"/>
    <w:tmpl w:val="8BE8EE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A671F3"/>
    <w:multiLevelType w:val="hybridMultilevel"/>
    <w:tmpl w:val="75F82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FE32F3"/>
    <w:multiLevelType w:val="hybridMultilevel"/>
    <w:tmpl w:val="87265E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80161F9"/>
    <w:multiLevelType w:val="hybridMultilevel"/>
    <w:tmpl w:val="C23E4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FB59EB"/>
    <w:multiLevelType w:val="hybridMultilevel"/>
    <w:tmpl w:val="91981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C81324"/>
    <w:multiLevelType w:val="hybridMultilevel"/>
    <w:tmpl w:val="09D0D0BE"/>
    <w:lvl w:ilvl="0" w:tplc="AAD2EB76">
      <w:start w:val="1"/>
      <w:numFmt w:val="bullet"/>
      <w:lvlText w:val=""/>
      <w:lvlJc w:val="left"/>
      <w:pPr>
        <w:tabs>
          <w:tab w:val="num" w:pos="720"/>
        </w:tabs>
        <w:ind w:left="720" w:hanging="360"/>
      </w:pPr>
      <w:rPr>
        <w:rFonts w:ascii="Wingdings" w:hAnsi="Wingdings" w:hint="default"/>
      </w:rPr>
    </w:lvl>
    <w:lvl w:ilvl="1" w:tplc="CA20CC7E">
      <w:start w:val="1"/>
      <w:numFmt w:val="bullet"/>
      <w:lvlText w:val=""/>
      <w:lvlJc w:val="left"/>
      <w:pPr>
        <w:tabs>
          <w:tab w:val="num" w:pos="1440"/>
        </w:tabs>
        <w:ind w:left="1440" w:hanging="360"/>
      </w:pPr>
      <w:rPr>
        <w:rFonts w:ascii="Wingdings" w:hAnsi="Wingdings" w:hint="default"/>
      </w:rPr>
    </w:lvl>
    <w:lvl w:ilvl="2" w:tplc="7DE2E4D2">
      <w:start w:val="1"/>
      <w:numFmt w:val="bullet"/>
      <w:lvlText w:val=""/>
      <w:lvlJc w:val="left"/>
      <w:pPr>
        <w:tabs>
          <w:tab w:val="num" w:pos="2160"/>
        </w:tabs>
        <w:ind w:left="2160" w:hanging="360"/>
      </w:pPr>
      <w:rPr>
        <w:rFonts w:ascii="Wingdings" w:hAnsi="Wingdings" w:hint="default"/>
      </w:rPr>
    </w:lvl>
    <w:lvl w:ilvl="3" w:tplc="F98AE3D2">
      <w:start w:val="1"/>
      <w:numFmt w:val="bullet"/>
      <w:lvlText w:val=""/>
      <w:lvlJc w:val="left"/>
      <w:pPr>
        <w:tabs>
          <w:tab w:val="num" w:pos="2880"/>
        </w:tabs>
        <w:ind w:left="2880" w:hanging="360"/>
      </w:pPr>
      <w:rPr>
        <w:rFonts w:ascii="Wingdings" w:hAnsi="Wingdings" w:hint="default"/>
      </w:rPr>
    </w:lvl>
    <w:lvl w:ilvl="4" w:tplc="A9021F2C">
      <w:start w:val="1"/>
      <w:numFmt w:val="bullet"/>
      <w:lvlText w:val=""/>
      <w:lvlJc w:val="left"/>
      <w:pPr>
        <w:tabs>
          <w:tab w:val="num" w:pos="3600"/>
        </w:tabs>
        <w:ind w:left="3600" w:hanging="360"/>
      </w:pPr>
      <w:rPr>
        <w:rFonts w:ascii="Wingdings" w:hAnsi="Wingdings" w:hint="default"/>
      </w:rPr>
    </w:lvl>
    <w:lvl w:ilvl="5" w:tplc="395E14E0">
      <w:start w:val="1"/>
      <w:numFmt w:val="bullet"/>
      <w:lvlText w:val=""/>
      <w:lvlJc w:val="left"/>
      <w:pPr>
        <w:tabs>
          <w:tab w:val="num" w:pos="4320"/>
        </w:tabs>
        <w:ind w:left="4320" w:hanging="360"/>
      </w:pPr>
      <w:rPr>
        <w:rFonts w:ascii="Wingdings" w:hAnsi="Wingdings" w:hint="default"/>
      </w:rPr>
    </w:lvl>
    <w:lvl w:ilvl="6" w:tplc="5D227D26">
      <w:start w:val="1"/>
      <w:numFmt w:val="bullet"/>
      <w:lvlText w:val=""/>
      <w:lvlJc w:val="left"/>
      <w:pPr>
        <w:tabs>
          <w:tab w:val="num" w:pos="5040"/>
        </w:tabs>
        <w:ind w:left="5040" w:hanging="360"/>
      </w:pPr>
      <w:rPr>
        <w:rFonts w:ascii="Wingdings" w:hAnsi="Wingdings" w:hint="default"/>
      </w:rPr>
    </w:lvl>
    <w:lvl w:ilvl="7" w:tplc="A510FB46">
      <w:start w:val="1"/>
      <w:numFmt w:val="bullet"/>
      <w:lvlText w:val=""/>
      <w:lvlJc w:val="left"/>
      <w:pPr>
        <w:tabs>
          <w:tab w:val="num" w:pos="5760"/>
        </w:tabs>
        <w:ind w:left="5760" w:hanging="360"/>
      </w:pPr>
      <w:rPr>
        <w:rFonts w:ascii="Wingdings" w:hAnsi="Wingdings" w:hint="default"/>
      </w:rPr>
    </w:lvl>
    <w:lvl w:ilvl="8" w:tplc="48D8EE8A">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2341627"/>
    <w:multiLevelType w:val="hybridMultilevel"/>
    <w:tmpl w:val="1E5E8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7210E6"/>
    <w:multiLevelType w:val="hybridMultilevel"/>
    <w:tmpl w:val="774E8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B30840"/>
    <w:multiLevelType w:val="hybridMultilevel"/>
    <w:tmpl w:val="4934C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8342643">
    <w:abstractNumId w:val="10"/>
  </w:num>
  <w:num w:numId="2" w16cid:durableId="2047828893">
    <w:abstractNumId w:val="14"/>
  </w:num>
  <w:num w:numId="3" w16cid:durableId="1811551973">
    <w:abstractNumId w:val="0"/>
  </w:num>
  <w:num w:numId="4" w16cid:durableId="1932857653">
    <w:abstractNumId w:val="19"/>
  </w:num>
  <w:num w:numId="5" w16cid:durableId="1616791535">
    <w:abstractNumId w:val="16"/>
  </w:num>
  <w:num w:numId="6" w16cid:durableId="45103747">
    <w:abstractNumId w:val="21"/>
  </w:num>
  <w:num w:numId="7" w16cid:durableId="1301958284">
    <w:abstractNumId w:val="12"/>
  </w:num>
  <w:num w:numId="8" w16cid:durableId="1532645894">
    <w:abstractNumId w:val="16"/>
  </w:num>
  <w:num w:numId="9" w16cid:durableId="1075123895">
    <w:abstractNumId w:val="5"/>
  </w:num>
  <w:num w:numId="10" w16cid:durableId="2028678518">
    <w:abstractNumId w:val="9"/>
  </w:num>
  <w:num w:numId="11" w16cid:durableId="1223057478">
    <w:abstractNumId w:val="4"/>
  </w:num>
  <w:num w:numId="12" w16cid:durableId="2020697197">
    <w:abstractNumId w:val="22"/>
  </w:num>
  <w:num w:numId="13" w16cid:durableId="1838308039">
    <w:abstractNumId w:val="17"/>
  </w:num>
  <w:num w:numId="14" w16cid:durableId="1123772069">
    <w:abstractNumId w:val="8"/>
  </w:num>
  <w:num w:numId="15" w16cid:durableId="752628150">
    <w:abstractNumId w:val="3"/>
  </w:num>
  <w:num w:numId="16" w16cid:durableId="1404792883">
    <w:abstractNumId w:val="7"/>
  </w:num>
  <w:num w:numId="17" w16cid:durableId="420686349">
    <w:abstractNumId w:val="20"/>
  </w:num>
  <w:num w:numId="18" w16cid:durableId="730082409">
    <w:abstractNumId w:val="18"/>
  </w:num>
  <w:num w:numId="19" w16cid:durableId="1777944006">
    <w:abstractNumId w:val="1"/>
  </w:num>
  <w:num w:numId="20" w16cid:durableId="1734817320">
    <w:abstractNumId w:val="15"/>
  </w:num>
  <w:num w:numId="21" w16cid:durableId="1013067059">
    <w:abstractNumId w:val="13"/>
  </w:num>
  <w:num w:numId="22" w16cid:durableId="59519422">
    <w:abstractNumId w:val="2"/>
  </w:num>
  <w:num w:numId="23" w16cid:durableId="1030842022">
    <w:abstractNumId w:val="11"/>
  </w:num>
  <w:num w:numId="24" w16cid:durableId="9424222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787"/>
    <w:rsid w:val="0000645C"/>
    <w:rsid w:val="00021B88"/>
    <w:rsid w:val="0003271D"/>
    <w:rsid w:val="00037896"/>
    <w:rsid w:val="00067B7F"/>
    <w:rsid w:val="00072441"/>
    <w:rsid w:val="0007668C"/>
    <w:rsid w:val="00087E06"/>
    <w:rsid w:val="000A2800"/>
    <w:rsid w:val="000D1371"/>
    <w:rsid w:val="000E4BA4"/>
    <w:rsid w:val="000E7FA4"/>
    <w:rsid w:val="0010551C"/>
    <w:rsid w:val="00110A83"/>
    <w:rsid w:val="001309B2"/>
    <w:rsid w:val="00133EAF"/>
    <w:rsid w:val="00147E55"/>
    <w:rsid w:val="00155EB3"/>
    <w:rsid w:val="00167FE4"/>
    <w:rsid w:val="001919CF"/>
    <w:rsid w:val="001B5EF1"/>
    <w:rsid w:val="001D5EF2"/>
    <w:rsid w:val="001D6F2B"/>
    <w:rsid w:val="001E5333"/>
    <w:rsid w:val="001F046F"/>
    <w:rsid w:val="001F0D7D"/>
    <w:rsid w:val="00212E79"/>
    <w:rsid w:val="00231589"/>
    <w:rsid w:val="0024550E"/>
    <w:rsid w:val="002455AD"/>
    <w:rsid w:val="002540A9"/>
    <w:rsid w:val="00256997"/>
    <w:rsid w:val="00257ECD"/>
    <w:rsid w:val="00260A23"/>
    <w:rsid w:val="002709F6"/>
    <w:rsid w:val="002719C7"/>
    <w:rsid w:val="00274016"/>
    <w:rsid w:val="002821D2"/>
    <w:rsid w:val="002857A6"/>
    <w:rsid w:val="0029298A"/>
    <w:rsid w:val="002A206A"/>
    <w:rsid w:val="002B58E7"/>
    <w:rsid w:val="002D3336"/>
    <w:rsid w:val="002D6EF5"/>
    <w:rsid w:val="002E36DA"/>
    <w:rsid w:val="002F6B43"/>
    <w:rsid w:val="00301D5B"/>
    <w:rsid w:val="0031139E"/>
    <w:rsid w:val="00323345"/>
    <w:rsid w:val="00327FD5"/>
    <w:rsid w:val="0033543B"/>
    <w:rsid w:val="00336F89"/>
    <w:rsid w:val="00343F5E"/>
    <w:rsid w:val="00350530"/>
    <w:rsid w:val="00350F77"/>
    <w:rsid w:val="00351260"/>
    <w:rsid w:val="0035362A"/>
    <w:rsid w:val="0036021B"/>
    <w:rsid w:val="00382DC6"/>
    <w:rsid w:val="00386E19"/>
    <w:rsid w:val="003A2272"/>
    <w:rsid w:val="003A30B8"/>
    <w:rsid w:val="003A6E08"/>
    <w:rsid w:val="003A7F8A"/>
    <w:rsid w:val="003B4344"/>
    <w:rsid w:val="003C3CDF"/>
    <w:rsid w:val="003F3045"/>
    <w:rsid w:val="004133EB"/>
    <w:rsid w:val="004175C4"/>
    <w:rsid w:val="0042282D"/>
    <w:rsid w:val="00423205"/>
    <w:rsid w:val="00433A67"/>
    <w:rsid w:val="004455BA"/>
    <w:rsid w:val="004525B9"/>
    <w:rsid w:val="00470BDB"/>
    <w:rsid w:val="00471DF3"/>
    <w:rsid w:val="00487E85"/>
    <w:rsid w:val="004B1B85"/>
    <w:rsid w:val="004E2127"/>
    <w:rsid w:val="004F6CC5"/>
    <w:rsid w:val="005035F7"/>
    <w:rsid w:val="005054E2"/>
    <w:rsid w:val="0051619C"/>
    <w:rsid w:val="00516F06"/>
    <w:rsid w:val="00517775"/>
    <w:rsid w:val="005219F2"/>
    <w:rsid w:val="00545A1A"/>
    <w:rsid w:val="00547E40"/>
    <w:rsid w:val="00550702"/>
    <w:rsid w:val="00555202"/>
    <w:rsid w:val="00556ECC"/>
    <w:rsid w:val="00562280"/>
    <w:rsid w:val="005724F8"/>
    <w:rsid w:val="00581F48"/>
    <w:rsid w:val="00583A27"/>
    <w:rsid w:val="005966A3"/>
    <w:rsid w:val="005C33BA"/>
    <w:rsid w:val="005D2BC7"/>
    <w:rsid w:val="005D60EB"/>
    <w:rsid w:val="005E1722"/>
    <w:rsid w:val="005E31B2"/>
    <w:rsid w:val="005F0E21"/>
    <w:rsid w:val="006076D1"/>
    <w:rsid w:val="00620447"/>
    <w:rsid w:val="0064730F"/>
    <w:rsid w:val="00647C2F"/>
    <w:rsid w:val="006615B4"/>
    <w:rsid w:val="00676A61"/>
    <w:rsid w:val="00677E2F"/>
    <w:rsid w:val="00684832"/>
    <w:rsid w:val="0068493E"/>
    <w:rsid w:val="00686CAA"/>
    <w:rsid w:val="00686DA1"/>
    <w:rsid w:val="00695FAC"/>
    <w:rsid w:val="0069620E"/>
    <w:rsid w:val="00696795"/>
    <w:rsid w:val="006A75EB"/>
    <w:rsid w:val="006A7B88"/>
    <w:rsid w:val="006C5742"/>
    <w:rsid w:val="006D3334"/>
    <w:rsid w:val="006E1CD0"/>
    <w:rsid w:val="006E71EF"/>
    <w:rsid w:val="006F5EE0"/>
    <w:rsid w:val="00700740"/>
    <w:rsid w:val="00704F72"/>
    <w:rsid w:val="0072001D"/>
    <w:rsid w:val="00720846"/>
    <w:rsid w:val="0072371D"/>
    <w:rsid w:val="007317F0"/>
    <w:rsid w:val="00745B89"/>
    <w:rsid w:val="00755F69"/>
    <w:rsid w:val="007753F2"/>
    <w:rsid w:val="007D1297"/>
    <w:rsid w:val="007D37EC"/>
    <w:rsid w:val="007D7239"/>
    <w:rsid w:val="00804C4F"/>
    <w:rsid w:val="00814E1C"/>
    <w:rsid w:val="00814EA4"/>
    <w:rsid w:val="008176A0"/>
    <w:rsid w:val="00822D09"/>
    <w:rsid w:val="00826C68"/>
    <w:rsid w:val="00833787"/>
    <w:rsid w:val="00847F88"/>
    <w:rsid w:val="00866487"/>
    <w:rsid w:val="00873AC5"/>
    <w:rsid w:val="008862ED"/>
    <w:rsid w:val="008876B4"/>
    <w:rsid w:val="00892173"/>
    <w:rsid w:val="008B252B"/>
    <w:rsid w:val="008C2FF2"/>
    <w:rsid w:val="008E1F9B"/>
    <w:rsid w:val="008E4307"/>
    <w:rsid w:val="008F1545"/>
    <w:rsid w:val="00901A60"/>
    <w:rsid w:val="0091129B"/>
    <w:rsid w:val="009218C3"/>
    <w:rsid w:val="00922D89"/>
    <w:rsid w:val="00946C96"/>
    <w:rsid w:val="00950AC3"/>
    <w:rsid w:val="00950E58"/>
    <w:rsid w:val="009801D8"/>
    <w:rsid w:val="00982222"/>
    <w:rsid w:val="009A2440"/>
    <w:rsid w:val="009B17F1"/>
    <w:rsid w:val="009E755A"/>
    <w:rsid w:val="009F17B8"/>
    <w:rsid w:val="009F4A6D"/>
    <w:rsid w:val="00A04433"/>
    <w:rsid w:val="00A33326"/>
    <w:rsid w:val="00A400C1"/>
    <w:rsid w:val="00A4069B"/>
    <w:rsid w:val="00A43B06"/>
    <w:rsid w:val="00A5703F"/>
    <w:rsid w:val="00A5747B"/>
    <w:rsid w:val="00A72BDC"/>
    <w:rsid w:val="00AB2D53"/>
    <w:rsid w:val="00AB2FBE"/>
    <w:rsid w:val="00AB5225"/>
    <w:rsid w:val="00AD28F8"/>
    <w:rsid w:val="00AD3A77"/>
    <w:rsid w:val="00AF2809"/>
    <w:rsid w:val="00AF3760"/>
    <w:rsid w:val="00AF7B65"/>
    <w:rsid w:val="00B053EE"/>
    <w:rsid w:val="00B11480"/>
    <w:rsid w:val="00B233BC"/>
    <w:rsid w:val="00B35C91"/>
    <w:rsid w:val="00B50615"/>
    <w:rsid w:val="00B700E5"/>
    <w:rsid w:val="00B82101"/>
    <w:rsid w:val="00B85D8B"/>
    <w:rsid w:val="00B86E2C"/>
    <w:rsid w:val="00B9375B"/>
    <w:rsid w:val="00B97D4C"/>
    <w:rsid w:val="00BB1059"/>
    <w:rsid w:val="00BC4113"/>
    <w:rsid w:val="00BC50CC"/>
    <w:rsid w:val="00BD2686"/>
    <w:rsid w:val="00BE0227"/>
    <w:rsid w:val="00C0088C"/>
    <w:rsid w:val="00C05845"/>
    <w:rsid w:val="00C13A5D"/>
    <w:rsid w:val="00C14A95"/>
    <w:rsid w:val="00C14FE7"/>
    <w:rsid w:val="00C20738"/>
    <w:rsid w:val="00C2346A"/>
    <w:rsid w:val="00C26294"/>
    <w:rsid w:val="00C428A7"/>
    <w:rsid w:val="00C51C4A"/>
    <w:rsid w:val="00C55E1B"/>
    <w:rsid w:val="00C607A9"/>
    <w:rsid w:val="00C61C4C"/>
    <w:rsid w:val="00C92313"/>
    <w:rsid w:val="00CA3843"/>
    <w:rsid w:val="00CB6A85"/>
    <w:rsid w:val="00CC0720"/>
    <w:rsid w:val="00CC2C1C"/>
    <w:rsid w:val="00CC30E7"/>
    <w:rsid w:val="00CC729F"/>
    <w:rsid w:val="00CE7222"/>
    <w:rsid w:val="00CE7AEF"/>
    <w:rsid w:val="00CF5D64"/>
    <w:rsid w:val="00D0355C"/>
    <w:rsid w:val="00D04719"/>
    <w:rsid w:val="00D361E5"/>
    <w:rsid w:val="00D370C9"/>
    <w:rsid w:val="00D37AD8"/>
    <w:rsid w:val="00D37CF8"/>
    <w:rsid w:val="00D37F55"/>
    <w:rsid w:val="00D42FEF"/>
    <w:rsid w:val="00D524E8"/>
    <w:rsid w:val="00D540B0"/>
    <w:rsid w:val="00D55411"/>
    <w:rsid w:val="00D55E30"/>
    <w:rsid w:val="00D56978"/>
    <w:rsid w:val="00D56FF1"/>
    <w:rsid w:val="00D66595"/>
    <w:rsid w:val="00D76B39"/>
    <w:rsid w:val="00DB45FA"/>
    <w:rsid w:val="00DB69EE"/>
    <w:rsid w:val="00DB73CA"/>
    <w:rsid w:val="00DC2C0C"/>
    <w:rsid w:val="00DF1BE3"/>
    <w:rsid w:val="00DF76ED"/>
    <w:rsid w:val="00E17D49"/>
    <w:rsid w:val="00E214CD"/>
    <w:rsid w:val="00E2552B"/>
    <w:rsid w:val="00E52D16"/>
    <w:rsid w:val="00E53E73"/>
    <w:rsid w:val="00E548FC"/>
    <w:rsid w:val="00E60E3A"/>
    <w:rsid w:val="00E628C8"/>
    <w:rsid w:val="00E71850"/>
    <w:rsid w:val="00E7640D"/>
    <w:rsid w:val="00E859F5"/>
    <w:rsid w:val="00EB40AE"/>
    <w:rsid w:val="00EB6A16"/>
    <w:rsid w:val="00ED1DBB"/>
    <w:rsid w:val="00EE108C"/>
    <w:rsid w:val="00F041C4"/>
    <w:rsid w:val="00F0550E"/>
    <w:rsid w:val="00F25ABD"/>
    <w:rsid w:val="00F57AA3"/>
    <w:rsid w:val="00F851AB"/>
    <w:rsid w:val="00F87D37"/>
    <w:rsid w:val="00F97F55"/>
    <w:rsid w:val="00FA54AE"/>
    <w:rsid w:val="00FC3C42"/>
    <w:rsid w:val="00FF22B8"/>
    <w:rsid w:val="00FF66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82826"/>
  <w15:chartTrackingRefBased/>
  <w15:docId w15:val="{AB54E9A2-079F-4899-A6CF-E98422D44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E2F"/>
  </w:style>
  <w:style w:type="paragraph" w:styleId="Heading1">
    <w:name w:val="heading 1"/>
    <w:basedOn w:val="Normal"/>
    <w:next w:val="Normal"/>
    <w:link w:val="Heading1Char"/>
    <w:uiPriority w:val="9"/>
    <w:qFormat/>
    <w:rsid w:val="00833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3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33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3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33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787"/>
    <w:rPr>
      <w:rFonts w:eastAsiaTheme="majorEastAsia" w:cstheme="majorBidi"/>
      <w:color w:val="272727" w:themeColor="text1" w:themeTint="D8"/>
    </w:rPr>
  </w:style>
  <w:style w:type="paragraph" w:styleId="Title">
    <w:name w:val="Title"/>
    <w:basedOn w:val="Normal"/>
    <w:next w:val="Normal"/>
    <w:link w:val="TitleChar"/>
    <w:uiPriority w:val="10"/>
    <w:qFormat/>
    <w:rsid w:val="00833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787"/>
    <w:pPr>
      <w:spacing w:before="160"/>
      <w:jc w:val="center"/>
    </w:pPr>
    <w:rPr>
      <w:i/>
      <w:iCs/>
      <w:color w:val="404040" w:themeColor="text1" w:themeTint="BF"/>
    </w:rPr>
  </w:style>
  <w:style w:type="character" w:customStyle="1" w:styleId="QuoteChar">
    <w:name w:val="Quote Char"/>
    <w:basedOn w:val="DefaultParagraphFont"/>
    <w:link w:val="Quote"/>
    <w:uiPriority w:val="29"/>
    <w:rsid w:val="00833787"/>
    <w:rPr>
      <w:i/>
      <w:iCs/>
      <w:color w:val="404040" w:themeColor="text1" w:themeTint="BF"/>
    </w:rPr>
  </w:style>
  <w:style w:type="paragraph" w:styleId="ListParagraph">
    <w:name w:val="List Paragraph"/>
    <w:basedOn w:val="Normal"/>
    <w:link w:val="ListParagraphChar"/>
    <w:uiPriority w:val="34"/>
    <w:qFormat/>
    <w:rsid w:val="00833787"/>
    <w:pPr>
      <w:ind w:left="720"/>
      <w:contextualSpacing/>
    </w:pPr>
  </w:style>
  <w:style w:type="character" w:styleId="IntenseEmphasis">
    <w:name w:val="Intense Emphasis"/>
    <w:basedOn w:val="DefaultParagraphFont"/>
    <w:uiPriority w:val="21"/>
    <w:qFormat/>
    <w:rsid w:val="00833787"/>
    <w:rPr>
      <w:i/>
      <w:iCs/>
      <w:color w:val="0F4761" w:themeColor="accent1" w:themeShade="BF"/>
    </w:rPr>
  </w:style>
  <w:style w:type="paragraph" w:styleId="IntenseQuote">
    <w:name w:val="Intense Quote"/>
    <w:basedOn w:val="Normal"/>
    <w:next w:val="Normal"/>
    <w:link w:val="IntenseQuoteChar"/>
    <w:uiPriority w:val="30"/>
    <w:qFormat/>
    <w:rsid w:val="00833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787"/>
    <w:rPr>
      <w:i/>
      <w:iCs/>
      <w:color w:val="0F4761" w:themeColor="accent1" w:themeShade="BF"/>
    </w:rPr>
  </w:style>
  <w:style w:type="character" w:styleId="IntenseReference">
    <w:name w:val="Intense Reference"/>
    <w:basedOn w:val="DefaultParagraphFont"/>
    <w:uiPriority w:val="32"/>
    <w:qFormat/>
    <w:rsid w:val="00833787"/>
    <w:rPr>
      <w:b/>
      <w:bCs/>
      <w:smallCaps/>
      <w:color w:val="0F4761" w:themeColor="accent1" w:themeShade="BF"/>
      <w:spacing w:val="5"/>
    </w:rPr>
  </w:style>
  <w:style w:type="character" w:styleId="Hyperlink">
    <w:name w:val="Hyperlink"/>
    <w:basedOn w:val="DefaultParagraphFont"/>
    <w:uiPriority w:val="99"/>
    <w:unhideWhenUsed/>
    <w:rsid w:val="00704F72"/>
    <w:rPr>
      <w:color w:val="467886" w:themeColor="hyperlink"/>
      <w:u w:val="single"/>
    </w:rPr>
  </w:style>
  <w:style w:type="character" w:styleId="UnresolvedMention">
    <w:name w:val="Unresolved Mention"/>
    <w:basedOn w:val="DefaultParagraphFont"/>
    <w:uiPriority w:val="99"/>
    <w:semiHidden/>
    <w:unhideWhenUsed/>
    <w:rsid w:val="00704F72"/>
    <w:rPr>
      <w:color w:val="605E5C"/>
      <w:shd w:val="clear" w:color="auto" w:fill="E1DFDD"/>
    </w:rPr>
  </w:style>
  <w:style w:type="paragraph" w:styleId="Header">
    <w:name w:val="header"/>
    <w:basedOn w:val="Normal"/>
    <w:link w:val="HeaderChar"/>
    <w:uiPriority w:val="99"/>
    <w:unhideWhenUsed/>
    <w:rsid w:val="00F97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F55"/>
  </w:style>
  <w:style w:type="paragraph" w:styleId="Footer">
    <w:name w:val="footer"/>
    <w:basedOn w:val="Normal"/>
    <w:link w:val="FooterChar"/>
    <w:uiPriority w:val="99"/>
    <w:unhideWhenUsed/>
    <w:rsid w:val="00F97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F55"/>
  </w:style>
  <w:style w:type="character" w:customStyle="1" w:styleId="ListParagraphChar">
    <w:name w:val="List Paragraph Char"/>
    <w:link w:val="ListParagraph"/>
    <w:uiPriority w:val="34"/>
    <w:locked/>
    <w:rsid w:val="001F0D7D"/>
  </w:style>
  <w:style w:type="paragraph" w:customStyle="1" w:styleId="bullet">
    <w:name w:val="bullet"/>
    <w:link w:val="bulletChar"/>
    <w:rsid w:val="00C13A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C13A5D"/>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8915157">
      <w:bodyDiv w:val="1"/>
      <w:marLeft w:val="0"/>
      <w:marRight w:val="0"/>
      <w:marTop w:val="0"/>
      <w:marBottom w:val="0"/>
      <w:divBdr>
        <w:top w:val="none" w:sz="0" w:space="0" w:color="auto"/>
        <w:left w:val="none" w:sz="0" w:space="0" w:color="auto"/>
        <w:bottom w:val="none" w:sz="0" w:space="0" w:color="auto"/>
        <w:right w:val="none" w:sz="0" w:space="0" w:color="auto"/>
      </w:divBdr>
    </w:div>
    <w:div w:id="156009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keyse@uwtsd.ac.uk" TargetMode="External"/><Relationship Id="rId13" Type="http://schemas.openxmlformats.org/officeDocument/2006/relationships/hyperlink" Target="mailto:r.keyse@uwtsd.ac.uk" TargetMode="External"/><Relationship Id="rId18" Type="http://schemas.openxmlformats.org/officeDocument/2006/relationships/hyperlink" Target="https://d-scholarship.pitt.edu/47246/1/MT%20Diss.%20For%20Re-Deposition%2C%2012_11.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ewpathways.org.uk/" TargetMode="External"/><Relationship Id="rId17" Type="http://schemas.openxmlformats.org/officeDocument/2006/relationships/hyperlink" Target="https://www.labkoringoma.com.br/_files/ugd/592918_fd74dbf15f9d42f88fab2c8273e6a66c.pdf" TargetMode="External"/><Relationship Id="rId2" Type="http://schemas.openxmlformats.org/officeDocument/2006/relationships/numbering" Target="numbering.xml"/><Relationship Id="rId16" Type="http://schemas.openxmlformats.org/officeDocument/2006/relationships/hyperlink" Target="https://dx.doi.org/10.1353/cch.2021.0003"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live-fear-free/domestic-abuse-wales" TargetMode="External"/><Relationship Id="rId5" Type="http://schemas.openxmlformats.org/officeDocument/2006/relationships/webSettings" Target="webSettings.xml"/><Relationship Id="rId15" Type="http://schemas.openxmlformats.org/officeDocument/2006/relationships/hyperlink" Target="https://digitalservices.uwtsd.ac.uk/library/academic-and-infoskills/referencing-handbooks/" TargetMode="External"/><Relationship Id="rId10" Type="http://schemas.openxmlformats.org/officeDocument/2006/relationships/hyperlink" Target="https://www.uwtsd.ac.uk/experience-facilities/student-support-wellbeing/wellbeing-support" TargetMode="External"/><Relationship Id="rId19" Type="http://schemas.openxmlformats.org/officeDocument/2006/relationships/hyperlink" Target="https://digitalcommons.law.buffalo.edu/cgi/viewcontent.cgi?article=1569&amp;context=journal_articles"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google.com/url?sa=t&amp;rct=j&amp;q=&amp;esrc=s&amp;source=web&amp;cd=&amp;ved=2ahUKEwitmrChyeGKAxXAX0EAHfGZD8cQFnoECBoQAQ&amp;url=https%3A%2F%2Fwww.uwtsd.ac.uk%2Fmedia%2F1893%2Fdownload%3Fattachment&amp;usg=AOvVaw2ZnKYm-XMCbMZOfpG0orVh&amp;opi=8997844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2FEE49-B5F4-4773-A1EC-661DD3F33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8097</Words>
  <Characters>42916</Characters>
  <Application>Microsoft Office Word</Application>
  <DocSecurity>0</DocSecurity>
  <Lines>766</Lines>
  <Paragraphs>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4</cp:revision>
  <dcterms:created xsi:type="dcterms:W3CDTF">2026-04-17T12:39:00Z</dcterms:created>
  <dcterms:modified xsi:type="dcterms:W3CDTF">2026-04-17T12:49:00Z</dcterms:modified>
</cp:coreProperties>
</file>