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6F6B61CB" w14:textId="77777777" w:rsidR="00AF62D2" w:rsidRPr="004A2653" w:rsidRDefault="00AF62D2" w:rsidP="00AF62D2">
      <w:pPr>
        <w:jc w:val="center"/>
        <w:rPr>
          <w:b/>
          <w:sz w:val="32"/>
        </w:rPr>
      </w:pPr>
    </w:p>
    <w:p w14:paraId="0593964C" w14:textId="77777777" w:rsidR="00AF62D2" w:rsidRPr="004A2653" w:rsidRDefault="00AF62D2" w:rsidP="00AF62D2">
      <w:pPr>
        <w:jc w:val="center"/>
        <w:rPr>
          <w:b/>
          <w:sz w:val="32"/>
        </w:rPr>
      </w:pPr>
    </w:p>
    <w:p w14:paraId="09F9844E" w14:textId="77777777" w:rsidR="00AF62D2" w:rsidRPr="004A2653" w:rsidRDefault="00AF62D2" w:rsidP="00AF62D2">
      <w:pPr>
        <w:jc w:val="center"/>
        <w:rPr>
          <w:b/>
          <w:sz w:val="32"/>
        </w:rPr>
      </w:pPr>
    </w:p>
    <w:p w14:paraId="44555BA2" w14:textId="77777777" w:rsidR="00AF62D2" w:rsidRPr="004A2653" w:rsidRDefault="00AF62D2" w:rsidP="00AF62D2">
      <w:pPr>
        <w:jc w:val="center"/>
        <w:rPr>
          <w:b/>
          <w:sz w:val="32"/>
        </w:rPr>
      </w:pPr>
    </w:p>
    <w:p w14:paraId="19A931A4" w14:textId="77777777" w:rsidR="00AF62D2" w:rsidRPr="004A2653" w:rsidRDefault="00AF62D2" w:rsidP="00AF62D2">
      <w:pPr>
        <w:jc w:val="center"/>
        <w:rPr>
          <w:b/>
          <w:sz w:val="32"/>
        </w:rPr>
      </w:pPr>
    </w:p>
    <w:p w14:paraId="0AE2279D" w14:textId="77777777" w:rsidR="00AF62D2" w:rsidRPr="004A2653" w:rsidRDefault="00AF62D2" w:rsidP="00AF62D2">
      <w:pPr>
        <w:jc w:val="center"/>
        <w:rPr>
          <w:b/>
          <w:sz w:val="32"/>
        </w:rPr>
      </w:pPr>
    </w:p>
    <w:p w14:paraId="21166D02" w14:textId="77777777" w:rsidR="00AF62D2" w:rsidRPr="004A2653" w:rsidRDefault="00AF62D2" w:rsidP="00AF62D2">
      <w:pPr>
        <w:jc w:val="center"/>
        <w:rPr>
          <w:b/>
          <w:sz w:val="32"/>
        </w:rPr>
      </w:pPr>
    </w:p>
    <w:p w14:paraId="74609754" w14:textId="77777777" w:rsidR="00AF62D2" w:rsidRPr="004A2653" w:rsidRDefault="00AF62D2" w:rsidP="00AF62D2">
      <w:pPr>
        <w:jc w:val="center"/>
        <w:rPr>
          <w:b/>
          <w:sz w:val="32"/>
        </w:rPr>
      </w:pPr>
    </w:p>
    <w:p w14:paraId="3ABA8567" w14:textId="2DFFCC1D" w:rsidR="00AF62D2" w:rsidRPr="004A2653" w:rsidRDefault="00AF62D2" w:rsidP="00AF62D2">
      <w:pPr>
        <w:jc w:val="center"/>
        <w:rPr>
          <w:b/>
          <w:sz w:val="32"/>
        </w:rPr>
      </w:pPr>
      <w:r w:rsidRPr="004A2653">
        <w:rPr>
          <w:b/>
          <w:sz w:val="32"/>
        </w:rPr>
        <w:t>Module name:</w:t>
      </w:r>
      <w:r w:rsidRPr="004A2653">
        <w:rPr>
          <w:sz w:val="32"/>
        </w:rPr>
        <w:t xml:space="preserve"> </w:t>
      </w:r>
      <w:r w:rsidRPr="004A2653">
        <w:rPr>
          <w:b/>
          <w:sz w:val="32"/>
        </w:rPr>
        <w:t>International Financial Management</w:t>
      </w:r>
    </w:p>
    <w:p w14:paraId="0AD22355" w14:textId="52E6C12D" w:rsidR="00AF62D2" w:rsidRPr="004A2653" w:rsidRDefault="002F5708" w:rsidP="00AF62D2">
      <w:pPr>
        <w:jc w:val="center"/>
        <w:rPr>
          <w:b/>
          <w:sz w:val="32"/>
        </w:rPr>
      </w:pPr>
      <w:r w:rsidRPr="004A2653">
        <w:rPr>
          <w:b/>
          <w:sz w:val="32"/>
        </w:rPr>
        <w:t>M</w:t>
      </w:r>
      <w:r w:rsidR="00AF62D2" w:rsidRPr="004A2653">
        <w:rPr>
          <w:b/>
          <w:sz w:val="32"/>
        </w:rPr>
        <w:t>odule code: LCBB6002</w:t>
      </w:r>
    </w:p>
    <w:p w14:paraId="09A0BAA8" w14:textId="1279269C" w:rsidR="00AF62D2" w:rsidRPr="004A2653" w:rsidRDefault="00AF62D2" w:rsidP="00907AFA">
      <w:pPr>
        <w:pBdr>
          <w:bottom w:val="single" w:sz="4" w:space="31" w:color="auto"/>
        </w:pBdr>
        <w:jc w:val="center"/>
        <w:rPr>
          <w:b/>
          <w:sz w:val="32"/>
        </w:rPr>
      </w:pPr>
      <w:r w:rsidRPr="004A2653">
        <w:rPr>
          <w:b/>
          <w:sz w:val="32"/>
        </w:rPr>
        <w:t xml:space="preserve"> Assessment 1</w:t>
      </w:r>
    </w:p>
    <w:p w14:paraId="7625652B" w14:textId="77777777" w:rsidR="00AF62D2" w:rsidRPr="004A2653" w:rsidRDefault="00AF62D2">
      <w:pPr>
        <w:rPr>
          <w:b/>
        </w:rPr>
      </w:pPr>
    </w:p>
    <w:p w14:paraId="13A70DEC" w14:textId="77777777" w:rsidR="00AF62D2" w:rsidRPr="004A2653" w:rsidRDefault="00AF62D2">
      <w:pPr>
        <w:rPr>
          <w:b/>
        </w:rPr>
      </w:pPr>
    </w:p>
    <w:p w14:paraId="0ACDCE69" w14:textId="77777777" w:rsidR="00AF62D2" w:rsidRPr="004A2653" w:rsidRDefault="00AF62D2">
      <w:pPr>
        <w:rPr>
          <w:b/>
        </w:rPr>
      </w:pPr>
    </w:p>
    <w:p w14:paraId="23A13B73" w14:textId="4DC5B885" w:rsidR="00AF62D2" w:rsidRPr="004A2653" w:rsidRDefault="00AF62D2">
      <w:pPr>
        <w:rPr>
          <w:b/>
        </w:rPr>
      </w:pPr>
      <w:r w:rsidRPr="004A2653">
        <w:rPr>
          <w:b/>
        </w:rPr>
        <w:t xml:space="preserve">Student </w:t>
      </w:r>
      <w:r w:rsidR="00364365" w:rsidRPr="004A2653">
        <w:rPr>
          <w:b/>
        </w:rPr>
        <w:t>N</w:t>
      </w:r>
      <w:r w:rsidRPr="004A2653">
        <w:rPr>
          <w:b/>
        </w:rPr>
        <w:t xml:space="preserve">ame: </w:t>
      </w:r>
      <w:r w:rsidR="00C132CB" w:rsidRPr="004A2653">
        <w:rPr>
          <w:b/>
        </w:rPr>
        <w:t>Mihaela Mindrila</w:t>
      </w:r>
    </w:p>
    <w:p w14:paraId="7088A07E" w14:textId="162F57A4" w:rsidR="00AF62D2" w:rsidRPr="004A2653" w:rsidRDefault="00AF62D2">
      <w:pPr>
        <w:rPr>
          <w:b/>
        </w:rPr>
      </w:pPr>
      <w:r w:rsidRPr="004A2653">
        <w:rPr>
          <w:b/>
        </w:rPr>
        <w:t xml:space="preserve">Student ID: </w:t>
      </w:r>
      <w:r w:rsidR="00C132CB" w:rsidRPr="004A2653">
        <w:rPr>
          <w:b/>
        </w:rPr>
        <w:t>1916800</w:t>
      </w:r>
    </w:p>
    <w:p w14:paraId="3141DEAF" w14:textId="5F4A790D" w:rsidR="002F5708" w:rsidRPr="004A2653" w:rsidRDefault="002F5708">
      <w:pPr>
        <w:rPr>
          <w:b/>
        </w:rPr>
      </w:pPr>
      <w:r w:rsidRPr="004A2653">
        <w:rPr>
          <w:b/>
        </w:rPr>
        <w:t xml:space="preserve">Lecture Name: Dr. Taye </w:t>
      </w:r>
      <w:r w:rsidR="00A25AC4" w:rsidRPr="004A2653">
        <w:rPr>
          <w:b/>
        </w:rPr>
        <w:t>Timothy</w:t>
      </w:r>
      <w:r w:rsidRPr="004A2653">
        <w:rPr>
          <w:b/>
        </w:rPr>
        <w:t xml:space="preserve"> Osadiy</w:t>
      </w:r>
      <w:r w:rsidR="00907AFA" w:rsidRPr="004A2653">
        <w:rPr>
          <w:b/>
        </w:rPr>
        <w:t>a</w:t>
      </w:r>
    </w:p>
    <w:p w14:paraId="7F165475" w14:textId="3544AED8" w:rsidR="00AF62D2" w:rsidRPr="004A2653" w:rsidRDefault="00AF62D2">
      <w:pPr>
        <w:rPr>
          <w:b/>
        </w:rPr>
      </w:pPr>
      <w:r w:rsidRPr="004A2653">
        <w:rPr>
          <w:b/>
        </w:rPr>
        <w:br w:type="page"/>
      </w:r>
    </w:p>
    <w:sdt>
      <w:sdtPr>
        <w:rPr>
          <w:rFonts w:ascii="Times New Roman" w:eastAsia="Times New Roman" w:hAnsi="Times New Roman" w:cs="Times New Roman"/>
          <w:color w:val="auto"/>
          <w:sz w:val="24"/>
          <w:szCs w:val="24"/>
          <w:lang w:val="en-GB"/>
        </w:rPr>
        <w:id w:val="-1084690042"/>
        <w:docPartObj>
          <w:docPartGallery w:val="Table of Contents"/>
          <w:docPartUnique/>
        </w:docPartObj>
      </w:sdtPr>
      <w:sdtEndPr>
        <w:rPr>
          <w:b/>
          <w:bCs/>
          <w:noProof/>
        </w:rPr>
      </w:sdtEndPr>
      <w:sdtContent>
        <w:p w14:paraId="40EE5C21" w14:textId="784DE73A" w:rsidR="00AF62D2" w:rsidRPr="004A2653" w:rsidRDefault="00AF62D2" w:rsidP="00AF62D2">
          <w:pPr>
            <w:pStyle w:val="Titlucuprins"/>
            <w:jc w:val="center"/>
            <w:rPr>
              <w:rFonts w:ascii="Times New Roman" w:hAnsi="Times New Roman" w:cs="Times New Roman"/>
              <w:b/>
              <w:color w:val="auto"/>
              <w:sz w:val="28"/>
              <w:szCs w:val="28"/>
            </w:rPr>
          </w:pPr>
          <w:r w:rsidRPr="004A2653">
            <w:rPr>
              <w:rFonts w:ascii="Times New Roman" w:hAnsi="Times New Roman" w:cs="Times New Roman"/>
              <w:b/>
              <w:color w:val="auto"/>
              <w:sz w:val="28"/>
              <w:szCs w:val="28"/>
            </w:rPr>
            <w:t>Table of Contents</w:t>
          </w:r>
        </w:p>
        <w:p w14:paraId="6221BE67" w14:textId="77777777" w:rsidR="00AF62D2" w:rsidRPr="004A2653" w:rsidRDefault="00AF62D2">
          <w:pPr>
            <w:pStyle w:val="Cuprins1"/>
            <w:tabs>
              <w:tab w:val="right" w:leader="dot" w:pos="9016"/>
            </w:tabs>
            <w:rPr>
              <w:noProof/>
            </w:rPr>
          </w:pPr>
          <w:r w:rsidRPr="004A2653">
            <w:fldChar w:fldCharType="begin"/>
          </w:r>
          <w:r w:rsidRPr="004A2653">
            <w:instrText xml:space="preserve"> TOC \o "1-3" \h \z \u </w:instrText>
          </w:r>
          <w:r w:rsidRPr="004A2653">
            <w:fldChar w:fldCharType="separate"/>
          </w:r>
          <w:hyperlink w:anchor="_Toc99063006" w:history="1">
            <w:r w:rsidRPr="004A2653">
              <w:rPr>
                <w:rStyle w:val="Hyperlink"/>
                <w:noProof/>
                <w:color w:val="auto"/>
              </w:rPr>
              <w:t>Introduction</w:t>
            </w:r>
            <w:r w:rsidRPr="004A2653">
              <w:rPr>
                <w:noProof/>
                <w:webHidden/>
              </w:rPr>
              <w:tab/>
            </w:r>
            <w:r w:rsidRPr="004A2653">
              <w:rPr>
                <w:noProof/>
                <w:webHidden/>
              </w:rPr>
              <w:fldChar w:fldCharType="begin"/>
            </w:r>
            <w:r w:rsidRPr="004A2653">
              <w:rPr>
                <w:noProof/>
                <w:webHidden/>
              </w:rPr>
              <w:instrText xml:space="preserve"> PAGEREF _Toc99063006 \h </w:instrText>
            </w:r>
            <w:r w:rsidRPr="004A2653">
              <w:rPr>
                <w:noProof/>
                <w:webHidden/>
              </w:rPr>
            </w:r>
            <w:r w:rsidRPr="004A2653">
              <w:rPr>
                <w:noProof/>
                <w:webHidden/>
              </w:rPr>
              <w:fldChar w:fldCharType="separate"/>
            </w:r>
            <w:r w:rsidRPr="004A2653">
              <w:rPr>
                <w:noProof/>
                <w:webHidden/>
              </w:rPr>
              <w:t>3</w:t>
            </w:r>
            <w:r w:rsidRPr="004A2653">
              <w:rPr>
                <w:noProof/>
                <w:webHidden/>
              </w:rPr>
              <w:fldChar w:fldCharType="end"/>
            </w:r>
          </w:hyperlink>
        </w:p>
        <w:p w14:paraId="43925267" w14:textId="77777777" w:rsidR="00AF62D2" w:rsidRPr="004A2653" w:rsidRDefault="00E103E9">
          <w:pPr>
            <w:pStyle w:val="Cuprins1"/>
            <w:tabs>
              <w:tab w:val="right" w:leader="dot" w:pos="9016"/>
            </w:tabs>
            <w:rPr>
              <w:noProof/>
            </w:rPr>
          </w:pPr>
          <w:hyperlink w:anchor="_Toc99063007" w:history="1">
            <w:r w:rsidR="00AF62D2" w:rsidRPr="004A2653">
              <w:rPr>
                <w:rStyle w:val="Hyperlink"/>
                <w:noProof/>
                <w:color w:val="auto"/>
              </w:rPr>
              <w:t>Discussions</w:t>
            </w:r>
            <w:r w:rsidR="00AF62D2" w:rsidRPr="004A2653">
              <w:rPr>
                <w:noProof/>
                <w:webHidden/>
              </w:rPr>
              <w:tab/>
            </w:r>
            <w:r w:rsidR="00AF62D2" w:rsidRPr="004A2653">
              <w:rPr>
                <w:noProof/>
                <w:webHidden/>
              </w:rPr>
              <w:fldChar w:fldCharType="begin"/>
            </w:r>
            <w:r w:rsidR="00AF62D2" w:rsidRPr="004A2653">
              <w:rPr>
                <w:noProof/>
                <w:webHidden/>
              </w:rPr>
              <w:instrText xml:space="preserve"> PAGEREF _Toc99063007 \h </w:instrText>
            </w:r>
            <w:r w:rsidR="00AF62D2" w:rsidRPr="004A2653">
              <w:rPr>
                <w:noProof/>
                <w:webHidden/>
              </w:rPr>
            </w:r>
            <w:r w:rsidR="00AF62D2" w:rsidRPr="004A2653">
              <w:rPr>
                <w:noProof/>
                <w:webHidden/>
              </w:rPr>
              <w:fldChar w:fldCharType="separate"/>
            </w:r>
            <w:r w:rsidR="00AF62D2" w:rsidRPr="004A2653">
              <w:rPr>
                <w:noProof/>
                <w:webHidden/>
              </w:rPr>
              <w:t>3</w:t>
            </w:r>
            <w:r w:rsidR="00AF62D2" w:rsidRPr="004A2653">
              <w:rPr>
                <w:noProof/>
                <w:webHidden/>
              </w:rPr>
              <w:fldChar w:fldCharType="end"/>
            </w:r>
          </w:hyperlink>
        </w:p>
        <w:p w14:paraId="5F702337" w14:textId="77777777" w:rsidR="00AF62D2" w:rsidRPr="004A2653" w:rsidRDefault="00E103E9">
          <w:pPr>
            <w:pStyle w:val="Cuprins1"/>
            <w:tabs>
              <w:tab w:val="right" w:leader="dot" w:pos="9016"/>
            </w:tabs>
            <w:rPr>
              <w:noProof/>
            </w:rPr>
          </w:pPr>
          <w:hyperlink w:anchor="_Toc99063008" w:history="1">
            <w:r w:rsidR="00AF62D2" w:rsidRPr="004A2653">
              <w:rPr>
                <w:rStyle w:val="Hyperlink"/>
                <w:noProof/>
                <w:color w:val="auto"/>
              </w:rPr>
              <w:t>Conclusions</w:t>
            </w:r>
            <w:r w:rsidR="00AF62D2" w:rsidRPr="004A2653">
              <w:rPr>
                <w:noProof/>
                <w:webHidden/>
              </w:rPr>
              <w:tab/>
            </w:r>
            <w:r w:rsidR="00AF62D2" w:rsidRPr="004A2653">
              <w:rPr>
                <w:noProof/>
                <w:webHidden/>
              </w:rPr>
              <w:fldChar w:fldCharType="begin"/>
            </w:r>
            <w:r w:rsidR="00AF62D2" w:rsidRPr="004A2653">
              <w:rPr>
                <w:noProof/>
                <w:webHidden/>
              </w:rPr>
              <w:instrText xml:space="preserve"> PAGEREF _Toc99063008 \h </w:instrText>
            </w:r>
            <w:r w:rsidR="00AF62D2" w:rsidRPr="004A2653">
              <w:rPr>
                <w:noProof/>
                <w:webHidden/>
              </w:rPr>
            </w:r>
            <w:r w:rsidR="00AF62D2" w:rsidRPr="004A2653">
              <w:rPr>
                <w:noProof/>
                <w:webHidden/>
              </w:rPr>
              <w:fldChar w:fldCharType="separate"/>
            </w:r>
            <w:r w:rsidR="00AF62D2" w:rsidRPr="004A2653">
              <w:rPr>
                <w:noProof/>
                <w:webHidden/>
              </w:rPr>
              <w:t>6</w:t>
            </w:r>
            <w:r w:rsidR="00AF62D2" w:rsidRPr="004A2653">
              <w:rPr>
                <w:noProof/>
                <w:webHidden/>
              </w:rPr>
              <w:fldChar w:fldCharType="end"/>
            </w:r>
          </w:hyperlink>
        </w:p>
        <w:p w14:paraId="6C03E11A" w14:textId="77777777" w:rsidR="00AF62D2" w:rsidRPr="004A2653" w:rsidRDefault="00E103E9">
          <w:pPr>
            <w:pStyle w:val="Cuprins1"/>
            <w:tabs>
              <w:tab w:val="right" w:leader="dot" w:pos="9016"/>
            </w:tabs>
            <w:rPr>
              <w:noProof/>
            </w:rPr>
          </w:pPr>
          <w:hyperlink w:anchor="_Toc99063009" w:history="1">
            <w:r w:rsidR="00AF62D2" w:rsidRPr="004A2653">
              <w:rPr>
                <w:rStyle w:val="Hyperlink"/>
                <w:noProof/>
                <w:color w:val="auto"/>
              </w:rPr>
              <w:t>References</w:t>
            </w:r>
            <w:r w:rsidR="00AF62D2" w:rsidRPr="004A2653">
              <w:rPr>
                <w:noProof/>
                <w:webHidden/>
              </w:rPr>
              <w:tab/>
            </w:r>
            <w:r w:rsidR="00AF62D2" w:rsidRPr="004A2653">
              <w:rPr>
                <w:noProof/>
                <w:webHidden/>
              </w:rPr>
              <w:fldChar w:fldCharType="begin"/>
            </w:r>
            <w:r w:rsidR="00AF62D2" w:rsidRPr="004A2653">
              <w:rPr>
                <w:noProof/>
                <w:webHidden/>
              </w:rPr>
              <w:instrText xml:space="preserve"> PAGEREF _Toc99063009 \h </w:instrText>
            </w:r>
            <w:r w:rsidR="00AF62D2" w:rsidRPr="004A2653">
              <w:rPr>
                <w:noProof/>
                <w:webHidden/>
              </w:rPr>
            </w:r>
            <w:r w:rsidR="00AF62D2" w:rsidRPr="004A2653">
              <w:rPr>
                <w:noProof/>
                <w:webHidden/>
              </w:rPr>
              <w:fldChar w:fldCharType="separate"/>
            </w:r>
            <w:r w:rsidR="00AF62D2" w:rsidRPr="004A2653">
              <w:rPr>
                <w:noProof/>
                <w:webHidden/>
              </w:rPr>
              <w:t>7</w:t>
            </w:r>
            <w:r w:rsidR="00AF62D2" w:rsidRPr="004A2653">
              <w:rPr>
                <w:noProof/>
                <w:webHidden/>
              </w:rPr>
              <w:fldChar w:fldCharType="end"/>
            </w:r>
          </w:hyperlink>
        </w:p>
        <w:p w14:paraId="1351482A" w14:textId="6BDF8067" w:rsidR="00AF62D2" w:rsidRPr="004A2653" w:rsidRDefault="00AF62D2">
          <w:r w:rsidRPr="004A2653">
            <w:rPr>
              <w:b/>
              <w:bCs/>
              <w:noProof/>
            </w:rPr>
            <w:fldChar w:fldCharType="end"/>
          </w:r>
        </w:p>
      </w:sdtContent>
    </w:sdt>
    <w:p w14:paraId="6D1B2320" w14:textId="77777777" w:rsidR="00AF62D2" w:rsidRPr="004A2653" w:rsidRDefault="00AF62D2">
      <w:pPr>
        <w:rPr>
          <w:b/>
        </w:rPr>
      </w:pPr>
      <w:r w:rsidRPr="004A2653">
        <w:rPr>
          <w:b/>
        </w:rPr>
        <w:br w:type="page"/>
      </w:r>
    </w:p>
    <w:p w14:paraId="00000001" w14:textId="16B306DE" w:rsidR="00E87A59" w:rsidRPr="004A2653" w:rsidRDefault="00C97523" w:rsidP="00AF62D2">
      <w:pPr>
        <w:pStyle w:val="Titlu1"/>
      </w:pPr>
      <w:bookmarkStart w:id="0" w:name="_Toc99063006"/>
      <w:r w:rsidRPr="004A2653">
        <w:lastRenderedPageBreak/>
        <w:t>Introduction</w:t>
      </w:r>
      <w:bookmarkEnd w:id="0"/>
      <w:r w:rsidRPr="004A2653">
        <w:t xml:space="preserve"> </w:t>
      </w:r>
    </w:p>
    <w:p w14:paraId="00000002" w14:textId="478A5C75" w:rsidR="00E87A59" w:rsidRPr="004A2653" w:rsidRDefault="00104D71">
      <w:r w:rsidRPr="004A2653">
        <w:t>Applied the principles of “Financial management” is recognised as</w:t>
      </w:r>
      <w:r w:rsidR="00C97523" w:rsidRPr="004A2653">
        <w:t xml:space="preserve"> the positive </w:t>
      </w:r>
      <w:r w:rsidRPr="004A2653">
        <w:t>accounting identification approach along with the managerial context mainly. Through the processing of such engagement a positive volume of financial efficiencies as well as formulated development of business are also maintained.</w:t>
      </w:r>
      <w:r w:rsidR="00C97523" w:rsidRPr="004A2653">
        <w:t xml:space="preserve"> In case of individual </w:t>
      </w:r>
      <w:r w:rsidR="00B22FC5" w:rsidRPr="004A2653">
        <w:t>business,</w:t>
      </w:r>
      <w:r w:rsidR="00C97523" w:rsidRPr="004A2653">
        <w:t xml:space="preserve"> the engagement of </w:t>
      </w:r>
      <w:r w:rsidRPr="004A2653">
        <w:t>financial management</w:t>
      </w:r>
      <w:r w:rsidR="00C97523" w:rsidRPr="004A2653">
        <w:t xml:space="preserve"> brings the general operating approach mainly that also provides the wealth maximisation support regarding business growth as well. Approaches of such accounting are also initiated </w:t>
      </w:r>
      <w:r w:rsidR="004B6078" w:rsidRPr="004A2653">
        <w:t>to</w:t>
      </w:r>
      <w:r w:rsidR="00C97523" w:rsidRPr="004A2653">
        <w:t xml:space="preserve"> bring the positive development regarding opportunity costing structure of business that provides effective maintenance support of individual organisations also. In this essay mainly the financial structure identification regarding Tesco plc is mainly evaluated with the support of which general stability can also be managed. </w:t>
      </w:r>
    </w:p>
    <w:p w14:paraId="2209CA39" w14:textId="77777777" w:rsidR="008E0438" w:rsidRPr="004A2653" w:rsidRDefault="008E0438"/>
    <w:p w14:paraId="00000003" w14:textId="77777777" w:rsidR="00E87A59" w:rsidRPr="004A2653" w:rsidRDefault="00C97523" w:rsidP="00AF62D2">
      <w:pPr>
        <w:pStyle w:val="Titlu1"/>
      </w:pPr>
      <w:bookmarkStart w:id="1" w:name="_Toc99063007"/>
      <w:r w:rsidRPr="004A2653">
        <w:t>Discussions</w:t>
      </w:r>
      <w:bookmarkEnd w:id="1"/>
      <w:r w:rsidRPr="004A2653">
        <w:t xml:space="preserve"> </w:t>
      </w:r>
    </w:p>
    <w:p w14:paraId="00000004" w14:textId="0455D649" w:rsidR="00E87A59" w:rsidRPr="004A2653" w:rsidRDefault="00104D71">
      <w:r w:rsidRPr="004A2653">
        <w:t xml:space="preserve">According to </w:t>
      </w:r>
      <w:r w:rsidRPr="004A2653">
        <w:rPr>
          <w:shd w:val="clear" w:color="auto" w:fill="FFFFFF"/>
        </w:rPr>
        <w:t xml:space="preserve">Gardi (2021), </w:t>
      </w:r>
      <w:r w:rsidRPr="004A2653">
        <w:t>t</w:t>
      </w:r>
      <w:r w:rsidR="00C97523" w:rsidRPr="004A2653">
        <w:t xml:space="preserve">he principles of financial management are </w:t>
      </w:r>
      <w:r w:rsidRPr="004A2653">
        <w:t>structured</w:t>
      </w:r>
      <w:r w:rsidR="00C97523" w:rsidRPr="004A2653">
        <w:t xml:space="preserve"> with the approach of long-term goal approach including investing formulation also that brings the operating stability in a supportive basis. It also allows engagement regarding maintenance of business performance development also that brings the accountability approach in a supportive manner. It also initiates the general growth regarding liquidity maintenance support also that manages the optimised approach in a supportive manner (McCallig </w:t>
      </w:r>
      <w:r w:rsidR="00C97523" w:rsidRPr="004A2653">
        <w:rPr>
          <w:i/>
        </w:rPr>
        <w:t xml:space="preserve">et al., </w:t>
      </w:r>
      <w:r w:rsidR="00C97523" w:rsidRPr="004A2653">
        <w:t xml:space="preserve">2019). </w:t>
      </w:r>
    </w:p>
    <w:p w14:paraId="00000005" w14:textId="54DE4717" w:rsidR="00E87A59" w:rsidRPr="004A2653" w:rsidRDefault="00C97523">
      <w:r w:rsidRPr="004A2653">
        <w:t>According to Warren et al. (2020), dividend is recognised as the part of business profit that is dis</w:t>
      </w:r>
      <w:r w:rsidR="00104D71" w:rsidRPr="004A2653">
        <w:t>tributed among the shareholders depending on the initiated capital contribution by shareholders</w:t>
      </w:r>
      <w:r w:rsidRPr="004A2653">
        <w:t xml:space="preserve">. </w:t>
      </w:r>
      <w:r w:rsidR="00104D71" w:rsidRPr="004A2653">
        <w:t>Application of business dividend approach are also initiated for managing the level of marketing capitalisation approach including operating sustainability purpose</w:t>
      </w:r>
      <w:r w:rsidR="00D106C3" w:rsidRPr="004A2653">
        <w:t xml:space="preserve"> mainly.</w:t>
      </w:r>
      <w:r w:rsidRPr="004A2653">
        <w:t xml:space="preserve"> It is used to provide a structural identification regarding dividend </w:t>
      </w:r>
      <w:r w:rsidR="00AF62D2" w:rsidRPr="004A2653">
        <w:t>pay-out</w:t>
      </w:r>
      <w:r w:rsidRPr="004A2653">
        <w:t xml:space="preserve"> with maintenance of which a proper growth structure towards the investors can be initiated (</w:t>
      </w:r>
      <w:r w:rsidRPr="004A2653">
        <w:rPr>
          <w:highlight w:val="white"/>
        </w:rPr>
        <w:t xml:space="preserve">Herrador-Alcaide </w:t>
      </w:r>
      <w:r w:rsidRPr="004A2653">
        <w:rPr>
          <w:i/>
          <w:highlight w:val="white"/>
        </w:rPr>
        <w:t>et al.,</w:t>
      </w:r>
      <w:r w:rsidRPr="004A2653">
        <w:rPr>
          <w:highlight w:val="white"/>
        </w:rPr>
        <w:t xml:space="preserve"> 2019)</w:t>
      </w:r>
      <w:r w:rsidRPr="004A2653">
        <w:t xml:space="preserve">. </w:t>
      </w:r>
      <w:r w:rsidR="004C66A1">
        <w:t>In t</w:t>
      </w:r>
      <w:r w:rsidRPr="004A2653">
        <w:t xml:space="preserve">he presence of this type of portfolio also manages the </w:t>
      </w:r>
      <w:r w:rsidR="004B6078" w:rsidRPr="004A2653">
        <w:t>growth</w:t>
      </w:r>
      <w:r w:rsidRPr="004A2653">
        <w:t xml:space="preserve"> and maintenance support that brings the identified support regarding performance stability of business in a proper order. </w:t>
      </w:r>
    </w:p>
    <w:p w14:paraId="00000006" w14:textId="673DB35A" w:rsidR="00E87A59" w:rsidRPr="004A2653" w:rsidRDefault="00C97523">
      <w:r w:rsidRPr="004A2653">
        <w:t xml:space="preserve">According to present annual details, the organisation provides 9.15p as present dividend per share with considering the approach regarding </w:t>
      </w:r>
      <w:r w:rsidRPr="004A2653">
        <w:rPr>
          <w:b/>
        </w:rPr>
        <w:t xml:space="preserve">Constant dividend policy support </w:t>
      </w:r>
      <w:r w:rsidRPr="004A2653">
        <w:t xml:space="preserve">mainly with the presence of which shareholders </w:t>
      </w:r>
      <w:r w:rsidR="004B6078" w:rsidRPr="004A2653">
        <w:t>can</w:t>
      </w:r>
      <w:r w:rsidRPr="004A2653">
        <w:t xml:space="preserve"> experience a full volatility approach regarding organisational earnings in an efficient order. The presence of such engagement is also initiated for maintaining the dividend engagement approach in a proper manner that can also be initiated for consistency supportive purpose (</w:t>
      </w:r>
      <w:r w:rsidRPr="004A2653">
        <w:rPr>
          <w:highlight w:val="white"/>
        </w:rPr>
        <w:t>Wild, 2019)</w:t>
      </w:r>
      <w:r w:rsidRPr="004A2653">
        <w:t xml:space="preserve">. Along with maintenance of such dividend </w:t>
      </w:r>
      <w:r w:rsidRPr="004A2653">
        <w:lastRenderedPageBreak/>
        <w:t xml:space="preserve">engagement the organisation also provides importance towards the </w:t>
      </w:r>
      <w:r w:rsidRPr="004A2653">
        <w:rPr>
          <w:b/>
        </w:rPr>
        <w:t xml:space="preserve">dividend reinvestment planning </w:t>
      </w:r>
      <w:r w:rsidRPr="004A2653">
        <w:t>approach also with the support of which general accountability initiatives regarding business performances can easily be initiated (</w:t>
      </w:r>
      <w:r w:rsidRPr="004A2653">
        <w:rPr>
          <w:highlight w:val="white"/>
        </w:rPr>
        <w:t>Weygandt</w:t>
      </w:r>
      <w:r w:rsidRPr="004A2653">
        <w:rPr>
          <w:i/>
          <w:highlight w:val="white"/>
        </w:rPr>
        <w:t xml:space="preserve"> et al., </w:t>
      </w:r>
      <w:r w:rsidRPr="004A2653">
        <w:rPr>
          <w:highlight w:val="white"/>
        </w:rPr>
        <w:t>2018)</w:t>
      </w:r>
      <w:r w:rsidRPr="004A2653">
        <w:t xml:space="preserve">. Applications of this </w:t>
      </w:r>
      <w:r w:rsidR="004C66A1">
        <w:t>kind</w:t>
      </w:r>
      <w:r w:rsidRPr="004A2653">
        <w:t xml:space="preserve"> of engagement are also initiated for maintaining the share development and capitalisation formulating approach purpose with respect of which a positive formative growth can be managed. In associative to same approach from the period of April 2018, the organisation has been initiated the “dividend allowance rate reduction approach from £5,000 to £2,000 with the support of which UK tax is not payable over the first £2,000 dividend income associated Ordinary shares and cash dividends from SIP shares in the relevant tax year irrespective of non-dividend income” (</w:t>
      </w:r>
      <w:r w:rsidRPr="004A2653">
        <w:rPr>
          <w:highlight w:val="white"/>
        </w:rPr>
        <w:t>Tesco plc, 2022)</w:t>
      </w:r>
      <w:r w:rsidRPr="004A2653">
        <w:t xml:space="preserve">. </w:t>
      </w:r>
    </w:p>
    <w:p w14:paraId="00000007" w14:textId="4CD3FAEE" w:rsidR="00E87A59" w:rsidRPr="004A2653" w:rsidRDefault="00F667DE">
      <w:pPr>
        <w:rPr>
          <w:highlight w:val="white"/>
        </w:rPr>
      </w:pPr>
      <w:r w:rsidRPr="004A2653">
        <w:t>According to</w:t>
      </w:r>
      <w:r w:rsidR="00C97523" w:rsidRPr="004A2653">
        <w:t xml:space="preserve"> </w:t>
      </w:r>
      <w:r w:rsidRPr="004A2653">
        <w:rPr>
          <w:highlight w:val="white"/>
        </w:rPr>
        <w:t xml:space="preserve">Gardi (2021), </w:t>
      </w:r>
      <w:r w:rsidR="00C97523" w:rsidRPr="004A2653">
        <w:rPr>
          <w:highlight w:val="white"/>
        </w:rPr>
        <w:t xml:space="preserve">conceptual approach regarding </w:t>
      </w:r>
      <w:r w:rsidR="00C97523" w:rsidRPr="004A2653">
        <w:rPr>
          <w:b/>
          <w:highlight w:val="white"/>
        </w:rPr>
        <w:t>market hypothesis</w:t>
      </w:r>
      <w:r w:rsidR="00C97523" w:rsidRPr="004A2653">
        <w:rPr>
          <w:highlight w:val="white"/>
        </w:rPr>
        <w:t xml:space="preserve"> indicates a particular scenario, while with support of current share pricing relevant business performances can be realised by individual investors. Applications of this type of engagement are also initiated </w:t>
      </w:r>
      <w:r w:rsidR="004B6078" w:rsidRPr="004A2653">
        <w:rPr>
          <w:highlight w:val="white"/>
        </w:rPr>
        <w:t>to</w:t>
      </w:r>
      <w:r w:rsidR="00C97523" w:rsidRPr="004A2653">
        <w:rPr>
          <w:highlight w:val="white"/>
        </w:rPr>
        <w:t xml:space="preserve"> provide a proper consistency support including operating development engagement also that bring the positive identification including performance initiatives of the business in a more competitive basis.</w:t>
      </w:r>
      <w:r w:rsidR="00D106C3" w:rsidRPr="004A2653">
        <w:rPr>
          <w:highlight w:val="white"/>
        </w:rPr>
        <w:t xml:space="preserve"> With support of such hypothesis structure individual evaluators are believed, appearances of share price are basically </w:t>
      </w:r>
      <w:r w:rsidR="00345C4B" w:rsidRPr="004A2653">
        <w:rPr>
          <w:highlight w:val="white"/>
        </w:rPr>
        <w:t>depending</w:t>
      </w:r>
      <w:r w:rsidR="00D106C3" w:rsidRPr="004A2653">
        <w:rPr>
          <w:highlight w:val="white"/>
        </w:rPr>
        <w:t xml:space="preserve"> upon the marketing condition and respect of such a proper growth approach regarding business performance capabilities can also be recognised as well</w:t>
      </w:r>
      <w:r w:rsidR="00345C4B" w:rsidRPr="004A2653">
        <w:rPr>
          <w:highlight w:val="white"/>
        </w:rPr>
        <w:t>.</w:t>
      </w:r>
      <w:r w:rsidR="00C97523" w:rsidRPr="004A2653">
        <w:rPr>
          <w:highlight w:val="white"/>
        </w:rPr>
        <w:t xml:space="preserve"> </w:t>
      </w:r>
    </w:p>
    <w:p w14:paraId="00000008" w14:textId="3911DA64" w:rsidR="00E87A59" w:rsidRPr="004A2653" w:rsidRDefault="00C97523">
      <w:r w:rsidRPr="004A2653">
        <w:t>According to the present marketing structure the share price of Tesco plc is valued at 275.05 along with the marketing capitalisation value of 20.973 billion, beta of 0.56 that indicates comparatively lower investment risks for individual shareholders associated to present business performances mainly. In respect to the present performance approach the current PE ratio of the business is resulted in 3.25 along with EPS level of 84.60 mainly indicating the sustainable marketing engagement including positive financial approach in a supportive basis also (</w:t>
      </w:r>
      <w:r w:rsidRPr="004A2653">
        <w:rPr>
          <w:highlight w:val="white"/>
        </w:rPr>
        <w:t>Finance.yahoo.com, 2022)</w:t>
      </w:r>
      <w:r w:rsidRPr="004A2653">
        <w:t xml:space="preserve">. In accordance with present operating approach this organisation is recognised as leading and largest supermarket in the United Kingdom in the present period </w:t>
      </w:r>
      <w:r w:rsidR="00AF62D2" w:rsidRPr="004A2653">
        <w:t>of 2022</w:t>
      </w:r>
      <w:r w:rsidRPr="004A2653">
        <w:t xml:space="preserve">, which indicates a sustainable volume of market capitalisation growth of the business in a supportive basis. As per the marketing experts, the volume of </w:t>
      </w:r>
      <w:r w:rsidR="00AF62D2" w:rsidRPr="004A2653">
        <w:t>grocer’s</w:t>
      </w:r>
      <w:r w:rsidRPr="004A2653">
        <w:t xml:space="preserve"> shares of this organisation can be increased up to 27.4% along with suitable marketing development initiatives (MarketWatch, 2022). Including the same </w:t>
      </w:r>
      <w:r w:rsidR="00345C4B" w:rsidRPr="004A2653">
        <w:t>approach,</w:t>
      </w:r>
      <w:r w:rsidRPr="004A2653">
        <w:t xml:space="preserve"> the present supply chain management which is initiated in this business is providing a sustainable volume of gross structure with the maintenance of which a positive outcome related to productivity development and revenue formulation can also be initiated properly</w:t>
      </w:r>
      <w:r w:rsidR="00345C4B" w:rsidRPr="004A2653">
        <w:t>.</w:t>
      </w:r>
      <w:r w:rsidRPr="004A2653">
        <w:t xml:space="preserve"> </w:t>
      </w:r>
    </w:p>
    <w:p w14:paraId="00000009" w14:textId="4AE5F1AA" w:rsidR="00E87A59" w:rsidRPr="004A2653" w:rsidRDefault="00C97523">
      <w:r w:rsidRPr="004A2653">
        <w:lastRenderedPageBreak/>
        <w:t>In associated to the general approach provided by Faccia</w:t>
      </w:r>
      <w:r w:rsidRPr="004A2653">
        <w:rPr>
          <w:i/>
        </w:rPr>
        <w:t xml:space="preserve"> et al. </w:t>
      </w:r>
      <w:r w:rsidRPr="004A2653">
        <w:t>(2019), under the financial management the concept of “</w:t>
      </w:r>
      <w:r w:rsidRPr="004A2653">
        <w:rPr>
          <w:b/>
        </w:rPr>
        <w:t>investment appraisal</w:t>
      </w:r>
      <w:r w:rsidRPr="004A2653">
        <w:t xml:space="preserve">” is one of the most essential processes with respect of which a proper accounting evaluation related to individual projects can be identified. It is also initiated </w:t>
      </w:r>
      <w:r w:rsidR="00A25AC4" w:rsidRPr="004A2653">
        <w:t>to</w:t>
      </w:r>
      <w:r w:rsidRPr="004A2653">
        <w:t xml:space="preserve"> maintain some productivity initiatives including performance development processing which also brings accountability support for individual business performances. The </w:t>
      </w:r>
      <w:r w:rsidR="0029792D">
        <w:t xml:space="preserve">existence </w:t>
      </w:r>
      <w:r w:rsidRPr="004A2653">
        <w:t>of this kind of project evaluation also provides a proper evaluated growth including formulating development in respect of which the fundamental development associated with business operational compatibility can also be managed in a proper basis (</w:t>
      </w:r>
      <w:r w:rsidRPr="004A2653">
        <w:rPr>
          <w:highlight w:val="white"/>
        </w:rPr>
        <w:t>Schroeder</w:t>
      </w:r>
      <w:r w:rsidRPr="004A2653">
        <w:rPr>
          <w:i/>
          <w:highlight w:val="white"/>
        </w:rPr>
        <w:t xml:space="preserve"> et al.,</w:t>
      </w:r>
      <w:r w:rsidRPr="004A2653">
        <w:rPr>
          <w:highlight w:val="white"/>
        </w:rPr>
        <w:t xml:space="preserve"> 2019)</w:t>
      </w:r>
      <w:r w:rsidR="00D106C3" w:rsidRPr="004A2653">
        <w:t xml:space="preserve">. The applied engagement IRR, NPV, Payback and ARR are supportively initiated for recognising significance of individual project with the maintenance of which a proper evaluation processing of project can be maintained. Processing of IRR while applied for recognising the financial returning support with time value factors, while NPV is initiated for evaluating the cash flow approach with considering time value approach mainly. Even payback approach is recognised for evaluating or recognising the </w:t>
      </w:r>
      <w:r w:rsidR="00345C4B" w:rsidRPr="004A2653">
        <w:t>time</w:t>
      </w:r>
      <w:r w:rsidR="00D106C3" w:rsidRPr="004A2653">
        <w:t xml:space="preserve"> </w:t>
      </w:r>
      <w:r w:rsidR="00345C4B" w:rsidRPr="004A2653">
        <w:t xml:space="preserve">period </w:t>
      </w:r>
      <w:r w:rsidR="00D106C3" w:rsidRPr="004A2653">
        <w:t xml:space="preserve">within which cost of investment can be reimbursed. Even the ARR is also applied for recognising the returning approach in respect to project capacity formulation purpose mainly. </w:t>
      </w:r>
    </w:p>
    <w:p w14:paraId="0000000A" w14:textId="50A8287E" w:rsidR="00E87A59" w:rsidRPr="004A2653" w:rsidRDefault="00C97523">
      <w:r w:rsidRPr="004A2653">
        <w:t xml:space="preserve">According to the present operational structure the management of the business announces their “major green power project in the United Kingdom in respect of 5 onshore wind farms and 1 solar farm” basically. It is basically a green electricity project with support of which a positive renewable energy formulation can be initiated.  In order to initiate this type of project engagement the management of the business initiated the support of net present value concept as well as payback initiative in a proper order so that a proper volume of investment return can be identified including the time period of such return for reimbursement of investment cost properly. The managerial department is expecting by the period of 2030 it will save 90,000 tonnes of CO2 on an annual basis for the primary support towards the environment also (Tesco plc, 2022). Applied engagement of this type of evaluation is also initiated </w:t>
      </w:r>
      <w:r w:rsidR="00345C4B" w:rsidRPr="004A2653">
        <w:t>to</w:t>
      </w:r>
      <w:r w:rsidRPr="004A2653">
        <w:t xml:space="preserve"> maintain the consistency appearances including identifying the overall factors associated to business investment in a proper manner so that the consistency appearances can also be initiated properly. The engagement of this type of processing is also initiated to maintain the compatibility development as well as formulation growth of business in a </w:t>
      </w:r>
      <w:r w:rsidR="00D66B3F">
        <w:t>good</w:t>
      </w:r>
      <w:r w:rsidRPr="004A2653">
        <w:t xml:space="preserve"> order that can enhance the compatibility of business decision-making approaches in future on a proper basis (Malik </w:t>
      </w:r>
      <w:r w:rsidRPr="004A2653">
        <w:rPr>
          <w:i/>
        </w:rPr>
        <w:t xml:space="preserve">et al., </w:t>
      </w:r>
      <w:r w:rsidRPr="004A2653">
        <w:t xml:space="preserve">2021). </w:t>
      </w:r>
    </w:p>
    <w:p w14:paraId="3698A540" w14:textId="1908470B" w:rsidR="00A25AC4" w:rsidRPr="004A2653" w:rsidRDefault="00A25AC4"/>
    <w:p w14:paraId="6D9A2CB6" w14:textId="77777777" w:rsidR="00A25AC4" w:rsidRPr="004A2653" w:rsidRDefault="00A25AC4"/>
    <w:p w14:paraId="0000000B" w14:textId="77777777" w:rsidR="00E87A59" w:rsidRPr="004A2653" w:rsidRDefault="00C97523" w:rsidP="00AF62D2">
      <w:pPr>
        <w:pStyle w:val="Titlu1"/>
      </w:pPr>
      <w:bookmarkStart w:id="2" w:name="_Toc99063008"/>
      <w:r w:rsidRPr="004A2653">
        <w:lastRenderedPageBreak/>
        <w:t>Conclusions</w:t>
      </w:r>
      <w:bookmarkEnd w:id="2"/>
      <w:r w:rsidRPr="004A2653">
        <w:t xml:space="preserve"> </w:t>
      </w:r>
    </w:p>
    <w:p w14:paraId="0000000C" w14:textId="0C33B90C" w:rsidR="00E87A59" w:rsidRPr="004A2653" w:rsidRDefault="00C97523">
      <w:r w:rsidRPr="004A2653">
        <w:t xml:space="preserve">In conclusion part, it can be recognised that the proper identification related to this type of accounting engagement brings the proper formative development in respect of which the modification including structural appearances of business can easily be maintained. It is also initiated to structure the overall formulated approach of business on a proper basis that can be initiated to maintain the compatibility development in a </w:t>
      </w:r>
      <w:r w:rsidR="00B7673D">
        <w:t>good</w:t>
      </w:r>
      <w:r w:rsidRPr="004A2653">
        <w:t xml:space="preserve"> order. In respect to th</w:t>
      </w:r>
      <w:r w:rsidR="00314E12">
        <w:t>is</w:t>
      </w:r>
      <w:r w:rsidRPr="004A2653">
        <w:t xml:space="preserve"> present financial approach of Tesco PLC, basically standardised </w:t>
      </w:r>
      <w:r w:rsidR="00AF62D2" w:rsidRPr="004A2653">
        <w:t>formulation including</w:t>
      </w:r>
      <w:r w:rsidRPr="004A2653">
        <w:t xml:space="preserve"> development identification is notice which formulate the overall compatibility determination of the business in a positive order, the present level of dividend, market share engagement including operational compatibility provide a positive scenario and structural growth with respect of which the probable business </w:t>
      </w:r>
      <w:r w:rsidR="00CD5712">
        <w:t>chance</w:t>
      </w:r>
      <w:r w:rsidRPr="004A2653">
        <w:t xml:space="preserve"> and furtherance growth can also be managed. </w:t>
      </w:r>
    </w:p>
    <w:p w14:paraId="0D92CDC9" w14:textId="53ED54B6" w:rsidR="00AF62D2" w:rsidRPr="004A2653" w:rsidRDefault="00AF62D2">
      <w:r w:rsidRPr="004A2653">
        <w:br w:type="page"/>
      </w:r>
    </w:p>
    <w:p w14:paraId="258F685F" w14:textId="59432A76" w:rsidR="00AF62D2" w:rsidRPr="004A2653" w:rsidRDefault="00AF62D2" w:rsidP="00AF62D2">
      <w:pPr>
        <w:pStyle w:val="Titlu1"/>
      </w:pPr>
      <w:bookmarkStart w:id="3" w:name="_Toc99063009"/>
      <w:r w:rsidRPr="004A2653">
        <w:lastRenderedPageBreak/>
        <w:t>References</w:t>
      </w:r>
      <w:bookmarkEnd w:id="3"/>
    </w:p>
    <w:p w14:paraId="09A3BCA3" w14:textId="77777777" w:rsidR="00AF62D2" w:rsidRPr="004A2653" w:rsidRDefault="00AF62D2" w:rsidP="00AF62D2">
      <w:pPr>
        <w:rPr>
          <w:shd w:val="clear" w:color="auto" w:fill="FFFFFF"/>
        </w:rPr>
      </w:pPr>
      <w:r w:rsidRPr="004A2653">
        <w:rPr>
          <w:shd w:val="clear" w:color="auto" w:fill="FFFFFF"/>
        </w:rPr>
        <w:t>Faccia, A., Al Naqbi, M.Y.K. and Lootah, S.A., 2019, August. Integrated cloud financial accounting cycle: how artificial intelligence, blockchain, and XBRL will change the accounting, fiscal and auditing practices. In </w:t>
      </w:r>
      <w:r w:rsidRPr="004A2653">
        <w:rPr>
          <w:i/>
          <w:iCs/>
          <w:shd w:val="clear" w:color="auto" w:fill="FFFFFF"/>
        </w:rPr>
        <w:t>Proceedings of the 2019 3rd International Conference on Cloud and Big Data Computing</w:t>
      </w:r>
      <w:r w:rsidRPr="004A2653">
        <w:rPr>
          <w:shd w:val="clear" w:color="auto" w:fill="FFFFFF"/>
        </w:rPr>
        <w:t> (pp. 31-37).</w:t>
      </w:r>
    </w:p>
    <w:p w14:paraId="69886E90" w14:textId="77777777" w:rsidR="00AF62D2" w:rsidRPr="004A2653" w:rsidRDefault="00AF62D2" w:rsidP="00AF62D2">
      <w:pPr>
        <w:rPr>
          <w:shd w:val="clear" w:color="auto" w:fill="FFFFFF"/>
        </w:rPr>
      </w:pPr>
      <w:r w:rsidRPr="004A2653">
        <w:rPr>
          <w:shd w:val="clear" w:color="auto" w:fill="FFFFFF"/>
        </w:rPr>
        <w:t>Finance.yahoo.com. 2022. </w:t>
      </w:r>
      <w:r w:rsidRPr="004A2653">
        <w:rPr>
          <w:i/>
          <w:iCs/>
          <w:shd w:val="clear" w:color="auto" w:fill="FFFFFF"/>
        </w:rPr>
        <w:t>Yahoo is part of the Yahoo family of brands</w:t>
      </w:r>
      <w:r w:rsidRPr="004A2653">
        <w:rPr>
          <w:shd w:val="clear" w:color="auto" w:fill="FFFFFF"/>
        </w:rPr>
        <w:t>. [online] Available at: &lt;https://finance.yahoo.com/quote/TSCO.L/&gt; [Accessed 24 March 2022].</w:t>
      </w:r>
    </w:p>
    <w:p w14:paraId="320670BE" w14:textId="77777777" w:rsidR="00AF62D2" w:rsidRPr="004A2653" w:rsidRDefault="00AF62D2" w:rsidP="00AF62D2">
      <w:pPr>
        <w:rPr>
          <w:shd w:val="clear" w:color="auto" w:fill="FFFFFF"/>
        </w:rPr>
      </w:pPr>
      <w:r w:rsidRPr="004A2653">
        <w:rPr>
          <w:shd w:val="clear" w:color="auto" w:fill="FFFFFF"/>
        </w:rPr>
        <w:t>Gardi, B., 2021. Investigating the effects of financial accounting reports on managerial decision making in small and medium-sized enterprises. </w:t>
      </w:r>
      <w:r w:rsidRPr="004A2653">
        <w:rPr>
          <w:i/>
          <w:iCs/>
          <w:shd w:val="clear" w:color="auto" w:fill="FFFFFF"/>
        </w:rPr>
        <w:t>Available at SSRN 3838226</w:t>
      </w:r>
      <w:r w:rsidRPr="004A2653">
        <w:rPr>
          <w:shd w:val="clear" w:color="auto" w:fill="FFFFFF"/>
        </w:rPr>
        <w:t>.</w:t>
      </w:r>
    </w:p>
    <w:p w14:paraId="3C1FE81D" w14:textId="77777777" w:rsidR="00AF62D2" w:rsidRPr="004A2653" w:rsidRDefault="00AF62D2" w:rsidP="00AF62D2">
      <w:pPr>
        <w:rPr>
          <w:shd w:val="clear" w:color="auto" w:fill="FFFFFF"/>
        </w:rPr>
      </w:pPr>
      <w:r w:rsidRPr="004A2653">
        <w:rPr>
          <w:shd w:val="clear" w:color="auto" w:fill="FFFFFF"/>
        </w:rPr>
        <w:t>Herrador-Alcaide, T.C., Hernández-Solís, M. and Galván, R.S., 2019. Feelings of satisfaction in mature students of financial accounting in a virtual learning environment: an experience of measurement in higher education. </w:t>
      </w:r>
      <w:r w:rsidRPr="004A2653">
        <w:rPr>
          <w:i/>
          <w:iCs/>
          <w:shd w:val="clear" w:color="auto" w:fill="FFFFFF"/>
        </w:rPr>
        <w:t>International Journal of Educational Technology in Higher Education</w:t>
      </w:r>
      <w:r w:rsidRPr="004A2653">
        <w:rPr>
          <w:shd w:val="clear" w:color="auto" w:fill="FFFFFF"/>
        </w:rPr>
        <w:t>, </w:t>
      </w:r>
      <w:r w:rsidRPr="004A2653">
        <w:rPr>
          <w:i/>
          <w:iCs/>
          <w:shd w:val="clear" w:color="auto" w:fill="FFFFFF"/>
        </w:rPr>
        <w:t>16</w:t>
      </w:r>
      <w:r w:rsidRPr="004A2653">
        <w:rPr>
          <w:shd w:val="clear" w:color="auto" w:fill="FFFFFF"/>
        </w:rPr>
        <w:t>(1), pp.1-19.</w:t>
      </w:r>
    </w:p>
    <w:p w14:paraId="58C54A6D" w14:textId="77777777" w:rsidR="00AF62D2" w:rsidRPr="004A2653" w:rsidRDefault="00AF62D2" w:rsidP="00AF62D2">
      <w:pPr>
        <w:rPr>
          <w:shd w:val="clear" w:color="auto" w:fill="FFFFFF"/>
        </w:rPr>
      </w:pPr>
      <w:r w:rsidRPr="004A2653">
        <w:rPr>
          <w:shd w:val="clear" w:color="auto" w:fill="FFFFFF"/>
        </w:rPr>
        <w:t>Malik, A., Egan, M., du Plessis, M. and Lenzen, M., 2021. Managing sustainability using financial accounting data: The value of input-output analysis. </w:t>
      </w:r>
      <w:r w:rsidRPr="004A2653">
        <w:rPr>
          <w:i/>
          <w:iCs/>
          <w:shd w:val="clear" w:color="auto" w:fill="FFFFFF"/>
        </w:rPr>
        <w:t>Journal of Cleaner Production</w:t>
      </w:r>
      <w:r w:rsidRPr="004A2653">
        <w:rPr>
          <w:shd w:val="clear" w:color="auto" w:fill="FFFFFF"/>
        </w:rPr>
        <w:t>, </w:t>
      </w:r>
      <w:r w:rsidRPr="004A2653">
        <w:rPr>
          <w:i/>
          <w:iCs/>
          <w:shd w:val="clear" w:color="auto" w:fill="FFFFFF"/>
        </w:rPr>
        <w:t>293</w:t>
      </w:r>
      <w:r w:rsidRPr="004A2653">
        <w:rPr>
          <w:shd w:val="clear" w:color="auto" w:fill="FFFFFF"/>
        </w:rPr>
        <w:t>, p.126128.</w:t>
      </w:r>
    </w:p>
    <w:p w14:paraId="23C51988" w14:textId="77777777" w:rsidR="00AF62D2" w:rsidRPr="004A2653" w:rsidRDefault="00AF62D2" w:rsidP="00AF62D2">
      <w:pPr>
        <w:rPr>
          <w:shd w:val="clear" w:color="auto" w:fill="FFFFFF"/>
        </w:rPr>
      </w:pPr>
      <w:r w:rsidRPr="004A2653">
        <w:rPr>
          <w:shd w:val="clear" w:color="auto" w:fill="FFFFFF"/>
        </w:rPr>
        <w:t>MarketWatch. 2022. </w:t>
      </w:r>
      <w:r w:rsidRPr="004A2653">
        <w:rPr>
          <w:i/>
          <w:iCs/>
          <w:shd w:val="clear" w:color="auto" w:fill="FFFFFF"/>
        </w:rPr>
        <w:t>Tesco's Market Share Increased in FY 2022, According to Kantar's Grocery Report</w:t>
      </w:r>
      <w:r w:rsidRPr="004A2653">
        <w:rPr>
          <w:shd w:val="clear" w:color="auto" w:fill="FFFFFF"/>
        </w:rPr>
        <w:t>. [online] Available at: &lt;https://www.marketwatch.com/story/tesco-s-market-share-increased-in-fy-2022-according-to-kantar-s-grocery-report-271646125545&gt; [Accessed 24 March 2022].</w:t>
      </w:r>
    </w:p>
    <w:p w14:paraId="5B713964" w14:textId="77777777" w:rsidR="00AF62D2" w:rsidRPr="004A2653" w:rsidRDefault="00AF62D2" w:rsidP="00AF62D2">
      <w:pPr>
        <w:rPr>
          <w:shd w:val="clear" w:color="auto" w:fill="FFFFFF"/>
        </w:rPr>
      </w:pPr>
      <w:r w:rsidRPr="004A2653">
        <w:rPr>
          <w:shd w:val="clear" w:color="auto" w:fill="FFFFFF"/>
        </w:rPr>
        <w:t>McCallig, J., Robb, A. and Rohde, F., 2019. Establishing the representational faithfulness of financial accounting information using multiparty security, network analysis and a blockchain. </w:t>
      </w:r>
      <w:r w:rsidRPr="004A2653">
        <w:rPr>
          <w:i/>
          <w:iCs/>
          <w:shd w:val="clear" w:color="auto" w:fill="FFFFFF"/>
        </w:rPr>
        <w:t>International Journal of Accounting Information Systems</w:t>
      </w:r>
      <w:r w:rsidRPr="004A2653">
        <w:rPr>
          <w:shd w:val="clear" w:color="auto" w:fill="FFFFFF"/>
        </w:rPr>
        <w:t>, </w:t>
      </w:r>
      <w:r w:rsidRPr="004A2653">
        <w:rPr>
          <w:i/>
          <w:iCs/>
          <w:shd w:val="clear" w:color="auto" w:fill="FFFFFF"/>
        </w:rPr>
        <w:t>33</w:t>
      </w:r>
      <w:r w:rsidRPr="004A2653">
        <w:rPr>
          <w:shd w:val="clear" w:color="auto" w:fill="FFFFFF"/>
        </w:rPr>
        <w:t>, pp.47-58.</w:t>
      </w:r>
    </w:p>
    <w:p w14:paraId="21B39A01" w14:textId="77777777" w:rsidR="00AF62D2" w:rsidRPr="004A2653" w:rsidRDefault="00AF62D2" w:rsidP="00AF62D2">
      <w:pPr>
        <w:rPr>
          <w:shd w:val="clear" w:color="auto" w:fill="FFFFFF"/>
        </w:rPr>
      </w:pPr>
      <w:r w:rsidRPr="004A2653">
        <w:rPr>
          <w:shd w:val="clear" w:color="auto" w:fill="FFFFFF"/>
        </w:rPr>
        <w:t>Schroeder, R.G., Clark, M.W. and Cathey, J.M., 2019. </w:t>
      </w:r>
      <w:r w:rsidRPr="004A2653">
        <w:rPr>
          <w:i/>
          <w:iCs/>
          <w:shd w:val="clear" w:color="auto" w:fill="FFFFFF"/>
        </w:rPr>
        <w:t>Financial accounting theory and analysis: text and cases</w:t>
      </w:r>
      <w:r w:rsidRPr="004A2653">
        <w:rPr>
          <w:shd w:val="clear" w:color="auto" w:fill="FFFFFF"/>
        </w:rPr>
        <w:t>. John Wiley &amp; Sons.</w:t>
      </w:r>
    </w:p>
    <w:p w14:paraId="0227E8B1" w14:textId="77777777" w:rsidR="00AF62D2" w:rsidRPr="004A2653" w:rsidRDefault="00AF62D2" w:rsidP="00AF62D2">
      <w:pPr>
        <w:rPr>
          <w:shd w:val="clear" w:color="auto" w:fill="FFFFFF"/>
        </w:rPr>
      </w:pPr>
      <w:r w:rsidRPr="004A2653">
        <w:rPr>
          <w:shd w:val="clear" w:color="auto" w:fill="FFFFFF"/>
        </w:rPr>
        <w:t>Tesco plc. 2022. [online] Available at: &lt;https://www.tescoplc.com/news/2019/tesco-announces-major-green-power-project-in-the-uk/&gt; [Accessed 24 March 2022].</w:t>
      </w:r>
    </w:p>
    <w:p w14:paraId="501676FC" w14:textId="77777777" w:rsidR="00AF62D2" w:rsidRPr="004A2653" w:rsidRDefault="00AF62D2" w:rsidP="00AF62D2">
      <w:pPr>
        <w:rPr>
          <w:shd w:val="clear" w:color="auto" w:fill="FFFFFF"/>
        </w:rPr>
      </w:pPr>
      <w:r w:rsidRPr="004A2653">
        <w:rPr>
          <w:shd w:val="clear" w:color="auto" w:fill="FFFFFF"/>
        </w:rPr>
        <w:t>Tesco plc. 2022. [online] Available at: &lt;https://www.tescoplc.com/investors/shareholder-centre/dividends/&gt; [Accessed 24 March 2022].</w:t>
      </w:r>
    </w:p>
    <w:p w14:paraId="08DF9398" w14:textId="77777777" w:rsidR="00AF62D2" w:rsidRPr="004A2653" w:rsidRDefault="00AF62D2" w:rsidP="00AF62D2">
      <w:pPr>
        <w:rPr>
          <w:shd w:val="clear" w:color="auto" w:fill="FFFFFF"/>
        </w:rPr>
      </w:pPr>
      <w:r w:rsidRPr="004A2653">
        <w:rPr>
          <w:shd w:val="clear" w:color="auto" w:fill="FFFFFF"/>
        </w:rPr>
        <w:t>Warren, C.S., Jonick, C. and Schneider, J., 2020. </w:t>
      </w:r>
      <w:r w:rsidRPr="004A2653">
        <w:rPr>
          <w:i/>
          <w:iCs/>
          <w:shd w:val="clear" w:color="auto" w:fill="FFFFFF"/>
        </w:rPr>
        <w:t>Financial accounting</w:t>
      </w:r>
      <w:r w:rsidRPr="004A2653">
        <w:rPr>
          <w:shd w:val="clear" w:color="auto" w:fill="FFFFFF"/>
        </w:rPr>
        <w:t>. Cengage Learning.</w:t>
      </w:r>
    </w:p>
    <w:p w14:paraId="042DE3DF" w14:textId="77777777" w:rsidR="00AF62D2" w:rsidRPr="004A2653" w:rsidRDefault="00AF62D2" w:rsidP="00AF62D2">
      <w:pPr>
        <w:rPr>
          <w:shd w:val="clear" w:color="auto" w:fill="FFFFFF"/>
        </w:rPr>
      </w:pPr>
      <w:r w:rsidRPr="004A2653">
        <w:rPr>
          <w:shd w:val="clear" w:color="auto" w:fill="FFFFFF"/>
        </w:rPr>
        <w:t>Weygandt, J.J., Kimmel, P.D. and Kieso, D.E., 2018. </w:t>
      </w:r>
      <w:r w:rsidRPr="004A2653">
        <w:rPr>
          <w:i/>
          <w:iCs/>
          <w:shd w:val="clear" w:color="auto" w:fill="FFFFFF"/>
        </w:rPr>
        <w:t>Financial Accounting with International Financial Reporting Standards</w:t>
      </w:r>
      <w:r w:rsidRPr="004A2653">
        <w:rPr>
          <w:shd w:val="clear" w:color="auto" w:fill="FFFFFF"/>
        </w:rPr>
        <w:t>. John Wiley &amp; Sons.</w:t>
      </w:r>
    </w:p>
    <w:p w14:paraId="6F8B9795" w14:textId="77777777" w:rsidR="00AF62D2" w:rsidRPr="004A2653" w:rsidRDefault="00AF62D2" w:rsidP="00AF62D2">
      <w:pPr>
        <w:rPr>
          <w:shd w:val="clear" w:color="auto" w:fill="FFFFFF"/>
        </w:rPr>
      </w:pPr>
      <w:r w:rsidRPr="004A2653">
        <w:rPr>
          <w:shd w:val="clear" w:color="auto" w:fill="FFFFFF"/>
        </w:rPr>
        <w:t>Wild, J., 2019. Financial Accounting: Information for Decisions, 9e.</w:t>
      </w:r>
    </w:p>
    <w:sectPr w:rsidR="00AF62D2" w:rsidRPr="004A2653">
      <w:footerReference w:type="default" r:id="rId7"/>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CC5837" w14:textId="77777777" w:rsidR="00E103E9" w:rsidRDefault="00E103E9">
      <w:pPr>
        <w:spacing w:line="240" w:lineRule="auto"/>
      </w:pPr>
      <w:r>
        <w:separator/>
      </w:r>
    </w:p>
  </w:endnote>
  <w:endnote w:type="continuationSeparator" w:id="0">
    <w:p w14:paraId="30B0DA0B" w14:textId="77777777" w:rsidR="00E103E9" w:rsidRDefault="00E103E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EE"/>
    <w:family w:val="roman"/>
    <w:pitch w:val="variable"/>
    <w:sig w:usb0="E0002EFF" w:usb1="C000785B" w:usb2="00000009" w:usb3="00000000" w:csb0="000001FF" w:csb1="00000000"/>
  </w:font>
  <w:font w:name="Arial">
    <w:panose1 w:val="020B0604020202020204"/>
    <w:charset w:val="EE"/>
    <w:family w:val="swiss"/>
    <w:pitch w:val="variable"/>
    <w:sig w:usb0="E0002EFF" w:usb1="C000785B" w:usb2="00000009" w:usb3="00000000" w:csb0="000001FF" w:csb1="00000000"/>
  </w:font>
  <w:font w:name="Calibri">
    <w:panose1 w:val="020F0502020204030204"/>
    <w:charset w:val="EE"/>
    <w:family w:val="swiss"/>
    <w:pitch w:val="variable"/>
    <w:sig w:usb0="E4002EFF" w:usb1="C000247B" w:usb2="00000009" w:usb3="00000000" w:csb0="000001FF" w:csb1="00000000"/>
  </w:font>
  <w:font w:name="Segoe UI">
    <w:panose1 w:val="020B0502040204020203"/>
    <w:charset w:val="EE"/>
    <w:family w:val="swiss"/>
    <w:pitch w:val="variable"/>
    <w:sig w:usb0="E4002EFF" w:usb1="C000E47F" w:usb2="00000009" w:usb3="00000000" w:csb0="000001FF" w:csb1="00000000"/>
  </w:font>
  <w:font w:name="Cambria">
    <w:panose1 w:val="02040503050406030204"/>
    <w:charset w:val="EE"/>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63173445"/>
      <w:docPartObj>
        <w:docPartGallery w:val="Page Numbers (Bottom of Page)"/>
        <w:docPartUnique/>
      </w:docPartObj>
    </w:sdtPr>
    <w:sdtEndPr>
      <w:rPr>
        <w:noProof/>
      </w:rPr>
    </w:sdtEndPr>
    <w:sdtContent>
      <w:p w14:paraId="0DFF6FBC" w14:textId="54121BCB" w:rsidR="00AF62D2" w:rsidRDefault="00AF62D2">
        <w:pPr>
          <w:pStyle w:val="Subsol"/>
          <w:jc w:val="right"/>
        </w:pPr>
        <w:r>
          <w:fldChar w:fldCharType="begin"/>
        </w:r>
        <w:r>
          <w:instrText xml:space="preserve"> PAGE   \* MERGEFORMAT </w:instrText>
        </w:r>
        <w:r>
          <w:fldChar w:fldCharType="separate"/>
        </w:r>
        <w:r w:rsidR="00120BDA">
          <w:rPr>
            <w:noProof/>
          </w:rPr>
          <w:t>3</w:t>
        </w:r>
        <w:r>
          <w:rPr>
            <w:noProof/>
          </w:rPr>
          <w:fldChar w:fldCharType="end"/>
        </w:r>
      </w:p>
    </w:sdtContent>
  </w:sdt>
  <w:p w14:paraId="787C1D9B" w14:textId="77777777" w:rsidR="00AF62D2" w:rsidRDefault="00AF62D2">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6E8742" w14:textId="77777777" w:rsidR="00E103E9" w:rsidRDefault="00E103E9">
      <w:pPr>
        <w:spacing w:line="240" w:lineRule="auto"/>
      </w:pPr>
      <w:r>
        <w:separator/>
      </w:r>
    </w:p>
  </w:footnote>
  <w:footnote w:type="continuationSeparator" w:id="0">
    <w:p w14:paraId="504B9BF3" w14:textId="77777777" w:rsidR="00E103E9" w:rsidRDefault="00E103E9">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87A59"/>
    <w:rsid w:val="000B29C7"/>
    <w:rsid w:val="00104D71"/>
    <w:rsid w:val="00120BDA"/>
    <w:rsid w:val="001F496C"/>
    <w:rsid w:val="0029792D"/>
    <w:rsid w:val="002F5708"/>
    <w:rsid w:val="00314E12"/>
    <w:rsid w:val="00345C4B"/>
    <w:rsid w:val="00347ADB"/>
    <w:rsid w:val="00364365"/>
    <w:rsid w:val="003D65A4"/>
    <w:rsid w:val="004A2653"/>
    <w:rsid w:val="004B6078"/>
    <w:rsid w:val="004C66A1"/>
    <w:rsid w:val="00826E95"/>
    <w:rsid w:val="008E0438"/>
    <w:rsid w:val="00907AFA"/>
    <w:rsid w:val="00A25AC4"/>
    <w:rsid w:val="00A8373E"/>
    <w:rsid w:val="00AF62D2"/>
    <w:rsid w:val="00B22FC5"/>
    <w:rsid w:val="00B7673D"/>
    <w:rsid w:val="00C132CB"/>
    <w:rsid w:val="00C97523"/>
    <w:rsid w:val="00CB1104"/>
    <w:rsid w:val="00CD5712"/>
    <w:rsid w:val="00D106C3"/>
    <w:rsid w:val="00D66B3F"/>
    <w:rsid w:val="00D73D81"/>
    <w:rsid w:val="00E103E9"/>
    <w:rsid w:val="00E46D0E"/>
    <w:rsid w:val="00E657D7"/>
    <w:rsid w:val="00E87A59"/>
    <w:rsid w:val="00F602C9"/>
    <w:rsid w:val="00F667DE"/>
    <w:rsid w:val="00F846E9"/>
    <w:rsid w:val="00FC725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FE775E"/>
  <w15:docId w15:val="{C334D43F-3CFF-4AF5-8244-E7288A0740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Titlu1">
    <w:name w:val="heading 1"/>
    <w:basedOn w:val="Normal"/>
    <w:next w:val="Normal"/>
    <w:rsid w:val="00AF62D2"/>
    <w:pPr>
      <w:outlineLvl w:val="0"/>
    </w:pPr>
    <w:rPr>
      <w:b/>
    </w:rPr>
  </w:style>
  <w:style w:type="paragraph" w:styleId="Titlu2">
    <w:name w:val="heading 2"/>
    <w:basedOn w:val="Normal"/>
    <w:next w:val="Normal"/>
    <w:pPr>
      <w:keepNext/>
      <w:keepLines/>
      <w:spacing w:before="360" w:after="120"/>
      <w:outlineLvl w:val="1"/>
    </w:pPr>
    <w:rPr>
      <w:sz w:val="32"/>
      <w:szCs w:val="32"/>
    </w:rPr>
  </w:style>
  <w:style w:type="paragraph" w:styleId="Titlu3">
    <w:name w:val="heading 3"/>
    <w:basedOn w:val="Normal"/>
    <w:next w:val="Normal"/>
    <w:pPr>
      <w:keepNext/>
      <w:keepLines/>
      <w:spacing w:before="320" w:after="80"/>
      <w:outlineLvl w:val="2"/>
    </w:pPr>
    <w:rPr>
      <w:color w:val="434343"/>
      <w:sz w:val="28"/>
      <w:szCs w:val="28"/>
    </w:rPr>
  </w:style>
  <w:style w:type="paragraph" w:styleId="Titlu4">
    <w:name w:val="heading 4"/>
    <w:basedOn w:val="Normal"/>
    <w:next w:val="Normal"/>
    <w:pPr>
      <w:keepNext/>
      <w:keepLines/>
      <w:spacing w:before="280" w:after="80"/>
      <w:outlineLvl w:val="3"/>
    </w:pPr>
    <w:rPr>
      <w:color w:val="666666"/>
    </w:rPr>
  </w:style>
  <w:style w:type="paragraph" w:styleId="Titlu5">
    <w:name w:val="heading 5"/>
    <w:basedOn w:val="Normal"/>
    <w:next w:val="Normal"/>
    <w:pPr>
      <w:keepNext/>
      <w:keepLines/>
      <w:spacing w:before="240" w:after="80"/>
      <w:outlineLvl w:val="4"/>
    </w:pPr>
    <w:rPr>
      <w:color w:val="666666"/>
      <w:sz w:val="22"/>
      <w:szCs w:val="22"/>
    </w:rPr>
  </w:style>
  <w:style w:type="paragraph" w:styleId="Titlu6">
    <w:name w:val="heading 6"/>
    <w:basedOn w:val="Normal"/>
    <w:next w:val="Normal"/>
    <w:pPr>
      <w:keepNext/>
      <w:keepLines/>
      <w:spacing w:before="240" w:after="80"/>
      <w:outlineLvl w:val="5"/>
    </w:pPr>
    <w:rPr>
      <w:i/>
      <w:color w:val="666666"/>
      <w:sz w:val="22"/>
      <w:szCs w:val="2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pPr>
      <w:keepNext/>
      <w:keepLines/>
      <w:spacing w:after="60"/>
    </w:pPr>
    <w:rPr>
      <w:sz w:val="52"/>
      <w:szCs w:val="52"/>
    </w:rPr>
  </w:style>
  <w:style w:type="paragraph" w:styleId="Subtitlu">
    <w:name w:val="Subtitle"/>
    <w:basedOn w:val="Normal"/>
    <w:next w:val="Normal"/>
    <w:pPr>
      <w:keepNext/>
      <w:keepLines/>
      <w:spacing w:after="320"/>
    </w:pPr>
    <w:rPr>
      <w:rFonts w:ascii="Arial" w:eastAsia="Arial" w:hAnsi="Arial" w:cs="Arial"/>
      <w:color w:val="666666"/>
      <w:sz w:val="30"/>
      <w:szCs w:val="30"/>
    </w:rPr>
  </w:style>
  <w:style w:type="paragraph" w:styleId="Titlucuprins">
    <w:name w:val="TOC Heading"/>
    <w:basedOn w:val="Titlu1"/>
    <w:next w:val="Normal"/>
    <w:uiPriority w:val="39"/>
    <w:unhideWhenUsed/>
    <w:qFormat/>
    <w:rsid w:val="00AF62D2"/>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Cuprins1">
    <w:name w:val="toc 1"/>
    <w:basedOn w:val="Normal"/>
    <w:next w:val="Normal"/>
    <w:autoRedefine/>
    <w:uiPriority w:val="39"/>
    <w:unhideWhenUsed/>
    <w:rsid w:val="00AF62D2"/>
    <w:pPr>
      <w:spacing w:after="100"/>
    </w:pPr>
  </w:style>
  <w:style w:type="character" w:styleId="Hyperlink">
    <w:name w:val="Hyperlink"/>
    <w:basedOn w:val="Fontdeparagrafimplicit"/>
    <w:uiPriority w:val="99"/>
    <w:unhideWhenUsed/>
    <w:rsid w:val="00AF62D2"/>
    <w:rPr>
      <w:color w:val="0000FF" w:themeColor="hyperlink"/>
      <w:u w:val="single"/>
    </w:rPr>
  </w:style>
  <w:style w:type="paragraph" w:styleId="Antet">
    <w:name w:val="header"/>
    <w:basedOn w:val="Normal"/>
    <w:link w:val="AntetCaracter"/>
    <w:uiPriority w:val="99"/>
    <w:unhideWhenUsed/>
    <w:rsid w:val="00AF62D2"/>
    <w:pPr>
      <w:tabs>
        <w:tab w:val="center" w:pos="4680"/>
        <w:tab w:val="right" w:pos="9360"/>
      </w:tabs>
      <w:spacing w:line="240" w:lineRule="auto"/>
    </w:pPr>
  </w:style>
  <w:style w:type="character" w:customStyle="1" w:styleId="AntetCaracter">
    <w:name w:val="Antet Caracter"/>
    <w:basedOn w:val="Fontdeparagrafimplicit"/>
    <w:link w:val="Antet"/>
    <w:uiPriority w:val="99"/>
    <w:rsid w:val="00AF62D2"/>
    <w:rPr>
      <w:lang w:val="en-GB"/>
    </w:rPr>
  </w:style>
  <w:style w:type="paragraph" w:styleId="Subsol">
    <w:name w:val="footer"/>
    <w:basedOn w:val="Normal"/>
    <w:link w:val="SubsolCaracter"/>
    <w:uiPriority w:val="99"/>
    <w:unhideWhenUsed/>
    <w:rsid w:val="00AF62D2"/>
    <w:pPr>
      <w:tabs>
        <w:tab w:val="center" w:pos="4680"/>
        <w:tab w:val="right" w:pos="9360"/>
      </w:tabs>
      <w:spacing w:line="240" w:lineRule="auto"/>
    </w:pPr>
  </w:style>
  <w:style w:type="character" w:customStyle="1" w:styleId="SubsolCaracter">
    <w:name w:val="Subsol Caracter"/>
    <w:basedOn w:val="Fontdeparagrafimplicit"/>
    <w:link w:val="Subsol"/>
    <w:uiPriority w:val="99"/>
    <w:rsid w:val="00AF62D2"/>
    <w:rPr>
      <w:lang w:val="en-GB"/>
    </w:rPr>
  </w:style>
  <w:style w:type="character" w:styleId="Referincomentariu">
    <w:name w:val="annotation reference"/>
    <w:basedOn w:val="Fontdeparagrafimplicit"/>
    <w:uiPriority w:val="99"/>
    <w:semiHidden/>
    <w:unhideWhenUsed/>
    <w:rsid w:val="00E657D7"/>
    <w:rPr>
      <w:sz w:val="16"/>
      <w:szCs w:val="16"/>
    </w:rPr>
  </w:style>
  <w:style w:type="paragraph" w:styleId="Textcomentariu">
    <w:name w:val="annotation text"/>
    <w:basedOn w:val="Normal"/>
    <w:link w:val="TextcomentariuCaracter"/>
    <w:uiPriority w:val="99"/>
    <w:semiHidden/>
    <w:unhideWhenUsed/>
    <w:rsid w:val="00E657D7"/>
    <w:pPr>
      <w:spacing w:line="240" w:lineRule="auto"/>
    </w:pPr>
    <w:rPr>
      <w:sz w:val="20"/>
      <w:szCs w:val="20"/>
    </w:rPr>
  </w:style>
  <w:style w:type="character" w:customStyle="1" w:styleId="TextcomentariuCaracter">
    <w:name w:val="Text comentariu Caracter"/>
    <w:basedOn w:val="Fontdeparagrafimplicit"/>
    <w:link w:val="Textcomentariu"/>
    <w:uiPriority w:val="99"/>
    <w:semiHidden/>
    <w:rsid w:val="00E657D7"/>
    <w:rPr>
      <w:sz w:val="20"/>
      <w:szCs w:val="20"/>
      <w:lang w:val="en-GB"/>
    </w:rPr>
  </w:style>
  <w:style w:type="paragraph" w:styleId="SubiectComentariu">
    <w:name w:val="annotation subject"/>
    <w:basedOn w:val="Textcomentariu"/>
    <w:next w:val="Textcomentariu"/>
    <w:link w:val="SubiectComentariuCaracter"/>
    <w:uiPriority w:val="99"/>
    <w:semiHidden/>
    <w:unhideWhenUsed/>
    <w:rsid w:val="00E657D7"/>
    <w:rPr>
      <w:b/>
      <w:bCs/>
    </w:rPr>
  </w:style>
  <w:style w:type="character" w:customStyle="1" w:styleId="SubiectComentariuCaracter">
    <w:name w:val="Subiect Comentariu Caracter"/>
    <w:basedOn w:val="TextcomentariuCaracter"/>
    <w:link w:val="SubiectComentariu"/>
    <w:uiPriority w:val="99"/>
    <w:semiHidden/>
    <w:rsid w:val="00E657D7"/>
    <w:rPr>
      <w:b/>
      <w:bCs/>
      <w:sz w:val="20"/>
      <w:szCs w:val="20"/>
      <w:lang w:val="en-GB"/>
    </w:rPr>
  </w:style>
  <w:style w:type="paragraph" w:styleId="TextnBalon">
    <w:name w:val="Balloon Text"/>
    <w:basedOn w:val="Normal"/>
    <w:link w:val="TextnBalonCaracter"/>
    <w:uiPriority w:val="99"/>
    <w:semiHidden/>
    <w:unhideWhenUsed/>
    <w:rsid w:val="00E657D7"/>
    <w:pPr>
      <w:spacing w:line="240" w:lineRule="auto"/>
    </w:pPr>
    <w:rPr>
      <w:rFonts w:ascii="Segoe UI" w:hAnsi="Segoe UI" w:cs="Segoe UI"/>
      <w:sz w:val="18"/>
      <w:szCs w:val="18"/>
    </w:rPr>
  </w:style>
  <w:style w:type="character" w:customStyle="1" w:styleId="TextnBalonCaracter">
    <w:name w:val="Text în Balon Caracter"/>
    <w:basedOn w:val="Fontdeparagrafimplicit"/>
    <w:link w:val="TextnBalon"/>
    <w:uiPriority w:val="99"/>
    <w:semiHidden/>
    <w:rsid w:val="00E657D7"/>
    <w:rPr>
      <w:rFonts w:ascii="Segoe UI" w:hAnsi="Segoe UI" w:cs="Segoe UI"/>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78EFA7-7C8C-4743-8D15-367B0AF386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720</TotalTime>
  <Pages>7</Pages>
  <Words>1835</Words>
  <Characters>10644</Characters>
  <Application>Microsoft Office Word</Application>
  <DocSecurity>0</DocSecurity>
  <Lines>88</Lines>
  <Paragraphs>24</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12455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Mihaela Mindrila</cp:lastModifiedBy>
  <cp:revision>13</cp:revision>
  <dcterms:created xsi:type="dcterms:W3CDTF">2022-04-16T13:58:00Z</dcterms:created>
  <dcterms:modified xsi:type="dcterms:W3CDTF">2022-05-01T22:16:00Z</dcterms:modified>
</cp:coreProperties>
</file>