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53725C" w14:textId="77777777" w:rsidR="00223AA1" w:rsidRPr="00E4232E" w:rsidRDefault="00223AA1" w:rsidP="00223AA1">
      <w:pPr>
        <w:jc w:val="center"/>
        <w:rPr>
          <w:b/>
          <w:bCs/>
          <w:sz w:val="32"/>
          <w:szCs w:val="32"/>
        </w:rPr>
      </w:pPr>
      <w:r w:rsidRPr="00E4232E">
        <w:rPr>
          <w:rFonts w:ascii="Arial" w:hAnsi="Arial" w:cs="Arial"/>
          <w:b/>
          <w:bCs/>
          <w:noProof/>
          <w:sz w:val="32"/>
          <w:szCs w:val="32"/>
        </w:rPr>
        <w:drawing>
          <wp:anchor distT="0" distB="0" distL="114300" distR="114300" simplePos="0" relativeHeight="251659264" behindDoc="0" locked="0" layoutInCell="1" allowOverlap="1" wp14:anchorId="38968BB6" wp14:editId="027A8470">
            <wp:simplePos x="0" y="0"/>
            <wp:positionH relativeFrom="column">
              <wp:posOffset>2156178</wp:posOffset>
            </wp:positionH>
            <wp:positionV relativeFrom="paragraph">
              <wp:posOffset>383610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D56E733" w14:textId="77777777" w:rsidR="00223AA1" w:rsidRPr="00E4232E" w:rsidRDefault="00223AA1" w:rsidP="00223AA1">
      <w:pPr>
        <w:jc w:val="center"/>
        <w:rPr>
          <w:b/>
          <w:bCs/>
          <w:sz w:val="32"/>
          <w:szCs w:val="32"/>
        </w:rPr>
      </w:pPr>
    </w:p>
    <w:p w14:paraId="59F056B5" w14:textId="77777777" w:rsidR="00223AA1" w:rsidRPr="00E4232E" w:rsidRDefault="00223AA1" w:rsidP="00223AA1">
      <w:pPr>
        <w:jc w:val="center"/>
        <w:rPr>
          <w:b/>
          <w:bCs/>
          <w:sz w:val="32"/>
          <w:szCs w:val="32"/>
        </w:rPr>
      </w:pPr>
    </w:p>
    <w:p w14:paraId="54C5DFD1" w14:textId="77777777" w:rsidR="0011330C" w:rsidRDefault="0011330C" w:rsidP="00BA4E68">
      <w:pPr>
        <w:jc w:val="center"/>
        <w:rPr>
          <w:b/>
          <w:bCs/>
        </w:rPr>
      </w:pPr>
    </w:p>
    <w:p w14:paraId="24EC4D72" w14:textId="77777777" w:rsidR="0011330C" w:rsidRPr="00223AA1" w:rsidRDefault="0011330C" w:rsidP="0011330C">
      <w:pPr>
        <w:jc w:val="center"/>
        <w:rPr>
          <w:b/>
          <w:bCs/>
          <w:sz w:val="28"/>
          <w:szCs w:val="28"/>
        </w:rPr>
      </w:pPr>
      <w:r w:rsidRPr="00223AA1">
        <w:rPr>
          <w:b/>
          <w:bCs/>
          <w:sz w:val="28"/>
          <w:szCs w:val="28"/>
        </w:rPr>
        <w:t>Global Business Environment</w:t>
      </w:r>
    </w:p>
    <w:p w14:paraId="11710608" w14:textId="1B667E68" w:rsidR="0011330C" w:rsidRPr="00223AA1" w:rsidRDefault="0011330C" w:rsidP="00223AA1">
      <w:pPr>
        <w:jc w:val="center"/>
        <w:rPr>
          <w:b/>
          <w:bCs/>
          <w:sz w:val="28"/>
          <w:szCs w:val="28"/>
        </w:rPr>
      </w:pPr>
      <w:r w:rsidRPr="00223AA1">
        <w:rPr>
          <w:b/>
          <w:bCs/>
          <w:sz w:val="28"/>
          <w:szCs w:val="28"/>
        </w:rPr>
        <w:t>Component 2</w:t>
      </w:r>
      <w:r w:rsidR="00223AA1" w:rsidRPr="00223AA1">
        <w:rPr>
          <w:b/>
          <w:bCs/>
          <w:sz w:val="28"/>
          <w:szCs w:val="28"/>
        </w:rPr>
        <w:t>-</w:t>
      </w:r>
      <w:r w:rsidRPr="00223AA1">
        <w:rPr>
          <w:b/>
          <w:bCs/>
          <w:sz w:val="28"/>
          <w:szCs w:val="28"/>
        </w:rPr>
        <w:t xml:space="preserve"> Coursework:</w:t>
      </w:r>
      <w:r w:rsidR="00223AA1" w:rsidRPr="00223AA1">
        <w:rPr>
          <w:b/>
          <w:bCs/>
          <w:sz w:val="28"/>
          <w:szCs w:val="28"/>
        </w:rPr>
        <w:t xml:space="preserve"> </w:t>
      </w:r>
      <w:r w:rsidRPr="00223AA1">
        <w:rPr>
          <w:b/>
          <w:bCs/>
          <w:sz w:val="28"/>
          <w:szCs w:val="28"/>
        </w:rPr>
        <w:t>Essay</w:t>
      </w:r>
    </w:p>
    <w:p w14:paraId="095E35D7" w14:textId="77777777" w:rsidR="00223AA1" w:rsidRPr="00223AA1" w:rsidRDefault="00223AA1" w:rsidP="00223AA1">
      <w:pPr>
        <w:jc w:val="center"/>
        <w:rPr>
          <w:b/>
          <w:bCs/>
          <w:sz w:val="28"/>
          <w:szCs w:val="28"/>
        </w:rPr>
      </w:pPr>
      <w:r w:rsidRPr="00223AA1">
        <w:rPr>
          <w:b/>
          <w:bCs/>
          <w:sz w:val="28"/>
          <w:szCs w:val="28"/>
        </w:rPr>
        <w:t>Student name: Syed Mosharraf Ali</w:t>
      </w:r>
    </w:p>
    <w:p w14:paraId="7E441E91" w14:textId="77777777" w:rsidR="00223AA1" w:rsidRPr="00223AA1" w:rsidRDefault="00223AA1" w:rsidP="00223AA1">
      <w:pPr>
        <w:jc w:val="center"/>
        <w:rPr>
          <w:b/>
          <w:bCs/>
          <w:sz w:val="28"/>
          <w:szCs w:val="28"/>
        </w:rPr>
      </w:pPr>
      <w:r w:rsidRPr="00223AA1">
        <w:rPr>
          <w:b/>
          <w:bCs/>
          <w:sz w:val="28"/>
          <w:szCs w:val="28"/>
        </w:rPr>
        <w:t>Student ID: 2028971</w:t>
      </w:r>
    </w:p>
    <w:p w14:paraId="4D9703E1" w14:textId="1A7EA653" w:rsidR="00223AA1" w:rsidRPr="00223AA1" w:rsidRDefault="00223AA1" w:rsidP="00223AA1">
      <w:pPr>
        <w:jc w:val="center"/>
        <w:rPr>
          <w:b/>
          <w:bCs/>
          <w:sz w:val="28"/>
          <w:szCs w:val="28"/>
        </w:rPr>
      </w:pPr>
      <w:r w:rsidRPr="00223AA1">
        <w:rPr>
          <w:b/>
          <w:bCs/>
          <w:sz w:val="28"/>
          <w:szCs w:val="28"/>
        </w:rPr>
        <w:t>Word count: 1</w:t>
      </w:r>
      <w:r w:rsidR="00F14986">
        <w:rPr>
          <w:b/>
          <w:bCs/>
          <w:sz w:val="28"/>
          <w:szCs w:val="28"/>
        </w:rPr>
        <w:t>575</w:t>
      </w:r>
    </w:p>
    <w:p w14:paraId="1AC2D8EF" w14:textId="77777777" w:rsidR="0011330C" w:rsidRDefault="0011330C" w:rsidP="00BA4E68">
      <w:pPr>
        <w:jc w:val="center"/>
        <w:rPr>
          <w:b/>
          <w:bCs/>
        </w:rPr>
      </w:pPr>
    </w:p>
    <w:p w14:paraId="5FCF9416" w14:textId="77777777" w:rsidR="006D2F8E" w:rsidRPr="004D503B" w:rsidRDefault="006D2F8E" w:rsidP="00BA4E68">
      <w:pPr>
        <w:jc w:val="center"/>
        <w:rPr>
          <w:b/>
          <w:bCs/>
        </w:rPr>
      </w:pPr>
    </w:p>
    <w:p w14:paraId="0B225E84" w14:textId="77777777" w:rsidR="00223AA1" w:rsidRDefault="00223AA1">
      <w:pPr>
        <w:spacing w:line="278" w:lineRule="auto"/>
        <w:jc w:val="left"/>
      </w:pPr>
      <w:r>
        <w:br w:type="page"/>
      </w:r>
    </w:p>
    <w:sdt>
      <w:sdtPr>
        <w:id w:val="-1220046867"/>
        <w:docPartObj>
          <w:docPartGallery w:val="Table of Contents"/>
          <w:docPartUnique/>
        </w:docPartObj>
      </w:sdtPr>
      <w:sdtEndPr>
        <w:rPr>
          <w:rFonts w:ascii="Times New Roman" w:eastAsiaTheme="minorHAnsi" w:hAnsi="Times New Roman" w:cstheme="minorBidi"/>
          <w:b/>
          <w:bCs/>
          <w:noProof/>
          <w:color w:val="000000" w:themeColor="text1"/>
          <w:kern w:val="2"/>
          <w:sz w:val="24"/>
          <w:szCs w:val="24"/>
          <w:lang w:val="en-GB"/>
          <w14:ligatures w14:val="standardContextual"/>
        </w:rPr>
      </w:sdtEndPr>
      <w:sdtContent>
        <w:p w14:paraId="2B31027B" w14:textId="1E3E2A87" w:rsidR="00F14986" w:rsidRDefault="00F14986">
          <w:pPr>
            <w:pStyle w:val="TOCHeading"/>
          </w:pPr>
          <w:r>
            <w:t>Contents</w:t>
          </w:r>
        </w:p>
        <w:p w14:paraId="618A55C4" w14:textId="22C3EA4E" w:rsidR="00F14986" w:rsidRDefault="00F14986">
          <w:pPr>
            <w:pStyle w:val="TOC1"/>
            <w:tabs>
              <w:tab w:val="right" w:leader="dot" w:pos="9350"/>
            </w:tabs>
            <w:rPr>
              <w:noProof/>
            </w:rPr>
          </w:pPr>
          <w:r>
            <w:fldChar w:fldCharType="begin"/>
          </w:r>
          <w:r>
            <w:instrText xml:space="preserve"> TOC \o "1-3" \h \z \u </w:instrText>
          </w:r>
          <w:r>
            <w:fldChar w:fldCharType="separate"/>
          </w:r>
          <w:hyperlink w:anchor="_Toc234618891" w:history="1">
            <w:r w:rsidRPr="00AB0B5D">
              <w:rPr>
                <w:rStyle w:val="Hyperlink"/>
                <w:noProof/>
              </w:rPr>
              <w:t>1. Introduction</w:t>
            </w:r>
            <w:r>
              <w:rPr>
                <w:noProof/>
                <w:webHidden/>
              </w:rPr>
              <w:tab/>
            </w:r>
            <w:r>
              <w:rPr>
                <w:noProof/>
                <w:webHidden/>
              </w:rPr>
              <w:fldChar w:fldCharType="begin"/>
            </w:r>
            <w:r>
              <w:rPr>
                <w:noProof/>
                <w:webHidden/>
              </w:rPr>
              <w:instrText xml:space="preserve"> PAGEREF _Toc234618891 \h </w:instrText>
            </w:r>
            <w:r>
              <w:rPr>
                <w:noProof/>
                <w:webHidden/>
              </w:rPr>
            </w:r>
            <w:r>
              <w:rPr>
                <w:noProof/>
                <w:webHidden/>
              </w:rPr>
              <w:fldChar w:fldCharType="separate"/>
            </w:r>
            <w:r>
              <w:rPr>
                <w:noProof/>
                <w:webHidden/>
              </w:rPr>
              <w:t>3</w:t>
            </w:r>
            <w:r>
              <w:rPr>
                <w:noProof/>
                <w:webHidden/>
              </w:rPr>
              <w:fldChar w:fldCharType="end"/>
            </w:r>
          </w:hyperlink>
        </w:p>
        <w:p w14:paraId="1309317F" w14:textId="18292469" w:rsidR="00F14986" w:rsidRDefault="00F14986">
          <w:pPr>
            <w:pStyle w:val="TOC1"/>
            <w:tabs>
              <w:tab w:val="right" w:leader="dot" w:pos="9350"/>
            </w:tabs>
            <w:rPr>
              <w:noProof/>
            </w:rPr>
          </w:pPr>
          <w:hyperlink w:anchor="_Toc234618892" w:history="1">
            <w:r w:rsidRPr="00AB0B5D">
              <w:rPr>
                <w:rStyle w:val="Hyperlink"/>
                <w:noProof/>
              </w:rPr>
              <w:t>2. Opportunities and Challenges</w:t>
            </w:r>
            <w:r>
              <w:rPr>
                <w:noProof/>
                <w:webHidden/>
              </w:rPr>
              <w:tab/>
            </w:r>
            <w:r>
              <w:rPr>
                <w:noProof/>
                <w:webHidden/>
              </w:rPr>
              <w:fldChar w:fldCharType="begin"/>
            </w:r>
            <w:r>
              <w:rPr>
                <w:noProof/>
                <w:webHidden/>
              </w:rPr>
              <w:instrText xml:space="preserve"> PAGEREF _Toc234618892 \h </w:instrText>
            </w:r>
            <w:r>
              <w:rPr>
                <w:noProof/>
                <w:webHidden/>
              </w:rPr>
            </w:r>
            <w:r>
              <w:rPr>
                <w:noProof/>
                <w:webHidden/>
              </w:rPr>
              <w:fldChar w:fldCharType="separate"/>
            </w:r>
            <w:r>
              <w:rPr>
                <w:noProof/>
                <w:webHidden/>
              </w:rPr>
              <w:t>3</w:t>
            </w:r>
            <w:r>
              <w:rPr>
                <w:noProof/>
                <w:webHidden/>
              </w:rPr>
              <w:fldChar w:fldCharType="end"/>
            </w:r>
          </w:hyperlink>
        </w:p>
        <w:p w14:paraId="62BCA130" w14:textId="5FD18812" w:rsidR="00F14986" w:rsidRPr="00F14986" w:rsidRDefault="00F14986">
          <w:pPr>
            <w:pStyle w:val="TOC2"/>
            <w:tabs>
              <w:tab w:val="right" w:leader="dot" w:pos="9350"/>
            </w:tabs>
            <w:rPr>
              <w:noProof/>
            </w:rPr>
          </w:pPr>
          <w:hyperlink w:anchor="_Toc234618893" w:history="1">
            <w:r w:rsidRPr="00F14986">
              <w:rPr>
                <w:rStyle w:val="Hyperlink"/>
                <w:noProof/>
              </w:rPr>
              <w:t>2.1 Artificial Intelligence: Opportunities and Challenges</w:t>
            </w:r>
            <w:r w:rsidRPr="00F14986">
              <w:rPr>
                <w:noProof/>
                <w:webHidden/>
              </w:rPr>
              <w:tab/>
            </w:r>
            <w:r w:rsidRPr="00F14986">
              <w:rPr>
                <w:noProof/>
                <w:webHidden/>
              </w:rPr>
              <w:fldChar w:fldCharType="begin"/>
            </w:r>
            <w:r w:rsidRPr="00F14986">
              <w:rPr>
                <w:noProof/>
                <w:webHidden/>
              </w:rPr>
              <w:instrText xml:space="preserve"> PAGEREF _Toc234618893 \h </w:instrText>
            </w:r>
            <w:r w:rsidRPr="00F14986">
              <w:rPr>
                <w:noProof/>
                <w:webHidden/>
              </w:rPr>
            </w:r>
            <w:r w:rsidRPr="00F14986">
              <w:rPr>
                <w:noProof/>
                <w:webHidden/>
              </w:rPr>
              <w:fldChar w:fldCharType="separate"/>
            </w:r>
            <w:r>
              <w:rPr>
                <w:noProof/>
                <w:webHidden/>
              </w:rPr>
              <w:t>3</w:t>
            </w:r>
            <w:r w:rsidRPr="00F14986">
              <w:rPr>
                <w:noProof/>
                <w:webHidden/>
              </w:rPr>
              <w:fldChar w:fldCharType="end"/>
            </w:r>
          </w:hyperlink>
        </w:p>
        <w:p w14:paraId="79809649" w14:textId="273AD375" w:rsidR="00F14986" w:rsidRPr="00F14986" w:rsidRDefault="00F14986">
          <w:pPr>
            <w:pStyle w:val="TOC2"/>
            <w:tabs>
              <w:tab w:val="right" w:leader="dot" w:pos="9350"/>
            </w:tabs>
            <w:rPr>
              <w:noProof/>
            </w:rPr>
          </w:pPr>
          <w:hyperlink w:anchor="_Toc234618894" w:history="1">
            <w:r w:rsidRPr="00F14986">
              <w:rPr>
                <w:rStyle w:val="Hyperlink"/>
                <w:noProof/>
              </w:rPr>
              <w:t>2.2 Geopolitical Tensions and Supply Chain Resilience</w:t>
            </w:r>
            <w:r w:rsidRPr="00F14986">
              <w:rPr>
                <w:noProof/>
                <w:webHidden/>
              </w:rPr>
              <w:tab/>
            </w:r>
            <w:r w:rsidRPr="00F14986">
              <w:rPr>
                <w:noProof/>
                <w:webHidden/>
              </w:rPr>
              <w:fldChar w:fldCharType="begin"/>
            </w:r>
            <w:r w:rsidRPr="00F14986">
              <w:rPr>
                <w:noProof/>
                <w:webHidden/>
              </w:rPr>
              <w:instrText xml:space="preserve"> PAGEREF _Toc234618894 \h </w:instrText>
            </w:r>
            <w:r w:rsidRPr="00F14986">
              <w:rPr>
                <w:noProof/>
                <w:webHidden/>
              </w:rPr>
            </w:r>
            <w:r w:rsidRPr="00F14986">
              <w:rPr>
                <w:noProof/>
                <w:webHidden/>
              </w:rPr>
              <w:fldChar w:fldCharType="separate"/>
            </w:r>
            <w:r>
              <w:rPr>
                <w:noProof/>
                <w:webHidden/>
              </w:rPr>
              <w:t>4</w:t>
            </w:r>
            <w:r w:rsidRPr="00F14986">
              <w:rPr>
                <w:noProof/>
                <w:webHidden/>
              </w:rPr>
              <w:fldChar w:fldCharType="end"/>
            </w:r>
          </w:hyperlink>
        </w:p>
        <w:p w14:paraId="55126548" w14:textId="1F0B0DA0" w:rsidR="00F14986" w:rsidRPr="00F14986" w:rsidRDefault="00F14986">
          <w:pPr>
            <w:pStyle w:val="TOC2"/>
            <w:tabs>
              <w:tab w:val="right" w:leader="dot" w:pos="9350"/>
            </w:tabs>
            <w:rPr>
              <w:noProof/>
            </w:rPr>
          </w:pPr>
          <w:hyperlink w:anchor="_Toc234618895" w:history="1">
            <w:r w:rsidRPr="00F14986">
              <w:rPr>
                <w:rStyle w:val="Hyperlink"/>
                <w:noProof/>
              </w:rPr>
              <w:t>2.3 Sustainability Regulation and Reporting</w:t>
            </w:r>
            <w:r w:rsidRPr="00F14986">
              <w:rPr>
                <w:noProof/>
                <w:webHidden/>
              </w:rPr>
              <w:tab/>
            </w:r>
            <w:r w:rsidRPr="00F14986">
              <w:rPr>
                <w:noProof/>
                <w:webHidden/>
              </w:rPr>
              <w:fldChar w:fldCharType="begin"/>
            </w:r>
            <w:r w:rsidRPr="00F14986">
              <w:rPr>
                <w:noProof/>
                <w:webHidden/>
              </w:rPr>
              <w:instrText xml:space="preserve"> PAGEREF _Toc234618895 \h </w:instrText>
            </w:r>
            <w:r w:rsidRPr="00F14986">
              <w:rPr>
                <w:noProof/>
                <w:webHidden/>
              </w:rPr>
            </w:r>
            <w:r w:rsidRPr="00F14986">
              <w:rPr>
                <w:noProof/>
                <w:webHidden/>
              </w:rPr>
              <w:fldChar w:fldCharType="separate"/>
            </w:r>
            <w:r>
              <w:rPr>
                <w:noProof/>
                <w:webHidden/>
              </w:rPr>
              <w:t>4</w:t>
            </w:r>
            <w:r w:rsidRPr="00F14986">
              <w:rPr>
                <w:noProof/>
                <w:webHidden/>
              </w:rPr>
              <w:fldChar w:fldCharType="end"/>
            </w:r>
          </w:hyperlink>
        </w:p>
        <w:p w14:paraId="3DC45140" w14:textId="28F43F5F" w:rsidR="00F14986" w:rsidRPr="00F14986" w:rsidRDefault="00F14986">
          <w:pPr>
            <w:pStyle w:val="TOC1"/>
            <w:tabs>
              <w:tab w:val="right" w:leader="dot" w:pos="9350"/>
            </w:tabs>
            <w:rPr>
              <w:noProof/>
            </w:rPr>
          </w:pPr>
          <w:hyperlink w:anchor="_Toc234618896" w:history="1">
            <w:r w:rsidRPr="00F14986">
              <w:rPr>
                <w:rStyle w:val="Hyperlink"/>
                <w:noProof/>
              </w:rPr>
              <w:t>3. Impact on BP's International Strategy and Operations</w:t>
            </w:r>
            <w:r w:rsidRPr="00F14986">
              <w:rPr>
                <w:noProof/>
                <w:webHidden/>
              </w:rPr>
              <w:tab/>
            </w:r>
            <w:r w:rsidRPr="00F14986">
              <w:rPr>
                <w:noProof/>
                <w:webHidden/>
              </w:rPr>
              <w:fldChar w:fldCharType="begin"/>
            </w:r>
            <w:r w:rsidRPr="00F14986">
              <w:rPr>
                <w:noProof/>
                <w:webHidden/>
              </w:rPr>
              <w:instrText xml:space="preserve"> PAGEREF _Toc234618896 \h </w:instrText>
            </w:r>
            <w:r w:rsidRPr="00F14986">
              <w:rPr>
                <w:noProof/>
                <w:webHidden/>
              </w:rPr>
            </w:r>
            <w:r w:rsidRPr="00F14986">
              <w:rPr>
                <w:noProof/>
                <w:webHidden/>
              </w:rPr>
              <w:fldChar w:fldCharType="separate"/>
            </w:r>
            <w:r>
              <w:rPr>
                <w:noProof/>
                <w:webHidden/>
              </w:rPr>
              <w:t>5</w:t>
            </w:r>
            <w:r w:rsidRPr="00F14986">
              <w:rPr>
                <w:noProof/>
                <w:webHidden/>
              </w:rPr>
              <w:fldChar w:fldCharType="end"/>
            </w:r>
          </w:hyperlink>
        </w:p>
        <w:p w14:paraId="2F6DD2C7" w14:textId="72221E86" w:rsidR="00F14986" w:rsidRPr="00F14986" w:rsidRDefault="00F14986">
          <w:pPr>
            <w:pStyle w:val="TOC2"/>
            <w:tabs>
              <w:tab w:val="right" w:leader="dot" w:pos="9350"/>
            </w:tabs>
            <w:rPr>
              <w:noProof/>
            </w:rPr>
          </w:pPr>
          <w:hyperlink w:anchor="_Toc234618897" w:history="1">
            <w:r w:rsidRPr="00F14986">
              <w:rPr>
                <w:rStyle w:val="Hyperlink"/>
                <w:noProof/>
              </w:rPr>
              <w:t>3.1 Market Positioning and Innovation</w:t>
            </w:r>
            <w:r w:rsidRPr="00F14986">
              <w:rPr>
                <w:noProof/>
                <w:webHidden/>
              </w:rPr>
              <w:tab/>
            </w:r>
            <w:r w:rsidRPr="00F14986">
              <w:rPr>
                <w:noProof/>
                <w:webHidden/>
              </w:rPr>
              <w:fldChar w:fldCharType="begin"/>
            </w:r>
            <w:r w:rsidRPr="00F14986">
              <w:rPr>
                <w:noProof/>
                <w:webHidden/>
              </w:rPr>
              <w:instrText xml:space="preserve"> PAGEREF _Toc234618897 \h </w:instrText>
            </w:r>
            <w:r w:rsidRPr="00F14986">
              <w:rPr>
                <w:noProof/>
                <w:webHidden/>
              </w:rPr>
            </w:r>
            <w:r w:rsidRPr="00F14986">
              <w:rPr>
                <w:noProof/>
                <w:webHidden/>
              </w:rPr>
              <w:fldChar w:fldCharType="separate"/>
            </w:r>
            <w:r>
              <w:rPr>
                <w:noProof/>
                <w:webHidden/>
              </w:rPr>
              <w:t>5</w:t>
            </w:r>
            <w:r w:rsidRPr="00F14986">
              <w:rPr>
                <w:noProof/>
                <w:webHidden/>
              </w:rPr>
              <w:fldChar w:fldCharType="end"/>
            </w:r>
          </w:hyperlink>
        </w:p>
        <w:p w14:paraId="233BDD8F" w14:textId="0B7F9FDB" w:rsidR="00F14986" w:rsidRPr="00F14986" w:rsidRDefault="00F14986">
          <w:pPr>
            <w:pStyle w:val="TOC2"/>
            <w:tabs>
              <w:tab w:val="right" w:leader="dot" w:pos="9350"/>
            </w:tabs>
            <w:rPr>
              <w:noProof/>
            </w:rPr>
          </w:pPr>
          <w:hyperlink w:anchor="_Toc234618898" w:history="1">
            <w:r w:rsidRPr="00F14986">
              <w:rPr>
                <w:rStyle w:val="Hyperlink"/>
                <w:noProof/>
              </w:rPr>
              <w:t>3.2 Talent Management and Competitiveness</w:t>
            </w:r>
            <w:r w:rsidRPr="00F14986">
              <w:rPr>
                <w:noProof/>
                <w:webHidden/>
              </w:rPr>
              <w:tab/>
            </w:r>
            <w:r w:rsidRPr="00F14986">
              <w:rPr>
                <w:noProof/>
                <w:webHidden/>
              </w:rPr>
              <w:fldChar w:fldCharType="begin"/>
            </w:r>
            <w:r w:rsidRPr="00F14986">
              <w:rPr>
                <w:noProof/>
                <w:webHidden/>
              </w:rPr>
              <w:instrText xml:space="preserve"> PAGEREF _Toc234618898 \h </w:instrText>
            </w:r>
            <w:r w:rsidRPr="00F14986">
              <w:rPr>
                <w:noProof/>
                <w:webHidden/>
              </w:rPr>
            </w:r>
            <w:r w:rsidRPr="00F14986">
              <w:rPr>
                <w:noProof/>
                <w:webHidden/>
              </w:rPr>
              <w:fldChar w:fldCharType="separate"/>
            </w:r>
            <w:r>
              <w:rPr>
                <w:noProof/>
                <w:webHidden/>
              </w:rPr>
              <w:t>6</w:t>
            </w:r>
            <w:r w:rsidRPr="00F14986">
              <w:rPr>
                <w:noProof/>
                <w:webHidden/>
              </w:rPr>
              <w:fldChar w:fldCharType="end"/>
            </w:r>
          </w:hyperlink>
        </w:p>
        <w:p w14:paraId="4AAF7271" w14:textId="1D736CDE" w:rsidR="00F14986" w:rsidRPr="00F14986" w:rsidRDefault="00F14986">
          <w:pPr>
            <w:pStyle w:val="TOC1"/>
            <w:tabs>
              <w:tab w:val="right" w:leader="dot" w:pos="9350"/>
            </w:tabs>
            <w:rPr>
              <w:noProof/>
            </w:rPr>
          </w:pPr>
          <w:hyperlink w:anchor="_Toc234618899" w:history="1">
            <w:r w:rsidRPr="00F14986">
              <w:rPr>
                <w:rStyle w:val="Hyperlink"/>
                <w:noProof/>
              </w:rPr>
              <w:t>4. Strategic Recommendations</w:t>
            </w:r>
            <w:r w:rsidRPr="00F14986">
              <w:rPr>
                <w:noProof/>
                <w:webHidden/>
              </w:rPr>
              <w:tab/>
            </w:r>
            <w:r w:rsidRPr="00F14986">
              <w:rPr>
                <w:noProof/>
                <w:webHidden/>
              </w:rPr>
              <w:fldChar w:fldCharType="begin"/>
            </w:r>
            <w:r w:rsidRPr="00F14986">
              <w:rPr>
                <w:noProof/>
                <w:webHidden/>
              </w:rPr>
              <w:instrText xml:space="preserve"> PAGEREF _Toc234618899 \h </w:instrText>
            </w:r>
            <w:r w:rsidRPr="00F14986">
              <w:rPr>
                <w:noProof/>
                <w:webHidden/>
              </w:rPr>
            </w:r>
            <w:r w:rsidRPr="00F14986">
              <w:rPr>
                <w:noProof/>
                <w:webHidden/>
              </w:rPr>
              <w:fldChar w:fldCharType="separate"/>
            </w:r>
            <w:r>
              <w:rPr>
                <w:noProof/>
                <w:webHidden/>
              </w:rPr>
              <w:t>6</w:t>
            </w:r>
            <w:r w:rsidRPr="00F14986">
              <w:rPr>
                <w:noProof/>
                <w:webHidden/>
              </w:rPr>
              <w:fldChar w:fldCharType="end"/>
            </w:r>
          </w:hyperlink>
        </w:p>
        <w:p w14:paraId="47C63B6E" w14:textId="3797654F" w:rsidR="00F14986" w:rsidRPr="00F14986" w:rsidRDefault="00F14986">
          <w:pPr>
            <w:pStyle w:val="TOC1"/>
            <w:tabs>
              <w:tab w:val="right" w:leader="dot" w:pos="9350"/>
            </w:tabs>
            <w:rPr>
              <w:noProof/>
            </w:rPr>
          </w:pPr>
          <w:hyperlink w:anchor="_Toc234618900" w:history="1">
            <w:r w:rsidRPr="00F14986">
              <w:rPr>
                <w:rStyle w:val="Hyperlink"/>
                <w:noProof/>
              </w:rPr>
              <w:t>5. Conclusion</w:t>
            </w:r>
            <w:r w:rsidRPr="00F14986">
              <w:rPr>
                <w:noProof/>
                <w:webHidden/>
              </w:rPr>
              <w:tab/>
            </w:r>
            <w:r w:rsidRPr="00F14986">
              <w:rPr>
                <w:noProof/>
                <w:webHidden/>
              </w:rPr>
              <w:fldChar w:fldCharType="begin"/>
            </w:r>
            <w:r w:rsidRPr="00F14986">
              <w:rPr>
                <w:noProof/>
                <w:webHidden/>
              </w:rPr>
              <w:instrText xml:space="preserve"> PAGEREF _Toc234618900 \h </w:instrText>
            </w:r>
            <w:r w:rsidRPr="00F14986">
              <w:rPr>
                <w:noProof/>
                <w:webHidden/>
              </w:rPr>
            </w:r>
            <w:r w:rsidRPr="00F14986">
              <w:rPr>
                <w:noProof/>
                <w:webHidden/>
              </w:rPr>
              <w:fldChar w:fldCharType="separate"/>
            </w:r>
            <w:r>
              <w:rPr>
                <w:noProof/>
                <w:webHidden/>
              </w:rPr>
              <w:t>7</w:t>
            </w:r>
            <w:r w:rsidRPr="00F14986">
              <w:rPr>
                <w:noProof/>
                <w:webHidden/>
              </w:rPr>
              <w:fldChar w:fldCharType="end"/>
            </w:r>
          </w:hyperlink>
        </w:p>
        <w:p w14:paraId="1AE2D7C2" w14:textId="5FC069CF" w:rsidR="00F14986" w:rsidRPr="00F14986" w:rsidRDefault="00F14986">
          <w:pPr>
            <w:pStyle w:val="TOC1"/>
            <w:tabs>
              <w:tab w:val="right" w:leader="dot" w:pos="9350"/>
            </w:tabs>
            <w:rPr>
              <w:noProof/>
            </w:rPr>
          </w:pPr>
          <w:hyperlink w:anchor="_Toc234618901" w:history="1">
            <w:r w:rsidRPr="00F14986">
              <w:rPr>
                <w:rStyle w:val="Hyperlink"/>
                <w:noProof/>
              </w:rPr>
              <w:t>References</w:t>
            </w:r>
            <w:r w:rsidRPr="00F14986">
              <w:rPr>
                <w:noProof/>
                <w:webHidden/>
              </w:rPr>
              <w:tab/>
            </w:r>
            <w:r w:rsidRPr="00F14986">
              <w:rPr>
                <w:noProof/>
                <w:webHidden/>
              </w:rPr>
              <w:fldChar w:fldCharType="begin"/>
            </w:r>
            <w:r w:rsidRPr="00F14986">
              <w:rPr>
                <w:noProof/>
                <w:webHidden/>
              </w:rPr>
              <w:instrText xml:space="preserve"> PAGEREF _Toc234618901 \h </w:instrText>
            </w:r>
            <w:r w:rsidRPr="00F14986">
              <w:rPr>
                <w:noProof/>
                <w:webHidden/>
              </w:rPr>
            </w:r>
            <w:r w:rsidRPr="00F14986">
              <w:rPr>
                <w:noProof/>
                <w:webHidden/>
              </w:rPr>
              <w:fldChar w:fldCharType="separate"/>
            </w:r>
            <w:r>
              <w:rPr>
                <w:noProof/>
                <w:webHidden/>
              </w:rPr>
              <w:t>8</w:t>
            </w:r>
            <w:r w:rsidRPr="00F14986">
              <w:rPr>
                <w:noProof/>
                <w:webHidden/>
              </w:rPr>
              <w:fldChar w:fldCharType="end"/>
            </w:r>
          </w:hyperlink>
        </w:p>
        <w:p w14:paraId="1238E860" w14:textId="60C91BD8" w:rsidR="00F14986" w:rsidRDefault="00F14986">
          <w:r>
            <w:rPr>
              <w:b/>
              <w:bCs/>
              <w:noProof/>
            </w:rPr>
            <w:fldChar w:fldCharType="end"/>
          </w:r>
        </w:p>
      </w:sdtContent>
    </w:sdt>
    <w:p w14:paraId="6C9C90CB" w14:textId="4D6BAF49" w:rsidR="00F14986" w:rsidRDefault="00F14986" w:rsidP="00F14986"/>
    <w:p w14:paraId="373060F5" w14:textId="77777777" w:rsidR="00F14986" w:rsidRDefault="00F14986" w:rsidP="00F14986"/>
    <w:p w14:paraId="0092A0DD" w14:textId="77777777" w:rsidR="00F14986" w:rsidRDefault="00F14986">
      <w:pPr>
        <w:spacing w:line="278" w:lineRule="auto"/>
        <w:jc w:val="left"/>
        <w:rPr>
          <w:rFonts w:eastAsiaTheme="majorEastAsia" w:cstheme="majorBidi"/>
          <w:b/>
          <w:color w:val="000000"/>
          <w:sz w:val="26"/>
          <w:szCs w:val="40"/>
        </w:rPr>
      </w:pPr>
      <w:r>
        <w:rPr>
          <w:color w:val="000000"/>
          <w:sz w:val="26"/>
        </w:rPr>
        <w:br w:type="page"/>
      </w:r>
    </w:p>
    <w:p w14:paraId="44B0E1F5" w14:textId="56045DE3" w:rsidR="00F14986" w:rsidRDefault="00F14986" w:rsidP="00F14986">
      <w:pPr>
        <w:pStyle w:val="Heading1"/>
        <w:spacing w:before="200"/>
        <w:jc w:val="left"/>
      </w:pPr>
      <w:bookmarkStart w:id="0" w:name="_Toc234618891"/>
      <w:r>
        <w:rPr>
          <w:color w:val="000000"/>
          <w:sz w:val="26"/>
        </w:rPr>
        <w:lastRenderedPageBreak/>
        <w:t>1. Introduction</w:t>
      </w:r>
      <w:bookmarkEnd w:id="0"/>
    </w:p>
    <w:p w14:paraId="50D94706" w14:textId="77777777" w:rsidR="00F14986" w:rsidRPr="004D503B" w:rsidRDefault="00F14986" w:rsidP="00F14986">
      <w:r w:rsidRPr="004D503B">
        <w:t>Globalisation is defined as the integration of the economies of different countries by the flow of goods, services and information across international boundaries, technological advancement and foreign investment (Hill, 20</w:t>
      </w:r>
      <w:r>
        <w:t>08</w:t>
      </w:r>
      <w:r w:rsidRPr="004D503B">
        <w:t>). It has allowed multinational enterprises (MNEs) to expand into host countries, have access to the international supply chain, and be more competitive. But today's global business world is becoming increasingly complex with the advent of rapid technological innovations, geopolitical uncertainty and rising expectations with sustainability. Such external influences provide opportunity as well as challenges, which makes it necessary for the organisations to develop strategies to ensure their long-term competitiveness.</w:t>
      </w:r>
    </w:p>
    <w:p w14:paraId="580B7F6B" w14:textId="2CADAE15" w:rsidR="00F14986" w:rsidRPr="004D503B" w:rsidRDefault="00F14986" w:rsidP="00F14986">
      <w:r w:rsidRPr="004D503B">
        <w:t>BP plc is a leading multinational oil company in the United Kingdom that is engaged in the oil, gas and renewable energy business in over 60 countries around the world, as one of the UK's top energy businesses. It has become much more focused on transforming into an integrated energy business by investing in low-carbon science, digital innovation and renewable energy and keeping up with global energy demand (BP, 2024). BP is impacted by developments all over the world, including the introduction of artificial intelligence (AI), geopolitical event risks that pose a threat to global supply chains, and tougher sustainability reporting requirements, including the European Union's Corporate Sustainability Reporting Directive (CSRD). The essay evaluates the role played by these forces, from a global context, in providing opportunities or challenges to BP, and then critically analyses the implications of these for BP's international strategy and operations.</w:t>
      </w:r>
    </w:p>
    <w:p w14:paraId="4C23FE5E" w14:textId="77777777" w:rsidR="00F14986" w:rsidRDefault="00F14986" w:rsidP="00F14986">
      <w:pPr>
        <w:pStyle w:val="Heading1"/>
        <w:spacing w:before="200"/>
        <w:jc w:val="left"/>
      </w:pPr>
      <w:bookmarkStart w:id="1" w:name="_Toc234618892"/>
      <w:r>
        <w:rPr>
          <w:color w:val="000000"/>
          <w:sz w:val="26"/>
        </w:rPr>
        <w:t>2. Opportunities and Challenges</w:t>
      </w:r>
      <w:bookmarkEnd w:id="1"/>
    </w:p>
    <w:p w14:paraId="1BE23577" w14:textId="77777777" w:rsidR="00F14986" w:rsidRDefault="00F14986" w:rsidP="00F14986">
      <w:pPr>
        <w:pStyle w:val="Heading2"/>
        <w:spacing w:before="140"/>
        <w:jc w:val="left"/>
      </w:pPr>
      <w:bookmarkStart w:id="2" w:name="_Toc234618893"/>
      <w:r>
        <w:rPr>
          <w:rFonts w:ascii="Times New Roman" w:hAnsi="Times New Roman"/>
          <w:b/>
          <w:color w:val="000000"/>
          <w:sz w:val="24"/>
        </w:rPr>
        <w:t>2.1 Artificial Intelligence: Opportunities and Challenges</w:t>
      </w:r>
      <w:bookmarkEnd w:id="2"/>
    </w:p>
    <w:p w14:paraId="5029DD7D" w14:textId="77777777" w:rsidR="00F14986" w:rsidRDefault="00F14986" w:rsidP="00F14986">
      <w:r>
        <w:t xml:space="preserve">AI has emerged as one of the pivotal enablers of organisational change across the board in global industries (Jain, 2021). Businesses use AI to process large volumes of operating data to make decisions based on it and automate repetitive tasks. Generating predictions on when to perform maintenance, creating intelligent tools for drilling operations and employing advanced data analysis, AI promises to enhance operational efficiency, particularly for BP. The predictive maintenance systems also assist BP to monitor the performance of their machinery at any given moment without having any unexpected machine breakdowns, resulting in the reduced costs for maintainability. AI plays an important role in exploration by providing greater accuracy and </w:t>
      </w:r>
      <w:r>
        <w:lastRenderedPageBreak/>
        <w:t>precision in analysing geological data to help the company to identify possible availability of energy resources. Likewise, AI also plays a role in improving BP's energy trading by assisting in forecasting energy demand and analysing market dynamics, which aids in more proactive and informed trading decisions (Davenport and Mittal, 2023).</w:t>
      </w:r>
    </w:p>
    <w:p w14:paraId="7122D448" w14:textId="77777777" w:rsidR="00F14986" w:rsidRDefault="00F14986" w:rsidP="00F14986">
      <w:r>
        <w:t>The adoption of high-tech solutions and adequate training in the use of digital technology is very expensive. In addition, Energy infrastructure is recognised as critical national infrastructure, and the use of digital systems introduces vulnerability to cybersecurity issues. A cyberattack has the potential to disrupt BP's operations, to gain access to sensitive information and tarnish its image. Moreover, with the rise in demand for jobs requiring artificial intelligence, filling the roles and keeping capable employees is challenging.</w:t>
      </w:r>
    </w:p>
    <w:p w14:paraId="6036C01F" w14:textId="77777777" w:rsidR="00F14986" w:rsidRDefault="00F14986" w:rsidP="00F14986">
      <w:pPr>
        <w:pStyle w:val="Heading2"/>
        <w:spacing w:before="140"/>
        <w:jc w:val="left"/>
      </w:pPr>
      <w:bookmarkStart w:id="3" w:name="_Toc234618894"/>
      <w:r>
        <w:rPr>
          <w:rFonts w:ascii="Times New Roman" w:hAnsi="Times New Roman"/>
          <w:b/>
          <w:color w:val="000000"/>
          <w:sz w:val="24"/>
        </w:rPr>
        <w:t>2.2 Geopolitical Tensions and Supply Chain Resilience</w:t>
      </w:r>
      <w:bookmarkEnd w:id="3"/>
    </w:p>
    <w:p w14:paraId="2F7549BE" w14:textId="77777777" w:rsidR="00F14986" w:rsidRPr="004D503B" w:rsidRDefault="00F14986" w:rsidP="00F14986">
      <w:r>
        <w:t>Another key factor that is affecting BP's business environment, is global geopolitical stability. Red Sea shipping disruptions in 2024 and 2025 had a significant impact on international trade, as they increased shipping costs and lead times. BP is reliant on global logistics for shipping crude oil and refined products as well as renewable energy equipment to it. Operating in such circumstances will lead to growing uncertainty and higher supply chain costs. Likewise, the unrest between China and Taiwan raises concerns over the availability of semiconductors and renewable energy technologies, vital for BP's digital transformation and low-carbon projects (World Economic Forum, 2024).</w:t>
      </w:r>
    </w:p>
    <w:p w14:paraId="419AC7C1" w14:textId="77777777" w:rsidR="00F14986" w:rsidRPr="004D503B" w:rsidRDefault="00F14986" w:rsidP="00F14986">
      <w:r w:rsidRPr="004D503B">
        <w:t>However, even though these disruptions also present opportunities for BP to enhance the resilience of its supply chain. Relying on multiple suppliers from various areas, building up strategic stocks &amp; investing in regional sourcing are examples of methods to mitigate reliance on high-risk areas. Business continuity and the long-term value proposition for BP will be enhanced through strengthening supply chain resiliency under a more extreme and global economic environment.</w:t>
      </w:r>
    </w:p>
    <w:p w14:paraId="69EE06C3" w14:textId="77777777" w:rsidR="00F14986" w:rsidRDefault="00F14986" w:rsidP="00F14986">
      <w:pPr>
        <w:pStyle w:val="Heading2"/>
        <w:spacing w:before="140"/>
        <w:jc w:val="left"/>
      </w:pPr>
      <w:bookmarkStart w:id="4" w:name="_Toc234618895"/>
      <w:r>
        <w:rPr>
          <w:rFonts w:ascii="Times New Roman" w:hAnsi="Times New Roman"/>
          <w:b/>
          <w:color w:val="000000"/>
          <w:sz w:val="24"/>
        </w:rPr>
        <w:t>2.3 Sustainability Regulation and Reporting</w:t>
      </w:r>
      <w:bookmarkEnd w:id="4"/>
    </w:p>
    <w:p w14:paraId="18E7BF53" w14:textId="26BFF1D8" w:rsidR="00F14986" w:rsidRPr="004D503B" w:rsidRDefault="00F14986" w:rsidP="00F14986">
      <w:r>
        <w:t xml:space="preserve">Sustainability rules are also increasingly influencing the strategies of multinationals. The EU's Corporate Sustainability Reporting Directive (CSRD) sets out to make organisations' environmental, social and governance (ESG) reporting more transparent. BP will see this CSRD compliance as a chance to increase investors' confidence, deepen the level of transparency for </w:t>
      </w:r>
      <w:r>
        <w:lastRenderedPageBreak/>
        <w:t>companies and bolster its reputation as an organisation dedicated to sustainable business practices. Better sustainable investment opportunities and helping BP to transition its business towards more sustainable energies and reduced carbon emissions could impact ESG performance (BP, 2024). But demands for compliance also raise the reporting expense, regulatory interest and stakeholder demands. Profiting and taking on ambitious environmental commitments will have to be offset by providing accurate and comprehensive sustainability reporting, which remains one of BP's challenges.</w:t>
      </w:r>
    </w:p>
    <w:p w14:paraId="0DA394DE" w14:textId="77777777" w:rsidR="00F14986" w:rsidRDefault="00F14986" w:rsidP="00F14986">
      <w:pPr>
        <w:pStyle w:val="Heading1"/>
        <w:spacing w:before="200"/>
        <w:jc w:val="left"/>
      </w:pPr>
      <w:bookmarkStart w:id="5" w:name="_Toc234618896"/>
      <w:r>
        <w:rPr>
          <w:color w:val="000000"/>
          <w:sz w:val="26"/>
        </w:rPr>
        <w:t>3. Impact on BP's International Strategy and Operations</w:t>
      </w:r>
      <w:bookmarkEnd w:id="5"/>
    </w:p>
    <w:p w14:paraId="5792C796" w14:textId="77777777" w:rsidR="00F14986" w:rsidRPr="004D503B" w:rsidRDefault="00F14986" w:rsidP="00F14986">
      <w:r>
        <w:t>The global priorities have driven the company to take a larger step towards diversifying from its traditional oil and gas business to become an integrated energy company that delivers secure, affordable and lower-carbon energy. But the transition to these changes is also fraught with challenges to operations and strategy.</w:t>
      </w:r>
    </w:p>
    <w:p w14:paraId="34FFB583" w14:textId="77777777" w:rsidR="00F14986" w:rsidRDefault="00F14986" w:rsidP="00F14986">
      <w:pPr>
        <w:pStyle w:val="Heading2"/>
        <w:spacing w:before="140"/>
        <w:jc w:val="left"/>
      </w:pPr>
      <w:bookmarkStart w:id="6" w:name="_Toc234618897"/>
      <w:r>
        <w:rPr>
          <w:rFonts w:ascii="Times New Roman" w:hAnsi="Times New Roman"/>
          <w:b/>
          <w:color w:val="000000"/>
          <w:sz w:val="24"/>
        </w:rPr>
        <w:t>3.1 Market Positioning and Innovation</w:t>
      </w:r>
      <w:bookmarkEnd w:id="6"/>
    </w:p>
    <w:p w14:paraId="50E32B45" w14:textId="77777777" w:rsidR="00F14986" w:rsidRPr="004D503B" w:rsidRDefault="00F14986" w:rsidP="00F14986">
      <w:r w:rsidRPr="004D503B">
        <w:t>The first is the way it affects BP's position in the market. Driven by growing demand for environmentally friendly fuels and improved regulations regarding the environmental footprint, BP is expanding its business mix. The company has made a commitment to investing in renewable energy, electric vehicle (EV) charging, hydrogen and bioenergy, with a further focus on decarbonising the energy sector to prepare for future changes. Such investments are helping BP to meet the increasing demand for sustainable energy and giving it an edge over its other fossil fuel-heavy competitors (International Energy Agency, 2024). However, it will still be a big challenge for their energy strategy to focus on low-carbon technologies while profiting from the continued exploitation of fossil fuels.</w:t>
      </w:r>
    </w:p>
    <w:p w14:paraId="35FFD740" w14:textId="77777777" w:rsidR="00F14986" w:rsidRPr="004D503B" w:rsidRDefault="00F14986" w:rsidP="00F14986">
      <w:r>
        <w:t xml:space="preserve">AI, digital technologies, and advanced data analytics allow the company to streamline manufacturing, refine exploration efforts, and boost safety on its operations. The digital transformation enables more rapid decision-making and resource utilisation, further supporting BP's cost and productivity reduction efforts. Additionally, the firm's investment in research and development fosters innovation in the fields of carbon capture, hydrogen production, and renewable energy, aligning with its long-term sustainability goals (OECD, 2024). One problem with continuous technological advancements, however, is that they come at a huge financial cost, </w:t>
      </w:r>
      <w:r>
        <w:lastRenderedPageBreak/>
        <w:t>and there is always the possibility that the newest technology could not reflect the expected return on investment.</w:t>
      </w:r>
    </w:p>
    <w:p w14:paraId="32F17C48" w14:textId="77777777" w:rsidR="00F14986" w:rsidRDefault="00F14986" w:rsidP="00F14986">
      <w:pPr>
        <w:pStyle w:val="Heading2"/>
        <w:spacing w:before="140"/>
        <w:jc w:val="left"/>
      </w:pPr>
      <w:bookmarkStart w:id="7" w:name="_Toc234618898"/>
      <w:r>
        <w:rPr>
          <w:rFonts w:ascii="Times New Roman" w:hAnsi="Times New Roman"/>
          <w:b/>
          <w:color w:val="000000"/>
          <w:sz w:val="24"/>
        </w:rPr>
        <w:t>3.2 Talent Management and Competitiveness</w:t>
      </w:r>
      <w:bookmarkEnd w:id="7"/>
    </w:p>
    <w:p w14:paraId="75399B50" w14:textId="77777777" w:rsidR="00F14986" w:rsidRPr="004D503B" w:rsidRDefault="00F14986" w:rsidP="00F14986">
      <w:r w:rsidRPr="004D503B">
        <w:t>The challenges and opportunities also have an impact on BP's ability to attract, retain and develop talent globally. With digitalisation growing, it is essential that the company have employees with AI skills, expertise in cybersecurity, data science and renewable energy technologies. BP therefore has a need to continue important employee training, reskilling and leadership development to arm its workforce with the skills and capacity they will require for future business needs. An inclusive learning culture can boost employee engagement and organisational performance, as well as foster innovation (CIPD, 2024). But heavy competition worldwide for the highly skilled worker raises the expenses of recruiting workers and can lead to a lack of skilled workers in specific human-technical fields.</w:t>
      </w:r>
    </w:p>
    <w:p w14:paraId="5D65D56A" w14:textId="3F6FDAD1" w:rsidR="00F14986" w:rsidRPr="004D503B" w:rsidRDefault="00F14986" w:rsidP="00F14986">
      <w:r w:rsidRPr="004D503B">
        <w:t>BP's overall competitiveness depends on its reaction to external conditions. Over political changes – such as supply chain uncertainty and energy market volatility</w:t>
      </w:r>
      <w:r>
        <w:t xml:space="preserve">- </w:t>
      </w:r>
      <w:r w:rsidRPr="004D503B">
        <w:t>mean significant rises in operational expense and uncertainty over investments abroad. Meanwhile, organisations are gaining investor attention, government approval and customer appreciation for their good ESG (environmental, social and governance) actions. Hence, BP's success in embedding sustainability into its operations will create its future competitiveness in the energy market at the global level (United Nations Global Compact, 2023). An inappropriate response might lead to a loss of trust from investors and impact the company's global brand.</w:t>
      </w:r>
    </w:p>
    <w:p w14:paraId="26B92B5C" w14:textId="77777777" w:rsidR="00F14986" w:rsidRDefault="00F14986" w:rsidP="00F14986">
      <w:pPr>
        <w:pStyle w:val="Heading1"/>
        <w:spacing w:before="200"/>
        <w:jc w:val="left"/>
      </w:pPr>
      <w:bookmarkStart w:id="8" w:name="_Toc234618899"/>
      <w:r>
        <w:rPr>
          <w:color w:val="000000"/>
          <w:sz w:val="26"/>
        </w:rPr>
        <w:t>4. Strategic Recommendations</w:t>
      </w:r>
      <w:bookmarkEnd w:id="8"/>
    </w:p>
    <w:p w14:paraId="28C138D2" w14:textId="77777777" w:rsidR="00F14986" w:rsidRPr="004D503B" w:rsidRDefault="00F14986" w:rsidP="00F14986">
      <w:r w:rsidRPr="004D503B">
        <w:t>BP needs to further invest in AI and digital technologies to streamline operations, predictive maintenance and data-informed strategic decision-making within their business, to enhance their global competitiveness. At the same time, the company has to improve its cybersecurity infrastructure and therefore withstand the ever-worsening cyber threats posed to critical infrastructure.</w:t>
      </w:r>
    </w:p>
    <w:p w14:paraId="17ADA64F" w14:textId="77777777" w:rsidR="00F14986" w:rsidRPr="004D503B" w:rsidRDefault="00F14986" w:rsidP="00F14986">
      <w:r w:rsidRPr="004D503B">
        <w:t xml:space="preserve">Secondly, BP needs to increase the aspects of international diversification of its supply chain by building strategic relationships with suppliers in several geographic areas. A smaller reliance on </w:t>
      </w:r>
      <w:r w:rsidRPr="004D503B">
        <w:lastRenderedPageBreak/>
        <w:t>exposure to the high-risk areas will enhance supply chain resiliency while ensuring a lesser reorientation to incidence in the future due to geopolitical changes.</w:t>
      </w:r>
    </w:p>
    <w:p w14:paraId="3F61655C" w14:textId="412A4A35" w:rsidR="00F14986" w:rsidRDefault="00F14986" w:rsidP="00F14986">
      <w:r w:rsidRPr="004D503B">
        <w:t>Finally, BP should increase its investments in renewable energy and carbon capture &amp; hydrogen technologies, to help drive the global energy transition. Growth of these low-carbon industry businesses will support stronger regulatory compliance, grow ESG performance and positively impact the long-term profitability.</w:t>
      </w:r>
    </w:p>
    <w:p w14:paraId="167A5C0E" w14:textId="77777777" w:rsidR="00F14986" w:rsidRDefault="00F14986" w:rsidP="00F14986">
      <w:pPr>
        <w:pStyle w:val="Heading1"/>
        <w:spacing w:before="200"/>
        <w:jc w:val="left"/>
      </w:pPr>
      <w:bookmarkStart w:id="9" w:name="_Toc234618900"/>
      <w:r>
        <w:rPr>
          <w:color w:val="000000"/>
          <w:sz w:val="26"/>
        </w:rPr>
        <w:t>5. Conclusion</w:t>
      </w:r>
      <w:bookmarkEnd w:id="9"/>
    </w:p>
    <w:p w14:paraId="6F2A528F" w14:textId="77777777" w:rsidR="00F14986" w:rsidRDefault="00F14986" w:rsidP="00F14986">
      <w:r>
        <w:t>On the one hand, artificial intelligence drives forward the efficiency, innovation and productivity of operations, and on the other hand, geopolitical risks to supply chains and uncertainty in business arise. Sustainability regulations, on the other hand, have the advantage of transparency and accelerate the fast-forward company's transition to cleaner energy practices - and they are imposing more pressure on companies than compliance ever will. As part of BP's global success plan, it will strive to create a resilient supply chain, an approach to business that is sustainable and a digital transformation. Continual innovation, investment in human capital resources and more continuing efforts to boost environmental performance will leave BP in a better position when competing in the dynamic global business environment.</w:t>
      </w:r>
    </w:p>
    <w:p w14:paraId="45AE311C" w14:textId="77777777" w:rsidR="00F14986" w:rsidRDefault="00F14986" w:rsidP="00F14986"/>
    <w:p w14:paraId="469ECE12" w14:textId="77777777" w:rsidR="00F14986" w:rsidRDefault="00F14986" w:rsidP="00F14986"/>
    <w:p w14:paraId="55546CA4" w14:textId="77777777" w:rsidR="00F14986" w:rsidRDefault="00F14986" w:rsidP="00F14986"/>
    <w:p w14:paraId="22D8C332" w14:textId="77777777" w:rsidR="00F14986" w:rsidRDefault="00F14986" w:rsidP="00F14986">
      <w:pPr>
        <w:spacing w:line="278" w:lineRule="auto"/>
        <w:jc w:val="left"/>
        <w:rPr>
          <w:rFonts w:eastAsiaTheme="majorEastAsia" w:cstheme="majorBidi"/>
          <w:b/>
          <w:sz w:val="32"/>
          <w:szCs w:val="40"/>
        </w:rPr>
      </w:pPr>
      <w:r>
        <w:br w:type="page"/>
      </w:r>
    </w:p>
    <w:p w14:paraId="70C5130D" w14:textId="77777777" w:rsidR="00F14986" w:rsidRDefault="00F14986" w:rsidP="00F14986">
      <w:pPr>
        <w:pStyle w:val="Heading1"/>
        <w:spacing w:before="200"/>
      </w:pPr>
      <w:bookmarkStart w:id="10" w:name="_Toc234618901"/>
      <w:r w:rsidRPr="004D503B">
        <w:rPr>
          <w:color w:val="000000"/>
          <w:sz w:val="26"/>
        </w:rPr>
        <w:lastRenderedPageBreak/>
        <w:t>References</w:t>
      </w:r>
      <w:bookmarkEnd w:id="10"/>
    </w:p>
    <w:p w14:paraId="5378DB46" w14:textId="77777777" w:rsidR="00F14986" w:rsidRPr="004D503B" w:rsidRDefault="00F14986" w:rsidP="00F14986">
      <w:r w:rsidRPr="004D503B">
        <w:t xml:space="preserve">BP. (2024) </w:t>
      </w:r>
      <w:r w:rsidRPr="004D503B">
        <w:rPr>
          <w:i/>
          <w:iCs/>
        </w:rPr>
        <w:t>Annual Report and Form 20-F 2024</w:t>
      </w:r>
      <w:r w:rsidRPr="004D503B">
        <w:t>. London: BP plc.</w:t>
      </w:r>
      <w:r>
        <w:t xml:space="preserve"> Available at: </w:t>
      </w:r>
      <w:hyperlink r:id="rId10" w:history="1">
        <w:r w:rsidRPr="00D93E10">
          <w:rPr>
            <w:rStyle w:val="Hyperlink"/>
          </w:rPr>
          <w:t>https://www.bp.com/api/files/6cqieuqhq4no/master/4YdMeDFNDUgV33gMyfrUK7/e6a7feaf8b863b24e985f8b4550699e9/bp-annual-report-and-form-20f-2024.pdf</w:t>
        </w:r>
      </w:hyperlink>
      <w:r>
        <w:t xml:space="preserve"> (Accessed on: 2 July 2026)</w:t>
      </w:r>
    </w:p>
    <w:p w14:paraId="5E80E884" w14:textId="77777777" w:rsidR="00F14986" w:rsidRPr="004D503B" w:rsidRDefault="00F14986" w:rsidP="00F14986">
      <w:r w:rsidRPr="004D503B">
        <w:t xml:space="preserve">Chartered Institute of Personnel and Development (CIPD) (2024) </w:t>
      </w:r>
      <w:r w:rsidRPr="004D503B">
        <w:rPr>
          <w:i/>
          <w:iCs/>
        </w:rPr>
        <w:t>People Profession Survey 2024</w:t>
      </w:r>
      <w:r w:rsidRPr="004D503B">
        <w:t>. London: CIPD.</w:t>
      </w:r>
      <w:r>
        <w:t xml:space="preserve"> Available at: </w:t>
      </w:r>
      <w:hyperlink r:id="rId11" w:history="1">
        <w:r w:rsidRPr="00D93E10">
          <w:rPr>
            <w:rStyle w:val="Hyperlink"/>
          </w:rPr>
          <w:t>https://www.cipd.org/globalassets/media/knowledge/knowledge-hub/reports/2024-pdfs/8625-good-work-index-2024-survey-report-1-web.pdf</w:t>
        </w:r>
      </w:hyperlink>
      <w:r>
        <w:t xml:space="preserve"> (Accessed on: 2 July 2026)</w:t>
      </w:r>
    </w:p>
    <w:p w14:paraId="1264F2DD" w14:textId="77777777" w:rsidR="00F14986" w:rsidRPr="004D503B" w:rsidRDefault="00F14986" w:rsidP="00F14986">
      <w:r w:rsidRPr="004D503B">
        <w:t>Davenport, T.H. and Mittal, N. (20</w:t>
      </w:r>
      <w:r>
        <w:t>23</w:t>
      </w:r>
      <w:r w:rsidRPr="004D503B">
        <w:t xml:space="preserve">) </w:t>
      </w:r>
      <w:r w:rsidRPr="004D503B">
        <w:rPr>
          <w:i/>
          <w:iCs/>
        </w:rPr>
        <w:t>All-in on AI: How Smart Companies Win Big with Artificial Intelligence</w:t>
      </w:r>
      <w:r w:rsidRPr="004D503B">
        <w:t>. Boston, MA: Harvard Business Review Press.</w:t>
      </w:r>
    </w:p>
    <w:p w14:paraId="45C5B2C5" w14:textId="77777777" w:rsidR="00F14986" w:rsidRDefault="00F14986" w:rsidP="00F14986">
      <w:r w:rsidRPr="005341CA">
        <w:t>Hill, C.</w:t>
      </w:r>
      <w:r>
        <w:t xml:space="preserve"> (</w:t>
      </w:r>
      <w:r w:rsidRPr="005341CA">
        <w:t>2008</w:t>
      </w:r>
      <w:r>
        <w:t>)</w:t>
      </w:r>
      <w:r w:rsidRPr="005341CA">
        <w:t xml:space="preserve"> International business: Competing in the global market place. Strategic Direction, 24(9).</w:t>
      </w:r>
    </w:p>
    <w:p w14:paraId="4C680908" w14:textId="77777777" w:rsidR="00F14986" w:rsidRPr="004D503B" w:rsidRDefault="00F14986" w:rsidP="00F14986">
      <w:r w:rsidRPr="004D503B">
        <w:t xml:space="preserve">International Energy Agency (IEA) (2024) </w:t>
      </w:r>
      <w:r w:rsidRPr="004D503B">
        <w:rPr>
          <w:i/>
          <w:iCs/>
        </w:rPr>
        <w:t>World Energy Outlook 2024</w:t>
      </w:r>
      <w:r w:rsidRPr="004D503B">
        <w:t>. Paris: International Energy Agency</w:t>
      </w:r>
      <w:r>
        <w:t xml:space="preserve">. Available at: </w:t>
      </w:r>
      <w:hyperlink r:id="rId12" w:history="1">
        <w:r w:rsidRPr="00D93E10">
          <w:rPr>
            <w:rStyle w:val="Hyperlink"/>
          </w:rPr>
          <w:t>https://www.iea.org/reports/world-energy-outlook-2024</w:t>
        </w:r>
      </w:hyperlink>
      <w:r>
        <w:t xml:space="preserve"> (Accessed on: 2 July 2026)</w:t>
      </w:r>
    </w:p>
    <w:p w14:paraId="4E2F4D19" w14:textId="77777777" w:rsidR="00F14986" w:rsidRPr="00AB452E" w:rsidRDefault="00F14986" w:rsidP="00F14986">
      <w:r w:rsidRPr="00AB452E">
        <w:t>Jain, A.</w:t>
      </w:r>
      <w:r>
        <w:t xml:space="preserve"> (</w:t>
      </w:r>
      <w:r w:rsidRPr="00AB452E">
        <w:t>2021</w:t>
      </w:r>
      <w:r>
        <w:t>)</w:t>
      </w:r>
      <w:r w:rsidRPr="00AB452E">
        <w:t xml:space="preserve"> Impact of digitalization and artificial intelligence as causes and enablers of organizational change. </w:t>
      </w:r>
      <w:r w:rsidRPr="00AB452E">
        <w:rPr>
          <w:i/>
          <w:iCs/>
        </w:rPr>
        <w:t>Nottingham University Business School, UK</w:t>
      </w:r>
      <w:r w:rsidRPr="00AB452E">
        <w:t>.</w:t>
      </w:r>
    </w:p>
    <w:p w14:paraId="07ADA615" w14:textId="77777777" w:rsidR="00F14986" w:rsidRPr="004D503B" w:rsidRDefault="00F14986" w:rsidP="00F14986">
      <w:r w:rsidRPr="004D503B">
        <w:t xml:space="preserve">Organisation for Economic Co-operation and Development (OECD) (2024) </w:t>
      </w:r>
      <w:r w:rsidRPr="004D503B">
        <w:rPr>
          <w:i/>
          <w:iCs/>
        </w:rPr>
        <w:t>OECD Digital Economy Outlook 2024</w:t>
      </w:r>
      <w:r w:rsidRPr="004D503B">
        <w:t>. Paris: OECD Publishing.</w:t>
      </w:r>
      <w:r>
        <w:t xml:space="preserve"> Available at: </w:t>
      </w:r>
      <w:hyperlink r:id="rId13" w:history="1">
        <w:r w:rsidRPr="00D93E10">
          <w:rPr>
            <w:rStyle w:val="Hyperlink"/>
          </w:rPr>
          <w:t>https://www.oecd.org/content/dam/oecd/en/publications/reports/2024/05/oecd-digital-economy-outlook-2024-volume-1_d30a04c9/a1689dc5-en.pdf</w:t>
        </w:r>
      </w:hyperlink>
      <w:r>
        <w:t xml:space="preserve"> (Accessed on: 2 July 2026)</w:t>
      </w:r>
    </w:p>
    <w:p w14:paraId="2BC9199E" w14:textId="77777777" w:rsidR="00F14986" w:rsidRPr="004D503B" w:rsidRDefault="00F14986" w:rsidP="00F14986">
      <w:r w:rsidRPr="004D503B">
        <w:t xml:space="preserve">United Nations Global Compact (2023) </w:t>
      </w:r>
      <w:r w:rsidRPr="004D503B">
        <w:rPr>
          <w:i/>
          <w:iCs/>
        </w:rPr>
        <w:t>Forward Faster: Accelerating Business Action on the Sustainable Development Goals</w:t>
      </w:r>
      <w:r w:rsidRPr="004D503B">
        <w:t>. New York: United Nations Global Compact.</w:t>
      </w:r>
      <w:r>
        <w:t xml:space="preserve"> Available at: </w:t>
      </w:r>
      <w:hyperlink r:id="rId14" w:history="1">
        <w:r w:rsidRPr="00D93E10">
          <w:rPr>
            <w:rStyle w:val="Hyperlink"/>
          </w:rPr>
          <w:t>https://forwardfaster.unglobalcompact.org/home</w:t>
        </w:r>
      </w:hyperlink>
      <w:r>
        <w:t xml:space="preserve"> (Accessed on: 2 July 2026)</w:t>
      </w:r>
    </w:p>
    <w:p w14:paraId="5CE89FC2" w14:textId="77777777" w:rsidR="00F14986" w:rsidRPr="004D503B" w:rsidRDefault="00F14986" w:rsidP="00F14986">
      <w:r w:rsidRPr="004D503B">
        <w:t xml:space="preserve">World Bank (2024) </w:t>
      </w:r>
      <w:r w:rsidRPr="004D503B">
        <w:rPr>
          <w:i/>
          <w:iCs/>
        </w:rPr>
        <w:t>Global Economic Prospects</w:t>
      </w:r>
      <w:r w:rsidRPr="004D503B">
        <w:t>. Washington, DC: World Bank.</w:t>
      </w:r>
      <w:r>
        <w:t xml:space="preserve"> Available at: </w:t>
      </w:r>
      <w:hyperlink r:id="rId15" w:history="1">
        <w:r w:rsidRPr="00D93E10">
          <w:rPr>
            <w:rStyle w:val="Hyperlink"/>
          </w:rPr>
          <w:t>https://documents.worldbank.org/en/publication/documents-reports/documentdetail/099003106112426991</w:t>
        </w:r>
      </w:hyperlink>
      <w:r>
        <w:t xml:space="preserve"> (Accessed on: 2 July 2026)</w:t>
      </w:r>
    </w:p>
    <w:p w14:paraId="6345BBC0" w14:textId="77777777" w:rsidR="00F14986" w:rsidRPr="004D503B" w:rsidRDefault="00F14986" w:rsidP="00F14986">
      <w:r w:rsidRPr="004D503B">
        <w:lastRenderedPageBreak/>
        <w:t xml:space="preserve">World Economic Forum. (2024) </w:t>
      </w:r>
      <w:r w:rsidRPr="004D503B">
        <w:rPr>
          <w:i/>
          <w:iCs/>
        </w:rPr>
        <w:t>The Global Risks Report 2024</w:t>
      </w:r>
      <w:r w:rsidRPr="004D503B">
        <w:t>. 19th edn. Geneva: World Economic Forum.</w:t>
      </w:r>
      <w:r>
        <w:t xml:space="preserve"> Available at: </w:t>
      </w:r>
      <w:hyperlink r:id="rId16" w:history="1">
        <w:r w:rsidRPr="00D93E10">
          <w:rPr>
            <w:rStyle w:val="Hyperlink"/>
          </w:rPr>
          <w:t>https://www.weforum.org/publications/global-risks-report-2024/</w:t>
        </w:r>
      </w:hyperlink>
      <w:r>
        <w:t xml:space="preserve"> (Accessed on: 2 July 2026)</w:t>
      </w:r>
    </w:p>
    <w:p w14:paraId="79DDCD39" w14:textId="4A4E9B84" w:rsidR="00993FA4" w:rsidRPr="004D503B" w:rsidRDefault="00993FA4" w:rsidP="00F14986"/>
    <w:sectPr w:rsidR="00993FA4" w:rsidRPr="004D503B">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78591" w14:textId="77777777" w:rsidR="008A749D" w:rsidRDefault="008A749D" w:rsidP="00AB452E">
      <w:pPr>
        <w:spacing w:after="0" w:line="240" w:lineRule="auto"/>
      </w:pPr>
      <w:r>
        <w:separator/>
      </w:r>
    </w:p>
  </w:endnote>
  <w:endnote w:type="continuationSeparator" w:id="0">
    <w:p w14:paraId="7EEE20AA" w14:textId="77777777" w:rsidR="008A749D" w:rsidRDefault="008A749D" w:rsidP="00AB45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640875" w14:textId="77777777" w:rsidR="00AB452E" w:rsidRDefault="00AB45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6398126"/>
      <w:docPartObj>
        <w:docPartGallery w:val="Page Numbers (Bottom of Page)"/>
        <w:docPartUnique/>
      </w:docPartObj>
    </w:sdtPr>
    <w:sdtEndPr>
      <w:rPr>
        <w:noProof/>
      </w:rPr>
    </w:sdtEndPr>
    <w:sdtContent>
      <w:p w14:paraId="52E7DA16" w14:textId="4FC8E20A" w:rsidR="00AB452E" w:rsidRDefault="00AB45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9EAEA5" w14:textId="77777777" w:rsidR="00AB452E" w:rsidRDefault="00AB45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FCBCE8" w14:textId="77777777" w:rsidR="00AB452E" w:rsidRDefault="00AB45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E801A" w14:textId="77777777" w:rsidR="008A749D" w:rsidRDefault="008A749D" w:rsidP="00AB452E">
      <w:pPr>
        <w:spacing w:after="0" w:line="240" w:lineRule="auto"/>
      </w:pPr>
      <w:r>
        <w:separator/>
      </w:r>
    </w:p>
  </w:footnote>
  <w:footnote w:type="continuationSeparator" w:id="0">
    <w:p w14:paraId="28DCEAD0" w14:textId="77777777" w:rsidR="008A749D" w:rsidRDefault="008A749D" w:rsidP="00AB45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AB63CF" w14:textId="77777777" w:rsidR="00AB452E" w:rsidRDefault="00AB45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84759" w14:textId="77777777" w:rsidR="00AB452E" w:rsidRDefault="00AB45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247987" w14:textId="77777777" w:rsidR="00AB452E" w:rsidRDefault="00AB45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C73F9B"/>
    <w:multiLevelType w:val="multilevel"/>
    <w:tmpl w:val="C5780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552"/>
    <w:rsid w:val="000E0E76"/>
    <w:rsid w:val="00101412"/>
    <w:rsid w:val="0011330C"/>
    <w:rsid w:val="00141E28"/>
    <w:rsid w:val="0014586B"/>
    <w:rsid w:val="001E2853"/>
    <w:rsid w:val="00223AA1"/>
    <w:rsid w:val="002679CE"/>
    <w:rsid w:val="00310516"/>
    <w:rsid w:val="00464714"/>
    <w:rsid w:val="004806F9"/>
    <w:rsid w:val="004D503B"/>
    <w:rsid w:val="005341CA"/>
    <w:rsid w:val="005D3355"/>
    <w:rsid w:val="00695DFD"/>
    <w:rsid w:val="006D2F8E"/>
    <w:rsid w:val="006F2CB8"/>
    <w:rsid w:val="00732FEC"/>
    <w:rsid w:val="007A7E1C"/>
    <w:rsid w:val="007E5522"/>
    <w:rsid w:val="00820563"/>
    <w:rsid w:val="008236EE"/>
    <w:rsid w:val="00876CAE"/>
    <w:rsid w:val="008A749D"/>
    <w:rsid w:val="00933CA2"/>
    <w:rsid w:val="0093572B"/>
    <w:rsid w:val="00936861"/>
    <w:rsid w:val="00993FA4"/>
    <w:rsid w:val="009A09F1"/>
    <w:rsid w:val="009A4D6E"/>
    <w:rsid w:val="00A408BA"/>
    <w:rsid w:val="00A93BF9"/>
    <w:rsid w:val="00AB452E"/>
    <w:rsid w:val="00B04B0E"/>
    <w:rsid w:val="00B14552"/>
    <w:rsid w:val="00BA4E68"/>
    <w:rsid w:val="00BC57E4"/>
    <w:rsid w:val="00C00355"/>
    <w:rsid w:val="00C05DC7"/>
    <w:rsid w:val="00C43E9E"/>
    <w:rsid w:val="00CA18DD"/>
    <w:rsid w:val="00E00637"/>
    <w:rsid w:val="00E16B76"/>
    <w:rsid w:val="00E45CD0"/>
    <w:rsid w:val="00EB6B1F"/>
    <w:rsid w:val="00EC22D7"/>
    <w:rsid w:val="00EC365C"/>
    <w:rsid w:val="00F055F3"/>
    <w:rsid w:val="00F14986"/>
    <w:rsid w:val="00FC6F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C909E"/>
  <w15:chartTrackingRefBased/>
  <w15:docId w15:val="{6D780FCD-FCC0-4551-978A-6B2419DD1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637"/>
    <w:pPr>
      <w:spacing w:line="360" w:lineRule="auto"/>
      <w:jc w:val="both"/>
    </w:pPr>
    <w:rPr>
      <w:rFonts w:ascii="Times New Roman" w:hAnsi="Times New Roman"/>
      <w:color w:val="000000" w:themeColor="text1"/>
      <w:lang w:val="en-GB"/>
    </w:rPr>
  </w:style>
  <w:style w:type="paragraph" w:styleId="Heading1">
    <w:name w:val="heading 1"/>
    <w:basedOn w:val="Normal"/>
    <w:next w:val="Normal"/>
    <w:link w:val="Heading1Char"/>
    <w:uiPriority w:val="9"/>
    <w:qFormat/>
    <w:rsid w:val="00E00637"/>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B145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45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45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45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45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45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45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45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0637"/>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B14552"/>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B14552"/>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B1455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B1455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B1455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1455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1455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1455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145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55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145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455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14552"/>
    <w:pPr>
      <w:spacing w:before="160"/>
      <w:jc w:val="center"/>
    </w:pPr>
    <w:rPr>
      <w:i/>
      <w:iCs/>
      <w:color w:val="404040" w:themeColor="text1" w:themeTint="BF"/>
    </w:rPr>
  </w:style>
  <w:style w:type="character" w:customStyle="1" w:styleId="QuoteChar">
    <w:name w:val="Quote Char"/>
    <w:basedOn w:val="DefaultParagraphFont"/>
    <w:link w:val="Quote"/>
    <w:uiPriority w:val="29"/>
    <w:rsid w:val="00B14552"/>
    <w:rPr>
      <w:i/>
      <w:iCs/>
      <w:color w:val="404040" w:themeColor="text1" w:themeTint="BF"/>
      <w:lang w:val="en-GB"/>
    </w:rPr>
  </w:style>
  <w:style w:type="paragraph" w:styleId="ListParagraph">
    <w:name w:val="List Paragraph"/>
    <w:basedOn w:val="Normal"/>
    <w:uiPriority w:val="34"/>
    <w:qFormat/>
    <w:rsid w:val="00B14552"/>
    <w:pPr>
      <w:ind w:left="720"/>
      <w:contextualSpacing/>
    </w:pPr>
  </w:style>
  <w:style w:type="character" w:styleId="IntenseEmphasis">
    <w:name w:val="Intense Emphasis"/>
    <w:basedOn w:val="DefaultParagraphFont"/>
    <w:uiPriority w:val="21"/>
    <w:qFormat/>
    <w:rsid w:val="00B14552"/>
    <w:rPr>
      <w:i/>
      <w:iCs/>
      <w:color w:val="0F4761" w:themeColor="accent1" w:themeShade="BF"/>
    </w:rPr>
  </w:style>
  <w:style w:type="paragraph" w:styleId="IntenseQuote">
    <w:name w:val="Intense Quote"/>
    <w:basedOn w:val="Normal"/>
    <w:next w:val="Normal"/>
    <w:link w:val="IntenseQuoteChar"/>
    <w:uiPriority w:val="30"/>
    <w:qFormat/>
    <w:rsid w:val="00B145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4552"/>
    <w:rPr>
      <w:i/>
      <w:iCs/>
      <w:color w:val="0F4761" w:themeColor="accent1" w:themeShade="BF"/>
      <w:lang w:val="en-GB"/>
    </w:rPr>
  </w:style>
  <w:style w:type="character" w:styleId="IntenseReference">
    <w:name w:val="Intense Reference"/>
    <w:basedOn w:val="DefaultParagraphFont"/>
    <w:uiPriority w:val="32"/>
    <w:qFormat/>
    <w:rsid w:val="00B14552"/>
    <w:rPr>
      <w:b/>
      <w:bCs/>
      <w:smallCaps/>
      <w:color w:val="0F4761" w:themeColor="accent1" w:themeShade="BF"/>
      <w:spacing w:val="5"/>
    </w:rPr>
  </w:style>
  <w:style w:type="character" w:styleId="Hyperlink">
    <w:name w:val="Hyperlink"/>
    <w:basedOn w:val="DefaultParagraphFont"/>
    <w:uiPriority w:val="99"/>
    <w:unhideWhenUsed/>
    <w:rsid w:val="005341CA"/>
    <w:rPr>
      <w:color w:val="467886" w:themeColor="hyperlink"/>
      <w:u w:val="single"/>
    </w:rPr>
  </w:style>
  <w:style w:type="character" w:styleId="UnresolvedMention">
    <w:name w:val="Unresolved Mention"/>
    <w:basedOn w:val="DefaultParagraphFont"/>
    <w:uiPriority w:val="99"/>
    <w:semiHidden/>
    <w:unhideWhenUsed/>
    <w:rsid w:val="005341CA"/>
    <w:rPr>
      <w:color w:val="605E5C"/>
      <w:shd w:val="clear" w:color="auto" w:fill="E1DFDD"/>
    </w:rPr>
  </w:style>
  <w:style w:type="paragraph" w:styleId="Header">
    <w:name w:val="header"/>
    <w:basedOn w:val="Normal"/>
    <w:link w:val="HeaderChar"/>
    <w:uiPriority w:val="99"/>
    <w:unhideWhenUsed/>
    <w:rsid w:val="00AB45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452E"/>
    <w:rPr>
      <w:rFonts w:ascii="Times New Roman" w:hAnsi="Times New Roman"/>
      <w:color w:val="000000" w:themeColor="text1"/>
      <w:lang w:val="en-GB"/>
    </w:rPr>
  </w:style>
  <w:style w:type="paragraph" w:styleId="Footer">
    <w:name w:val="footer"/>
    <w:basedOn w:val="Normal"/>
    <w:link w:val="FooterChar"/>
    <w:uiPriority w:val="99"/>
    <w:unhideWhenUsed/>
    <w:rsid w:val="00AB45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452E"/>
    <w:rPr>
      <w:rFonts w:ascii="Times New Roman" w:hAnsi="Times New Roman"/>
      <w:color w:val="000000" w:themeColor="text1"/>
      <w:lang w:val="en-GB"/>
    </w:rPr>
  </w:style>
  <w:style w:type="paragraph" w:styleId="TOCHeading">
    <w:name w:val="TOC Heading"/>
    <w:basedOn w:val="Heading1"/>
    <w:next w:val="Normal"/>
    <w:uiPriority w:val="39"/>
    <w:unhideWhenUsed/>
    <w:qFormat/>
    <w:rsid w:val="00F14986"/>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F14986"/>
    <w:pPr>
      <w:spacing w:after="100"/>
    </w:pPr>
  </w:style>
  <w:style w:type="paragraph" w:styleId="TOC2">
    <w:name w:val="toc 2"/>
    <w:basedOn w:val="Normal"/>
    <w:next w:val="Normal"/>
    <w:autoRedefine/>
    <w:uiPriority w:val="39"/>
    <w:unhideWhenUsed/>
    <w:rsid w:val="00F1498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ecd.org/content/dam/oecd/en/publications/reports/2024/05/oecd-digital-economy-outlook-2024-volume-1_d30a04c9/a1689dc5-en.pdf"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iea.org/reports/world-energy-outlook-2024"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weforum.org/publications/global-risks-report-2024/"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globalassets/media/knowledge/knowledge-hub/reports/2024-pdfs/8625-good-work-index-2024-survey-report-1-web.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cuments.worldbank.org/en/publication/documents-reports/documentdetail/099003106112426991" TargetMode="External"/><Relationship Id="rId23" Type="http://schemas.openxmlformats.org/officeDocument/2006/relationships/fontTable" Target="fontTable.xml"/><Relationship Id="rId10" Type="http://schemas.openxmlformats.org/officeDocument/2006/relationships/hyperlink" Target="https://www.bp.com/api/files/6cqieuqhq4no/master/4YdMeDFNDUgV33gMyfrUK7/e6a7feaf8b863b24e985f8b4550699e9/bp-annual-report-and-form-20f-2024.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forwardfaster.unglobalcompact.org/home"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86D6FC-2DA4-4745-92AC-68F61A5B5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1145</TotalTime>
  <Pages>9</Pages>
  <Words>2293</Words>
  <Characters>13075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20</cp:revision>
  <dcterms:created xsi:type="dcterms:W3CDTF">2026-07-02T09:00:00Z</dcterms:created>
  <dcterms:modified xsi:type="dcterms:W3CDTF">2026-07-10T22:36:00Z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181c0b84-a4bb-4657-aa16-f79ede66bfe8</vt:lpwstr>
  </property>
</Properties>
</file>