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0EF7" w:rsidRPr="004C0EF7" w:rsidRDefault="004C0EF7" w:rsidP="004C0EF7">
      <w:pPr>
        <w:spacing w:after="160" w:line="259" w:lineRule="auto"/>
        <w:jc w:val="center"/>
        <w:rPr>
          <w:rFonts w:ascii="Verdana" w:hAnsi="Verdana"/>
          <w:b/>
          <w:i/>
          <w:sz w:val="44"/>
        </w:rPr>
      </w:pP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t>Employment Law</w:t>
      </w:r>
      <w:r>
        <w:rPr>
          <w:rFonts w:ascii="Verdana" w:hAnsi="Verdana"/>
          <w:b/>
          <w:i/>
          <w:sz w:val="44"/>
        </w:rPr>
        <w:t xml:space="preserve"> – </w:t>
      </w:r>
      <w:r w:rsidRPr="004C0EF7">
        <w:rPr>
          <w:rFonts w:ascii="Verdana" w:hAnsi="Verdana"/>
          <w:b/>
          <w:i/>
          <w:sz w:val="44"/>
        </w:rPr>
        <w:t>Providing appropriate advice</w:t>
      </w:r>
    </w:p>
    <w:p w:rsidR="004C0EF7" w:rsidRPr="004C0EF7" w:rsidRDefault="004C0EF7" w:rsidP="004C0EF7">
      <w:pPr>
        <w:spacing w:after="160" w:line="259" w:lineRule="auto"/>
        <w:jc w:val="center"/>
        <w:rPr>
          <w:rFonts w:ascii="Verdana" w:hAnsi="Verdana"/>
          <w:b/>
          <w:i/>
          <w:sz w:val="44"/>
        </w:rPr>
      </w:pPr>
      <w:r w:rsidRPr="004C0EF7">
        <w:rPr>
          <w:rFonts w:ascii="Verdana" w:hAnsi="Verdana"/>
          <w:b/>
          <w:i/>
          <w:sz w:val="44"/>
        </w:rPr>
        <w:t>to the management teams at</w:t>
      </w:r>
    </w:p>
    <w:p w:rsidR="004C0EF7" w:rsidRDefault="004C0EF7" w:rsidP="004C0EF7">
      <w:pPr>
        <w:spacing w:after="160" w:line="259" w:lineRule="auto"/>
        <w:jc w:val="center"/>
        <w:rPr>
          <w:rFonts w:ascii="Verdana" w:hAnsi="Verdana"/>
          <w:b/>
          <w:caps/>
          <w:sz w:val="18"/>
          <w:szCs w:val="18"/>
        </w:rPr>
      </w:pPr>
      <w:r w:rsidRPr="004C0EF7">
        <w:rPr>
          <w:rFonts w:ascii="Verdana" w:hAnsi="Verdana"/>
          <w:b/>
          <w:i/>
          <w:sz w:val="44"/>
        </w:rPr>
        <w:t>two UK based organisations.</w:t>
      </w:r>
    </w:p>
    <w:p w:rsidR="004C0EF7" w:rsidRDefault="004C0EF7" w:rsidP="004C0EF7">
      <w:pPr>
        <w:spacing w:after="160" w:line="259" w:lineRule="auto"/>
        <w:rPr>
          <w:rFonts w:ascii="Verdana" w:hAnsi="Verdana"/>
          <w:b/>
          <w:caps/>
          <w:sz w:val="18"/>
          <w:szCs w:val="18"/>
        </w:rPr>
      </w:pPr>
    </w:p>
    <w:p w:rsidR="004C0EF7" w:rsidRDefault="004C0EF7" w:rsidP="004C0EF7">
      <w:pPr>
        <w:spacing w:after="160" w:line="259" w:lineRule="auto"/>
        <w:jc w:val="center"/>
        <w:rPr>
          <w:rFonts w:ascii="Verdana" w:hAnsi="Verdana"/>
          <w:b/>
          <w:caps/>
          <w:sz w:val="18"/>
          <w:szCs w:val="18"/>
        </w:rPr>
      </w:pPr>
      <w:r>
        <w:rPr>
          <w:noProof/>
          <w:lang w:eastAsia="en-GB"/>
        </w:rPr>
        <w:drawing>
          <wp:inline distT="0" distB="0" distL="0" distR="0" wp14:anchorId="0C3911C7" wp14:editId="046BC20F">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4C0EF7" w:rsidRDefault="004C0EF7" w:rsidP="004C0EF7">
      <w:pPr>
        <w:spacing w:after="160" w:line="259" w:lineRule="auto"/>
        <w:rPr>
          <w:rFonts w:ascii="Verdana" w:hAnsi="Verdana"/>
          <w:b/>
          <w:caps/>
          <w:sz w:val="18"/>
          <w:szCs w:val="18"/>
        </w:rPr>
      </w:pPr>
    </w:p>
    <w:p w:rsidR="004C0EF7" w:rsidRPr="002A1AD3" w:rsidRDefault="004C0EF7" w:rsidP="004C0EF7">
      <w:pPr>
        <w:spacing w:after="160" w:line="259" w:lineRule="auto"/>
        <w:jc w:val="center"/>
        <w:rPr>
          <w:rFonts w:ascii="Verdana" w:hAnsi="Verdana"/>
          <w:b/>
          <w:sz w:val="44"/>
        </w:rPr>
      </w:pPr>
      <w:r>
        <w:rPr>
          <w:rFonts w:ascii="Verdana" w:hAnsi="Verdana"/>
          <w:b/>
          <w:sz w:val="44"/>
        </w:rPr>
        <w:t>2</w:t>
      </w:r>
      <w:r>
        <w:rPr>
          <w:rFonts w:ascii="Verdana" w:hAnsi="Verdana"/>
          <w:b/>
          <w:sz w:val="44"/>
        </w:rPr>
        <w:t>3</w:t>
      </w:r>
      <w:r w:rsidRPr="004C0EF7">
        <w:rPr>
          <w:rFonts w:ascii="Verdana" w:hAnsi="Verdana"/>
          <w:b/>
          <w:sz w:val="44"/>
          <w:vertAlign w:val="superscript"/>
        </w:rPr>
        <w:t>rd</w:t>
      </w:r>
      <w:r>
        <w:rPr>
          <w:rFonts w:ascii="Verdana" w:hAnsi="Verdana"/>
          <w:b/>
          <w:sz w:val="44"/>
        </w:rPr>
        <w:t xml:space="preserve"> February 2022</w:t>
      </w:r>
    </w:p>
    <w:p w:rsidR="004C0EF7" w:rsidRDefault="004C0EF7" w:rsidP="004C0EF7">
      <w:pPr>
        <w:spacing w:after="160" w:line="259" w:lineRule="auto"/>
        <w:rPr>
          <w:rFonts w:ascii="Verdana" w:hAnsi="Verdana"/>
          <w:b/>
          <w:caps/>
          <w:sz w:val="18"/>
          <w:szCs w:val="18"/>
        </w:rPr>
      </w:pPr>
    </w:p>
    <w:p w:rsidR="004C0EF7" w:rsidRDefault="004C0EF7" w:rsidP="004C0EF7">
      <w:pPr>
        <w:spacing w:after="160" w:line="259" w:lineRule="auto"/>
        <w:ind w:left="2880" w:hanging="2880"/>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sidRPr="004C0EF7">
        <w:rPr>
          <w:rFonts w:ascii="Verdana" w:hAnsi="Verdana"/>
          <w:b/>
          <w:caps/>
          <w:sz w:val="18"/>
          <w:szCs w:val="18"/>
        </w:rPr>
        <w:t>Advanced Application of Employment Law</w:t>
      </w:r>
      <w:r>
        <w:rPr>
          <w:rFonts w:ascii="Verdana" w:hAnsi="Verdana"/>
          <w:b/>
          <w:caps/>
          <w:sz w:val="18"/>
          <w:szCs w:val="18"/>
        </w:rPr>
        <w:t xml:space="preserve"> </w:t>
      </w:r>
      <w:r>
        <w:rPr>
          <w:rFonts w:ascii="Verdana" w:hAnsi="Verdana"/>
          <w:b/>
          <w:caps/>
          <w:sz w:val="18"/>
          <w:szCs w:val="18"/>
        </w:rPr>
        <w:t xml:space="preserve">: </w:t>
      </w:r>
      <w:r w:rsidRPr="004C0EF7">
        <w:rPr>
          <w:rFonts w:ascii="Verdana" w:hAnsi="Verdana"/>
          <w:b/>
          <w:caps/>
          <w:sz w:val="18"/>
          <w:szCs w:val="18"/>
        </w:rPr>
        <w:t>BMHR7019</w:t>
      </w:r>
    </w:p>
    <w:p w:rsidR="004C0EF7" w:rsidRPr="00506074" w:rsidRDefault="004C0EF7" w:rsidP="004C0EF7">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t>Amy Collins</w:t>
      </w:r>
    </w:p>
    <w:p w:rsidR="004C0EF7" w:rsidRDefault="004C0EF7" w:rsidP="004C0EF7">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506074">
        <w:rPr>
          <w:rFonts w:ascii="Verdana" w:hAnsi="Verdana"/>
          <w:b/>
          <w:caps/>
          <w:sz w:val="18"/>
          <w:szCs w:val="18"/>
        </w:rPr>
        <w:t>1703573</w:t>
      </w:r>
    </w:p>
    <w:p w:rsidR="004C0EF7" w:rsidRDefault="004C0EF7" w:rsidP="004C0EF7">
      <w:pPr>
        <w:spacing w:after="160" w:line="259" w:lineRule="auto"/>
        <w:rPr>
          <w:rFonts w:ascii="Verdana" w:hAnsi="Verdana"/>
          <w:b/>
          <w:caps/>
          <w:sz w:val="18"/>
          <w:szCs w:val="18"/>
        </w:rPr>
      </w:pPr>
    </w:p>
    <w:p w:rsidR="004C0EF7" w:rsidRDefault="004C0EF7" w:rsidP="004C0EF7">
      <w:pPr>
        <w:spacing w:after="160" w:line="259" w:lineRule="auto"/>
        <w:rPr>
          <w:rFonts w:ascii="Verdana" w:hAnsi="Verdana"/>
          <w:b/>
          <w:caps/>
          <w:sz w:val="18"/>
          <w:szCs w:val="18"/>
        </w:rPr>
      </w:pPr>
    </w:p>
    <w:p w:rsidR="004C0EF7" w:rsidRDefault="004C0EF7" w:rsidP="004C0EF7">
      <w:pPr>
        <w:spacing w:after="160" w:line="259" w:lineRule="auto"/>
        <w:rPr>
          <w:rFonts w:ascii="Verdana" w:hAnsi="Verdana"/>
          <w:b/>
          <w:caps/>
          <w:sz w:val="18"/>
          <w:szCs w:val="18"/>
        </w:rPr>
      </w:pPr>
    </w:p>
    <w:p w:rsidR="004C0EF7" w:rsidRDefault="004C0EF7" w:rsidP="004C0EF7">
      <w:pPr>
        <w:spacing w:after="160" w:line="259" w:lineRule="auto"/>
        <w:rPr>
          <w:rFonts w:ascii="Verdana" w:hAnsi="Verdana"/>
          <w:b/>
          <w:caps/>
          <w:sz w:val="18"/>
          <w:szCs w:val="18"/>
        </w:rPr>
      </w:pPr>
    </w:p>
    <w:p w:rsidR="004C0EF7" w:rsidRDefault="004C0EF7" w:rsidP="004C0EF7">
      <w:pPr>
        <w:spacing w:after="160" w:line="259" w:lineRule="auto"/>
        <w:rPr>
          <w:rFonts w:ascii="Verdana" w:hAnsi="Verdana"/>
          <w:b/>
          <w:caps/>
          <w:sz w:val="18"/>
          <w:szCs w:val="18"/>
        </w:rPr>
      </w:pPr>
    </w:p>
    <w:p w:rsidR="004C0EF7" w:rsidRDefault="004C0EF7" w:rsidP="004C0EF7">
      <w:pPr>
        <w:spacing w:after="160" w:line="259" w:lineRule="auto"/>
        <w:rPr>
          <w:rFonts w:ascii="Verdana" w:hAnsi="Verdana"/>
          <w:b/>
          <w:caps/>
          <w:sz w:val="18"/>
          <w:szCs w:val="18"/>
        </w:rPr>
      </w:pPr>
    </w:p>
    <w:p w:rsidR="004C0EF7" w:rsidRDefault="004C0EF7" w:rsidP="004C0EF7">
      <w:pPr>
        <w:spacing w:after="160" w:line="259" w:lineRule="auto"/>
        <w:rPr>
          <w:rFonts w:ascii="Verdana" w:hAnsi="Verdana"/>
          <w:b/>
          <w:caps/>
          <w:sz w:val="18"/>
          <w:szCs w:val="18"/>
        </w:rPr>
      </w:pPr>
    </w:p>
    <w:p w:rsidR="004C0EF7" w:rsidRDefault="004C0EF7" w:rsidP="004C0EF7">
      <w:pPr>
        <w:spacing w:after="160" w:line="259" w:lineRule="auto"/>
        <w:rPr>
          <w:rFonts w:ascii="Verdana" w:hAnsi="Verdana"/>
          <w:b/>
          <w:caps/>
          <w:sz w:val="18"/>
          <w:szCs w:val="18"/>
        </w:rPr>
      </w:pPr>
    </w:p>
    <w:p w:rsidR="003C4C31" w:rsidRDefault="003C4C31" w:rsidP="00B1204E">
      <w:pPr>
        <w:ind w:left="1417" w:right="1417"/>
        <w:rPr>
          <w:rFonts w:ascii="Arial" w:eastAsia="Times New Roman" w:hAnsi="Arial" w:cs="Arial"/>
        </w:rPr>
      </w:pPr>
      <w:r>
        <w:rPr>
          <w:rFonts w:ascii="Arial" w:eastAsia="Times New Roman" w:hAnsi="Arial" w:cs="Arial"/>
        </w:rPr>
        <w:t xml:space="preserve">To whom it may concern, </w:t>
      </w:r>
    </w:p>
    <w:p w:rsidR="003C4C31" w:rsidRDefault="003C4C31" w:rsidP="00B1204E">
      <w:pPr>
        <w:ind w:left="1417" w:right="1417"/>
        <w:rPr>
          <w:rFonts w:ascii="Arial" w:eastAsia="Times New Roman" w:hAnsi="Arial" w:cs="Arial"/>
        </w:rPr>
      </w:pPr>
    </w:p>
    <w:p w:rsidR="006C3DE4" w:rsidRPr="006C3DE4" w:rsidRDefault="006C3DE4" w:rsidP="00B1204E">
      <w:pPr>
        <w:ind w:left="1417" w:right="1417"/>
        <w:rPr>
          <w:rFonts w:ascii="Arial" w:eastAsia="Times New Roman" w:hAnsi="Arial" w:cs="Arial"/>
        </w:rPr>
      </w:pPr>
      <w:r w:rsidRPr="006C3DE4">
        <w:rPr>
          <w:rFonts w:ascii="Arial" w:eastAsia="Times New Roman" w:hAnsi="Arial" w:cs="Arial"/>
        </w:rPr>
        <w:t xml:space="preserve">I am writing to inform you whether a </w:t>
      </w:r>
      <w:r>
        <w:rPr>
          <w:rFonts w:ascii="Arial" w:eastAsia="Times New Roman" w:hAnsi="Arial" w:cs="Arial"/>
        </w:rPr>
        <w:t xml:space="preserve">TUPE transfer will be taking place with regards to the employees at Illuminate, and if so what legal obligations both businesses have. I will also be providing a legal and fair redundancy process that can be used in the event that the business finds a need to make redundancies in the future. This email also discusses the business’ options with regards to making changes to employment contracts and the benefits and limitations to doing so. </w:t>
      </w:r>
    </w:p>
    <w:p w:rsidR="006C3DE4" w:rsidRDefault="006C3DE4" w:rsidP="00B1204E">
      <w:pPr>
        <w:ind w:left="1417" w:right="1417"/>
        <w:rPr>
          <w:rFonts w:ascii="Arial" w:eastAsia="Times New Roman" w:hAnsi="Arial" w:cs="Arial"/>
          <w:b/>
          <w:sz w:val="28"/>
          <w:u w:val="single"/>
        </w:rPr>
      </w:pPr>
    </w:p>
    <w:p w:rsidR="003768F5" w:rsidRDefault="003768F5" w:rsidP="00B1204E">
      <w:pPr>
        <w:ind w:left="1417" w:right="1417"/>
        <w:rPr>
          <w:rFonts w:ascii="Arial" w:eastAsia="Times New Roman" w:hAnsi="Arial" w:cs="Arial"/>
          <w:b/>
          <w:sz w:val="28"/>
          <w:u w:val="single"/>
        </w:rPr>
      </w:pPr>
      <w:r w:rsidRPr="003768F5">
        <w:rPr>
          <w:rFonts w:ascii="Arial" w:eastAsia="Times New Roman" w:hAnsi="Arial" w:cs="Arial"/>
          <w:b/>
          <w:sz w:val="28"/>
          <w:u w:val="single"/>
        </w:rPr>
        <w:t xml:space="preserve">TUPE </w:t>
      </w:r>
      <w:r>
        <w:rPr>
          <w:rFonts w:ascii="Arial" w:eastAsia="Times New Roman" w:hAnsi="Arial" w:cs="Arial"/>
          <w:b/>
          <w:sz w:val="28"/>
          <w:u w:val="single"/>
        </w:rPr>
        <w:t>T</w:t>
      </w:r>
      <w:r w:rsidRPr="003768F5">
        <w:rPr>
          <w:rFonts w:ascii="Arial" w:eastAsia="Times New Roman" w:hAnsi="Arial" w:cs="Arial"/>
          <w:b/>
          <w:sz w:val="28"/>
          <w:u w:val="single"/>
        </w:rPr>
        <w:t xml:space="preserve">ransfer? </w:t>
      </w:r>
    </w:p>
    <w:p w:rsidR="006A010A" w:rsidRDefault="006A010A" w:rsidP="00B1204E">
      <w:pPr>
        <w:ind w:left="1417" w:right="1417"/>
        <w:rPr>
          <w:rFonts w:ascii="Arial" w:eastAsia="Times New Roman" w:hAnsi="Arial" w:cs="Arial"/>
          <w:b/>
          <w:sz w:val="28"/>
          <w:u w:val="single"/>
        </w:rPr>
      </w:pPr>
    </w:p>
    <w:p w:rsidR="006A010A" w:rsidRDefault="006A010A" w:rsidP="00B1204E">
      <w:pPr>
        <w:ind w:left="1417" w:right="1417"/>
        <w:rPr>
          <w:rFonts w:ascii="Arial" w:eastAsia="Times New Roman" w:hAnsi="Arial" w:cs="Arial"/>
        </w:rPr>
      </w:pPr>
      <w:r>
        <w:rPr>
          <w:rFonts w:ascii="Arial" w:eastAsia="Times New Roman" w:hAnsi="Arial" w:cs="Arial"/>
        </w:rPr>
        <w:t>With BBL looking to operate where staff work on both production equipment and general electricity issues, it needs to consider whether it is a TUPE transfer or not. Based on the circumstances</w:t>
      </w:r>
      <w:r w:rsidR="00DE4D9A">
        <w:rPr>
          <w:rFonts w:ascii="Arial" w:eastAsia="Times New Roman" w:hAnsi="Arial" w:cs="Arial"/>
        </w:rPr>
        <w:t xml:space="preserve">, the likelihood is that this </w:t>
      </w:r>
      <w:r>
        <w:rPr>
          <w:rFonts w:ascii="Arial" w:eastAsia="Times New Roman" w:hAnsi="Arial" w:cs="Arial"/>
        </w:rPr>
        <w:t>can be considered a TUPE transfer as there are service provision changes happening in the business. This is where “</w:t>
      </w:r>
      <w:r w:rsidRPr="006A010A">
        <w:rPr>
          <w:rFonts w:ascii="Arial" w:eastAsia="Times New Roman" w:hAnsi="Arial" w:cs="Arial"/>
        </w:rPr>
        <w:t>a client takes over activities from a contractor (known as bringing work in-house or</w:t>
      </w:r>
      <w:r w:rsidR="00B1204E">
        <w:rPr>
          <w:rFonts w:ascii="Arial" w:eastAsia="Times New Roman" w:hAnsi="Arial" w:cs="Arial"/>
        </w:rPr>
        <w:t xml:space="preserve"> </w:t>
      </w:r>
      <w:r w:rsidRPr="006A010A">
        <w:rPr>
          <w:rFonts w:ascii="Arial" w:eastAsia="Times New Roman" w:hAnsi="Arial" w:cs="Arial"/>
        </w:rPr>
        <w:t>insourcing).</w:t>
      </w:r>
      <w:r>
        <w:rPr>
          <w:rFonts w:ascii="Arial" w:eastAsia="Times New Roman" w:hAnsi="Arial" w:cs="Arial"/>
        </w:rPr>
        <w:t>” (CIPD, 2022).</w:t>
      </w:r>
    </w:p>
    <w:p w:rsidR="00C4478D" w:rsidRDefault="00C4478D" w:rsidP="00B1204E">
      <w:pPr>
        <w:ind w:left="1417" w:right="1417"/>
        <w:rPr>
          <w:rFonts w:ascii="Arial" w:eastAsia="Times New Roman" w:hAnsi="Arial" w:cs="Arial"/>
        </w:rPr>
      </w:pPr>
    </w:p>
    <w:p w:rsidR="00C4478D" w:rsidRDefault="00DE4D9A" w:rsidP="00664420">
      <w:pPr>
        <w:ind w:left="1417" w:right="1417"/>
        <w:rPr>
          <w:rFonts w:ascii="Arial" w:eastAsia="Times New Roman" w:hAnsi="Arial" w:cs="Arial"/>
        </w:rPr>
      </w:pPr>
      <w:r>
        <w:rPr>
          <w:rFonts w:ascii="Arial" w:eastAsia="Times New Roman" w:hAnsi="Arial" w:cs="Arial"/>
        </w:rPr>
        <w:t>However, there is an argument to be had that the scenario</w:t>
      </w:r>
      <w:r w:rsidR="00C4478D">
        <w:rPr>
          <w:rFonts w:ascii="Arial" w:eastAsia="Times New Roman" w:hAnsi="Arial" w:cs="Arial"/>
        </w:rPr>
        <w:t xml:space="preserve"> </w:t>
      </w:r>
      <w:r>
        <w:rPr>
          <w:rFonts w:ascii="Arial" w:eastAsia="Times New Roman" w:hAnsi="Arial" w:cs="Arial"/>
        </w:rPr>
        <w:t>does not entail all relevant factors to make it</w:t>
      </w:r>
      <w:r w:rsidR="00C4478D">
        <w:rPr>
          <w:rFonts w:ascii="Arial" w:eastAsia="Times New Roman" w:hAnsi="Arial" w:cs="Arial"/>
        </w:rPr>
        <w:t xml:space="preserve"> a TUPE transfe</w:t>
      </w:r>
      <w:r>
        <w:rPr>
          <w:rFonts w:ascii="Arial" w:eastAsia="Times New Roman" w:hAnsi="Arial" w:cs="Arial"/>
        </w:rPr>
        <w:t xml:space="preserve">r. This </w:t>
      </w:r>
      <w:r w:rsidR="00C4478D">
        <w:rPr>
          <w:rFonts w:ascii="Arial" w:eastAsia="Times New Roman" w:hAnsi="Arial" w:cs="Arial"/>
        </w:rPr>
        <w:t>is</w:t>
      </w:r>
      <w:r>
        <w:rPr>
          <w:rFonts w:ascii="Arial" w:eastAsia="Times New Roman" w:hAnsi="Arial" w:cs="Arial"/>
        </w:rPr>
        <w:t xml:space="preserve"> because the transfer is</w:t>
      </w:r>
      <w:r w:rsidR="00C4478D">
        <w:rPr>
          <w:rFonts w:ascii="Arial" w:eastAsia="Times New Roman" w:hAnsi="Arial" w:cs="Arial"/>
        </w:rPr>
        <w:t xml:space="preserve"> not taking place based on the duration of the activities that the illuminate employees carry out. Attending site to install sockets or solving lighting issues may be a single event or be of little duration, </w:t>
      </w:r>
      <w:r>
        <w:rPr>
          <w:rFonts w:ascii="Arial" w:eastAsia="Times New Roman" w:hAnsi="Arial" w:cs="Arial"/>
        </w:rPr>
        <w:t xml:space="preserve">which </w:t>
      </w:r>
      <w:r w:rsidR="00C4478D">
        <w:rPr>
          <w:rFonts w:ascii="Arial" w:eastAsia="Times New Roman" w:hAnsi="Arial" w:cs="Arial"/>
        </w:rPr>
        <w:t>mean</w:t>
      </w:r>
      <w:r w:rsidR="00B33850">
        <w:rPr>
          <w:rFonts w:ascii="Arial" w:eastAsia="Times New Roman" w:hAnsi="Arial" w:cs="Arial"/>
        </w:rPr>
        <w:t xml:space="preserve">s that </w:t>
      </w:r>
      <w:r w:rsidR="00C4478D">
        <w:rPr>
          <w:rFonts w:ascii="Arial" w:eastAsia="Times New Roman" w:hAnsi="Arial" w:cs="Arial"/>
        </w:rPr>
        <w:t xml:space="preserve">a TUPE transfer </w:t>
      </w:r>
      <w:r w:rsidR="00B33850">
        <w:rPr>
          <w:rFonts w:ascii="Arial" w:eastAsia="Times New Roman" w:hAnsi="Arial" w:cs="Arial"/>
        </w:rPr>
        <w:t xml:space="preserve">may </w:t>
      </w:r>
      <w:r w:rsidR="00C4478D">
        <w:rPr>
          <w:rFonts w:ascii="Arial" w:eastAsia="Times New Roman" w:hAnsi="Arial" w:cs="Arial"/>
        </w:rPr>
        <w:t>not taking place (CIPD, 2022).</w:t>
      </w:r>
    </w:p>
    <w:p w:rsidR="00C4478D" w:rsidRDefault="00C4478D" w:rsidP="00B1204E">
      <w:pPr>
        <w:ind w:left="1417" w:right="1417"/>
        <w:rPr>
          <w:rFonts w:ascii="Arial" w:eastAsia="Times New Roman" w:hAnsi="Arial" w:cs="Arial"/>
        </w:rPr>
      </w:pPr>
    </w:p>
    <w:p w:rsidR="00C4478D" w:rsidRDefault="00C4478D" w:rsidP="00B1204E">
      <w:pPr>
        <w:ind w:left="1417" w:right="1417"/>
        <w:rPr>
          <w:rFonts w:ascii="Arial" w:eastAsia="Times New Roman" w:hAnsi="Arial" w:cs="Arial"/>
        </w:rPr>
      </w:pPr>
      <w:r>
        <w:rPr>
          <w:rFonts w:ascii="Arial" w:eastAsia="Times New Roman" w:hAnsi="Arial" w:cs="Arial"/>
        </w:rPr>
        <w:t xml:space="preserve">In conclusion, I would say that it is likely to be a TUPE transfer as Illuminate have a group of 15 employees that work 85% of the time at BBL. This indicates that </w:t>
      </w:r>
      <w:r w:rsidR="00DD433D">
        <w:rPr>
          <w:rFonts w:ascii="Arial" w:eastAsia="Times New Roman" w:hAnsi="Arial" w:cs="Arial"/>
        </w:rPr>
        <w:t xml:space="preserve">Illuminate </w:t>
      </w:r>
      <w:r>
        <w:rPr>
          <w:rFonts w:ascii="Arial" w:eastAsia="Times New Roman" w:hAnsi="Arial" w:cs="Arial"/>
        </w:rPr>
        <w:t xml:space="preserve">may have more than 15 employees that make up that business, meaning it would be a service provision change as opposed to a business transfer. </w:t>
      </w:r>
      <w:r w:rsidR="00DD433D">
        <w:rPr>
          <w:rFonts w:ascii="Arial" w:eastAsia="Times New Roman" w:hAnsi="Arial" w:cs="Arial"/>
        </w:rPr>
        <w:t xml:space="preserve">The 15 employees are part of an ‘organised group’ meaning they can transfer through TUPE (ACAS, 2021). </w:t>
      </w:r>
      <w:r>
        <w:rPr>
          <w:rFonts w:ascii="Arial" w:eastAsia="Times New Roman" w:hAnsi="Arial" w:cs="Arial"/>
        </w:rPr>
        <w:t>H</w:t>
      </w:r>
      <w:r w:rsidR="00076CEE">
        <w:rPr>
          <w:rFonts w:ascii="Arial" w:eastAsia="Times New Roman" w:hAnsi="Arial" w:cs="Arial"/>
        </w:rPr>
        <w:t>owever, “In order for the TUPE regulations to apply to a service provision change, the following situations should apply immediately before the change takes place… There must be an organised grouping of employees deliberately organised to provide a service” (</w:t>
      </w:r>
      <w:r w:rsidR="00076CEE" w:rsidRPr="004C0EF7">
        <w:rPr>
          <w:rFonts w:ascii="Arial" w:eastAsia="Times New Roman" w:hAnsi="Arial" w:cs="Arial"/>
          <w:color w:val="000000" w:themeColor="text1"/>
        </w:rPr>
        <w:t xml:space="preserve">Lewis &amp; </w:t>
      </w:r>
      <w:proofErr w:type="spellStart"/>
      <w:r w:rsidR="00076CEE" w:rsidRPr="004C0EF7">
        <w:rPr>
          <w:rFonts w:ascii="Arial" w:eastAsia="Times New Roman" w:hAnsi="Arial" w:cs="Arial"/>
          <w:color w:val="000000" w:themeColor="text1"/>
        </w:rPr>
        <w:t>Sargeant</w:t>
      </w:r>
      <w:proofErr w:type="spellEnd"/>
      <w:r w:rsidR="00076CEE" w:rsidRPr="004C0EF7">
        <w:rPr>
          <w:rFonts w:ascii="Arial" w:eastAsia="Times New Roman" w:hAnsi="Arial" w:cs="Arial"/>
          <w:color w:val="000000" w:themeColor="text1"/>
        </w:rPr>
        <w:t>, 2017).</w:t>
      </w:r>
    </w:p>
    <w:p w:rsidR="003768F5" w:rsidRDefault="003768F5" w:rsidP="003E24C2">
      <w:pPr>
        <w:ind w:right="1417"/>
        <w:rPr>
          <w:rFonts w:ascii="Arial" w:eastAsia="Times New Roman" w:hAnsi="Arial" w:cs="Arial"/>
        </w:rPr>
      </w:pPr>
    </w:p>
    <w:p w:rsidR="003E24C2" w:rsidRPr="003768F5" w:rsidRDefault="003E24C2" w:rsidP="003E24C2">
      <w:pPr>
        <w:ind w:right="1417"/>
        <w:rPr>
          <w:rFonts w:ascii="Arial" w:eastAsia="Times New Roman" w:hAnsi="Arial" w:cs="Arial"/>
          <w:b/>
          <w:sz w:val="28"/>
          <w:u w:val="single"/>
        </w:rPr>
      </w:pPr>
      <w:bookmarkStart w:id="0" w:name="_GoBack"/>
      <w:bookmarkEnd w:id="0"/>
    </w:p>
    <w:p w:rsidR="003768F5" w:rsidRPr="00DE4D9A" w:rsidRDefault="003768F5" w:rsidP="00B1204E">
      <w:pPr>
        <w:ind w:left="1417" w:right="1417"/>
        <w:rPr>
          <w:rFonts w:ascii="Arial" w:eastAsia="Times New Roman" w:hAnsi="Arial" w:cs="Arial"/>
          <w:b/>
          <w:sz w:val="28"/>
          <w:u w:val="single"/>
        </w:rPr>
      </w:pPr>
      <w:r w:rsidRPr="00DE4D9A">
        <w:rPr>
          <w:rFonts w:ascii="Arial" w:eastAsia="Times New Roman" w:hAnsi="Arial" w:cs="Arial"/>
          <w:b/>
          <w:sz w:val="28"/>
          <w:u w:val="single"/>
        </w:rPr>
        <w:lastRenderedPageBreak/>
        <w:t xml:space="preserve">Legal Obligations - BBL </w:t>
      </w:r>
    </w:p>
    <w:p w:rsidR="00C4478D" w:rsidRPr="00DE4D9A" w:rsidRDefault="00C4478D" w:rsidP="00B1204E">
      <w:pPr>
        <w:ind w:left="1417" w:right="1417"/>
        <w:rPr>
          <w:rFonts w:ascii="Arial" w:eastAsia="Times New Roman" w:hAnsi="Arial" w:cs="Arial"/>
          <w:b/>
          <w:sz w:val="28"/>
          <w:u w:val="single"/>
        </w:rPr>
      </w:pPr>
    </w:p>
    <w:p w:rsidR="00DD433D" w:rsidRPr="00DE4D9A" w:rsidRDefault="00DD433D" w:rsidP="00B1204E">
      <w:pPr>
        <w:ind w:left="1417" w:right="1417"/>
        <w:rPr>
          <w:rFonts w:ascii="Arial" w:eastAsia="Times New Roman" w:hAnsi="Arial" w:cs="Arial"/>
        </w:rPr>
      </w:pPr>
      <w:r w:rsidRPr="00DE4D9A">
        <w:rPr>
          <w:rFonts w:ascii="Arial" w:eastAsia="Times New Roman" w:hAnsi="Arial" w:cs="Arial"/>
        </w:rPr>
        <w:t xml:space="preserve">Big Business Ltd have the obligation to ensure they are informing and consulting the </w:t>
      </w:r>
      <w:r w:rsidR="00F6380F" w:rsidRPr="00DE4D9A">
        <w:rPr>
          <w:rFonts w:ascii="Arial" w:eastAsia="Times New Roman" w:hAnsi="Arial" w:cs="Arial"/>
        </w:rPr>
        <w:t>representative of affected</w:t>
      </w:r>
      <w:r w:rsidRPr="00DE4D9A">
        <w:rPr>
          <w:rFonts w:ascii="Arial" w:eastAsia="Times New Roman" w:hAnsi="Arial" w:cs="Arial"/>
        </w:rPr>
        <w:t xml:space="preserve"> employees</w:t>
      </w:r>
      <w:r w:rsidR="00F6380F" w:rsidRPr="00DE4D9A">
        <w:rPr>
          <w:rFonts w:ascii="Arial" w:eastAsia="Times New Roman" w:hAnsi="Arial" w:cs="Arial"/>
        </w:rPr>
        <w:t xml:space="preserve"> </w:t>
      </w:r>
      <w:r w:rsidR="00DE4D9A" w:rsidRPr="00DE4D9A">
        <w:rPr>
          <w:rFonts w:ascii="Arial" w:eastAsia="Times New Roman" w:hAnsi="Arial" w:cs="Arial"/>
        </w:rPr>
        <w:t xml:space="preserve">both before and during the transfer of employees from Illuminate </w:t>
      </w:r>
      <w:r w:rsidR="00F6380F" w:rsidRPr="00DE4D9A">
        <w:rPr>
          <w:rFonts w:ascii="Arial" w:eastAsia="Times New Roman" w:hAnsi="Arial" w:cs="Arial"/>
        </w:rPr>
        <w:t>(CIPD, 2022).</w:t>
      </w:r>
      <w:r w:rsidR="00664420" w:rsidRPr="00DE4D9A">
        <w:rPr>
          <w:rFonts w:ascii="Arial" w:eastAsia="Times New Roman" w:hAnsi="Arial" w:cs="Arial"/>
        </w:rPr>
        <w:t xml:space="preserve"> </w:t>
      </w:r>
      <w:r w:rsidR="00DE4D9A" w:rsidRPr="00DE4D9A">
        <w:rPr>
          <w:rFonts w:ascii="Arial" w:eastAsia="Times New Roman" w:hAnsi="Arial" w:cs="Arial"/>
        </w:rPr>
        <w:t>As part of this process, it is crucial that t</w:t>
      </w:r>
      <w:r w:rsidR="00664420" w:rsidRPr="00DE4D9A">
        <w:rPr>
          <w:rFonts w:ascii="Arial" w:eastAsia="Times New Roman" w:hAnsi="Arial" w:cs="Arial"/>
        </w:rPr>
        <w:t xml:space="preserve">hey inform </w:t>
      </w:r>
      <w:r w:rsidR="00DE4D9A" w:rsidRPr="00DE4D9A">
        <w:rPr>
          <w:rFonts w:ascii="Arial" w:eastAsia="Times New Roman" w:hAnsi="Arial" w:cs="Arial"/>
        </w:rPr>
        <w:t>any</w:t>
      </w:r>
      <w:r w:rsidR="00664420" w:rsidRPr="00DE4D9A">
        <w:rPr>
          <w:rFonts w:ascii="Arial" w:eastAsia="Times New Roman" w:hAnsi="Arial" w:cs="Arial"/>
        </w:rPr>
        <w:t xml:space="preserve"> new transferring employees</w:t>
      </w:r>
      <w:r w:rsidR="00DE4D9A" w:rsidRPr="00DE4D9A">
        <w:rPr>
          <w:rFonts w:ascii="Arial" w:eastAsia="Times New Roman" w:hAnsi="Arial" w:cs="Arial"/>
        </w:rPr>
        <w:t xml:space="preserve"> of</w:t>
      </w:r>
      <w:r w:rsidR="00664420" w:rsidRPr="00DE4D9A">
        <w:rPr>
          <w:rFonts w:ascii="Arial" w:eastAsia="Times New Roman" w:hAnsi="Arial" w:cs="Arial"/>
        </w:rPr>
        <w:t xml:space="preserve"> when the transfer is going to be taking place, and most importantly the reasons for the transfer itself. </w:t>
      </w:r>
      <w:r w:rsidR="00DE4D9A" w:rsidRPr="00DE4D9A">
        <w:rPr>
          <w:rFonts w:ascii="Arial" w:eastAsia="Times New Roman" w:hAnsi="Arial" w:cs="Arial"/>
        </w:rPr>
        <w:t>It should also be noted that it is BBL’s duty to</w:t>
      </w:r>
      <w:r w:rsidR="00664420" w:rsidRPr="00DE4D9A">
        <w:rPr>
          <w:rFonts w:ascii="Arial" w:eastAsia="Times New Roman" w:hAnsi="Arial" w:cs="Arial"/>
        </w:rPr>
        <w:t xml:space="preserve"> </w:t>
      </w:r>
      <w:r w:rsidR="00DE4D9A" w:rsidRPr="00DE4D9A">
        <w:rPr>
          <w:rFonts w:ascii="Arial" w:eastAsia="Times New Roman" w:hAnsi="Arial" w:cs="Arial"/>
        </w:rPr>
        <w:t>provide employees with meaningful dialogue around the legal</w:t>
      </w:r>
      <w:r w:rsidR="00664420" w:rsidRPr="00DE4D9A">
        <w:rPr>
          <w:rFonts w:ascii="Arial" w:eastAsia="Times New Roman" w:hAnsi="Arial" w:cs="Arial"/>
        </w:rPr>
        <w:t xml:space="preserve">, economic and social implications that may occur during the transfer </w:t>
      </w:r>
      <w:r w:rsidR="00DE4D9A" w:rsidRPr="00DE4D9A">
        <w:rPr>
          <w:rFonts w:ascii="Arial" w:eastAsia="Times New Roman" w:hAnsi="Arial" w:cs="Arial"/>
        </w:rPr>
        <w:t xml:space="preserve">(Derbyshire &amp; Hardy, 2014) </w:t>
      </w:r>
      <w:r w:rsidR="00664420" w:rsidRPr="00DE4D9A">
        <w:rPr>
          <w:rFonts w:ascii="Arial" w:eastAsia="Times New Roman" w:hAnsi="Arial" w:cs="Arial"/>
        </w:rPr>
        <w:t xml:space="preserve">as well as the measures that they foresee might be taken. </w:t>
      </w:r>
      <w:r w:rsidR="00F2436B" w:rsidRPr="00DE4D9A">
        <w:rPr>
          <w:rFonts w:ascii="Arial" w:eastAsia="Times New Roman" w:hAnsi="Arial" w:cs="Arial"/>
        </w:rPr>
        <w:t>(Capital Law, 2020).</w:t>
      </w:r>
    </w:p>
    <w:p w:rsidR="00DE4D9A" w:rsidRPr="00DE4D9A" w:rsidRDefault="00DE4D9A" w:rsidP="00B1204E">
      <w:pPr>
        <w:ind w:left="1417" w:right="1417"/>
        <w:rPr>
          <w:rFonts w:ascii="Arial" w:eastAsia="Times New Roman" w:hAnsi="Arial" w:cs="Arial"/>
        </w:rPr>
      </w:pPr>
    </w:p>
    <w:p w:rsidR="00DE4D9A" w:rsidRDefault="00DE4D9A" w:rsidP="00B1204E">
      <w:pPr>
        <w:ind w:left="1417" w:right="1417"/>
        <w:rPr>
          <w:rFonts w:ascii="Arial" w:eastAsia="Times New Roman" w:hAnsi="Arial" w:cs="Arial"/>
        </w:rPr>
      </w:pPr>
      <w:r w:rsidRPr="00DE4D9A">
        <w:rPr>
          <w:rFonts w:ascii="Arial" w:eastAsia="Times New Roman" w:hAnsi="Arial" w:cs="Arial"/>
        </w:rPr>
        <w:t>Some of the implications which employees must be informed of range from those which would indirectly impact the employees position within the company, such as the state of its finances, to those which would have a much more significant impact on the employee’s day-to-day working life, such as start and/or finishing times which differ from those offered in their previous employment (Richardson, 2018).</w:t>
      </w:r>
    </w:p>
    <w:p w:rsidR="00DD433D" w:rsidRDefault="00DD433D" w:rsidP="00FD20A1">
      <w:pPr>
        <w:ind w:right="1417"/>
        <w:rPr>
          <w:rFonts w:ascii="Times New Roman" w:eastAsia="Times New Roman" w:hAnsi="Times New Roman" w:cs="Times New Roman"/>
        </w:rPr>
      </w:pPr>
    </w:p>
    <w:p w:rsidR="00664420" w:rsidRDefault="00F2436B" w:rsidP="007D4208">
      <w:pPr>
        <w:ind w:left="1417" w:right="1417"/>
        <w:rPr>
          <w:rFonts w:ascii="Arial" w:eastAsia="Times New Roman" w:hAnsi="Arial" w:cs="Arial"/>
        </w:rPr>
      </w:pPr>
      <w:r w:rsidRPr="00F2436B">
        <w:rPr>
          <w:rFonts w:ascii="Arial" w:eastAsia="Times New Roman" w:hAnsi="Arial" w:cs="Arial"/>
        </w:rPr>
        <w:t xml:space="preserve">In </w:t>
      </w:r>
      <w:r w:rsidR="0004717E">
        <w:rPr>
          <w:rFonts w:ascii="Arial" w:eastAsia="Times New Roman" w:hAnsi="Arial" w:cs="Arial"/>
        </w:rPr>
        <w:t>many</w:t>
      </w:r>
      <w:r w:rsidRPr="00F2436B">
        <w:rPr>
          <w:rFonts w:ascii="Arial" w:eastAsia="Times New Roman" w:hAnsi="Arial" w:cs="Arial"/>
        </w:rPr>
        <w:t xml:space="preserve"> circumstances, </w:t>
      </w:r>
      <w:r w:rsidR="0004717E">
        <w:rPr>
          <w:rFonts w:ascii="Arial" w:eastAsia="Times New Roman" w:hAnsi="Arial" w:cs="Arial"/>
        </w:rPr>
        <w:t>it will be appropriate for the business to</w:t>
      </w:r>
      <w:r w:rsidRPr="00F2436B">
        <w:rPr>
          <w:rFonts w:ascii="Arial" w:eastAsia="Times New Roman" w:hAnsi="Arial" w:cs="Arial"/>
        </w:rPr>
        <w:t xml:space="preserve"> consult with a trade union and/or selected employee representatives with regards to any of the affected employees</w:t>
      </w:r>
      <w:r>
        <w:rPr>
          <w:rFonts w:ascii="Arial" w:eastAsia="Times New Roman" w:hAnsi="Arial" w:cs="Arial"/>
        </w:rPr>
        <w:t xml:space="preserve"> (Capital Law, 2020).</w:t>
      </w:r>
      <w:r w:rsidR="0004717E">
        <w:rPr>
          <w:rFonts w:ascii="Arial" w:eastAsia="Times New Roman" w:hAnsi="Arial" w:cs="Arial"/>
        </w:rPr>
        <w:t xml:space="preserve"> The representative will be expected to engage in meaningful discussions throughout which they are able to pose questions on behalf of other employees &amp; provide regular updates, keeping employees as informed as possible while discussions are ongoing (ACAS, 2021).</w:t>
      </w:r>
    </w:p>
    <w:p w:rsidR="0004717E" w:rsidRDefault="0004717E" w:rsidP="007D4208">
      <w:pPr>
        <w:ind w:left="1417" w:right="1417"/>
        <w:rPr>
          <w:rFonts w:ascii="Arial" w:eastAsia="Times New Roman" w:hAnsi="Arial" w:cs="Arial"/>
        </w:rPr>
      </w:pPr>
    </w:p>
    <w:p w:rsidR="0004717E" w:rsidRDefault="0004717E" w:rsidP="007D4208">
      <w:pPr>
        <w:ind w:left="1417" w:right="1417"/>
        <w:rPr>
          <w:rFonts w:ascii="Arial" w:eastAsia="Times New Roman" w:hAnsi="Arial" w:cs="Arial"/>
        </w:rPr>
      </w:pPr>
      <w:r>
        <w:rPr>
          <w:rFonts w:ascii="Arial" w:eastAsia="Times New Roman" w:hAnsi="Arial" w:cs="Arial"/>
        </w:rPr>
        <w:t>Should the organisation fail to consult a representative, either in the form of a trade union or recognised employee representative, employees will be within their rights to make a claim to an employment tribunal and, if successful, could be owed up to 13 weeks’ pay (ACAS</w:t>
      </w:r>
      <w:r w:rsidR="00985BF0">
        <w:rPr>
          <w:rFonts w:ascii="Arial" w:eastAsia="Times New Roman" w:hAnsi="Arial" w:cs="Arial"/>
        </w:rPr>
        <w:t xml:space="preserve"> B</w:t>
      </w:r>
      <w:r>
        <w:rPr>
          <w:rFonts w:ascii="Arial" w:eastAsia="Times New Roman" w:hAnsi="Arial" w:cs="Arial"/>
        </w:rPr>
        <w:t>, 2021).</w:t>
      </w:r>
    </w:p>
    <w:p w:rsidR="003768F5" w:rsidRPr="003768F5" w:rsidRDefault="003768F5" w:rsidP="009C2DFE">
      <w:pPr>
        <w:ind w:right="1417"/>
        <w:rPr>
          <w:rFonts w:ascii="Arial" w:eastAsia="Times New Roman" w:hAnsi="Arial" w:cs="Arial"/>
          <w:b/>
          <w:sz w:val="28"/>
          <w:u w:val="single"/>
        </w:rPr>
      </w:pPr>
    </w:p>
    <w:p w:rsidR="003768F5" w:rsidRPr="00985BF0" w:rsidRDefault="003768F5" w:rsidP="00B1204E">
      <w:pPr>
        <w:ind w:left="1417" w:right="1417"/>
        <w:rPr>
          <w:rFonts w:ascii="Arial" w:eastAsia="Times New Roman" w:hAnsi="Arial" w:cs="Arial"/>
          <w:b/>
          <w:sz w:val="28"/>
          <w:u w:val="single"/>
        </w:rPr>
      </w:pPr>
      <w:r w:rsidRPr="00985BF0">
        <w:rPr>
          <w:rFonts w:ascii="Arial" w:eastAsia="Times New Roman" w:hAnsi="Arial" w:cs="Arial"/>
          <w:b/>
          <w:sz w:val="28"/>
          <w:u w:val="single"/>
        </w:rPr>
        <w:t>Legal Obligations - Illuminate</w:t>
      </w:r>
    </w:p>
    <w:p w:rsidR="003768F5" w:rsidRPr="00985BF0" w:rsidRDefault="003768F5" w:rsidP="00B1204E">
      <w:pPr>
        <w:ind w:left="1417" w:right="1417"/>
        <w:rPr>
          <w:rFonts w:ascii="Arial" w:eastAsia="Times New Roman" w:hAnsi="Arial" w:cs="Arial"/>
          <w:sz w:val="28"/>
        </w:rPr>
      </w:pPr>
    </w:p>
    <w:p w:rsidR="00C4478D" w:rsidRPr="00C4478D" w:rsidRDefault="00F6380F" w:rsidP="00B1204E">
      <w:pPr>
        <w:ind w:left="1417" w:right="1417"/>
        <w:rPr>
          <w:rFonts w:ascii="Arial" w:eastAsia="Times New Roman" w:hAnsi="Arial" w:cs="Arial"/>
        </w:rPr>
      </w:pPr>
      <w:r w:rsidRPr="00985BF0">
        <w:rPr>
          <w:rFonts w:ascii="Arial" w:eastAsia="Times New Roman" w:hAnsi="Arial" w:cs="Arial"/>
        </w:rPr>
        <w:t>With this type of transfer, Illuminate also have the obligation to ensure</w:t>
      </w:r>
      <w:r w:rsidR="0004717E" w:rsidRPr="00985BF0">
        <w:rPr>
          <w:rFonts w:ascii="Arial" w:eastAsia="Times New Roman" w:hAnsi="Arial" w:cs="Arial"/>
        </w:rPr>
        <w:t xml:space="preserve"> that</w:t>
      </w:r>
      <w:r w:rsidRPr="00985BF0">
        <w:rPr>
          <w:rFonts w:ascii="Arial" w:eastAsia="Times New Roman" w:hAnsi="Arial" w:cs="Arial"/>
        </w:rPr>
        <w:t xml:space="preserve"> they are informing and consulting the representatives of the affected employees</w:t>
      </w:r>
      <w:r w:rsidR="00C4478D" w:rsidRPr="00985BF0">
        <w:rPr>
          <w:rFonts w:ascii="Arial" w:eastAsia="Times New Roman" w:hAnsi="Arial" w:cs="Arial"/>
        </w:rPr>
        <w:t xml:space="preserve"> (CIPD, 2022)</w:t>
      </w:r>
      <w:r w:rsidR="00F2436B" w:rsidRPr="00985BF0">
        <w:rPr>
          <w:rFonts w:ascii="Arial" w:eastAsia="Times New Roman" w:hAnsi="Arial" w:cs="Arial"/>
        </w:rPr>
        <w:t xml:space="preserve">. Similarly to BBL, Illuminate will also have to inform </w:t>
      </w:r>
      <w:r w:rsidR="00F2436B" w:rsidRPr="00985BF0">
        <w:rPr>
          <w:rFonts w:ascii="Arial" w:eastAsia="Times New Roman" w:hAnsi="Arial" w:cs="Arial"/>
        </w:rPr>
        <w:lastRenderedPageBreak/>
        <w:t>the employees of the date of transfer and reasons, along with implications that may occur. (Capital Law, 2020)</w:t>
      </w:r>
    </w:p>
    <w:p w:rsidR="003768F5" w:rsidRPr="00985BF0" w:rsidRDefault="003768F5" w:rsidP="00B1204E">
      <w:pPr>
        <w:ind w:left="1417" w:right="1417"/>
        <w:rPr>
          <w:rFonts w:ascii="Arial" w:eastAsia="Times New Roman" w:hAnsi="Arial" w:cs="Arial"/>
          <w:sz w:val="28"/>
        </w:rPr>
      </w:pPr>
    </w:p>
    <w:p w:rsidR="003768F5" w:rsidRPr="003768F5" w:rsidRDefault="00F6380F" w:rsidP="00985BF0">
      <w:pPr>
        <w:ind w:left="1417" w:right="1417"/>
        <w:rPr>
          <w:rFonts w:ascii="Arial" w:eastAsia="Times New Roman" w:hAnsi="Arial" w:cs="Arial"/>
        </w:rPr>
      </w:pPr>
      <w:r w:rsidRPr="00985BF0">
        <w:rPr>
          <w:rFonts w:ascii="Arial" w:eastAsia="Times New Roman" w:hAnsi="Arial" w:cs="Arial"/>
        </w:rPr>
        <w:t>Illuminate have the obligation to give Big Business Ltd information in writing with regards to the employees that are transferring to them, along with all of the rights and obligations towards them. The information required to be given to BBL includes age and identity of the transferring employees, “written particulars of employment (under section 1 of the Employment Rights Act 1996) and details of any tribunal claims that the transferor reasonably believes might be brought” (CIPD , 2021)</w:t>
      </w:r>
      <w:r w:rsidR="00837957" w:rsidRPr="00985BF0">
        <w:rPr>
          <w:rFonts w:ascii="Arial" w:eastAsia="Times New Roman" w:hAnsi="Arial" w:cs="Arial"/>
        </w:rPr>
        <w:t>. If Illuminate wit</w:t>
      </w:r>
      <w:r w:rsidR="003E120B" w:rsidRPr="00985BF0">
        <w:rPr>
          <w:rFonts w:ascii="Arial" w:eastAsia="Times New Roman" w:hAnsi="Arial" w:cs="Arial"/>
        </w:rPr>
        <w:t>hheld</w:t>
      </w:r>
      <w:r w:rsidR="00837957" w:rsidRPr="00985BF0">
        <w:rPr>
          <w:rFonts w:ascii="Arial" w:eastAsia="Times New Roman" w:hAnsi="Arial" w:cs="Arial"/>
        </w:rPr>
        <w:t xml:space="preserve"> information from BBL, it could be subject to a employment tribunal with compensation starting from £500 per employee based on </w:t>
      </w:r>
      <w:r w:rsidR="003E120B" w:rsidRPr="00985BF0">
        <w:rPr>
          <w:rFonts w:ascii="Arial" w:eastAsia="Times New Roman" w:hAnsi="Arial" w:cs="Arial"/>
        </w:rPr>
        <w:t>which information was withheld (CIPD, 2021).</w:t>
      </w:r>
      <w:r w:rsidR="003E120B">
        <w:rPr>
          <w:rFonts w:ascii="Arial" w:eastAsia="Times New Roman" w:hAnsi="Arial" w:cs="Arial"/>
        </w:rPr>
        <w:t xml:space="preserve"> </w:t>
      </w:r>
    </w:p>
    <w:p w:rsidR="003768F5" w:rsidRPr="003768F5" w:rsidRDefault="003768F5" w:rsidP="00B1204E">
      <w:pPr>
        <w:ind w:left="1417" w:right="1417"/>
        <w:rPr>
          <w:rFonts w:ascii="Arial" w:eastAsia="Times New Roman" w:hAnsi="Arial" w:cs="Arial"/>
        </w:rPr>
      </w:pPr>
    </w:p>
    <w:p w:rsidR="003768F5" w:rsidRPr="0004717E" w:rsidRDefault="00774AF0" w:rsidP="00774AF0">
      <w:pPr>
        <w:ind w:left="1417" w:right="1417"/>
        <w:rPr>
          <w:rFonts w:ascii="Arial" w:eastAsia="Times New Roman" w:hAnsi="Arial" w:cs="Arial"/>
          <w:b/>
          <w:sz w:val="28"/>
          <w:u w:val="single"/>
        </w:rPr>
      </w:pPr>
      <w:r w:rsidRPr="0004717E">
        <w:rPr>
          <w:rFonts w:ascii="Arial" w:eastAsia="Times New Roman" w:hAnsi="Arial" w:cs="Arial"/>
          <w:b/>
          <w:sz w:val="28"/>
          <w:u w:val="single"/>
        </w:rPr>
        <w:t xml:space="preserve">Possible Redundancies - </w:t>
      </w:r>
      <w:r w:rsidR="00E77318" w:rsidRPr="0004717E">
        <w:rPr>
          <w:rFonts w:ascii="Arial" w:eastAsia="Times New Roman" w:hAnsi="Arial" w:cs="Arial"/>
          <w:b/>
          <w:sz w:val="28"/>
          <w:u w:val="single"/>
        </w:rPr>
        <w:t>Advice Regarding LIFO</w:t>
      </w:r>
    </w:p>
    <w:p w:rsidR="003768F5" w:rsidRPr="0004717E" w:rsidRDefault="003768F5" w:rsidP="00B1204E">
      <w:pPr>
        <w:ind w:left="1417" w:right="1417"/>
        <w:rPr>
          <w:rFonts w:ascii="Arial" w:eastAsia="Times New Roman" w:hAnsi="Arial" w:cs="Arial"/>
        </w:rPr>
      </w:pPr>
    </w:p>
    <w:p w:rsidR="003768F5" w:rsidRPr="0004717E" w:rsidRDefault="003768F5" w:rsidP="00774AF0">
      <w:pPr>
        <w:ind w:left="1417" w:right="1417"/>
        <w:rPr>
          <w:rFonts w:ascii="Arial" w:hAnsi="Arial" w:cs="Arial"/>
        </w:rPr>
      </w:pPr>
      <w:r w:rsidRPr="0004717E">
        <w:rPr>
          <w:rFonts w:ascii="Arial" w:hAnsi="Arial" w:cs="Arial"/>
        </w:rPr>
        <w:t>If BBL undertakes the transfer of Illuminate employees</w:t>
      </w:r>
      <w:r w:rsidR="00B16750" w:rsidRPr="0004717E">
        <w:rPr>
          <w:rFonts w:ascii="Arial" w:hAnsi="Arial" w:cs="Arial"/>
        </w:rPr>
        <w:t xml:space="preserve"> and the risk of redundancy lurking after 9 months, it could be an option that the business offers alternative employment for some of the affected employees. As the electrical engineers are only </w:t>
      </w:r>
      <w:r w:rsidR="00C216DE" w:rsidRPr="0004717E">
        <w:rPr>
          <w:rFonts w:ascii="Arial" w:hAnsi="Arial" w:cs="Arial"/>
        </w:rPr>
        <w:t xml:space="preserve">currently </w:t>
      </w:r>
      <w:r w:rsidR="00B16750" w:rsidRPr="0004717E">
        <w:rPr>
          <w:rFonts w:ascii="Arial" w:hAnsi="Arial" w:cs="Arial"/>
        </w:rPr>
        <w:t xml:space="preserve">operating in the Southampton and Portsmouth sites, it may be worth the business operating electrical engineers across all four sites and running in Cardiff and Newport </w:t>
      </w:r>
      <w:r w:rsidR="00C216DE" w:rsidRPr="0004717E">
        <w:rPr>
          <w:rFonts w:ascii="Arial" w:hAnsi="Arial" w:cs="Arial"/>
        </w:rPr>
        <w:t xml:space="preserve">as well as Southampton and Portsmouth </w:t>
      </w:r>
      <w:r w:rsidR="00B16750" w:rsidRPr="0004717E">
        <w:rPr>
          <w:rFonts w:ascii="Arial" w:hAnsi="Arial" w:cs="Arial"/>
        </w:rPr>
        <w:t>to avoid the redundancy process and costs.</w:t>
      </w:r>
    </w:p>
    <w:p w:rsidR="0004717E" w:rsidRPr="0004717E" w:rsidRDefault="0004717E" w:rsidP="00774AF0">
      <w:pPr>
        <w:ind w:left="1417" w:right="1417"/>
        <w:rPr>
          <w:rFonts w:ascii="Arial" w:hAnsi="Arial" w:cs="Arial"/>
        </w:rPr>
      </w:pPr>
    </w:p>
    <w:p w:rsidR="0004717E" w:rsidRPr="0004717E" w:rsidRDefault="0004717E" w:rsidP="0004717E">
      <w:pPr>
        <w:ind w:left="1417" w:right="1417"/>
        <w:rPr>
          <w:rFonts w:ascii="Arial" w:hAnsi="Arial" w:cs="Arial"/>
        </w:rPr>
      </w:pPr>
      <w:r w:rsidRPr="0004717E">
        <w:rPr>
          <w:rFonts w:ascii="Arial" w:hAnsi="Arial" w:cs="Arial"/>
        </w:rPr>
        <w:t xml:space="preserve">However, it should be taken into consideration that the reliance on a mobility clause </w:t>
      </w:r>
      <w:r w:rsidRPr="0004717E">
        <w:rPr>
          <w:rFonts w:ascii="Arial" w:hAnsi="Arial" w:cs="Arial"/>
        </w:rPr>
        <w:t xml:space="preserve">within an employee’s contract </w:t>
      </w:r>
      <w:r w:rsidRPr="0004717E">
        <w:rPr>
          <w:rFonts w:ascii="Arial" w:hAnsi="Arial" w:cs="Arial"/>
        </w:rPr>
        <w:t xml:space="preserve">to soften the potential impact of redundancies is not always the safest option, as seen in Kellogg Brown Ltd v Fitton (2016), where the employee(s) in question were dismissed following their refusal to work from an alternative location as per the mobility clause implemented with the contract. Upon review, it was established that the employee’s stance was not deemed unreasonable meaning that the dismissals were unfair. </w:t>
      </w:r>
    </w:p>
    <w:p w:rsidR="003768F5" w:rsidRPr="00664420" w:rsidRDefault="003768F5" w:rsidP="009F259D">
      <w:pPr>
        <w:ind w:right="1417"/>
        <w:rPr>
          <w:rFonts w:ascii="Arial" w:hAnsi="Arial" w:cs="Arial"/>
          <w:highlight w:val="green"/>
        </w:rPr>
      </w:pPr>
    </w:p>
    <w:p w:rsidR="00E77318" w:rsidRPr="0004717E" w:rsidRDefault="00E77318" w:rsidP="00B1204E">
      <w:pPr>
        <w:ind w:left="1417" w:right="1417"/>
        <w:rPr>
          <w:rFonts w:ascii="Arial" w:hAnsi="Arial" w:cs="Arial"/>
          <w:b/>
          <w:u w:val="single"/>
        </w:rPr>
      </w:pPr>
      <w:r w:rsidRPr="0004717E">
        <w:rPr>
          <w:rFonts w:ascii="Arial" w:hAnsi="Arial" w:cs="Arial"/>
          <w:b/>
          <w:u w:val="single"/>
        </w:rPr>
        <w:t>Potential Age Discrimination Claims</w:t>
      </w:r>
    </w:p>
    <w:p w:rsidR="00F83BEE" w:rsidRPr="0004717E" w:rsidRDefault="003768F5" w:rsidP="00B1204E">
      <w:pPr>
        <w:ind w:left="1417" w:right="1417"/>
        <w:rPr>
          <w:rFonts w:ascii="Arial" w:hAnsi="Arial" w:cs="Arial"/>
        </w:rPr>
      </w:pPr>
      <w:r w:rsidRPr="0004717E">
        <w:rPr>
          <w:rFonts w:ascii="Arial" w:hAnsi="Arial" w:cs="Arial"/>
        </w:rPr>
        <w:t xml:space="preserve">With the IWU (Industrial Workers Union) pushing a ‘last in, first out’ (LIFO) process, comes with the risk of unfair dismissal claims for the business as well as other claims. For example, the use of the LIFO process during redundancies is less encouraged as it </w:t>
      </w:r>
      <w:r w:rsidR="00F83BEE" w:rsidRPr="0004717E">
        <w:rPr>
          <w:rFonts w:ascii="Arial" w:hAnsi="Arial" w:cs="Arial"/>
        </w:rPr>
        <w:t xml:space="preserve">has potential to </w:t>
      </w:r>
      <w:r w:rsidRPr="0004717E">
        <w:rPr>
          <w:rFonts w:ascii="Arial" w:hAnsi="Arial" w:cs="Arial"/>
        </w:rPr>
        <w:t xml:space="preserve">discriminate against employees, giving them the right to </w:t>
      </w:r>
      <w:r w:rsidRPr="0004717E">
        <w:rPr>
          <w:rFonts w:ascii="Arial" w:hAnsi="Arial" w:cs="Arial"/>
        </w:rPr>
        <w:lastRenderedPageBreak/>
        <w:t xml:space="preserve">challenge and claim </w:t>
      </w:r>
      <w:r w:rsidR="00B16750" w:rsidRPr="0004717E">
        <w:rPr>
          <w:rFonts w:ascii="Arial" w:hAnsi="Arial" w:cs="Arial"/>
        </w:rPr>
        <w:t xml:space="preserve">age </w:t>
      </w:r>
      <w:r w:rsidRPr="0004717E">
        <w:rPr>
          <w:rFonts w:ascii="Arial" w:hAnsi="Arial" w:cs="Arial"/>
        </w:rPr>
        <w:t>discrimination</w:t>
      </w:r>
      <w:r w:rsidR="00C216DE" w:rsidRPr="0004717E">
        <w:rPr>
          <w:rFonts w:ascii="Arial" w:hAnsi="Arial" w:cs="Arial"/>
        </w:rPr>
        <w:t xml:space="preserve"> against the business</w:t>
      </w:r>
      <w:r w:rsidRPr="0004717E">
        <w:rPr>
          <w:rFonts w:ascii="Arial" w:hAnsi="Arial" w:cs="Arial"/>
        </w:rPr>
        <w:t xml:space="preserve"> (Landau Law, 2022).</w:t>
      </w:r>
    </w:p>
    <w:p w:rsidR="00F83BEE" w:rsidRPr="00664420" w:rsidRDefault="00F83BEE" w:rsidP="00B1204E">
      <w:pPr>
        <w:ind w:left="1417" w:right="1417"/>
        <w:rPr>
          <w:rFonts w:ascii="Arial" w:hAnsi="Arial" w:cs="Arial"/>
          <w:highlight w:val="green"/>
        </w:rPr>
      </w:pPr>
    </w:p>
    <w:p w:rsidR="00F83BEE" w:rsidRPr="0004717E" w:rsidRDefault="00F83BEE" w:rsidP="00B1204E">
      <w:pPr>
        <w:ind w:left="1417" w:right="1417"/>
        <w:rPr>
          <w:rFonts w:ascii="Arial" w:hAnsi="Arial" w:cs="Arial"/>
        </w:rPr>
      </w:pPr>
      <w:r w:rsidRPr="0004717E">
        <w:rPr>
          <w:rFonts w:ascii="Arial" w:hAnsi="Arial" w:cs="Arial"/>
        </w:rPr>
        <w:t>As well as raising potential age discrimination claims, the LIFO process of redundancy can in some circumstances be seen to be discriminatory against women. Statistically, women tend to spend fewer years working for an individual organisation, partly down to breaks for childcare (Davidson Morris, 2020).</w:t>
      </w:r>
    </w:p>
    <w:p w:rsidR="00F83BEE" w:rsidRPr="0004717E" w:rsidRDefault="00F83BEE" w:rsidP="00B1204E">
      <w:pPr>
        <w:ind w:left="1417" w:right="1417"/>
        <w:rPr>
          <w:rFonts w:ascii="Arial" w:hAnsi="Arial" w:cs="Arial"/>
        </w:rPr>
      </w:pPr>
    </w:p>
    <w:p w:rsidR="00F83BEE" w:rsidRPr="0004717E" w:rsidRDefault="00F83BEE" w:rsidP="00B1204E">
      <w:pPr>
        <w:ind w:left="1417" w:right="1417"/>
        <w:rPr>
          <w:rFonts w:ascii="Arial" w:hAnsi="Arial" w:cs="Arial"/>
        </w:rPr>
      </w:pPr>
      <w:r w:rsidRPr="0004717E">
        <w:rPr>
          <w:rFonts w:ascii="Arial" w:hAnsi="Arial" w:cs="Arial"/>
        </w:rPr>
        <w:t>In the case of Joanne Allan v Oakley Builders and Groundwork Contractors Ltd</w:t>
      </w:r>
      <w:r w:rsidRPr="0004717E">
        <w:rPr>
          <w:rFonts w:ascii="Arial" w:hAnsi="Arial" w:cs="Arial"/>
        </w:rPr>
        <w:t>. (2019), Mrs Allan was claiming age discrimination based on being the eldest in the group of the employees being made redundant. It is worth noting that all redundancies in that case were female, where both age and sex are protected characteristics under the Equality Act 2010. Mrs Allan felt there was age discrimination against her and therefore claimed against the business. However, at tribunal it was found that no discrimination had taken place.</w:t>
      </w:r>
    </w:p>
    <w:p w:rsidR="00F83BEE" w:rsidRPr="0004717E" w:rsidRDefault="00F83BEE" w:rsidP="00B1204E">
      <w:pPr>
        <w:ind w:left="1417" w:right="1417"/>
        <w:rPr>
          <w:rFonts w:ascii="Arial" w:hAnsi="Arial" w:cs="Arial"/>
        </w:rPr>
      </w:pPr>
    </w:p>
    <w:p w:rsidR="00F83BEE" w:rsidRPr="0004717E" w:rsidRDefault="00F83BEE" w:rsidP="00B1204E">
      <w:pPr>
        <w:ind w:left="1417" w:right="1417"/>
        <w:rPr>
          <w:rFonts w:ascii="Arial" w:hAnsi="Arial" w:cs="Arial"/>
        </w:rPr>
      </w:pPr>
      <w:r w:rsidRPr="0004717E">
        <w:rPr>
          <w:rFonts w:ascii="Arial" w:hAnsi="Arial" w:cs="Arial"/>
        </w:rPr>
        <w:t>If the business was to use the LIFO method of reducing headcount, it may lead to a loss of skills within the workforce. The business may have recently recruited a highly skilled member of staff, but based on the LIFO process being undertaken, that skillset will be lost.</w:t>
      </w:r>
    </w:p>
    <w:p w:rsidR="00E77318" w:rsidRPr="00664420" w:rsidRDefault="00E77318" w:rsidP="009C2DFE">
      <w:pPr>
        <w:ind w:right="1417"/>
        <w:rPr>
          <w:rFonts w:ascii="Arial" w:hAnsi="Arial" w:cs="Arial"/>
          <w:highlight w:val="green"/>
        </w:rPr>
      </w:pPr>
    </w:p>
    <w:p w:rsidR="00E77318" w:rsidRPr="0004717E" w:rsidRDefault="00E77318" w:rsidP="00B1204E">
      <w:pPr>
        <w:ind w:left="1417" w:right="1417"/>
        <w:rPr>
          <w:rFonts w:ascii="Arial" w:hAnsi="Arial" w:cs="Arial"/>
          <w:b/>
          <w:u w:val="single"/>
        </w:rPr>
      </w:pPr>
      <w:r w:rsidRPr="0004717E">
        <w:rPr>
          <w:rFonts w:ascii="Arial" w:hAnsi="Arial" w:cs="Arial"/>
          <w:b/>
          <w:u w:val="single"/>
        </w:rPr>
        <w:t>Recommendation</w:t>
      </w:r>
      <w:r w:rsidR="003C4C31" w:rsidRPr="0004717E">
        <w:rPr>
          <w:rFonts w:ascii="Arial" w:hAnsi="Arial" w:cs="Arial"/>
          <w:b/>
          <w:u w:val="single"/>
        </w:rPr>
        <w:t xml:space="preserve"> to the Business</w:t>
      </w:r>
    </w:p>
    <w:p w:rsidR="003768F5" w:rsidRPr="0004717E" w:rsidRDefault="00F83BEE" w:rsidP="00B1204E">
      <w:pPr>
        <w:ind w:left="1417" w:right="1417"/>
        <w:rPr>
          <w:rFonts w:ascii="Arial" w:hAnsi="Arial" w:cs="Arial"/>
        </w:rPr>
      </w:pPr>
      <w:r w:rsidRPr="0004717E">
        <w:rPr>
          <w:rFonts w:ascii="Arial" w:hAnsi="Arial" w:cs="Arial"/>
        </w:rPr>
        <w:t xml:space="preserve">I would advise that the business uses a more purposeful selection criteria in order to decide upon who in the business will be made redundant. The business should look to opt for a scoring criteria that can clearly differentiate between aspects such as attendance records, disciplinary records and skillset. By using this method, and scoring each category, it will be evident which employees are the least scoring and therefore at risk of redundancy. </w:t>
      </w:r>
    </w:p>
    <w:p w:rsidR="0004717E" w:rsidRDefault="0004717E" w:rsidP="00B1204E">
      <w:pPr>
        <w:ind w:left="1417" w:right="1417"/>
        <w:rPr>
          <w:rFonts w:ascii="Arial" w:hAnsi="Arial" w:cs="Arial"/>
          <w:highlight w:val="green"/>
        </w:rPr>
      </w:pPr>
    </w:p>
    <w:p w:rsidR="0004717E" w:rsidRPr="00985BF0" w:rsidRDefault="0004717E" w:rsidP="00B1204E">
      <w:pPr>
        <w:ind w:left="1417" w:right="1417"/>
        <w:rPr>
          <w:rFonts w:ascii="Arial" w:hAnsi="Arial" w:cs="Arial"/>
        </w:rPr>
      </w:pPr>
      <w:r w:rsidRPr="00985BF0">
        <w:rPr>
          <w:rFonts w:ascii="Arial" w:hAnsi="Arial" w:cs="Arial"/>
        </w:rPr>
        <w:t>When monitoring records of attendance, the importance of accuracy cannot be understated &amp; employers should ensure that records of leave due to illness or maternity. Even when based on skillset, employers should be cautious when gauging an employee’s ability to conduct their role during periods of time where they are likely to be fatigued (</w:t>
      </w:r>
      <w:proofErr w:type="spellStart"/>
      <w:r w:rsidRPr="00985BF0">
        <w:rPr>
          <w:rFonts w:ascii="Arial" w:hAnsi="Arial" w:cs="Arial"/>
        </w:rPr>
        <w:t>ie</w:t>
      </w:r>
      <w:proofErr w:type="spellEnd"/>
      <w:r w:rsidRPr="00985BF0">
        <w:rPr>
          <w:rFonts w:ascii="Arial" w:hAnsi="Arial" w:cs="Arial"/>
        </w:rPr>
        <w:t>. The months leading up to maternity), or inexperienced in their role (Veale, 2021).</w:t>
      </w:r>
    </w:p>
    <w:p w:rsidR="003768F5" w:rsidRPr="00664420" w:rsidRDefault="003768F5" w:rsidP="003E24C2">
      <w:pPr>
        <w:ind w:right="1417"/>
        <w:rPr>
          <w:rFonts w:ascii="Arial" w:eastAsia="Times New Roman" w:hAnsi="Arial" w:cs="Arial"/>
          <w:highlight w:val="green"/>
        </w:rPr>
      </w:pPr>
    </w:p>
    <w:p w:rsidR="00F83BEE" w:rsidRPr="00F83BEE" w:rsidRDefault="00F83BEE" w:rsidP="00B1204E">
      <w:pPr>
        <w:ind w:left="1417" w:right="1417"/>
        <w:rPr>
          <w:rFonts w:ascii="Arial" w:eastAsia="Times New Roman" w:hAnsi="Arial" w:cs="Arial"/>
          <w:color w:val="000000" w:themeColor="text1"/>
        </w:rPr>
      </w:pPr>
      <w:r w:rsidRPr="004F7C3D">
        <w:rPr>
          <w:rFonts w:ascii="Arial" w:eastAsia="Times New Roman" w:hAnsi="Arial" w:cs="Arial"/>
          <w:color w:val="000000" w:themeColor="text1"/>
          <w:shd w:val="clear" w:color="auto" w:fill="FFFFFF"/>
        </w:rPr>
        <w:t>T</w:t>
      </w:r>
      <w:r w:rsidR="0004717E" w:rsidRPr="004F7C3D">
        <w:rPr>
          <w:rFonts w:ascii="Arial" w:eastAsia="Times New Roman" w:hAnsi="Arial" w:cs="Arial"/>
          <w:color w:val="000000" w:themeColor="text1"/>
          <w:shd w:val="clear" w:color="auto" w:fill="FFFFFF"/>
        </w:rPr>
        <w:t>o summarise, my recommendation around the use of</w:t>
      </w:r>
      <w:r w:rsidRPr="004F7C3D">
        <w:rPr>
          <w:rFonts w:ascii="Arial" w:eastAsia="Times New Roman" w:hAnsi="Arial" w:cs="Arial"/>
          <w:color w:val="000000" w:themeColor="text1"/>
          <w:shd w:val="clear" w:color="auto" w:fill="FFFFFF"/>
        </w:rPr>
        <w:t xml:space="preserve"> LIFO</w:t>
      </w:r>
      <w:r w:rsidR="0004717E" w:rsidRPr="004F7C3D">
        <w:rPr>
          <w:rFonts w:ascii="Arial" w:eastAsia="Times New Roman" w:hAnsi="Arial" w:cs="Arial"/>
          <w:color w:val="000000" w:themeColor="text1"/>
          <w:shd w:val="clear" w:color="auto" w:fill="FFFFFF"/>
        </w:rPr>
        <w:t xml:space="preserve"> as a</w:t>
      </w:r>
      <w:r w:rsidRPr="004F7C3D">
        <w:rPr>
          <w:rFonts w:ascii="Arial" w:eastAsia="Times New Roman" w:hAnsi="Arial" w:cs="Arial"/>
          <w:color w:val="000000" w:themeColor="text1"/>
          <w:shd w:val="clear" w:color="auto" w:fill="FFFFFF"/>
        </w:rPr>
        <w:t xml:space="preserve"> method of redundancy </w:t>
      </w:r>
      <w:r w:rsidR="0004717E" w:rsidRPr="004F7C3D">
        <w:rPr>
          <w:rFonts w:ascii="Arial" w:eastAsia="Times New Roman" w:hAnsi="Arial" w:cs="Arial"/>
          <w:color w:val="000000" w:themeColor="text1"/>
          <w:shd w:val="clear" w:color="auto" w:fill="FFFFFF"/>
        </w:rPr>
        <w:t xml:space="preserve">is that it should be </w:t>
      </w:r>
      <w:r w:rsidRPr="004F7C3D">
        <w:rPr>
          <w:rFonts w:ascii="Arial" w:eastAsia="Times New Roman" w:hAnsi="Arial" w:cs="Arial"/>
          <w:color w:val="000000" w:themeColor="text1"/>
          <w:shd w:val="clear" w:color="auto" w:fill="FFFFFF"/>
        </w:rPr>
        <w:t>“</w:t>
      </w:r>
      <w:r w:rsidRPr="00F83BEE">
        <w:rPr>
          <w:rFonts w:ascii="Arial" w:eastAsia="Times New Roman" w:hAnsi="Arial" w:cs="Arial"/>
          <w:color w:val="000000" w:themeColor="text1"/>
          <w:shd w:val="clear" w:color="auto" w:fill="FFFFFF"/>
        </w:rPr>
        <w:t xml:space="preserve">used by employers as a “tie breaker” for selecting for </w:t>
      </w:r>
      <w:r w:rsidRPr="00F83BEE">
        <w:rPr>
          <w:rFonts w:ascii="Arial" w:eastAsia="Times New Roman" w:hAnsi="Arial" w:cs="Arial"/>
          <w:color w:val="000000" w:themeColor="text1"/>
          <w:shd w:val="clear" w:color="auto" w:fill="FFFFFF"/>
        </w:rPr>
        <w:lastRenderedPageBreak/>
        <w:t>redundancy where all other factors are equal</w:t>
      </w:r>
      <w:r w:rsidRPr="004F7C3D">
        <w:rPr>
          <w:rFonts w:ascii="Arial" w:eastAsia="Times New Roman" w:hAnsi="Arial" w:cs="Arial"/>
          <w:color w:val="000000" w:themeColor="text1"/>
          <w:shd w:val="clear" w:color="auto" w:fill="FFFFFF"/>
        </w:rPr>
        <w:t>” (Thomas, 2019)</w:t>
      </w:r>
      <w:r w:rsidR="0004717E" w:rsidRPr="004F7C3D">
        <w:rPr>
          <w:rFonts w:ascii="Arial" w:eastAsia="Times New Roman" w:hAnsi="Arial" w:cs="Arial"/>
          <w:color w:val="000000" w:themeColor="text1"/>
          <w:shd w:val="clear" w:color="auto" w:fill="FFFFFF"/>
        </w:rPr>
        <w:t xml:space="preserve">, as opposed to relying on it as the primary rationale for redundancy selection. </w:t>
      </w:r>
    </w:p>
    <w:p w:rsidR="00076CEE" w:rsidRPr="00664420" w:rsidRDefault="00076CEE" w:rsidP="009C2DFE">
      <w:pPr>
        <w:ind w:right="1417"/>
        <w:rPr>
          <w:rFonts w:ascii="Arial" w:eastAsia="Times New Roman" w:hAnsi="Arial" w:cs="Arial"/>
          <w:highlight w:val="green"/>
        </w:rPr>
      </w:pPr>
    </w:p>
    <w:p w:rsidR="003768F5" w:rsidRPr="003768F5" w:rsidRDefault="00076CEE" w:rsidP="00B1204E">
      <w:pPr>
        <w:ind w:left="1417" w:right="1417"/>
        <w:rPr>
          <w:rFonts w:ascii="Arial" w:eastAsia="Times New Roman" w:hAnsi="Arial" w:cs="Arial"/>
          <w:b/>
          <w:sz w:val="28"/>
          <w:u w:val="single"/>
        </w:rPr>
      </w:pPr>
      <w:r w:rsidRPr="00985BF0">
        <w:rPr>
          <w:rFonts w:ascii="Arial" w:eastAsia="Times New Roman" w:hAnsi="Arial" w:cs="Arial"/>
          <w:b/>
          <w:sz w:val="28"/>
          <w:u w:val="single"/>
        </w:rPr>
        <w:t>Legally Compliant and Fair Redundancy Process</w:t>
      </w:r>
    </w:p>
    <w:p w:rsidR="00D8374B" w:rsidRPr="00985BF0" w:rsidRDefault="00D8374B" w:rsidP="00B1204E">
      <w:pPr>
        <w:ind w:left="1417" w:right="1417"/>
      </w:pPr>
    </w:p>
    <w:p w:rsidR="00D8374B" w:rsidRPr="00985BF0" w:rsidRDefault="006A010A" w:rsidP="00B1204E">
      <w:pPr>
        <w:ind w:left="1417" w:right="1417"/>
        <w:rPr>
          <w:rFonts w:ascii="Arial" w:hAnsi="Arial" w:cs="Arial"/>
        </w:rPr>
      </w:pPr>
      <w:r w:rsidRPr="00985BF0">
        <w:rPr>
          <w:rFonts w:ascii="Arial" w:hAnsi="Arial" w:cs="Arial"/>
        </w:rPr>
        <w:t>I</w:t>
      </w:r>
      <w:r w:rsidR="0004717E" w:rsidRPr="00985BF0">
        <w:rPr>
          <w:rFonts w:ascii="Arial" w:hAnsi="Arial" w:cs="Arial"/>
        </w:rPr>
        <w:t xml:space="preserve">n the unfortunate scenario in which there </w:t>
      </w:r>
      <w:r w:rsidRPr="00985BF0">
        <w:rPr>
          <w:rFonts w:ascii="Arial" w:hAnsi="Arial" w:cs="Arial"/>
        </w:rPr>
        <w:t>are any redundancies to be made, it is vital</w:t>
      </w:r>
      <w:r w:rsidR="0004717E" w:rsidRPr="00985BF0">
        <w:rPr>
          <w:rFonts w:ascii="Arial" w:hAnsi="Arial" w:cs="Arial"/>
        </w:rPr>
        <w:t xml:space="preserve"> that</w:t>
      </w:r>
      <w:r w:rsidRPr="00985BF0">
        <w:rPr>
          <w:rFonts w:ascii="Arial" w:hAnsi="Arial" w:cs="Arial"/>
        </w:rPr>
        <w:t xml:space="preserve"> the business has a robust process</w:t>
      </w:r>
      <w:r w:rsidR="0004717E" w:rsidRPr="00985BF0">
        <w:rPr>
          <w:rFonts w:ascii="Arial" w:hAnsi="Arial" w:cs="Arial"/>
        </w:rPr>
        <w:t xml:space="preserve"> in place to guard against any potential claims which might arise</w:t>
      </w:r>
      <w:r w:rsidRPr="00985BF0">
        <w:rPr>
          <w:rFonts w:ascii="Arial" w:hAnsi="Arial" w:cs="Arial"/>
        </w:rPr>
        <w:t xml:space="preserve">. With the LIFO process posing a threat of </w:t>
      </w:r>
      <w:r w:rsidR="00EF7730" w:rsidRPr="00985BF0">
        <w:rPr>
          <w:rFonts w:ascii="Arial" w:hAnsi="Arial" w:cs="Arial"/>
        </w:rPr>
        <w:t xml:space="preserve">age </w:t>
      </w:r>
      <w:r w:rsidRPr="00985BF0">
        <w:rPr>
          <w:rFonts w:ascii="Arial" w:hAnsi="Arial" w:cs="Arial"/>
        </w:rPr>
        <w:t>discrimination</w:t>
      </w:r>
      <w:r w:rsidR="0004717E" w:rsidRPr="00985BF0">
        <w:rPr>
          <w:rFonts w:ascii="Arial" w:hAnsi="Arial" w:cs="Arial"/>
        </w:rPr>
        <w:t xml:space="preserve"> and potential</w:t>
      </w:r>
      <w:r w:rsidRPr="00985BF0">
        <w:rPr>
          <w:rFonts w:ascii="Arial" w:hAnsi="Arial" w:cs="Arial"/>
        </w:rPr>
        <w:t xml:space="preserve"> claims </w:t>
      </w:r>
      <w:r w:rsidR="0004717E" w:rsidRPr="00985BF0">
        <w:rPr>
          <w:rFonts w:ascii="Arial" w:hAnsi="Arial" w:cs="Arial"/>
        </w:rPr>
        <w:t>against</w:t>
      </w:r>
      <w:r w:rsidRPr="00985BF0">
        <w:rPr>
          <w:rFonts w:ascii="Arial" w:hAnsi="Arial" w:cs="Arial"/>
        </w:rPr>
        <w:t xml:space="preserve"> the business</w:t>
      </w:r>
      <w:r w:rsidR="0004717E" w:rsidRPr="00985BF0">
        <w:rPr>
          <w:rFonts w:ascii="Arial" w:hAnsi="Arial" w:cs="Arial"/>
        </w:rPr>
        <w:t>,</w:t>
      </w:r>
      <w:r w:rsidRPr="00985BF0">
        <w:rPr>
          <w:rFonts w:ascii="Arial" w:hAnsi="Arial" w:cs="Arial"/>
        </w:rPr>
        <w:t xml:space="preserve"> the need for a</w:t>
      </w:r>
      <w:r w:rsidR="0004717E" w:rsidRPr="00985BF0">
        <w:rPr>
          <w:rFonts w:ascii="Arial" w:hAnsi="Arial" w:cs="Arial"/>
        </w:rPr>
        <w:t xml:space="preserve">n alternative </w:t>
      </w:r>
      <w:r w:rsidRPr="00985BF0">
        <w:rPr>
          <w:rFonts w:ascii="Arial" w:hAnsi="Arial" w:cs="Arial"/>
        </w:rPr>
        <w:t xml:space="preserve">process is </w:t>
      </w:r>
      <w:r w:rsidR="0004717E" w:rsidRPr="00985BF0">
        <w:rPr>
          <w:rFonts w:ascii="Arial" w:hAnsi="Arial" w:cs="Arial"/>
        </w:rPr>
        <w:t>evident</w:t>
      </w:r>
      <w:r w:rsidRPr="00985BF0">
        <w:rPr>
          <w:rFonts w:ascii="Arial" w:hAnsi="Arial" w:cs="Arial"/>
        </w:rPr>
        <w:t xml:space="preserve">. </w:t>
      </w:r>
      <w:r w:rsidR="00875122" w:rsidRPr="00985BF0">
        <w:rPr>
          <w:rFonts w:ascii="Arial" w:hAnsi="Arial" w:cs="Arial"/>
        </w:rPr>
        <w:t xml:space="preserve">It is recommended that the business uses a strict scoring criteria to identify employees that are at risk. This ensures the business is operating a fair redundancy process. </w:t>
      </w:r>
    </w:p>
    <w:p w:rsidR="00F55A4D" w:rsidRPr="00985BF0" w:rsidRDefault="00F55A4D" w:rsidP="00B1204E">
      <w:pPr>
        <w:ind w:left="1417" w:right="1417"/>
        <w:rPr>
          <w:rFonts w:ascii="Arial" w:hAnsi="Arial" w:cs="Arial"/>
        </w:rPr>
      </w:pPr>
    </w:p>
    <w:p w:rsidR="00F55A4D" w:rsidRPr="00985BF0" w:rsidRDefault="00F55A4D" w:rsidP="00B1204E">
      <w:pPr>
        <w:ind w:left="1417" w:right="1417"/>
        <w:rPr>
          <w:rFonts w:ascii="Arial" w:hAnsi="Arial" w:cs="Arial"/>
          <w:b/>
          <w:u w:val="single"/>
        </w:rPr>
      </w:pPr>
      <w:r w:rsidRPr="00985BF0">
        <w:rPr>
          <w:rFonts w:ascii="Arial" w:hAnsi="Arial" w:cs="Arial"/>
          <w:b/>
          <w:u w:val="single"/>
        </w:rPr>
        <w:t>Identify the Pool</w:t>
      </w:r>
    </w:p>
    <w:p w:rsidR="00B16750" w:rsidRPr="00985BF0" w:rsidRDefault="00B16750" w:rsidP="00B1204E">
      <w:pPr>
        <w:ind w:left="1417" w:right="1417"/>
        <w:rPr>
          <w:rFonts w:ascii="Arial" w:hAnsi="Arial" w:cs="Arial"/>
        </w:rPr>
      </w:pPr>
      <w:r w:rsidRPr="00985BF0">
        <w:rPr>
          <w:rFonts w:ascii="Arial" w:hAnsi="Arial" w:cs="Arial"/>
        </w:rPr>
        <w:t xml:space="preserve">The first stage of the process is identifying the pool of employees that are at risk of redundancy and should be discussed with the Union. In this case, the pool of affected employees will be the electrical engineers, including the transferred Illuminate employees. </w:t>
      </w:r>
      <w:r w:rsidR="00875122" w:rsidRPr="00985BF0">
        <w:rPr>
          <w:rFonts w:ascii="Arial" w:hAnsi="Arial" w:cs="Arial"/>
        </w:rPr>
        <w:t>As previously mentioned, it is vital the business operates a fair process to avoid unfair dismissal claims or discrimination claims.</w:t>
      </w:r>
    </w:p>
    <w:p w:rsidR="00B16750" w:rsidRPr="00985BF0" w:rsidRDefault="00B16750" w:rsidP="00B1204E">
      <w:pPr>
        <w:ind w:left="1417" w:right="1417"/>
        <w:rPr>
          <w:rFonts w:ascii="Arial" w:hAnsi="Arial" w:cs="Arial"/>
        </w:rPr>
      </w:pPr>
    </w:p>
    <w:p w:rsidR="00F55A4D" w:rsidRPr="00985BF0" w:rsidRDefault="00F55A4D" w:rsidP="00B1204E">
      <w:pPr>
        <w:ind w:left="1417" w:right="1417"/>
        <w:rPr>
          <w:rFonts w:ascii="Arial" w:hAnsi="Arial" w:cs="Arial"/>
          <w:b/>
          <w:u w:val="single"/>
        </w:rPr>
      </w:pPr>
      <w:r w:rsidRPr="00985BF0">
        <w:rPr>
          <w:rFonts w:ascii="Arial" w:hAnsi="Arial" w:cs="Arial"/>
          <w:b/>
          <w:u w:val="single"/>
        </w:rPr>
        <w:t>Communicating the Potential Redundancies</w:t>
      </w:r>
    </w:p>
    <w:p w:rsidR="00B16750" w:rsidRPr="00985BF0" w:rsidRDefault="00B16750" w:rsidP="00B1204E">
      <w:pPr>
        <w:ind w:left="1417" w:right="1417"/>
        <w:rPr>
          <w:rFonts w:ascii="Arial" w:hAnsi="Arial" w:cs="Arial"/>
        </w:rPr>
      </w:pPr>
      <w:r w:rsidRPr="00985BF0">
        <w:rPr>
          <w:rFonts w:ascii="Arial" w:hAnsi="Arial" w:cs="Arial"/>
        </w:rPr>
        <w:t xml:space="preserve">The business needs to communicate to the affected employees </w:t>
      </w:r>
      <w:r w:rsidR="00875122" w:rsidRPr="00985BF0">
        <w:rPr>
          <w:rFonts w:ascii="Arial" w:hAnsi="Arial" w:cs="Arial"/>
        </w:rPr>
        <w:t xml:space="preserve">and clearly outline </w:t>
      </w:r>
      <w:r w:rsidRPr="00985BF0">
        <w:rPr>
          <w:rFonts w:ascii="Arial" w:hAnsi="Arial" w:cs="Arial"/>
        </w:rPr>
        <w:t>how many redundancies will be taking place</w:t>
      </w:r>
      <w:r w:rsidR="00875122" w:rsidRPr="00985BF0">
        <w:rPr>
          <w:rFonts w:ascii="Arial" w:hAnsi="Arial" w:cs="Arial"/>
        </w:rPr>
        <w:t xml:space="preserve"> within the business</w:t>
      </w:r>
      <w:r w:rsidRPr="00985BF0">
        <w:rPr>
          <w:rFonts w:ascii="Arial" w:hAnsi="Arial" w:cs="Arial"/>
        </w:rPr>
        <w:t xml:space="preserve">, but is </w:t>
      </w:r>
      <w:r w:rsidR="00875122" w:rsidRPr="00985BF0">
        <w:rPr>
          <w:rFonts w:ascii="Arial" w:hAnsi="Arial" w:cs="Arial"/>
        </w:rPr>
        <w:t>fundamental</w:t>
      </w:r>
      <w:r w:rsidRPr="00985BF0">
        <w:rPr>
          <w:rFonts w:ascii="Arial" w:hAnsi="Arial" w:cs="Arial"/>
        </w:rPr>
        <w:t xml:space="preserve"> to explain that the redundancy is only a possibility and will be subject to a full consultation process. </w:t>
      </w:r>
      <w:r w:rsidR="00875122" w:rsidRPr="00985BF0">
        <w:rPr>
          <w:rFonts w:ascii="Arial" w:hAnsi="Arial" w:cs="Arial"/>
        </w:rPr>
        <w:t xml:space="preserve">By making sure the employees are aware it is only a possibility, it </w:t>
      </w:r>
      <w:r w:rsidRPr="00985BF0">
        <w:rPr>
          <w:rFonts w:ascii="Arial" w:hAnsi="Arial" w:cs="Arial"/>
        </w:rPr>
        <w:t xml:space="preserve">secures the business from </w:t>
      </w:r>
      <w:r w:rsidR="00875122" w:rsidRPr="00985BF0">
        <w:rPr>
          <w:rFonts w:ascii="Arial" w:hAnsi="Arial" w:cs="Arial"/>
        </w:rPr>
        <w:t xml:space="preserve">potential </w:t>
      </w:r>
      <w:r w:rsidRPr="00985BF0">
        <w:rPr>
          <w:rFonts w:ascii="Arial" w:hAnsi="Arial" w:cs="Arial"/>
        </w:rPr>
        <w:t xml:space="preserve">claims that the decision was intended. </w:t>
      </w:r>
    </w:p>
    <w:p w:rsidR="00B16750" w:rsidRPr="00985BF0" w:rsidRDefault="00B16750" w:rsidP="00B1204E">
      <w:pPr>
        <w:ind w:left="1417" w:right="1417"/>
      </w:pPr>
    </w:p>
    <w:p w:rsidR="00F55A4D" w:rsidRPr="00985BF0" w:rsidRDefault="00F55A4D" w:rsidP="00B1204E">
      <w:pPr>
        <w:ind w:left="1417" w:right="1417"/>
        <w:rPr>
          <w:rFonts w:ascii="Arial" w:hAnsi="Arial" w:cs="Arial"/>
          <w:b/>
          <w:u w:val="single"/>
        </w:rPr>
      </w:pPr>
      <w:r w:rsidRPr="00985BF0">
        <w:rPr>
          <w:rFonts w:ascii="Arial" w:hAnsi="Arial" w:cs="Arial"/>
          <w:b/>
          <w:u w:val="single"/>
        </w:rPr>
        <w:t>Selection Criteria</w:t>
      </w:r>
    </w:p>
    <w:p w:rsidR="00D8374B" w:rsidRPr="00985BF0" w:rsidRDefault="00B16750" w:rsidP="00B1204E">
      <w:pPr>
        <w:ind w:left="1417" w:right="1417"/>
        <w:rPr>
          <w:rFonts w:ascii="Arial" w:hAnsi="Arial" w:cs="Arial"/>
        </w:rPr>
      </w:pPr>
      <w:r w:rsidRPr="00985BF0">
        <w:rPr>
          <w:rFonts w:ascii="Arial" w:hAnsi="Arial" w:cs="Arial"/>
        </w:rPr>
        <w:t xml:space="preserve">The selection criteria </w:t>
      </w:r>
      <w:r w:rsidR="00875122" w:rsidRPr="00985BF0">
        <w:rPr>
          <w:rFonts w:ascii="Arial" w:hAnsi="Arial" w:cs="Arial"/>
        </w:rPr>
        <w:t xml:space="preserve">for the redundancies </w:t>
      </w:r>
      <w:r w:rsidRPr="00985BF0">
        <w:rPr>
          <w:rFonts w:ascii="Arial" w:hAnsi="Arial" w:cs="Arial"/>
        </w:rPr>
        <w:t>needs to be explained to the affected employees. To be a fair selection process</w:t>
      </w:r>
      <w:r w:rsidR="00875122" w:rsidRPr="00985BF0">
        <w:rPr>
          <w:rFonts w:ascii="Arial" w:hAnsi="Arial" w:cs="Arial"/>
        </w:rPr>
        <w:t xml:space="preserve">, the selection criteria </w:t>
      </w:r>
      <w:r w:rsidRPr="00985BF0">
        <w:rPr>
          <w:rFonts w:ascii="Arial" w:hAnsi="Arial" w:cs="Arial"/>
        </w:rPr>
        <w:t>needs to take into consideration, length of service, attendance records, as well as any disciplinary records on file. These categories can be added to a matrix</w:t>
      </w:r>
      <w:r w:rsidR="00875122" w:rsidRPr="00985BF0">
        <w:rPr>
          <w:rFonts w:ascii="Arial" w:hAnsi="Arial" w:cs="Arial"/>
        </w:rPr>
        <w:t>, weighted with a score per category based on importance</w:t>
      </w:r>
      <w:r w:rsidRPr="00985BF0">
        <w:rPr>
          <w:rFonts w:ascii="Arial" w:hAnsi="Arial" w:cs="Arial"/>
        </w:rPr>
        <w:t xml:space="preserve"> </w:t>
      </w:r>
      <w:r w:rsidR="00875122" w:rsidRPr="00985BF0">
        <w:rPr>
          <w:rFonts w:ascii="Arial" w:hAnsi="Arial" w:cs="Arial"/>
        </w:rPr>
        <w:t xml:space="preserve">and will be used to </w:t>
      </w:r>
      <w:r w:rsidRPr="00985BF0">
        <w:rPr>
          <w:rFonts w:ascii="Arial" w:hAnsi="Arial" w:cs="Arial"/>
        </w:rPr>
        <w:t xml:space="preserve">score the employees based on the evidence. </w:t>
      </w:r>
      <w:r w:rsidR="008F1DFE" w:rsidRPr="00985BF0">
        <w:rPr>
          <w:rFonts w:ascii="Arial" w:hAnsi="Arial" w:cs="Arial"/>
        </w:rPr>
        <w:t>Once the process of scoring has ended, the business will need to write to each employee identified at risk</w:t>
      </w:r>
      <w:r w:rsidR="00875122" w:rsidRPr="00985BF0">
        <w:rPr>
          <w:rFonts w:ascii="Arial" w:hAnsi="Arial" w:cs="Arial"/>
        </w:rPr>
        <w:t xml:space="preserve"> (usually the lowest scoring) </w:t>
      </w:r>
      <w:r w:rsidR="008F1DFE" w:rsidRPr="00985BF0">
        <w:rPr>
          <w:rFonts w:ascii="Arial" w:hAnsi="Arial" w:cs="Arial"/>
        </w:rPr>
        <w:t xml:space="preserve">detailing the reason for selection for redundancy. Each employee will be invited to a consultation meeting to </w:t>
      </w:r>
      <w:r w:rsidR="008F1DFE" w:rsidRPr="00985BF0">
        <w:rPr>
          <w:rFonts w:ascii="Arial" w:hAnsi="Arial" w:cs="Arial"/>
        </w:rPr>
        <w:lastRenderedPageBreak/>
        <w:t>discuss their selection</w:t>
      </w:r>
      <w:r w:rsidR="00875122" w:rsidRPr="00985BF0">
        <w:rPr>
          <w:rFonts w:ascii="Arial" w:hAnsi="Arial" w:cs="Arial"/>
        </w:rPr>
        <w:t xml:space="preserve"> and raise any issues or concerns they have.</w:t>
      </w:r>
    </w:p>
    <w:p w:rsidR="00D8374B" w:rsidRPr="00985BF0" w:rsidRDefault="00D8374B" w:rsidP="00B1204E">
      <w:pPr>
        <w:ind w:left="1417" w:right="1417"/>
      </w:pPr>
    </w:p>
    <w:p w:rsidR="00F55A4D" w:rsidRPr="00985BF0" w:rsidRDefault="00F55A4D" w:rsidP="00B1204E">
      <w:pPr>
        <w:ind w:left="1417" w:right="1417"/>
        <w:rPr>
          <w:rFonts w:ascii="Arial" w:hAnsi="Arial" w:cs="Arial"/>
          <w:b/>
          <w:u w:val="single"/>
        </w:rPr>
      </w:pPr>
      <w:r w:rsidRPr="00985BF0">
        <w:rPr>
          <w:rFonts w:ascii="Arial" w:hAnsi="Arial" w:cs="Arial"/>
          <w:b/>
          <w:u w:val="single"/>
        </w:rPr>
        <w:t>Consultation Meetings</w:t>
      </w:r>
    </w:p>
    <w:p w:rsidR="0041440E" w:rsidRPr="00985BF0" w:rsidRDefault="0041440E" w:rsidP="00B1204E">
      <w:pPr>
        <w:ind w:left="1417" w:right="1417"/>
        <w:rPr>
          <w:rFonts w:ascii="Arial" w:hAnsi="Arial" w:cs="Arial"/>
        </w:rPr>
      </w:pPr>
      <w:r w:rsidRPr="00985BF0">
        <w:rPr>
          <w:rFonts w:ascii="Arial" w:hAnsi="Arial" w:cs="Arial"/>
        </w:rPr>
        <w:t>An individual consultation meeting will need to take place that gives the employee the opportunity to suggest ways in which the business can avoid redundancies, challenge their reason for selection, and consider alternative employment (if applicable). The business must remind the employee that they are entitled to have a colleague or trade union representative with them during this meeting should they choose to. Any employees unaccompanied</w:t>
      </w:r>
      <w:r w:rsidR="00875122" w:rsidRPr="00985BF0">
        <w:rPr>
          <w:rFonts w:ascii="Arial" w:hAnsi="Arial" w:cs="Arial"/>
        </w:rPr>
        <w:t xml:space="preserve"> by a colleague or trade union representative</w:t>
      </w:r>
      <w:r w:rsidRPr="00985BF0">
        <w:rPr>
          <w:rFonts w:ascii="Arial" w:hAnsi="Arial" w:cs="Arial"/>
        </w:rPr>
        <w:t xml:space="preserve"> must be asked if they are satisfied to continue with the meeting</w:t>
      </w:r>
      <w:r w:rsidR="00875122" w:rsidRPr="00985BF0">
        <w:rPr>
          <w:rFonts w:ascii="Arial" w:hAnsi="Arial" w:cs="Arial"/>
        </w:rPr>
        <w:t>, with this being captured as part of the notes.</w:t>
      </w:r>
    </w:p>
    <w:p w:rsidR="0041440E" w:rsidRPr="00985BF0" w:rsidRDefault="0041440E" w:rsidP="00B1204E">
      <w:pPr>
        <w:ind w:left="1417" w:right="1417"/>
        <w:rPr>
          <w:rFonts w:ascii="Arial" w:hAnsi="Arial" w:cs="Arial"/>
        </w:rPr>
      </w:pPr>
    </w:p>
    <w:p w:rsidR="00F55A4D" w:rsidRPr="00985BF0" w:rsidRDefault="00F55A4D" w:rsidP="00B1204E">
      <w:pPr>
        <w:ind w:left="1417" w:right="1417"/>
        <w:rPr>
          <w:rFonts w:ascii="Arial" w:hAnsi="Arial" w:cs="Arial"/>
          <w:b/>
          <w:u w:val="single"/>
        </w:rPr>
      </w:pPr>
      <w:r w:rsidRPr="00985BF0">
        <w:rPr>
          <w:rFonts w:ascii="Arial" w:hAnsi="Arial" w:cs="Arial"/>
          <w:b/>
          <w:u w:val="single"/>
        </w:rPr>
        <w:t>Follow Up Meetings</w:t>
      </w:r>
    </w:p>
    <w:p w:rsidR="0041440E" w:rsidRPr="00985BF0" w:rsidRDefault="0041440E" w:rsidP="00B1204E">
      <w:pPr>
        <w:ind w:left="1417" w:right="1417"/>
        <w:rPr>
          <w:rFonts w:ascii="Arial" w:hAnsi="Arial" w:cs="Arial"/>
        </w:rPr>
      </w:pPr>
      <w:r w:rsidRPr="00985BF0">
        <w:rPr>
          <w:rFonts w:ascii="Arial" w:hAnsi="Arial" w:cs="Arial"/>
        </w:rPr>
        <w:t>The follow up meeting comes after the employees identified as at risk of redundancy based on the scoring criteria have received letters confirming so. The reason for selection and scores must be shared with the individual, along with the mention of suitable alternative employment</w:t>
      </w:r>
      <w:r w:rsidR="00875122" w:rsidRPr="00985BF0">
        <w:rPr>
          <w:rFonts w:ascii="Arial" w:hAnsi="Arial" w:cs="Arial"/>
        </w:rPr>
        <w:t xml:space="preserve"> (if applicable)</w:t>
      </w:r>
      <w:r w:rsidRPr="00985BF0">
        <w:rPr>
          <w:rFonts w:ascii="Arial" w:hAnsi="Arial" w:cs="Arial"/>
        </w:rPr>
        <w:t>. The business must then explain the redundancy package and explain the right of appeal to the individual.</w:t>
      </w:r>
    </w:p>
    <w:p w:rsidR="0041440E" w:rsidRPr="00985BF0" w:rsidRDefault="0041440E" w:rsidP="00B1204E">
      <w:pPr>
        <w:ind w:left="1417" w:right="1417"/>
        <w:rPr>
          <w:rFonts w:ascii="Arial" w:hAnsi="Arial" w:cs="Arial"/>
        </w:rPr>
      </w:pPr>
    </w:p>
    <w:p w:rsidR="00F55A4D" w:rsidRPr="00985BF0" w:rsidRDefault="00F55A4D" w:rsidP="00B1204E">
      <w:pPr>
        <w:ind w:left="1417" w:right="1417"/>
        <w:rPr>
          <w:rFonts w:ascii="Arial" w:hAnsi="Arial" w:cs="Arial"/>
          <w:b/>
          <w:u w:val="single"/>
        </w:rPr>
      </w:pPr>
      <w:r w:rsidRPr="00985BF0">
        <w:rPr>
          <w:rFonts w:ascii="Arial" w:hAnsi="Arial" w:cs="Arial"/>
          <w:b/>
          <w:u w:val="single"/>
        </w:rPr>
        <w:t>Confirmation of Redundancy</w:t>
      </w:r>
    </w:p>
    <w:p w:rsidR="0041440E" w:rsidRPr="00985BF0" w:rsidRDefault="0041440E" w:rsidP="00B1204E">
      <w:pPr>
        <w:ind w:left="1417" w:right="1417"/>
        <w:rPr>
          <w:rFonts w:ascii="Arial" w:hAnsi="Arial" w:cs="Arial"/>
        </w:rPr>
      </w:pPr>
      <w:r w:rsidRPr="00985BF0">
        <w:rPr>
          <w:rFonts w:ascii="Arial" w:hAnsi="Arial" w:cs="Arial"/>
        </w:rPr>
        <w:t xml:space="preserve">The confirmation of redundancy must be made in writing and detail the date in which they are redundant, whether they are working their notice period </w:t>
      </w:r>
      <w:r w:rsidR="00875122" w:rsidRPr="00985BF0">
        <w:rPr>
          <w:rFonts w:ascii="Arial" w:hAnsi="Arial" w:cs="Arial"/>
        </w:rPr>
        <w:t xml:space="preserve">or not </w:t>
      </w:r>
      <w:r w:rsidRPr="00985BF0">
        <w:rPr>
          <w:rFonts w:ascii="Arial" w:hAnsi="Arial" w:cs="Arial"/>
        </w:rPr>
        <w:t>and their right of appeal.</w:t>
      </w:r>
    </w:p>
    <w:p w:rsidR="00875122" w:rsidRPr="00985BF0" w:rsidRDefault="00875122" w:rsidP="00B1204E">
      <w:pPr>
        <w:ind w:left="1417" w:right="1417"/>
        <w:rPr>
          <w:rFonts w:ascii="Arial" w:hAnsi="Arial" w:cs="Arial"/>
        </w:rPr>
      </w:pPr>
    </w:p>
    <w:p w:rsidR="00B16750" w:rsidRPr="003E24C2" w:rsidRDefault="00875122" w:rsidP="003E24C2">
      <w:pPr>
        <w:ind w:left="1417" w:right="1417"/>
        <w:rPr>
          <w:rFonts w:ascii="Arial" w:hAnsi="Arial" w:cs="Arial"/>
        </w:rPr>
      </w:pPr>
      <w:r w:rsidRPr="00985BF0">
        <w:rPr>
          <w:rFonts w:ascii="Arial" w:hAnsi="Arial" w:cs="Arial"/>
        </w:rPr>
        <w:t>This will be considered a legal and fair process for the business to use, should there be a need for redundancies.</w:t>
      </w:r>
      <w:r>
        <w:rPr>
          <w:rFonts w:ascii="Arial" w:hAnsi="Arial" w:cs="Arial"/>
        </w:rPr>
        <w:t xml:space="preserve"> </w:t>
      </w:r>
      <w:r w:rsidR="009F259D">
        <w:rPr>
          <w:rFonts w:ascii="Arial" w:hAnsi="Arial" w:cs="Arial"/>
        </w:rPr>
        <w:t>As a recommendation to the business, it would be suggested that if there were to be any redundancies made within the workforce, this process is undertaken.</w:t>
      </w:r>
    </w:p>
    <w:p w:rsidR="00B16750" w:rsidRDefault="00B16750" w:rsidP="00B1204E">
      <w:pPr>
        <w:ind w:left="1417" w:right="1417"/>
        <w:rPr>
          <w:rFonts w:ascii="Times New Roman" w:eastAsia="Times New Roman" w:hAnsi="Times New Roman" w:cs="Times New Roman"/>
        </w:rPr>
      </w:pPr>
    </w:p>
    <w:p w:rsidR="00B16750" w:rsidRPr="00B16750" w:rsidRDefault="00B16750" w:rsidP="00B1204E">
      <w:pPr>
        <w:ind w:left="1417" w:right="1417"/>
        <w:rPr>
          <w:rFonts w:ascii="Arial" w:eastAsia="Times New Roman" w:hAnsi="Arial" w:cs="Arial"/>
          <w:b/>
          <w:sz w:val="28"/>
          <w:u w:val="single"/>
        </w:rPr>
      </w:pPr>
      <w:r w:rsidRPr="00B16750">
        <w:rPr>
          <w:rFonts w:ascii="Arial" w:eastAsia="Times New Roman" w:hAnsi="Arial" w:cs="Arial"/>
          <w:b/>
          <w:sz w:val="28"/>
          <w:u w:val="single"/>
        </w:rPr>
        <w:t xml:space="preserve">What are the options in terms of seeking to make the change to the terms and conditions? </w:t>
      </w:r>
    </w:p>
    <w:p w:rsidR="00B16750" w:rsidRPr="00B16750" w:rsidRDefault="00B16750" w:rsidP="00B1204E">
      <w:pPr>
        <w:ind w:left="1417" w:right="1417"/>
        <w:rPr>
          <w:rFonts w:ascii="Arial" w:eastAsia="Times New Roman" w:hAnsi="Arial" w:cs="Arial"/>
          <w:b/>
          <w:sz w:val="28"/>
          <w:u w:val="single"/>
        </w:rPr>
      </w:pPr>
    </w:p>
    <w:p w:rsidR="00377D5F" w:rsidRDefault="00377D5F" w:rsidP="00377D5F">
      <w:pPr>
        <w:ind w:left="1417" w:right="1417"/>
        <w:rPr>
          <w:rFonts w:ascii="Arial" w:eastAsia="Times New Roman" w:hAnsi="Arial" w:cs="Arial"/>
        </w:rPr>
      </w:pPr>
      <w:r>
        <w:rPr>
          <w:rFonts w:ascii="Arial" w:eastAsia="Times New Roman" w:hAnsi="Arial" w:cs="Arial"/>
        </w:rPr>
        <w:t>With the change in the contract of employment being quite substantial, it would be courteous of the business to get the consent of the employees to make this change, even if there is a contractual right to make the change. If the business does not communicate with employees and obtain consent, it may lead to “</w:t>
      </w:r>
      <w:r w:rsidRPr="00DF7AE7">
        <w:rPr>
          <w:rFonts w:ascii="Arial" w:eastAsia="Times New Roman" w:hAnsi="Arial" w:cs="Arial"/>
        </w:rPr>
        <w:t xml:space="preserve">a decrease in commitment and performance, if employees do not support the </w:t>
      </w:r>
      <w:r w:rsidRPr="00DF7AE7">
        <w:rPr>
          <w:rFonts w:ascii="Arial" w:eastAsia="Times New Roman" w:hAnsi="Arial" w:cs="Arial"/>
        </w:rPr>
        <w:lastRenderedPageBreak/>
        <w:t>changes, or feel they have not had the opportunity to inform decisions</w:t>
      </w:r>
      <w:r>
        <w:rPr>
          <w:rFonts w:ascii="Arial" w:eastAsia="Times New Roman" w:hAnsi="Arial" w:cs="Arial"/>
        </w:rPr>
        <w:t>” (ACAS A, 2021).</w:t>
      </w:r>
    </w:p>
    <w:p w:rsidR="00377D5F" w:rsidRPr="006725FF" w:rsidRDefault="00377D5F" w:rsidP="00377D5F">
      <w:pPr>
        <w:ind w:left="1417" w:right="1417"/>
        <w:rPr>
          <w:rFonts w:ascii="Arial" w:eastAsia="Times New Roman" w:hAnsi="Arial" w:cs="Arial"/>
        </w:rPr>
      </w:pPr>
    </w:p>
    <w:p w:rsidR="00F56133" w:rsidRDefault="00F56133" w:rsidP="00B1204E">
      <w:pPr>
        <w:ind w:left="1417" w:right="1417"/>
        <w:rPr>
          <w:rFonts w:ascii="Arial" w:eastAsia="Times New Roman" w:hAnsi="Arial" w:cs="Arial"/>
        </w:rPr>
      </w:pPr>
      <w:r>
        <w:rPr>
          <w:rFonts w:ascii="Arial" w:eastAsia="Times New Roman" w:hAnsi="Arial" w:cs="Arial"/>
        </w:rPr>
        <w:t xml:space="preserve">The business will be changing all employment contracts to implement the mobility clause, this means that it is necessary a collective consultation is had with the employees regarding the change. This is also where the business should discuss the pay review as this is will also be incorporated into the new contract of employment </w:t>
      </w:r>
      <w:r>
        <w:rPr>
          <w:rFonts w:ascii="Arial" w:eastAsia="Times New Roman" w:hAnsi="Arial" w:cs="Arial"/>
        </w:rPr>
        <w:t>(Wilson Browne Solicitors, 2022)</w:t>
      </w:r>
      <w:r>
        <w:rPr>
          <w:rFonts w:ascii="Arial" w:eastAsia="Times New Roman" w:hAnsi="Arial" w:cs="Arial"/>
        </w:rPr>
        <w:t xml:space="preserve">. </w:t>
      </w:r>
    </w:p>
    <w:p w:rsidR="00F56133" w:rsidRDefault="00F56133" w:rsidP="00B1204E">
      <w:pPr>
        <w:ind w:left="1417" w:right="1417"/>
        <w:rPr>
          <w:rFonts w:ascii="Arial" w:eastAsia="Times New Roman" w:hAnsi="Arial" w:cs="Arial"/>
        </w:rPr>
      </w:pPr>
    </w:p>
    <w:p w:rsidR="00F56133" w:rsidRDefault="00F56133" w:rsidP="00B1204E">
      <w:pPr>
        <w:ind w:left="1417" w:right="1417"/>
        <w:rPr>
          <w:rFonts w:ascii="Arial" w:eastAsia="Times New Roman" w:hAnsi="Arial" w:cs="Arial"/>
        </w:rPr>
      </w:pPr>
      <w:r>
        <w:rPr>
          <w:rFonts w:ascii="Arial" w:eastAsia="Times New Roman" w:hAnsi="Arial" w:cs="Arial"/>
        </w:rPr>
        <w:t xml:space="preserve">During the consultation meetings, the employees must be told that if an agreement of the new terms cannot be met through the process of consultation meetings, the business will have to consider giving notice for contract termination for the current contracts, with the view of immediately offering the employees a new contract with the new terms </w:t>
      </w:r>
      <w:r>
        <w:rPr>
          <w:rFonts w:ascii="Arial" w:eastAsia="Times New Roman" w:hAnsi="Arial" w:cs="Arial"/>
        </w:rPr>
        <w:t>(Wilson Browne Solicitors, 2022)</w:t>
      </w:r>
      <w:r>
        <w:rPr>
          <w:rFonts w:ascii="Arial" w:eastAsia="Times New Roman" w:hAnsi="Arial" w:cs="Arial"/>
        </w:rPr>
        <w:t>.</w:t>
      </w:r>
    </w:p>
    <w:p w:rsidR="00F56133" w:rsidRDefault="00F56133" w:rsidP="00B1204E">
      <w:pPr>
        <w:ind w:left="1417" w:right="1417"/>
        <w:rPr>
          <w:rFonts w:ascii="Arial" w:eastAsia="Times New Roman" w:hAnsi="Arial" w:cs="Arial"/>
        </w:rPr>
      </w:pPr>
    </w:p>
    <w:p w:rsidR="00F83BEE" w:rsidRPr="00F83BEE" w:rsidRDefault="00F56133" w:rsidP="009C2DFE">
      <w:pPr>
        <w:ind w:left="1417" w:right="1417"/>
        <w:rPr>
          <w:rFonts w:ascii="Arial" w:eastAsia="Times New Roman" w:hAnsi="Arial" w:cs="Arial"/>
        </w:rPr>
      </w:pPr>
      <w:r>
        <w:rPr>
          <w:rFonts w:ascii="Arial" w:eastAsia="Times New Roman" w:hAnsi="Arial" w:cs="Arial"/>
        </w:rPr>
        <w:t>The business must make it very clear that it will only terminate contracts if absolutely necessary, and would much prefer the alterations to the contracts to be settled on a voluntary basis (Wilson Browne Solicitors, 2022)</w:t>
      </w:r>
    </w:p>
    <w:p w:rsidR="006725FF" w:rsidRDefault="006725FF" w:rsidP="00B1204E">
      <w:pPr>
        <w:ind w:left="1417" w:right="1417"/>
        <w:rPr>
          <w:rFonts w:ascii="Arial" w:eastAsia="Times New Roman" w:hAnsi="Arial" w:cs="Arial"/>
          <w:b/>
          <w:sz w:val="28"/>
          <w:u w:val="single"/>
        </w:rPr>
      </w:pPr>
    </w:p>
    <w:p w:rsidR="00377D5F" w:rsidRDefault="00B16750" w:rsidP="009F259D">
      <w:pPr>
        <w:ind w:left="1417" w:right="1417"/>
        <w:rPr>
          <w:rFonts w:ascii="Arial" w:eastAsia="Times New Roman" w:hAnsi="Arial" w:cs="Arial"/>
          <w:b/>
          <w:sz w:val="28"/>
          <w:u w:val="single"/>
        </w:rPr>
      </w:pPr>
      <w:r w:rsidRPr="00B16750">
        <w:rPr>
          <w:rFonts w:ascii="Arial" w:eastAsia="Times New Roman" w:hAnsi="Arial" w:cs="Arial"/>
          <w:b/>
          <w:sz w:val="28"/>
          <w:u w:val="single"/>
        </w:rPr>
        <w:t xml:space="preserve">Does the clause help Management? </w:t>
      </w:r>
    </w:p>
    <w:p w:rsidR="00377D5F" w:rsidRDefault="00377D5F" w:rsidP="00B1204E">
      <w:pPr>
        <w:ind w:left="1417" w:right="1417"/>
        <w:rPr>
          <w:rFonts w:ascii="Arial" w:eastAsia="Times New Roman" w:hAnsi="Arial" w:cs="Arial"/>
        </w:rPr>
      </w:pPr>
    </w:p>
    <w:p w:rsidR="004E6A15" w:rsidRDefault="004E6A15" w:rsidP="00B1204E">
      <w:pPr>
        <w:ind w:left="1417" w:right="1417"/>
        <w:rPr>
          <w:rFonts w:ascii="Arial" w:eastAsia="Times New Roman" w:hAnsi="Arial" w:cs="Arial"/>
        </w:rPr>
      </w:pPr>
      <w:r>
        <w:rPr>
          <w:rFonts w:ascii="Arial" w:eastAsia="Times New Roman" w:hAnsi="Arial" w:cs="Arial"/>
        </w:rPr>
        <w:t xml:space="preserve">Having the right to make the changes to the contract of employment will help management </w:t>
      </w:r>
      <w:r w:rsidR="009C2DFE">
        <w:rPr>
          <w:rFonts w:ascii="Arial" w:eastAsia="Times New Roman" w:hAnsi="Arial" w:cs="Arial"/>
        </w:rPr>
        <w:t xml:space="preserve">as it can be seen as quite plain sailing. It gives the business the opportunity to encourage the employees to agree to the changes in the contract of employment voluntarily before having to resort to possibly terminating contracts and reissuing with the new changes already implemented. With the new contract of employment and pay review, it is likely to help management as employees may be more likely to accept these changes based on the new pay rate. </w:t>
      </w:r>
    </w:p>
    <w:p w:rsidR="00B16750" w:rsidRPr="00B16750" w:rsidRDefault="00B16750" w:rsidP="009F259D">
      <w:pPr>
        <w:ind w:right="1417"/>
        <w:rPr>
          <w:rFonts w:ascii="Arial" w:eastAsia="Times New Roman" w:hAnsi="Arial" w:cs="Arial"/>
          <w:b/>
          <w:sz w:val="28"/>
          <w:u w:val="single"/>
        </w:rPr>
      </w:pPr>
    </w:p>
    <w:p w:rsidR="00B16750" w:rsidRPr="00B16750" w:rsidRDefault="004E6A15" w:rsidP="00B1204E">
      <w:pPr>
        <w:ind w:left="1417" w:right="1417"/>
        <w:rPr>
          <w:rFonts w:ascii="Arial" w:eastAsia="Times New Roman" w:hAnsi="Arial" w:cs="Arial"/>
          <w:b/>
          <w:sz w:val="28"/>
          <w:u w:val="single"/>
        </w:rPr>
      </w:pPr>
      <w:r>
        <w:rPr>
          <w:rFonts w:ascii="Arial" w:eastAsia="Times New Roman" w:hAnsi="Arial" w:cs="Arial"/>
          <w:b/>
          <w:sz w:val="28"/>
          <w:u w:val="single"/>
        </w:rPr>
        <w:t>A</w:t>
      </w:r>
      <w:r w:rsidR="00B16750" w:rsidRPr="00B16750">
        <w:rPr>
          <w:rFonts w:ascii="Arial" w:eastAsia="Times New Roman" w:hAnsi="Arial" w:cs="Arial"/>
          <w:b/>
          <w:sz w:val="28"/>
          <w:u w:val="single"/>
        </w:rPr>
        <w:t xml:space="preserve">dvantages and </w:t>
      </w:r>
      <w:r>
        <w:rPr>
          <w:rFonts w:ascii="Arial" w:eastAsia="Times New Roman" w:hAnsi="Arial" w:cs="Arial"/>
          <w:b/>
          <w:sz w:val="28"/>
          <w:u w:val="single"/>
        </w:rPr>
        <w:t>D</w:t>
      </w:r>
      <w:r w:rsidR="00B16750" w:rsidRPr="00B16750">
        <w:rPr>
          <w:rFonts w:ascii="Arial" w:eastAsia="Times New Roman" w:hAnsi="Arial" w:cs="Arial"/>
          <w:b/>
          <w:sz w:val="28"/>
          <w:u w:val="single"/>
        </w:rPr>
        <w:t xml:space="preserve">isadvantages of </w:t>
      </w:r>
      <w:r>
        <w:rPr>
          <w:rFonts w:ascii="Arial" w:eastAsia="Times New Roman" w:hAnsi="Arial" w:cs="Arial"/>
          <w:b/>
          <w:sz w:val="28"/>
          <w:u w:val="single"/>
        </w:rPr>
        <w:t>the Options Identified</w:t>
      </w:r>
    </w:p>
    <w:p w:rsidR="00B16750" w:rsidRDefault="00B16750" w:rsidP="00B1204E">
      <w:pPr>
        <w:ind w:left="1417" w:right="1417"/>
      </w:pPr>
    </w:p>
    <w:p w:rsidR="00B16750" w:rsidRDefault="004E6A15" w:rsidP="00B1204E">
      <w:pPr>
        <w:ind w:left="1417" w:right="1417"/>
        <w:rPr>
          <w:rFonts w:ascii="Arial" w:hAnsi="Arial" w:cs="Arial"/>
          <w:color w:val="000000" w:themeColor="text1"/>
        </w:rPr>
      </w:pPr>
      <w:r>
        <w:rPr>
          <w:rFonts w:ascii="Arial" w:hAnsi="Arial" w:cs="Arial"/>
        </w:rPr>
        <w:t xml:space="preserve">One of the advantages of conducting consultation meetings is that everyone in the business should feel involved and a part of the changes that are being made (ACAS, 2022). </w:t>
      </w:r>
      <w:r w:rsidRPr="00B33850">
        <w:rPr>
          <w:rFonts w:ascii="Arial" w:hAnsi="Arial" w:cs="Arial"/>
          <w:color w:val="000000" w:themeColor="text1"/>
        </w:rPr>
        <w:t>However, collective consultation mee</w:t>
      </w:r>
      <w:r w:rsidR="00B33850" w:rsidRPr="00B33850">
        <w:rPr>
          <w:rFonts w:ascii="Arial" w:hAnsi="Arial" w:cs="Arial"/>
          <w:color w:val="000000" w:themeColor="text1"/>
        </w:rPr>
        <w:t>tings</w:t>
      </w:r>
      <w:r w:rsidR="00B33850">
        <w:rPr>
          <w:rFonts w:ascii="Arial" w:hAnsi="Arial" w:cs="Arial"/>
          <w:color w:val="000000" w:themeColor="text1"/>
        </w:rPr>
        <w:t xml:space="preserve"> may cause employees to become disengaged with their role and the business if they are not satisfied with the proposed changes discussed within the collective consultation meetings. This means it is likely to have a negative impact on the employee’s commitment to work </w:t>
      </w:r>
      <w:r w:rsidR="00B33850">
        <w:rPr>
          <w:rFonts w:ascii="Arial" w:hAnsi="Arial" w:cs="Arial"/>
          <w:color w:val="000000" w:themeColor="text1"/>
        </w:rPr>
        <w:lastRenderedPageBreak/>
        <w:t>throughout the consultation process and therefore damaging the business’ productivity levels at the same time (Berry, 2013).</w:t>
      </w:r>
      <w:r w:rsidR="002B0A17">
        <w:rPr>
          <w:rFonts w:ascii="Arial" w:hAnsi="Arial" w:cs="Arial"/>
          <w:color w:val="000000" w:themeColor="text1"/>
        </w:rPr>
        <w:t xml:space="preserve"> </w:t>
      </w:r>
    </w:p>
    <w:p w:rsidR="002B0A17" w:rsidRDefault="002B0A17" w:rsidP="00B1204E">
      <w:pPr>
        <w:ind w:left="1417" w:right="1417"/>
        <w:rPr>
          <w:rFonts w:ascii="Arial" w:hAnsi="Arial" w:cs="Arial"/>
        </w:rPr>
      </w:pPr>
    </w:p>
    <w:p w:rsidR="002B0A17" w:rsidRPr="004E6A15" w:rsidRDefault="002B0A17" w:rsidP="00B1204E">
      <w:pPr>
        <w:ind w:left="1417" w:right="1417"/>
        <w:rPr>
          <w:rFonts w:ascii="Arial" w:hAnsi="Arial" w:cs="Arial"/>
        </w:rPr>
      </w:pPr>
      <w:r>
        <w:rPr>
          <w:rFonts w:ascii="Arial" w:hAnsi="Arial" w:cs="Arial"/>
        </w:rPr>
        <w:t>“</w:t>
      </w:r>
      <w:r w:rsidRPr="003D3FEC">
        <w:rPr>
          <w:rFonts w:ascii="Arial" w:hAnsi="Arial" w:cs="Arial"/>
          <w:i/>
        </w:rPr>
        <w:t xml:space="preserve">Getting the collective consultation wrong can result in claims for protective awards in the value of 90 </w:t>
      </w:r>
      <w:proofErr w:type="spellStart"/>
      <w:r w:rsidRPr="003D3FEC">
        <w:rPr>
          <w:rFonts w:ascii="Arial" w:hAnsi="Arial" w:cs="Arial"/>
          <w:i/>
        </w:rPr>
        <w:t>days</w:t>
      </w:r>
      <w:proofErr w:type="spellEnd"/>
      <w:r w:rsidRPr="003D3FEC">
        <w:rPr>
          <w:rFonts w:ascii="Arial" w:hAnsi="Arial" w:cs="Arial"/>
          <w:i/>
        </w:rPr>
        <w:t xml:space="preserve"> pay per emp</w:t>
      </w:r>
      <w:r w:rsidR="003D3FEC">
        <w:rPr>
          <w:rFonts w:ascii="Arial" w:hAnsi="Arial" w:cs="Arial"/>
          <w:i/>
        </w:rPr>
        <w:t>l</w:t>
      </w:r>
      <w:r w:rsidRPr="003D3FEC">
        <w:rPr>
          <w:rFonts w:ascii="Arial" w:hAnsi="Arial" w:cs="Arial"/>
          <w:i/>
        </w:rPr>
        <w:t>o</w:t>
      </w:r>
      <w:r w:rsidR="00B2393A">
        <w:rPr>
          <w:rFonts w:ascii="Arial" w:hAnsi="Arial" w:cs="Arial"/>
          <w:i/>
        </w:rPr>
        <w:t>y</w:t>
      </w:r>
      <w:r w:rsidRPr="003D3FEC">
        <w:rPr>
          <w:rFonts w:ascii="Arial" w:hAnsi="Arial" w:cs="Arial"/>
          <w:i/>
        </w:rPr>
        <w:t>ee</w:t>
      </w:r>
      <w:r>
        <w:rPr>
          <w:rFonts w:ascii="Arial" w:hAnsi="Arial" w:cs="Arial"/>
        </w:rPr>
        <w:t>” (Davies, 2011).</w:t>
      </w:r>
    </w:p>
    <w:p w:rsidR="004E6A15" w:rsidRDefault="004E6A15" w:rsidP="0004717E">
      <w:pPr>
        <w:ind w:right="1417"/>
        <w:rPr>
          <w:rFonts w:ascii="Arial" w:hAnsi="Arial" w:cs="Arial"/>
        </w:rPr>
      </w:pPr>
    </w:p>
    <w:p w:rsidR="006725FF" w:rsidRPr="00A83F6A" w:rsidRDefault="006725FF" w:rsidP="00B1204E">
      <w:pPr>
        <w:ind w:left="1417" w:right="1417"/>
        <w:rPr>
          <w:rFonts w:ascii="Arial" w:hAnsi="Arial" w:cs="Arial"/>
        </w:rPr>
      </w:pPr>
      <w:r>
        <w:rPr>
          <w:rFonts w:ascii="Arial" w:hAnsi="Arial" w:cs="Arial"/>
        </w:rPr>
        <w:t xml:space="preserve">Introducing such a clause into the business for all employees </w:t>
      </w:r>
      <w:r w:rsidR="00A83F6A">
        <w:rPr>
          <w:rFonts w:ascii="Arial" w:hAnsi="Arial" w:cs="Arial"/>
        </w:rPr>
        <w:t xml:space="preserve">can be a risk. With it being apparent in the last staff survey that the idea of increased mobility in the business was not well received, the business runs the risk of demotivating it’s employees and may struggle to retain them. However, based on the fact that they will be getting a pay increased relating to the increased mobility, it may satisfy some individuals more. </w:t>
      </w:r>
    </w:p>
    <w:p w:rsidR="006725FF" w:rsidRDefault="006725FF" w:rsidP="00B1204E">
      <w:pPr>
        <w:ind w:left="1417" w:right="1417"/>
      </w:pPr>
    </w:p>
    <w:p w:rsidR="006725FF" w:rsidRDefault="006725FF"/>
    <w:p w:rsidR="006725FF" w:rsidRDefault="006725FF"/>
    <w:p w:rsidR="003768F5" w:rsidRPr="007636A0" w:rsidRDefault="003768F5">
      <w:pPr>
        <w:rPr>
          <w:b/>
          <w:sz w:val="28"/>
          <w:u w:val="single"/>
        </w:rPr>
      </w:pPr>
      <w:r w:rsidRPr="007636A0">
        <w:rPr>
          <w:b/>
          <w:sz w:val="28"/>
          <w:u w:val="single"/>
        </w:rPr>
        <w:t>References</w:t>
      </w:r>
    </w:p>
    <w:p w:rsidR="00DD433D" w:rsidRDefault="00DD433D"/>
    <w:p w:rsidR="00B33850" w:rsidRPr="007636A0" w:rsidRDefault="00B33850" w:rsidP="00B33850">
      <w:pPr>
        <w:rPr>
          <w:rFonts w:ascii="Arial" w:hAnsi="Arial" w:cs="Arial"/>
        </w:rPr>
      </w:pPr>
      <w:r w:rsidRPr="007636A0">
        <w:rPr>
          <w:rFonts w:ascii="Arial" w:hAnsi="Arial" w:cs="Arial"/>
        </w:rPr>
        <w:t>ACAS. (2021) “</w:t>
      </w:r>
      <w:r w:rsidRPr="007636A0">
        <w:rPr>
          <w:rFonts w:ascii="Arial" w:hAnsi="Arial" w:cs="Arial"/>
          <w:i/>
        </w:rPr>
        <w:t>Handling a TUPE transfer: step by step</w:t>
      </w:r>
      <w:r w:rsidRPr="007636A0">
        <w:rPr>
          <w:rFonts w:ascii="Arial" w:hAnsi="Arial" w:cs="Arial"/>
        </w:rPr>
        <w:t xml:space="preserve">” (Online) Available at: </w:t>
      </w:r>
      <w:hyperlink r:id="rId5" w:history="1">
        <w:r w:rsidRPr="007636A0">
          <w:rPr>
            <w:rStyle w:val="Hyperlink"/>
            <w:rFonts w:ascii="Arial" w:hAnsi="Arial" w:cs="Arial"/>
          </w:rPr>
          <w:t>https://www.acas.org.u</w:t>
        </w:r>
        <w:r w:rsidRPr="007636A0">
          <w:rPr>
            <w:rStyle w:val="Hyperlink"/>
            <w:rFonts w:ascii="Arial" w:hAnsi="Arial" w:cs="Arial"/>
          </w:rPr>
          <w:t>k</w:t>
        </w:r>
        <w:r w:rsidRPr="007636A0">
          <w:rPr>
            <w:rStyle w:val="Hyperlink"/>
            <w:rFonts w:ascii="Arial" w:hAnsi="Arial" w:cs="Arial"/>
          </w:rPr>
          <w:t>/handling-a-tupe-transfer-step-by-step</w:t>
        </w:r>
      </w:hyperlink>
      <w:r w:rsidRPr="007636A0">
        <w:rPr>
          <w:rFonts w:ascii="Arial" w:hAnsi="Arial" w:cs="Arial"/>
        </w:rPr>
        <w:t xml:space="preserve"> (Accessed: 19 Feb 2022)</w:t>
      </w:r>
    </w:p>
    <w:p w:rsidR="004E6A15" w:rsidRPr="007636A0" w:rsidRDefault="004E6A15">
      <w:pPr>
        <w:rPr>
          <w:rFonts w:ascii="Arial" w:hAnsi="Arial" w:cs="Arial"/>
        </w:rPr>
      </w:pPr>
    </w:p>
    <w:p w:rsidR="00B33850" w:rsidRPr="007636A0" w:rsidRDefault="00B33850">
      <w:pPr>
        <w:rPr>
          <w:rFonts w:ascii="Arial" w:hAnsi="Arial" w:cs="Arial"/>
        </w:rPr>
      </w:pPr>
      <w:r w:rsidRPr="007636A0">
        <w:rPr>
          <w:rFonts w:ascii="Arial" w:hAnsi="Arial" w:cs="Arial"/>
        </w:rPr>
        <w:t>ACAS. (2021) “</w:t>
      </w:r>
      <w:r w:rsidRPr="007636A0">
        <w:rPr>
          <w:rFonts w:ascii="Arial" w:hAnsi="Arial" w:cs="Arial"/>
          <w:i/>
        </w:rPr>
        <w:t xml:space="preserve">Managing staff redundancies: step by step” I(Online) Available at: </w:t>
      </w:r>
      <w:hyperlink r:id="rId6" w:history="1">
        <w:r w:rsidRPr="007636A0">
          <w:rPr>
            <w:rStyle w:val="Hyperlink"/>
            <w:rFonts w:ascii="Arial" w:hAnsi="Arial" w:cs="Arial"/>
          </w:rPr>
          <w:t>https://www.acas.org.uk/manage-staff-redundancies/redundancy-consultations</w:t>
        </w:r>
      </w:hyperlink>
      <w:r w:rsidRPr="007636A0">
        <w:rPr>
          <w:rFonts w:ascii="Arial" w:hAnsi="Arial" w:cs="Arial"/>
        </w:rPr>
        <w:t xml:space="preserve"> (Accessed: 23 Feb 2022)</w:t>
      </w:r>
    </w:p>
    <w:p w:rsidR="00DF7AE7" w:rsidRPr="007636A0" w:rsidRDefault="00DF7AE7">
      <w:pPr>
        <w:rPr>
          <w:rFonts w:ascii="Arial" w:hAnsi="Arial" w:cs="Arial"/>
        </w:rPr>
      </w:pPr>
    </w:p>
    <w:p w:rsidR="00DF7AE7" w:rsidRPr="007636A0" w:rsidRDefault="00DF7AE7">
      <w:pPr>
        <w:rPr>
          <w:rFonts w:ascii="Arial" w:hAnsi="Arial" w:cs="Arial"/>
        </w:rPr>
      </w:pPr>
      <w:r w:rsidRPr="007636A0">
        <w:rPr>
          <w:rFonts w:ascii="Arial" w:hAnsi="Arial" w:cs="Arial"/>
        </w:rPr>
        <w:t>ACAS A. (2021) “</w:t>
      </w:r>
      <w:r w:rsidRPr="007636A0">
        <w:rPr>
          <w:rFonts w:ascii="Arial" w:hAnsi="Arial" w:cs="Arial"/>
          <w:i/>
        </w:rPr>
        <w:t>Making changes to employment contracts – employer responsibilities</w:t>
      </w:r>
      <w:r w:rsidRPr="007636A0">
        <w:rPr>
          <w:rFonts w:ascii="Arial" w:hAnsi="Arial" w:cs="Arial"/>
        </w:rPr>
        <w:t xml:space="preserve">” (Online) Available at: </w:t>
      </w:r>
      <w:hyperlink r:id="rId7" w:history="1">
        <w:r w:rsidRPr="007636A0">
          <w:rPr>
            <w:rStyle w:val="Hyperlink"/>
            <w:rFonts w:ascii="Arial" w:hAnsi="Arial" w:cs="Arial"/>
          </w:rPr>
          <w:t>https://www.acas.org.uk/changing-an-employment-contract/employer-responsibilities</w:t>
        </w:r>
      </w:hyperlink>
      <w:r w:rsidRPr="007636A0">
        <w:rPr>
          <w:rFonts w:ascii="Arial" w:hAnsi="Arial" w:cs="Arial"/>
        </w:rPr>
        <w:t xml:space="preserve"> (Accessed: 21 Feb 2022)</w:t>
      </w:r>
    </w:p>
    <w:p w:rsidR="00985BF0" w:rsidRPr="007636A0" w:rsidRDefault="00985BF0">
      <w:pPr>
        <w:rPr>
          <w:rFonts w:ascii="Arial" w:hAnsi="Arial" w:cs="Arial"/>
        </w:rPr>
      </w:pPr>
    </w:p>
    <w:p w:rsidR="002B0A17" w:rsidRPr="007636A0" w:rsidRDefault="00985BF0">
      <w:pPr>
        <w:rPr>
          <w:rFonts w:ascii="Arial" w:hAnsi="Arial" w:cs="Arial"/>
        </w:rPr>
      </w:pPr>
      <w:r w:rsidRPr="007636A0">
        <w:rPr>
          <w:rFonts w:ascii="Arial" w:hAnsi="Arial" w:cs="Arial"/>
        </w:rPr>
        <w:t>ACAS B. (2021) “</w:t>
      </w:r>
      <w:r w:rsidRPr="007636A0">
        <w:rPr>
          <w:rFonts w:ascii="Arial" w:hAnsi="Arial" w:cs="Arial"/>
          <w:i/>
        </w:rPr>
        <w:t>Employee rights during a TUPE transfer</w:t>
      </w:r>
      <w:r w:rsidRPr="007636A0">
        <w:rPr>
          <w:rFonts w:ascii="Arial" w:hAnsi="Arial" w:cs="Arial"/>
        </w:rPr>
        <w:t xml:space="preserve">” (Online) Available at: </w:t>
      </w:r>
      <w:hyperlink r:id="rId8" w:history="1">
        <w:r w:rsidRPr="007636A0">
          <w:rPr>
            <w:rStyle w:val="Hyperlink"/>
            <w:rFonts w:ascii="Arial" w:hAnsi="Arial" w:cs="Arial"/>
          </w:rPr>
          <w:t>https://www.acas.org.uk/employee-rights-during-a-tupe-transfer/how-your-employer-should-inform-and-consult-you-during-tupe</w:t>
        </w:r>
      </w:hyperlink>
      <w:r w:rsidRPr="007636A0">
        <w:rPr>
          <w:rFonts w:ascii="Arial" w:hAnsi="Arial" w:cs="Arial"/>
        </w:rPr>
        <w:t xml:space="preserve"> (Accessed: 22 Feb 2022)</w:t>
      </w:r>
    </w:p>
    <w:p w:rsidR="004E6A15" w:rsidRPr="007636A0" w:rsidRDefault="004E6A15">
      <w:pPr>
        <w:rPr>
          <w:rFonts w:ascii="Arial" w:hAnsi="Arial" w:cs="Arial"/>
        </w:rPr>
      </w:pPr>
    </w:p>
    <w:p w:rsidR="00F2436B" w:rsidRPr="007636A0" w:rsidRDefault="00F2436B">
      <w:pPr>
        <w:rPr>
          <w:rFonts w:ascii="Arial" w:hAnsi="Arial" w:cs="Arial"/>
        </w:rPr>
      </w:pPr>
      <w:r w:rsidRPr="007636A0">
        <w:rPr>
          <w:rFonts w:ascii="Arial" w:hAnsi="Arial" w:cs="Arial"/>
        </w:rPr>
        <w:t>Capital Law. (2020) “</w:t>
      </w:r>
    </w:p>
    <w:p w:rsidR="00F2436B" w:rsidRPr="007636A0" w:rsidRDefault="00F2436B">
      <w:pPr>
        <w:rPr>
          <w:rFonts w:ascii="Arial" w:hAnsi="Arial" w:cs="Arial"/>
        </w:rPr>
      </w:pPr>
    </w:p>
    <w:p w:rsidR="006A010A" w:rsidRPr="007636A0" w:rsidRDefault="006A010A" w:rsidP="006A010A">
      <w:pPr>
        <w:rPr>
          <w:rFonts w:ascii="Arial" w:hAnsi="Arial" w:cs="Arial"/>
        </w:rPr>
      </w:pPr>
      <w:r w:rsidRPr="007636A0">
        <w:rPr>
          <w:rFonts w:ascii="Arial" w:hAnsi="Arial" w:cs="Arial"/>
        </w:rPr>
        <w:t>CIPD. (2022) “</w:t>
      </w:r>
      <w:r w:rsidRPr="007636A0">
        <w:rPr>
          <w:rFonts w:ascii="Arial" w:hAnsi="Arial" w:cs="Arial"/>
        </w:rPr>
        <w:t>A GUIDE</w:t>
      </w:r>
      <w:r w:rsidRPr="007636A0">
        <w:rPr>
          <w:rFonts w:ascii="Arial" w:hAnsi="Arial" w:cs="Arial"/>
        </w:rPr>
        <w:t xml:space="preserve"> </w:t>
      </w:r>
      <w:r w:rsidRPr="007636A0">
        <w:rPr>
          <w:rFonts w:ascii="Arial" w:hAnsi="Arial" w:cs="Arial"/>
        </w:rPr>
        <w:t>TO TUPE</w:t>
      </w:r>
      <w:r w:rsidRPr="007636A0">
        <w:rPr>
          <w:rFonts w:ascii="Arial" w:hAnsi="Arial" w:cs="Arial"/>
        </w:rPr>
        <w:t xml:space="preserve"> </w:t>
      </w:r>
      <w:r w:rsidRPr="007636A0">
        <w:rPr>
          <w:rFonts w:ascii="Arial" w:hAnsi="Arial" w:cs="Arial"/>
        </w:rPr>
        <w:t>TRANSFERS</w:t>
      </w:r>
      <w:r w:rsidRPr="007636A0">
        <w:rPr>
          <w:rFonts w:ascii="Arial" w:hAnsi="Arial" w:cs="Arial"/>
        </w:rPr>
        <w:t xml:space="preserve">” (Online) Available at: </w:t>
      </w:r>
      <w:hyperlink r:id="rId9" w:history="1">
        <w:r w:rsidRPr="007636A0">
          <w:rPr>
            <w:rStyle w:val="Hyperlink"/>
            <w:rFonts w:ascii="Arial" w:hAnsi="Arial" w:cs="Arial"/>
          </w:rPr>
          <w:t>https://www.cipd.co.uk/Images/8208-a-guide-to-tupe-transfers-web_tcm18-44310.pdf</w:t>
        </w:r>
      </w:hyperlink>
      <w:r w:rsidRPr="007636A0">
        <w:rPr>
          <w:rFonts w:ascii="Arial" w:hAnsi="Arial" w:cs="Arial"/>
        </w:rPr>
        <w:t xml:space="preserve"> (Accessed: 19 Feb 2022)</w:t>
      </w:r>
    </w:p>
    <w:p w:rsidR="006A010A" w:rsidRPr="007636A0" w:rsidRDefault="006A010A">
      <w:pPr>
        <w:rPr>
          <w:rFonts w:ascii="Arial" w:hAnsi="Arial" w:cs="Arial"/>
        </w:rPr>
      </w:pPr>
    </w:p>
    <w:p w:rsidR="00F6380F" w:rsidRPr="007636A0" w:rsidRDefault="00F6380F">
      <w:pPr>
        <w:rPr>
          <w:rFonts w:ascii="Arial" w:hAnsi="Arial" w:cs="Arial"/>
        </w:rPr>
      </w:pPr>
      <w:r w:rsidRPr="007636A0">
        <w:rPr>
          <w:rFonts w:ascii="Arial" w:hAnsi="Arial" w:cs="Arial"/>
        </w:rPr>
        <w:t>CIPD. (2021) “</w:t>
      </w:r>
      <w:r w:rsidRPr="007636A0">
        <w:rPr>
          <w:rFonts w:ascii="Arial" w:hAnsi="Arial" w:cs="Arial"/>
          <w:i/>
        </w:rPr>
        <w:t>Transfer of undertakings (TUPE): an introduction</w:t>
      </w:r>
      <w:r w:rsidRPr="007636A0">
        <w:rPr>
          <w:rFonts w:ascii="Arial" w:hAnsi="Arial" w:cs="Arial"/>
        </w:rPr>
        <w:t xml:space="preserve">” (Online) Available at: </w:t>
      </w:r>
      <w:hyperlink r:id="rId10" w:history="1">
        <w:r w:rsidRPr="007636A0">
          <w:rPr>
            <w:rStyle w:val="Hyperlink"/>
            <w:rFonts w:ascii="Arial" w:hAnsi="Arial" w:cs="Arial"/>
          </w:rPr>
          <w:t>https://www.cipd.co.uk/knowledge/fundamentals/emp-law/tupe/factsheet#gref</w:t>
        </w:r>
      </w:hyperlink>
      <w:r w:rsidRPr="007636A0">
        <w:rPr>
          <w:rFonts w:ascii="Arial" w:hAnsi="Arial" w:cs="Arial"/>
        </w:rPr>
        <w:t xml:space="preserve"> (Accessed 19 Feb 2022)</w:t>
      </w:r>
    </w:p>
    <w:p w:rsidR="00F6380F" w:rsidRPr="007636A0" w:rsidRDefault="00F6380F">
      <w:pPr>
        <w:rPr>
          <w:rFonts w:ascii="Arial" w:hAnsi="Arial" w:cs="Arial"/>
        </w:rPr>
      </w:pPr>
    </w:p>
    <w:p w:rsidR="007636A0" w:rsidRPr="007636A0" w:rsidRDefault="007636A0" w:rsidP="007636A0">
      <w:pPr>
        <w:rPr>
          <w:rFonts w:ascii="Arial" w:hAnsi="Arial" w:cs="Arial"/>
        </w:rPr>
      </w:pPr>
      <w:r w:rsidRPr="007636A0">
        <w:rPr>
          <w:rFonts w:ascii="Arial" w:hAnsi="Arial" w:cs="Arial"/>
        </w:rPr>
        <w:t>Davidson Morris. (2020) “</w:t>
      </w:r>
      <w:r w:rsidRPr="007636A0">
        <w:rPr>
          <w:rFonts w:ascii="Arial" w:hAnsi="Arial" w:cs="Arial"/>
          <w:i/>
        </w:rPr>
        <w:t xml:space="preserve">Last In First Out (Fair Redundancy?)” </w:t>
      </w:r>
      <w:r w:rsidRPr="007636A0">
        <w:rPr>
          <w:rFonts w:ascii="Arial" w:hAnsi="Arial" w:cs="Arial"/>
        </w:rPr>
        <w:t xml:space="preserve">(Online) Available at: </w:t>
      </w:r>
      <w:hyperlink r:id="rId11" w:history="1">
        <w:r w:rsidRPr="007636A0">
          <w:rPr>
            <w:rStyle w:val="Hyperlink"/>
            <w:rFonts w:ascii="Arial" w:hAnsi="Arial" w:cs="Arial"/>
          </w:rPr>
          <w:t>https://www.davidsonmorris.com/last-in-first-out/</w:t>
        </w:r>
      </w:hyperlink>
      <w:r w:rsidRPr="007636A0">
        <w:rPr>
          <w:rFonts w:ascii="Arial" w:hAnsi="Arial" w:cs="Arial"/>
        </w:rPr>
        <w:t xml:space="preserve"> (Accessed: 22 Feb 2022)</w:t>
      </w:r>
    </w:p>
    <w:p w:rsidR="007636A0" w:rsidRPr="007636A0" w:rsidRDefault="007636A0" w:rsidP="007636A0">
      <w:pPr>
        <w:rPr>
          <w:rFonts w:ascii="Arial" w:hAnsi="Arial" w:cs="Arial"/>
        </w:rPr>
      </w:pPr>
    </w:p>
    <w:p w:rsidR="002B0A17" w:rsidRPr="007636A0" w:rsidRDefault="002B0A17">
      <w:pPr>
        <w:rPr>
          <w:rFonts w:ascii="Arial" w:hAnsi="Arial" w:cs="Arial"/>
        </w:rPr>
      </w:pPr>
      <w:r w:rsidRPr="007636A0">
        <w:rPr>
          <w:rFonts w:ascii="Arial" w:hAnsi="Arial" w:cs="Arial"/>
        </w:rPr>
        <w:lastRenderedPageBreak/>
        <w:t>Davies, A. (2011) “</w:t>
      </w:r>
      <w:r w:rsidRPr="007636A0">
        <w:rPr>
          <w:rFonts w:ascii="Arial" w:hAnsi="Arial" w:cs="Arial"/>
          <w:i/>
        </w:rPr>
        <w:t xml:space="preserve">Workplace Law Handbook 2011: Employment Law and Human Resources” </w:t>
      </w:r>
      <w:r w:rsidRPr="007636A0">
        <w:rPr>
          <w:rFonts w:ascii="Arial" w:hAnsi="Arial" w:cs="Arial"/>
        </w:rPr>
        <w:t>Cambridgeshire : Workplace Law Group</w:t>
      </w:r>
    </w:p>
    <w:p w:rsidR="0088438E" w:rsidRPr="007636A0" w:rsidRDefault="0088438E">
      <w:pPr>
        <w:rPr>
          <w:rFonts w:ascii="Arial" w:hAnsi="Arial" w:cs="Arial"/>
        </w:rPr>
      </w:pPr>
    </w:p>
    <w:p w:rsidR="0088438E" w:rsidRPr="007636A0" w:rsidRDefault="0088438E" w:rsidP="0088438E">
      <w:pPr>
        <w:rPr>
          <w:rFonts w:ascii="Arial" w:hAnsi="Arial" w:cs="Arial"/>
        </w:rPr>
      </w:pPr>
      <w:r w:rsidRPr="007636A0">
        <w:rPr>
          <w:rFonts w:ascii="Arial" w:hAnsi="Arial" w:cs="Arial"/>
        </w:rPr>
        <w:t>Derbyshire, W. &amp; Hardy, S. (2014) “</w:t>
      </w:r>
      <w:r w:rsidRPr="007636A0">
        <w:rPr>
          <w:rFonts w:ascii="Arial" w:hAnsi="Arial" w:cs="Arial"/>
          <w:i/>
        </w:rPr>
        <w:t>TUPE : Law &amp; Practice</w:t>
      </w:r>
      <w:r w:rsidRPr="007636A0">
        <w:rPr>
          <w:rFonts w:ascii="Arial" w:hAnsi="Arial" w:cs="Arial"/>
          <w:i/>
        </w:rPr>
        <w:t xml:space="preserve"> </w:t>
      </w:r>
      <w:r w:rsidRPr="007636A0">
        <w:rPr>
          <w:rFonts w:ascii="Arial" w:hAnsi="Arial" w:cs="Arial"/>
          <w:i/>
        </w:rPr>
        <w:t>A Guide to the TUPE Regulations</w:t>
      </w:r>
      <w:r w:rsidRPr="007636A0">
        <w:rPr>
          <w:rFonts w:ascii="Arial" w:hAnsi="Arial" w:cs="Arial"/>
          <w:i/>
        </w:rPr>
        <w:t xml:space="preserve">” </w:t>
      </w:r>
      <w:r w:rsidRPr="007636A0">
        <w:rPr>
          <w:rFonts w:ascii="Arial" w:hAnsi="Arial" w:cs="Arial"/>
        </w:rPr>
        <w:t xml:space="preserve">London : </w:t>
      </w:r>
      <w:proofErr w:type="spellStart"/>
      <w:r w:rsidRPr="007636A0">
        <w:rPr>
          <w:rFonts w:ascii="Arial" w:hAnsi="Arial" w:cs="Arial"/>
        </w:rPr>
        <w:t>Spiramus</w:t>
      </w:r>
      <w:proofErr w:type="spellEnd"/>
      <w:r w:rsidRPr="007636A0">
        <w:rPr>
          <w:rFonts w:ascii="Arial" w:hAnsi="Arial" w:cs="Arial"/>
        </w:rPr>
        <w:t xml:space="preserve"> Press</w:t>
      </w:r>
    </w:p>
    <w:p w:rsidR="002B0A17" w:rsidRPr="007636A0" w:rsidRDefault="002B0A17">
      <w:pPr>
        <w:rPr>
          <w:rFonts w:ascii="Arial" w:hAnsi="Arial" w:cs="Arial"/>
        </w:rPr>
      </w:pPr>
    </w:p>
    <w:p w:rsidR="009F259D" w:rsidRDefault="009F259D" w:rsidP="009F259D">
      <w:pPr>
        <w:rPr>
          <w:rFonts w:ascii="Arial" w:hAnsi="Arial" w:cs="Arial"/>
        </w:rPr>
      </w:pPr>
      <w:r w:rsidRPr="0004717E">
        <w:rPr>
          <w:rFonts w:ascii="Arial" w:hAnsi="Arial" w:cs="Arial"/>
        </w:rPr>
        <w:t xml:space="preserve">Joanne Allan v Oakley Builders and Groundwork Contractors Ltd. </w:t>
      </w:r>
      <w:r>
        <w:rPr>
          <w:rFonts w:ascii="Arial" w:hAnsi="Arial" w:cs="Arial"/>
        </w:rPr>
        <w:t>[</w:t>
      </w:r>
      <w:r w:rsidRPr="0004717E">
        <w:rPr>
          <w:rFonts w:ascii="Arial" w:hAnsi="Arial" w:cs="Arial"/>
        </w:rPr>
        <w:t>2019</w:t>
      </w:r>
      <w:r>
        <w:rPr>
          <w:rFonts w:ascii="Arial" w:hAnsi="Arial" w:cs="Arial"/>
        </w:rPr>
        <w:t xml:space="preserve">] </w:t>
      </w:r>
      <w:r w:rsidRPr="009F259D">
        <w:rPr>
          <w:rFonts w:ascii="Arial" w:hAnsi="Arial" w:cs="Arial"/>
        </w:rPr>
        <w:t>1403798/2018</w:t>
      </w:r>
    </w:p>
    <w:p w:rsidR="009F259D" w:rsidRDefault="009F259D" w:rsidP="009F259D">
      <w:pPr>
        <w:rPr>
          <w:rFonts w:ascii="Arial" w:hAnsi="Arial" w:cs="Arial"/>
        </w:rPr>
      </w:pPr>
    </w:p>
    <w:p w:rsidR="009F259D" w:rsidRDefault="009F259D" w:rsidP="009F259D">
      <w:pPr>
        <w:rPr>
          <w:rFonts w:ascii="Arial" w:hAnsi="Arial" w:cs="Arial"/>
        </w:rPr>
      </w:pPr>
      <w:r w:rsidRPr="0004717E">
        <w:rPr>
          <w:rFonts w:ascii="Arial" w:hAnsi="Arial" w:cs="Arial"/>
        </w:rPr>
        <w:t xml:space="preserve">Kellogg Brown Ltd v Fitton </w:t>
      </w:r>
      <w:r>
        <w:rPr>
          <w:rFonts w:ascii="Arial" w:hAnsi="Arial" w:cs="Arial"/>
        </w:rPr>
        <w:t>[</w:t>
      </w:r>
      <w:r w:rsidRPr="0004717E">
        <w:rPr>
          <w:rFonts w:ascii="Arial" w:hAnsi="Arial" w:cs="Arial"/>
        </w:rPr>
        <w:t>2016</w:t>
      </w:r>
      <w:r>
        <w:rPr>
          <w:rFonts w:ascii="Arial" w:hAnsi="Arial" w:cs="Arial"/>
        </w:rPr>
        <w:t xml:space="preserve">] </w:t>
      </w:r>
      <w:r w:rsidRPr="009F259D">
        <w:rPr>
          <w:rFonts w:ascii="Arial" w:hAnsi="Arial" w:cs="Arial"/>
        </w:rPr>
        <w:t>UKEAT 0205_16_2111</w:t>
      </w:r>
    </w:p>
    <w:p w:rsidR="009F259D" w:rsidRPr="00956C89" w:rsidRDefault="009F259D" w:rsidP="009F259D"/>
    <w:p w:rsidR="003768F5" w:rsidRDefault="003768F5">
      <w:pPr>
        <w:rPr>
          <w:rFonts w:ascii="Arial" w:hAnsi="Arial" w:cs="Arial"/>
        </w:rPr>
      </w:pPr>
      <w:r w:rsidRPr="007636A0">
        <w:rPr>
          <w:rFonts w:ascii="Arial" w:hAnsi="Arial" w:cs="Arial"/>
        </w:rPr>
        <w:t>Landau Law. (2022) “</w:t>
      </w:r>
      <w:r w:rsidRPr="007636A0">
        <w:rPr>
          <w:rFonts w:ascii="Arial" w:hAnsi="Arial" w:cs="Arial"/>
          <w:i/>
        </w:rPr>
        <w:t>Employment law – Redundancy</w:t>
      </w:r>
      <w:r w:rsidRPr="007636A0">
        <w:rPr>
          <w:rFonts w:ascii="Arial" w:hAnsi="Arial" w:cs="Arial"/>
        </w:rPr>
        <w:t xml:space="preserve">” (Online) Available at: </w:t>
      </w:r>
      <w:hyperlink r:id="rId12" w:history="1">
        <w:r w:rsidRPr="007636A0">
          <w:rPr>
            <w:rStyle w:val="Hyperlink"/>
            <w:rFonts w:ascii="Arial" w:hAnsi="Arial" w:cs="Arial"/>
          </w:rPr>
          <w:t>https://landaulaw.co.uk/redundancy/</w:t>
        </w:r>
      </w:hyperlink>
      <w:r w:rsidRPr="007636A0">
        <w:rPr>
          <w:rFonts w:ascii="Arial" w:hAnsi="Arial" w:cs="Arial"/>
        </w:rPr>
        <w:t xml:space="preserve"> (Accessed: 18 Feb 2022)</w:t>
      </w:r>
    </w:p>
    <w:p w:rsidR="00FD20A1" w:rsidRDefault="00FD20A1">
      <w:pPr>
        <w:rPr>
          <w:rFonts w:ascii="Arial" w:hAnsi="Arial" w:cs="Arial"/>
        </w:rPr>
      </w:pPr>
    </w:p>
    <w:p w:rsidR="00FD20A1" w:rsidRPr="00FD20A1" w:rsidRDefault="00FD20A1" w:rsidP="00FD20A1">
      <w:pPr>
        <w:rPr>
          <w:rFonts w:ascii="Arial" w:eastAsia="Times New Roman" w:hAnsi="Arial" w:cs="Arial"/>
          <w:color w:val="000000" w:themeColor="text1"/>
        </w:rPr>
      </w:pPr>
      <w:r>
        <w:rPr>
          <w:rFonts w:ascii="Arial" w:hAnsi="Arial" w:cs="Arial"/>
        </w:rPr>
        <w:t>Lewis</w:t>
      </w:r>
      <w:r w:rsidRPr="00FD20A1">
        <w:rPr>
          <w:rFonts w:ascii="Arial" w:hAnsi="Arial" w:cs="Arial"/>
          <w:color w:val="000000" w:themeColor="text1"/>
        </w:rPr>
        <w:t xml:space="preserve">, </w:t>
      </w:r>
      <w:r>
        <w:rPr>
          <w:rFonts w:ascii="Arial" w:hAnsi="Arial" w:cs="Arial"/>
          <w:color w:val="000000" w:themeColor="text1"/>
        </w:rPr>
        <w:t xml:space="preserve">D. </w:t>
      </w:r>
      <w:r w:rsidRPr="00FD20A1">
        <w:rPr>
          <w:rFonts w:ascii="Arial" w:hAnsi="Arial" w:cs="Arial"/>
          <w:color w:val="000000" w:themeColor="text1"/>
        </w:rPr>
        <w:t xml:space="preserve">&amp; </w:t>
      </w:r>
      <w:proofErr w:type="spellStart"/>
      <w:r w:rsidRPr="00FD20A1">
        <w:rPr>
          <w:rFonts w:ascii="Arial" w:eastAsia="Times New Roman" w:hAnsi="Arial" w:cs="Arial"/>
          <w:color w:val="000000" w:themeColor="text1"/>
        </w:rPr>
        <w:t>Sargeant</w:t>
      </w:r>
      <w:proofErr w:type="spellEnd"/>
      <w:r w:rsidRPr="00FD20A1">
        <w:rPr>
          <w:rFonts w:ascii="Arial" w:eastAsia="Times New Roman" w:hAnsi="Arial" w:cs="Arial"/>
          <w:color w:val="000000" w:themeColor="text1"/>
        </w:rPr>
        <w:t>,</w:t>
      </w:r>
      <w:r>
        <w:rPr>
          <w:rFonts w:ascii="Arial" w:eastAsia="Times New Roman" w:hAnsi="Arial" w:cs="Arial"/>
          <w:color w:val="000000" w:themeColor="text1"/>
        </w:rPr>
        <w:t xml:space="preserve"> M.</w:t>
      </w:r>
      <w:r w:rsidRPr="00FD20A1">
        <w:rPr>
          <w:rFonts w:ascii="Arial" w:eastAsia="Times New Roman" w:hAnsi="Arial" w:cs="Arial"/>
          <w:color w:val="000000" w:themeColor="text1"/>
        </w:rPr>
        <w:t xml:space="preserve"> </w:t>
      </w:r>
      <w:r>
        <w:rPr>
          <w:rFonts w:ascii="Arial" w:eastAsia="Times New Roman" w:hAnsi="Arial" w:cs="Arial"/>
          <w:color w:val="000000" w:themeColor="text1"/>
        </w:rPr>
        <w:t>(</w:t>
      </w:r>
      <w:r w:rsidRPr="00FD20A1">
        <w:rPr>
          <w:rFonts w:ascii="Arial" w:eastAsia="Times New Roman" w:hAnsi="Arial" w:cs="Arial"/>
          <w:color w:val="000000" w:themeColor="text1"/>
        </w:rPr>
        <w:t>2017</w:t>
      </w:r>
      <w:r>
        <w:rPr>
          <w:rFonts w:ascii="Arial" w:eastAsia="Times New Roman" w:hAnsi="Arial" w:cs="Arial"/>
          <w:color w:val="000000" w:themeColor="text1"/>
        </w:rPr>
        <w:t>) “</w:t>
      </w:r>
      <w:r w:rsidRPr="00FD20A1">
        <w:rPr>
          <w:rFonts w:ascii="Arial" w:eastAsia="Times New Roman" w:hAnsi="Arial" w:cs="Arial"/>
          <w:color w:val="000000" w:themeColor="text1"/>
        </w:rPr>
        <w:t>Employment Law</w:t>
      </w:r>
      <w:r>
        <w:rPr>
          <w:rFonts w:ascii="Arial" w:eastAsia="Times New Roman" w:hAnsi="Arial" w:cs="Arial"/>
          <w:color w:val="000000" w:themeColor="text1"/>
        </w:rPr>
        <w:t xml:space="preserve"> </w:t>
      </w:r>
      <w:r w:rsidRPr="00FD20A1">
        <w:rPr>
          <w:rFonts w:ascii="Arial" w:eastAsia="Times New Roman" w:hAnsi="Arial" w:cs="Arial"/>
          <w:color w:val="000000" w:themeColor="text1"/>
        </w:rPr>
        <w:t>The Essentials</w:t>
      </w:r>
      <w:r>
        <w:rPr>
          <w:rFonts w:ascii="Arial" w:eastAsia="Times New Roman" w:hAnsi="Arial" w:cs="Arial"/>
          <w:color w:val="000000" w:themeColor="text1"/>
        </w:rPr>
        <w:t>” London : Kogan Page</w:t>
      </w:r>
    </w:p>
    <w:p w:rsidR="00F83BEE" w:rsidRPr="007636A0" w:rsidRDefault="00F83BEE">
      <w:pPr>
        <w:rPr>
          <w:rFonts w:ascii="Arial" w:hAnsi="Arial" w:cs="Arial"/>
        </w:rPr>
      </w:pPr>
    </w:p>
    <w:p w:rsidR="007636A0" w:rsidRPr="007636A0" w:rsidRDefault="007636A0" w:rsidP="007636A0">
      <w:pPr>
        <w:rPr>
          <w:rFonts w:ascii="Arial" w:hAnsi="Arial" w:cs="Arial"/>
        </w:rPr>
      </w:pPr>
      <w:r w:rsidRPr="007636A0">
        <w:rPr>
          <w:rFonts w:ascii="Arial" w:hAnsi="Arial" w:cs="Arial"/>
        </w:rPr>
        <w:t xml:space="preserve">Richardson, R. (2018) “Selling a business where TUPE applies – what do you need to tell your employees?” (Online) Available at: </w:t>
      </w:r>
      <w:hyperlink r:id="rId13" w:history="1">
        <w:r w:rsidRPr="007636A0">
          <w:rPr>
            <w:rStyle w:val="Hyperlink"/>
            <w:rFonts w:ascii="Arial" w:hAnsi="Arial" w:cs="Arial"/>
          </w:rPr>
          <w:t>https://www.tughans.com/news-insights/selling-a-business-where-tupe-applies-what-do-you-need-to-tell-your-employees/</w:t>
        </w:r>
      </w:hyperlink>
      <w:r w:rsidRPr="007636A0">
        <w:rPr>
          <w:rFonts w:ascii="Arial" w:hAnsi="Arial" w:cs="Arial"/>
        </w:rPr>
        <w:t xml:space="preserve"> (Accessed: 22 Feb 2022)</w:t>
      </w:r>
    </w:p>
    <w:p w:rsidR="007636A0" w:rsidRPr="007636A0" w:rsidRDefault="007636A0" w:rsidP="007636A0">
      <w:pPr>
        <w:rPr>
          <w:rFonts w:ascii="Arial" w:hAnsi="Arial" w:cs="Arial"/>
        </w:rPr>
      </w:pPr>
    </w:p>
    <w:p w:rsidR="00F83BEE" w:rsidRPr="007636A0" w:rsidRDefault="00F83BEE">
      <w:pPr>
        <w:rPr>
          <w:rFonts w:ascii="Arial" w:hAnsi="Arial" w:cs="Arial"/>
        </w:rPr>
      </w:pPr>
      <w:r w:rsidRPr="007636A0">
        <w:rPr>
          <w:rFonts w:ascii="Arial" w:hAnsi="Arial" w:cs="Arial"/>
        </w:rPr>
        <w:t>Thomas, H. (2019) “</w:t>
      </w:r>
      <w:r w:rsidRPr="007636A0">
        <w:rPr>
          <w:rFonts w:ascii="Arial" w:hAnsi="Arial" w:cs="Arial"/>
          <w:i/>
        </w:rPr>
        <w:t>Can employers still use the “last in, first out” criterion as a method of redundancy selection?”</w:t>
      </w:r>
      <w:r w:rsidRPr="007636A0">
        <w:rPr>
          <w:rFonts w:ascii="Arial" w:hAnsi="Arial" w:cs="Arial"/>
        </w:rPr>
        <w:t xml:space="preserve"> (Online) Available at: </w:t>
      </w:r>
      <w:hyperlink r:id="rId14" w:history="1">
        <w:r w:rsidRPr="007636A0">
          <w:rPr>
            <w:rStyle w:val="Hyperlink"/>
            <w:rFonts w:ascii="Arial" w:hAnsi="Arial" w:cs="Arial"/>
          </w:rPr>
          <w:t>https://www.markellaw.co.uk/insights/can-employers-still-use-the-last-in-first-out-criterion-as-a-method-of-redundancy-selection/</w:t>
        </w:r>
      </w:hyperlink>
      <w:r w:rsidRPr="007636A0">
        <w:rPr>
          <w:rFonts w:ascii="Arial" w:hAnsi="Arial" w:cs="Arial"/>
        </w:rPr>
        <w:t xml:space="preserve"> (Accessed: 22 Feb 2022)</w:t>
      </w:r>
    </w:p>
    <w:p w:rsidR="00F56133" w:rsidRPr="007636A0" w:rsidRDefault="00F56133">
      <w:pPr>
        <w:rPr>
          <w:rFonts w:ascii="Arial" w:hAnsi="Arial" w:cs="Arial"/>
        </w:rPr>
      </w:pPr>
    </w:p>
    <w:p w:rsidR="007636A0" w:rsidRPr="007636A0" w:rsidRDefault="007636A0" w:rsidP="007636A0">
      <w:pPr>
        <w:rPr>
          <w:rFonts w:ascii="Arial" w:hAnsi="Arial" w:cs="Arial"/>
        </w:rPr>
      </w:pPr>
      <w:r w:rsidRPr="007636A0">
        <w:rPr>
          <w:rFonts w:ascii="Arial" w:hAnsi="Arial" w:cs="Arial"/>
        </w:rPr>
        <w:t>Veale, L. (2021) “</w:t>
      </w:r>
      <w:r w:rsidRPr="007636A0">
        <w:rPr>
          <w:rFonts w:ascii="Arial" w:hAnsi="Arial" w:cs="Arial"/>
          <w:i/>
        </w:rPr>
        <w:t>Redundancy during or after maternity leave: how the law is failing women</w:t>
      </w:r>
      <w:r w:rsidRPr="007636A0">
        <w:rPr>
          <w:rFonts w:ascii="Arial" w:hAnsi="Arial" w:cs="Arial"/>
        </w:rPr>
        <w:t xml:space="preserve">” (Online) Available at: </w:t>
      </w:r>
      <w:hyperlink r:id="rId15" w:history="1">
        <w:r w:rsidRPr="007636A0">
          <w:rPr>
            <w:rStyle w:val="Hyperlink"/>
            <w:rFonts w:ascii="Arial" w:hAnsi="Arial" w:cs="Arial"/>
          </w:rPr>
          <w:t>https://www.lag.org.uk/article/210401/redundancy-during-or-after-maternity-leave--how-the-law-is-failing-women</w:t>
        </w:r>
      </w:hyperlink>
      <w:r w:rsidRPr="007636A0">
        <w:rPr>
          <w:rFonts w:ascii="Arial" w:hAnsi="Arial" w:cs="Arial"/>
        </w:rPr>
        <w:t xml:space="preserve"> (Accessed: 22 Feb 2022)</w:t>
      </w:r>
    </w:p>
    <w:p w:rsidR="007636A0" w:rsidRPr="007636A0" w:rsidRDefault="007636A0" w:rsidP="007636A0">
      <w:pPr>
        <w:rPr>
          <w:rFonts w:ascii="Arial" w:hAnsi="Arial" w:cs="Arial"/>
        </w:rPr>
      </w:pPr>
    </w:p>
    <w:p w:rsidR="00F56133" w:rsidRPr="007636A0" w:rsidRDefault="00F56133">
      <w:pPr>
        <w:rPr>
          <w:rFonts w:ascii="Arial" w:eastAsia="Times New Roman" w:hAnsi="Arial" w:cs="Arial"/>
        </w:rPr>
      </w:pPr>
      <w:r w:rsidRPr="007636A0">
        <w:rPr>
          <w:rFonts w:ascii="Arial" w:eastAsia="Times New Roman" w:hAnsi="Arial" w:cs="Arial"/>
        </w:rPr>
        <w:t>Wilson Browne Solicitors</w:t>
      </w:r>
      <w:r w:rsidRPr="007636A0">
        <w:rPr>
          <w:rFonts w:ascii="Arial" w:eastAsia="Times New Roman" w:hAnsi="Arial" w:cs="Arial"/>
        </w:rPr>
        <w:t>. (</w:t>
      </w:r>
      <w:r w:rsidRPr="007636A0">
        <w:rPr>
          <w:rFonts w:ascii="Arial" w:eastAsia="Times New Roman" w:hAnsi="Arial" w:cs="Arial"/>
        </w:rPr>
        <w:t>2022)</w:t>
      </w:r>
      <w:r w:rsidRPr="007636A0">
        <w:rPr>
          <w:rFonts w:ascii="Arial" w:eastAsia="Times New Roman" w:hAnsi="Arial" w:cs="Arial"/>
        </w:rPr>
        <w:t xml:space="preserve"> “</w:t>
      </w:r>
      <w:r w:rsidRPr="007636A0">
        <w:rPr>
          <w:rFonts w:ascii="Arial" w:eastAsia="Times New Roman" w:hAnsi="Arial" w:cs="Arial"/>
          <w:i/>
        </w:rPr>
        <w:t>Guide To Changing Terms And Conditions</w:t>
      </w:r>
      <w:r w:rsidRPr="007636A0">
        <w:rPr>
          <w:rFonts w:ascii="Arial" w:eastAsia="Times New Roman" w:hAnsi="Arial" w:cs="Arial"/>
        </w:rPr>
        <w:t>” (Online) Available at:</w:t>
      </w:r>
      <w:r w:rsidRPr="007636A0">
        <w:rPr>
          <w:rFonts w:ascii="Arial" w:hAnsi="Arial" w:cs="Arial"/>
        </w:rPr>
        <w:t xml:space="preserve"> </w:t>
      </w:r>
      <w:hyperlink r:id="rId16" w:history="1">
        <w:r w:rsidRPr="007636A0">
          <w:rPr>
            <w:rStyle w:val="Hyperlink"/>
            <w:rFonts w:ascii="Arial" w:eastAsia="Times New Roman" w:hAnsi="Arial" w:cs="Arial"/>
          </w:rPr>
          <w:t>https://www.wilsonbrowne.co.uk/guides/guide-to-changing-terms-and-conditions/</w:t>
        </w:r>
      </w:hyperlink>
      <w:r w:rsidRPr="007636A0">
        <w:rPr>
          <w:rFonts w:ascii="Arial" w:eastAsia="Times New Roman" w:hAnsi="Arial" w:cs="Arial"/>
        </w:rPr>
        <w:t xml:space="preserve"> (Accessed: 22 Feb 2022)</w:t>
      </w:r>
    </w:p>
    <w:p w:rsidR="00985BF0" w:rsidRDefault="00985BF0"/>
    <w:p w:rsidR="007636A0" w:rsidRDefault="007636A0"/>
    <w:p w:rsidR="009F259D" w:rsidRDefault="009F259D"/>
    <w:p w:rsidR="009F259D" w:rsidRPr="00956C89" w:rsidRDefault="009F259D"/>
    <w:sectPr w:rsidR="009F259D" w:rsidRPr="00956C89" w:rsidSect="00055AF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8F5"/>
    <w:rsid w:val="0004717E"/>
    <w:rsid w:val="00055AF5"/>
    <w:rsid w:val="00076CEE"/>
    <w:rsid w:val="000C4CEE"/>
    <w:rsid w:val="00116F8C"/>
    <w:rsid w:val="001756B2"/>
    <w:rsid w:val="002B0A17"/>
    <w:rsid w:val="003768F5"/>
    <w:rsid w:val="00377D5F"/>
    <w:rsid w:val="003C4C31"/>
    <w:rsid w:val="003D3FEC"/>
    <w:rsid w:val="003E120B"/>
    <w:rsid w:val="003E24C2"/>
    <w:rsid w:val="0041440E"/>
    <w:rsid w:val="004C0EF7"/>
    <w:rsid w:val="004E6A15"/>
    <w:rsid w:val="004F7C3D"/>
    <w:rsid w:val="00507963"/>
    <w:rsid w:val="00664420"/>
    <w:rsid w:val="006725FF"/>
    <w:rsid w:val="006A010A"/>
    <w:rsid w:val="006C3DE4"/>
    <w:rsid w:val="007636A0"/>
    <w:rsid w:val="00774AF0"/>
    <w:rsid w:val="007D4208"/>
    <w:rsid w:val="00837957"/>
    <w:rsid w:val="00875122"/>
    <w:rsid w:val="0088438E"/>
    <w:rsid w:val="008F1DFE"/>
    <w:rsid w:val="009334FA"/>
    <w:rsid w:val="00956C89"/>
    <w:rsid w:val="00985BF0"/>
    <w:rsid w:val="009C2DFE"/>
    <w:rsid w:val="009F259D"/>
    <w:rsid w:val="00A83F6A"/>
    <w:rsid w:val="00B1204E"/>
    <w:rsid w:val="00B16750"/>
    <w:rsid w:val="00B2393A"/>
    <w:rsid w:val="00B33850"/>
    <w:rsid w:val="00B8510A"/>
    <w:rsid w:val="00BD3FFE"/>
    <w:rsid w:val="00C216DE"/>
    <w:rsid w:val="00C34A5C"/>
    <w:rsid w:val="00C4478D"/>
    <w:rsid w:val="00C63277"/>
    <w:rsid w:val="00D21046"/>
    <w:rsid w:val="00D8374B"/>
    <w:rsid w:val="00D943E6"/>
    <w:rsid w:val="00DC2590"/>
    <w:rsid w:val="00DD433D"/>
    <w:rsid w:val="00DE4D9A"/>
    <w:rsid w:val="00DF7AE7"/>
    <w:rsid w:val="00E751F8"/>
    <w:rsid w:val="00E77318"/>
    <w:rsid w:val="00EF7730"/>
    <w:rsid w:val="00F2436B"/>
    <w:rsid w:val="00F4607A"/>
    <w:rsid w:val="00F55A4D"/>
    <w:rsid w:val="00F56133"/>
    <w:rsid w:val="00F6380F"/>
    <w:rsid w:val="00F83BEE"/>
    <w:rsid w:val="00FD20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571D13"/>
  <w15:chartTrackingRefBased/>
  <w15:docId w15:val="{45AD45DE-D3E0-AB4C-AF62-096B37E8B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68F5"/>
    <w:rPr>
      <w:color w:val="0563C1" w:themeColor="hyperlink"/>
      <w:u w:val="single"/>
    </w:rPr>
  </w:style>
  <w:style w:type="character" w:styleId="UnresolvedMention">
    <w:name w:val="Unresolved Mention"/>
    <w:basedOn w:val="DefaultParagraphFont"/>
    <w:uiPriority w:val="99"/>
    <w:semiHidden/>
    <w:unhideWhenUsed/>
    <w:rsid w:val="003768F5"/>
    <w:rPr>
      <w:color w:val="605E5C"/>
      <w:shd w:val="clear" w:color="auto" w:fill="E1DFDD"/>
    </w:rPr>
  </w:style>
  <w:style w:type="paragraph" w:styleId="NormalWeb">
    <w:name w:val="Normal (Web)"/>
    <w:basedOn w:val="Normal"/>
    <w:uiPriority w:val="99"/>
    <w:semiHidden/>
    <w:unhideWhenUsed/>
    <w:rsid w:val="00F6380F"/>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B3385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276133">
      <w:bodyDiv w:val="1"/>
      <w:marLeft w:val="0"/>
      <w:marRight w:val="0"/>
      <w:marTop w:val="0"/>
      <w:marBottom w:val="0"/>
      <w:divBdr>
        <w:top w:val="none" w:sz="0" w:space="0" w:color="auto"/>
        <w:left w:val="none" w:sz="0" w:space="0" w:color="auto"/>
        <w:bottom w:val="none" w:sz="0" w:space="0" w:color="auto"/>
        <w:right w:val="none" w:sz="0" w:space="0" w:color="auto"/>
      </w:divBdr>
    </w:div>
    <w:div w:id="57632852">
      <w:bodyDiv w:val="1"/>
      <w:marLeft w:val="0"/>
      <w:marRight w:val="0"/>
      <w:marTop w:val="0"/>
      <w:marBottom w:val="0"/>
      <w:divBdr>
        <w:top w:val="none" w:sz="0" w:space="0" w:color="auto"/>
        <w:left w:val="none" w:sz="0" w:space="0" w:color="auto"/>
        <w:bottom w:val="none" w:sz="0" w:space="0" w:color="auto"/>
        <w:right w:val="none" w:sz="0" w:space="0" w:color="auto"/>
      </w:divBdr>
    </w:div>
    <w:div w:id="106630068">
      <w:bodyDiv w:val="1"/>
      <w:marLeft w:val="0"/>
      <w:marRight w:val="0"/>
      <w:marTop w:val="0"/>
      <w:marBottom w:val="0"/>
      <w:divBdr>
        <w:top w:val="none" w:sz="0" w:space="0" w:color="auto"/>
        <w:left w:val="none" w:sz="0" w:space="0" w:color="auto"/>
        <w:bottom w:val="none" w:sz="0" w:space="0" w:color="auto"/>
        <w:right w:val="none" w:sz="0" w:space="0" w:color="auto"/>
      </w:divBdr>
    </w:div>
    <w:div w:id="174812385">
      <w:bodyDiv w:val="1"/>
      <w:marLeft w:val="0"/>
      <w:marRight w:val="0"/>
      <w:marTop w:val="0"/>
      <w:marBottom w:val="0"/>
      <w:divBdr>
        <w:top w:val="none" w:sz="0" w:space="0" w:color="auto"/>
        <w:left w:val="none" w:sz="0" w:space="0" w:color="auto"/>
        <w:bottom w:val="none" w:sz="0" w:space="0" w:color="auto"/>
        <w:right w:val="none" w:sz="0" w:space="0" w:color="auto"/>
      </w:divBdr>
    </w:div>
    <w:div w:id="196280609">
      <w:bodyDiv w:val="1"/>
      <w:marLeft w:val="0"/>
      <w:marRight w:val="0"/>
      <w:marTop w:val="0"/>
      <w:marBottom w:val="0"/>
      <w:divBdr>
        <w:top w:val="none" w:sz="0" w:space="0" w:color="auto"/>
        <w:left w:val="none" w:sz="0" w:space="0" w:color="auto"/>
        <w:bottom w:val="none" w:sz="0" w:space="0" w:color="auto"/>
        <w:right w:val="none" w:sz="0" w:space="0" w:color="auto"/>
      </w:divBdr>
    </w:div>
    <w:div w:id="282079176">
      <w:bodyDiv w:val="1"/>
      <w:marLeft w:val="0"/>
      <w:marRight w:val="0"/>
      <w:marTop w:val="0"/>
      <w:marBottom w:val="0"/>
      <w:divBdr>
        <w:top w:val="none" w:sz="0" w:space="0" w:color="auto"/>
        <w:left w:val="none" w:sz="0" w:space="0" w:color="auto"/>
        <w:bottom w:val="none" w:sz="0" w:space="0" w:color="auto"/>
        <w:right w:val="none" w:sz="0" w:space="0" w:color="auto"/>
      </w:divBdr>
      <w:divsChild>
        <w:div w:id="1379620703">
          <w:marLeft w:val="0"/>
          <w:marRight w:val="0"/>
          <w:marTop w:val="0"/>
          <w:marBottom w:val="0"/>
          <w:divBdr>
            <w:top w:val="none" w:sz="0" w:space="0" w:color="auto"/>
            <w:left w:val="none" w:sz="0" w:space="0" w:color="auto"/>
            <w:bottom w:val="none" w:sz="0" w:space="0" w:color="auto"/>
            <w:right w:val="none" w:sz="0" w:space="0" w:color="auto"/>
          </w:divBdr>
        </w:div>
        <w:div w:id="1847089966">
          <w:marLeft w:val="0"/>
          <w:marRight w:val="0"/>
          <w:marTop w:val="0"/>
          <w:marBottom w:val="0"/>
          <w:divBdr>
            <w:top w:val="none" w:sz="0" w:space="0" w:color="auto"/>
            <w:left w:val="none" w:sz="0" w:space="0" w:color="auto"/>
            <w:bottom w:val="none" w:sz="0" w:space="0" w:color="auto"/>
            <w:right w:val="none" w:sz="0" w:space="0" w:color="auto"/>
          </w:divBdr>
        </w:div>
      </w:divsChild>
    </w:div>
    <w:div w:id="283778155">
      <w:bodyDiv w:val="1"/>
      <w:marLeft w:val="0"/>
      <w:marRight w:val="0"/>
      <w:marTop w:val="0"/>
      <w:marBottom w:val="0"/>
      <w:divBdr>
        <w:top w:val="none" w:sz="0" w:space="0" w:color="auto"/>
        <w:left w:val="none" w:sz="0" w:space="0" w:color="auto"/>
        <w:bottom w:val="none" w:sz="0" w:space="0" w:color="auto"/>
        <w:right w:val="none" w:sz="0" w:space="0" w:color="auto"/>
      </w:divBdr>
    </w:div>
    <w:div w:id="405105847">
      <w:bodyDiv w:val="1"/>
      <w:marLeft w:val="0"/>
      <w:marRight w:val="0"/>
      <w:marTop w:val="0"/>
      <w:marBottom w:val="0"/>
      <w:divBdr>
        <w:top w:val="none" w:sz="0" w:space="0" w:color="auto"/>
        <w:left w:val="none" w:sz="0" w:space="0" w:color="auto"/>
        <w:bottom w:val="none" w:sz="0" w:space="0" w:color="auto"/>
        <w:right w:val="none" w:sz="0" w:space="0" w:color="auto"/>
      </w:divBdr>
    </w:div>
    <w:div w:id="588931699">
      <w:bodyDiv w:val="1"/>
      <w:marLeft w:val="0"/>
      <w:marRight w:val="0"/>
      <w:marTop w:val="0"/>
      <w:marBottom w:val="0"/>
      <w:divBdr>
        <w:top w:val="none" w:sz="0" w:space="0" w:color="auto"/>
        <w:left w:val="none" w:sz="0" w:space="0" w:color="auto"/>
        <w:bottom w:val="none" w:sz="0" w:space="0" w:color="auto"/>
        <w:right w:val="none" w:sz="0" w:space="0" w:color="auto"/>
      </w:divBdr>
    </w:div>
    <w:div w:id="616566893">
      <w:bodyDiv w:val="1"/>
      <w:marLeft w:val="0"/>
      <w:marRight w:val="0"/>
      <w:marTop w:val="0"/>
      <w:marBottom w:val="0"/>
      <w:divBdr>
        <w:top w:val="none" w:sz="0" w:space="0" w:color="auto"/>
        <w:left w:val="none" w:sz="0" w:space="0" w:color="auto"/>
        <w:bottom w:val="none" w:sz="0" w:space="0" w:color="auto"/>
        <w:right w:val="none" w:sz="0" w:space="0" w:color="auto"/>
      </w:divBdr>
    </w:div>
    <w:div w:id="699011840">
      <w:bodyDiv w:val="1"/>
      <w:marLeft w:val="0"/>
      <w:marRight w:val="0"/>
      <w:marTop w:val="0"/>
      <w:marBottom w:val="0"/>
      <w:divBdr>
        <w:top w:val="none" w:sz="0" w:space="0" w:color="auto"/>
        <w:left w:val="none" w:sz="0" w:space="0" w:color="auto"/>
        <w:bottom w:val="none" w:sz="0" w:space="0" w:color="auto"/>
        <w:right w:val="none" w:sz="0" w:space="0" w:color="auto"/>
      </w:divBdr>
    </w:div>
    <w:div w:id="769744292">
      <w:bodyDiv w:val="1"/>
      <w:marLeft w:val="0"/>
      <w:marRight w:val="0"/>
      <w:marTop w:val="0"/>
      <w:marBottom w:val="0"/>
      <w:divBdr>
        <w:top w:val="none" w:sz="0" w:space="0" w:color="auto"/>
        <w:left w:val="none" w:sz="0" w:space="0" w:color="auto"/>
        <w:bottom w:val="none" w:sz="0" w:space="0" w:color="auto"/>
        <w:right w:val="none" w:sz="0" w:space="0" w:color="auto"/>
      </w:divBdr>
    </w:div>
    <w:div w:id="874543320">
      <w:bodyDiv w:val="1"/>
      <w:marLeft w:val="0"/>
      <w:marRight w:val="0"/>
      <w:marTop w:val="0"/>
      <w:marBottom w:val="0"/>
      <w:divBdr>
        <w:top w:val="none" w:sz="0" w:space="0" w:color="auto"/>
        <w:left w:val="none" w:sz="0" w:space="0" w:color="auto"/>
        <w:bottom w:val="none" w:sz="0" w:space="0" w:color="auto"/>
        <w:right w:val="none" w:sz="0" w:space="0" w:color="auto"/>
      </w:divBdr>
    </w:div>
    <w:div w:id="977958749">
      <w:bodyDiv w:val="1"/>
      <w:marLeft w:val="0"/>
      <w:marRight w:val="0"/>
      <w:marTop w:val="0"/>
      <w:marBottom w:val="0"/>
      <w:divBdr>
        <w:top w:val="none" w:sz="0" w:space="0" w:color="auto"/>
        <w:left w:val="none" w:sz="0" w:space="0" w:color="auto"/>
        <w:bottom w:val="none" w:sz="0" w:space="0" w:color="auto"/>
        <w:right w:val="none" w:sz="0" w:space="0" w:color="auto"/>
      </w:divBdr>
    </w:div>
    <w:div w:id="1106345027">
      <w:bodyDiv w:val="1"/>
      <w:marLeft w:val="0"/>
      <w:marRight w:val="0"/>
      <w:marTop w:val="0"/>
      <w:marBottom w:val="0"/>
      <w:divBdr>
        <w:top w:val="none" w:sz="0" w:space="0" w:color="auto"/>
        <w:left w:val="none" w:sz="0" w:space="0" w:color="auto"/>
        <w:bottom w:val="none" w:sz="0" w:space="0" w:color="auto"/>
        <w:right w:val="none" w:sz="0" w:space="0" w:color="auto"/>
      </w:divBdr>
    </w:div>
    <w:div w:id="1159728251">
      <w:bodyDiv w:val="1"/>
      <w:marLeft w:val="0"/>
      <w:marRight w:val="0"/>
      <w:marTop w:val="0"/>
      <w:marBottom w:val="0"/>
      <w:divBdr>
        <w:top w:val="none" w:sz="0" w:space="0" w:color="auto"/>
        <w:left w:val="none" w:sz="0" w:space="0" w:color="auto"/>
        <w:bottom w:val="none" w:sz="0" w:space="0" w:color="auto"/>
        <w:right w:val="none" w:sz="0" w:space="0" w:color="auto"/>
      </w:divBdr>
    </w:div>
    <w:div w:id="1205026836">
      <w:bodyDiv w:val="1"/>
      <w:marLeft w:val="0"/>
      <w:marRight w:val="0"/>
      <w:marTop w:val="0"/>
      <w:marBottom w:val="0"/>
      <w:divBdr>
        <w:top w:val="none" w:sz="0" w:space="0" w:color="auto"/>
        <w:left w:val="none" w:sz="0" w:space="0" w:color="auto"/>
        <w:bottom w:val="none" w:sz="0" w:space="0" w:color="auto"/>
        <w:right w:val="none" w:sz="0" w:space="0" w:color="auto"/>
      </w:divBdr>
    </w:div>
    <w:div w:id="1216695718">
      <w:bodyDiv w:val="1"/>
      <w:marLeft w:val="0"/>
      <w:marRight w:val="0"/>
      <w:marTop w:val="0"/>
      <w:marBottom w:val="0"/>
      <w:divBdr>
        <w:top w:val="none" w:sz="0" w:space="0" w:color="auto"/>
        <w:left w:val="none" w:sz="0" w:space="0" w:color="auto"/>
        <w:bottom w:val="none" w:sz="0" w:space="0" w:color="auto"/>
        <w:right w:val="none" w:sz="0" w:space="0" w:color="auto"/>
      </w:divBdr>
    </w:div>
    <w:div w:id="1317874155">
      <w:bodyDiv w:val="1"/>
      <w:marLeft w:val="0"/>
      <w:marRight w:val="0"/>
      <w:marTop w:val="0"/>
      <w:marBottom w:val="0"/>
      <w:divBdr>
        <w:top w:val="none" w:sz="0" w:space="0" w:color="auto"/>
        <w:left w:val="none" w:sz="0" w:space="0" w:color="auto"/>
        <w:bottom w:val="none" w:sz="0" w:space="0" w:color="auto"/>
        <w:right w:val="none" w:sz="0" w:space="0" w:color="auto"/>
      </w:divBdr>
      <w:divsChild>
        <w:div w:id="1058626359">
          <w:marLeft w:val="0"/>
          <w:marRight w:val="0"/>
          <w:marTop w:val="0"/>
          <w:marBottom w:val="0"/>
          <w:divBdr>
            <w:top w:val="none" w:sz="0" w:space="0" w:color="auto"/>
            <w:left w:val="none" w:sz="0" w:space="0" w:color="auto"/>
            <w:bottom w:val="none" w:sz="0" w:space="0" w:color="auto"/>
            <w:right w:val="none" w:sz="0" w:space="0" w:color="auto"/>
          </w:divBdr>
        </w:div>
        <w:div w:id="2062943184">
          <w:marLeft w:val="0"/>
          <w:marRight w:val="0"/>
          <w:marTop w:val="0"/>
          <w:marBottom w:val="0"/>
          <w:divBdr>
            <w:top w:val="none" w:sz="0" w:space="0" w:color="auto"/>
            <w:left w:val="none" w:sz="0" w:space="0" w:color="auto"/>
            <w:bottom w:val="none" w:sz="0" w:space="0" w:color="auto"/>
            <w:right w:val="none" w:sz="0" w:space="0" w:color="auto"/>
          </w:divBdr>
        </w:div>
      </w:divsChild>
    </w:div>
    <w:div w:id="1333215648">
      <w:bodyDiv w:val="1"/>
      <w:marLeft w:val="0"/>
      <w:marRight w:val="0"/>
      <w:marTop w:val="0"/>
      <w:marBottom w:val="0"/>
      <w:divBdr>
        <w:top w:val="none" w:sz="0" w:space="0" w:color="auto"/>
        <w:left w:val="none" w:sz="0" w:space="0" w:color="auto"/>
        <w:bottom w:val="none" w:sz="0" w:space="0" w:color="auto"/>
        <w:right w:val="none" w:sz="0" w:space="0" w:color="auto"/>
      </w:divBdr>
    </w:div>
    <w:div w:id="1377119167">
      <w:bodyDiv w:val="1"/>
      <w:marLeft w:val="0"/>
      <w:marRight w:val="0"/>
      <w:marTop w:val="0"/>
      <w:marBottom w:val="0"/>
      <w:divBdr>
        <w:top w:val="none" w:sz="0" w:space="0" w:color="auto"/>
        <w:left w:val="none" w:sz="0" w:space="0" w:color="auto"/>
        <w:bottom w:val="none" w:sz="0" w:space="0" w:color="auto"/>
        <w:right w:val="none" w:sz="0" w:space="0" w:color="auto"/>
      </w:divBdr>
    </w:div>
    <w:div w:id="1426875764">
      <w:bodyDiv w:val="1"/>
      <w:marLeft w:val="0"/>
      <w:marRight w:val="0"/>
      <w:marTop w:val="0"/>
      <w:marBottom w:val="0"/>
      <w:divBdr>
        <w:top w:val="none" w:sz="0" w:space="0" w:color="auto"/>
        <w:left w:val="none" w:sz="0" w:space="0" w:color="auto"/>
        <w:bottom w:val="none" w:sz="0" w:space="0" w:color="auto"/>
        <w:right w:val="none" w:sz="0" w:space="0" w:color="auto"/>
      </w:divBdr>
    </w:div>
    <w:div w:id="1533612304">
      <w:bodyDiv w:val="1"/>
      <w:marLeft w:val="0"/>
      <w:marRight w:val="0"/>
      <w:marTop w:val="0"/>
      <w:marBottom w:val="0"/>
      <w:divBdr>
        <w:top w:val="none" w:sz="0" w:space="0" w:color="auto"/>
        <w:left w:val="none" w:sz="0" w:space="0" w:color="auto"/>
        <w:bottom w:val="none" w:sz="0" w:space="0" w:color="auto"/>
        <w:right w:val="none" w:sz="0" w:space="0" w:color="auto"/>
      </w:divBdr>
    </w:div>
    <w:div w:id="1552418178">
      <w:bodyDiv w:val="1"/>
      <w:marLeft w:val="0"/>
      <w:marRight w:val="0"/>
      <w:marTop w:val="0"/>
      <w:marBottom w:val="0"/>
      <w:divBdr>
        <w:top w:val="none" w:sz="0" w:space="0" w:color="auto"/>
        <w:left w:val="none" w:sz="0" w:space="0" w:color="auto"/>
        <w:bottom w:val="none" w:sz="0" w:space="0" w:color="auto"/>
        <w:right w:val="none" w:sz="0" w:space="0" w:color="auto"/>
      </w:divBdr>
    </w:div>
    <w:div w:id="1580022503">
      <w:bodyDiv w:val="1"/>
      <w:marLeft w:val="0"/>
      <w:marRight w:val="0"/>
      <w:marTop w:val="0"/>
      <w:marBottom w:val="0"/>
      <w:divBdr>
        <w:top w:val="none" w:sz="0" w:space="0" w:color="auto"/>
        <w:left w:val="none" w:sz="0" w:space="0" w:color="auto"/>
        <w:bottom w:val="none" w:sz="0" w:space="0" w:color="auto"/>
        <w:right w:val="none" w:sz="0" w:space="0" w:color="auto"/>
      </w:divBdr>
    </w:div>
    <w:div w:id="1611627210">
      <w:bodyDiv w:val="1"/>
      <w:marLeft w:val="0"/>
      <w:marRight w:val="0"/>
      <w:marTop w:val="0"/>
      <w:marBottom w:val="0"/>
      <w:divBdr>
        <w:top w:val="none" w:sz="0" w:space="0" w:color="auto"/>
        <w:left w:val="none" w:sz="0" w:space="0" w:color="auto"/>
        <w:bottom w:val="none" w:sz="0" w:space="0" w:color="auto"/>
        <w:right w:val="none" w:sz="0" w:space="0" w:color="auto"/>
      </w:divBdr>
    </w:div>
    <w:div w:id="1614942043">
      <w:bodyDiv w:val="1"/>
      <w:marLeft w:val="0"/>
      <w:marRight w:val="0"/>
      <w:marTop w:val="0"/>
      <w:marBottom w:val="0"/>
      <w:divBdr>
        <w:top w:val="none" w:sz="0" w:space="0" w:color="auto"/>
        <w:left w:val="none" w:sz="0" w:space="0" w:color="auto"/>
        <w:bottom w:val="none" w:sz="0" w:space="0" w:color="auto"/>
        <w:right w:val="none" w:sz="0" w:space="0" w:color="auto"/>
      </w:divBdr>
    </w:div>
    <w:div w:id="1621447328">
      <w:bodyDiv w:val="1"/>
      <w:marLeft w:val="0"/>
      <w:marRight w:val="0"/>
      <w:marTop w:val="0"/>
      <w:marBottom w:val="0"/>
      <w:divBdr>
        <w:top w:val="none" w:sz="0" w:space="0" w:color="auto"/>
        <w:left w:val="none" w:sz="0" w:space="0" w:color="auto"/>
        <w:bottom w:val="none" w:sz="0" w:space="0" w:color="auto"/>
        <w:right w:val="none" w:sz="0" w:space="0" w:color="auto"/>
      </w:divBdr>
    </w:div>
    <w:div w:id="1706564887">
      <w:bodyDiv w:val="1"/>
      <w:marLeft w:val="0"/>
      <w:marRight w:val="0"/>
      <w:marTop w:val="0"/>
      <w:marBottom w:val="0"/>
      <w:divBdr>
        <w:top w:val="none" w:sz="0" w:space="0" w:color="auto"/>
        <w:left w:val="none" w:sz="0" w:space="0" w:color="auto"/>
        <w:bottom w:val="none" w:sz="0" w:space="0" w:color="auto"/>
        <w:right w:val="none" w:sz="0" w:space="0" w:color="auto"/>
      </w:divBdr>
    </w:div>
    <w:div w:id="1798600800">
      <w:bodyDiv w:val="1"/>
      <w:marLeft w:val="0"/>
      <w:marRight w:val="0"/>
      <w:marTop w:val="0"/>
      <w:marBottom w:val="0"/>
      <w:divBdr>
        <w:top w:val="none" w:sz="0" w:space="0" w:color="auto"/>
        <w:left w:val="none" w:sz="0" w:space="0" w:color="auto"/>
        <w:bottom w:val="none" w:sz="0" w:space="0" w:color="auto"/>
        <w:right w:val="none" w:sz="0" w:space="0" w:color="auto"/>
      </w:divBdr>
    </w:div>
    <w:div w:id="1948582186">
      <w:bodyDiv w:val="1"/>
      <w:marLeft w:val="0"/>
      <w:marRight w:val="0"/>
      <w:marTop w:val="0"/>
      <w:marBottom w:val="0"/>
      <w:divBdr>
        <w:top w:val="none" w:sz="0" w:space="0" w:color="auto"/>
        <w:left w:val="none" w:sz="0" w:space="0" w:color="auto"/>
        <w:bottom w:val="none" w:sz="0" w:space="0" w:color="auto"/>
        <w:right w:val="none" w:sz="0" w:space="0" w:color="auto"/>
      </w:divBdr>
    </w:div>
    <w:div w:id="1983264483">
      <w:bodyDiv w:val="1"/>
      <w:marLeft w:val="0"/>
      <w:marRight w:val="0"/>
      <w:marTop w:val="0"/>
      <w:marBottom w:val="0"/>
      <w:divBdr>
        <w:top w:val="none" w:sz="0" w:space="0" w:color="auto"/>
        <w:left w:val="none" w:sz="0" w:space="0" w:color="auto"/>
        <w:bottom w:val="none" w:sz="0" w:space="0" w:color="auto"/>
        <w:right w:val="none" w:sz="0" w:space="0" w:color="auto"/>
      </w:divBdr>
    </w:div>
    <w:div w:id="2036802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employee-rights-during-a-tupe-transfer/how-your-employer-should-inform-and-consult-you-during-tupe" TargetMode="External"/><Relationship Id="rId13" Type="http://schemas.openxmlformats.org/officeDocument/2006/relationships/hyperlink" Target="https://www.tughans.com/news-insights/selling-a-business-where-tupe-applies-what-do-you-need-to-tell-your-employee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cas.org.uk/changing-an-employment-contract/employer-responsibilities" TargetMode="External"/><Relationship Id="rId12" Type="http://schemas.openxmlformats.org/officeDocument/2006/relationships/hyperlink" Target="https://landaulaw.co.uk/redundancy/"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wilsonbrowne.co.uk/guides/guide-to-changing-terms-and-conditions/" TargetMode="External"/><Relationship Id="rId1" Type="http://schemas.openxmlformats.org/officeDocument/2006/relationships/styles" Target="styles.xml"/><Relationship Id="rId6" Type="http://schemas.openxmlformats.org/officeDocument/2006/relationships/hyperlink" Target="https://www.acas.org.uk/manage-staff-redundancies/redundancy-consultations" TargetMode="External"/><Relationship Id="rId11" Type="http://schemas.openxmlformats.org/officeDocument/2006/relationships/hyperlink" Target="https://www.davidsonmorris.com/last-in-first-out/" TargetMode="External"/><Relationship Id="rId5" Type="http://schemas.openxmlformats.org/officeDocument/2006/relationships/hyperlink" Target="https://www.acas.org.uk/handling-a-tupe-transfer-step-by-step" TargetMode="External"/><Relationship Id="rId15" Type="http://schemas.openxmlformats.org/officeDocument/2006/relationships/hyperlink" Target="https://www.lag.org.uk/article/210401/redundancy-during-or-after-maternity-leave--how-the-law-is-failing-women" TargetMode="External"/><Relationship Id="rId10" Type="http://schemas.openxmlformats.org/officeDocument/2006/relationships/hyperlink" Target="https://www.cipd.co.uk/knowledge/fundamentals/emp-law/tupe/factsheet#gref" TargetMode="External"/><Relationship Id="rId4" Type="http://schemas.openxmlformats.org/officeDocument/2006/relationships/image" Target="media/image1.png"/><Relationship Id="rId9" Type="http://schemas.openxmlformats.org/officeDocument/2006/relationships/hyperlink" Target="https://www.cipd.co.uk/Images/8208-a-guide-to-tupe-transfers-web_tcm18-44310.pdf" TargetMode="External"/><Relationship Id="rId14" Type="http://schemas.openxmlformats.org/officeDocument/2006/relationships/hyperlink" Target="https://www.markellaw.co.uk/insights/can-employers-still-use-the-last-in-first-out-criterion-as-a-method-of-redundancy-se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706</TotalTime>
  <Pages>10</Pages>
  <Words>3045</Words>
  <Characters>17362</Characters>
  <Application>Microsoft Office Word</Application>
  <DocSecurity>0</DocSecurity>
  <Lines>144</Lines>
  <Paragraphs>40</Paragraphs>
  <ScaleCrop>false</ScaleCrop>
  <Company/>
  <LinksUpToDate>false</LinksUpToDate>
  <CharactersWithSpaces>20367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65</cp:revision>
  <dcterms:created xsi:type="dcterms:W3CDTF">2022-02-08T20:08:00Z</dcterms:created>
  <dcterms:modified xsi:type="dcterms:W3CDTF">2022-02-23T23:52:00Z</dcterms:modified>
</cp:coreProperties>
</file>