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D10FA" w14:textId="304347B0" w:rsidR="00A638B4" w:rsidRDefault="00F36C0F" w:rsidP="00A638B4">
      <w:r>
        <w:rPr>
          <w:noProof/>
        </w:rPr>
        <w:drawing>
          <wp:inline distT="0" distB="0" distL="0" distR="0" wp14:anchorId="7C318C64" wp14:editId="22D06870">
            <wp:extent cx="2621280" cy="1164590"/>
            <wp:effectExtent l="0" t="0" r="7620" b="0"/>
            <wp:docPr id="16558701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30B123BC" w14:textId="77777777" w:rsidR="00A638B4" w:rsidRDefault="00A638B4" w:rsidP="00A638B4"/>
    <w:p w14:paraId="16B49FC4" w14:textId="77777777" w:rsidR="00A638B4" w:rsidRDefault="00A638B4" w:rsidP="00A638B4"/>
    <w:p w14:paraId="2A61EC16" w14:textId="77777777" w:rsidR="00A638B4" w:rsidRDefault="00A638B4" w:rsidP="00A638B4"/>
    <w:p w14:paraId="09AABF38" w14:textId="77777777" w:rsidR="00A638B4" w:rsidRDefault="00A638B4" w:rsidP="00A638B4"/>
    <w:p w14:paraId="767675CC" w14:textId="77777777" w:rsidR="00A638B4" w:rsidRDefault="00A638B4" w:rsidP="00A638B4"/>
    <w:p w14:paraId="399204A0" w14:textId="7741BD5B" w:rsidR="00A638B4" w:rsidRPr="00F36C0F" w:rsidRDefault="00A638B4" w:rsidP="00A638B4">
      <w:pPr>
        <w:rPr>
          <w:rFonts w:ascii="Arial" w:hAnsi="Arial" w:cs="Arial"/>
          <w:b/>
          <w:bCs/>
        </w:rPr>
      </w:pPr>
      <w:r w:rsidRPr="00F36C0F">
        <w:rPr>
          <w:rFonts w:ascii="Arial" w:hAnsi="Arial" w:cs="Arial"/>
          <w:b/>
          <w:bCs/>
        </w:rPr>
        <w:t xml:space="preserve">Name: </w:t>
      </w:r>
      <w:r w:rsidR="00433884" w:rsidRPr="00F36C0F">
        <w:rPr>
          <w:rFonts w:ascii="Arial" w:hAnsi="Arial" w:cs="Arial"/>
          <w:b/>
          <w:bCs/>
        </w:rPr>
        <w:t>Karyna Korniienko</w:t>
      </w:r>
    </w:p>
    <w:p w14:paraId="31C84F29" w14:textId="179F6395" w:rsidR="00A638B4" w:rsidRPr="00F36C0F" w:rsidRDefault="00A638B4" w:rsidP="00A638B4">
      <w:pPr>
        <w:rPr>
          <w:rFonts w:ascii="Arial" w:hAnsi="Arial" w:cs="Arial"/>
          <w:b/>
          <w:bCs/>
        </w:rPr>
      </w:pPr>
      <w:r w:rsidRPr="00F36C0F">
        <w:rPr>
          <w:rFonts w:ascii="Arial" w:hAnsi="Arial" w:cs="Arial"/>
          <w:b/>
          <w:bCs/>
        </w:rPr>
        <w:t>Student ID: 2509255</w:t>
      </w:r>
    </w:p>
    <w:p w14:paraId="6C9193FC" w14:textId="77777777" w:rsidR="00A638B4" w:rsidRPr="00F36C0F" w:rsidRDefault="00A638B4" w:rsidP="00A638B4">
      <w:pPr>
        <w:rPr>
          <w:rFonts w:ascii="Arial" w:hAnsi="Arial" w:cs="Arial"/>
          <w:b/>
          <w:bCs/>
        </w:rPr>
      </w:pPr>
      <w:r w:rsidRPr="00F36C0F">
        <w:rPr>
          <w:rFonts w:ascii="Arial" w:hAnsi="Arial" w:cs="Arial"/>
          <w:b/>
          <w:bCs/>
        </w:rPr>
        <w:t>Module Code: BMHP5016</w:t>
      </w:r>
    </w:p>
    <w:p w14:paraId="27E71E50" w14:textId="77777777" w:rsidR="00A638B4" w:rsidRPr="00F36C0F" w:rsidRDefault="00A638B4" w:rsidP="00A638B4">
      <w:pPr>
        <w:rPr>
          <w:rFonts w:ascii="Arial" w:hAnsi="Arial" w:cs="Arial"/>
          <w:b/>
          <w:bCs/>
        </w:rPr>
      </w:pPr>
      <w:r w:rsidRPr="00F36C0F">
        <w:rPr>
          <w:rFonts w:ascii="Arial" w:hAnsi="Arial" w:cs="Arial"/>
          <w:b/>
          <w:bCs/>
        </w:rPr>
        <w:t>Module: Principles of Health and Social Care Practice</w:t>
      </w:r>
    </w:p>
    <w:p w14:paraId="6882AEF6" w14:textId="77777777" w:rsidR="00A638B4" w:rsidRPr="00F36C0F" w:rsidRDefault="00A638B4" w:rsidP="00A638B4">
      <w:pPr>
        <w:rPr>
          <w:rFonts w:ascii="Arial" w:hAnsi="Arial" w:cs="Arial"/>
          <w:b/>
          <w:bCs/>
        </w:rPr>
      </w:pPr>
      <w:r w:rsidRPr="00F36C0F">
        <w:rPr>
          <w:rFonts w:ascii="Arial" w:hAnsi="Arial" w:cs="Arial"/>
          <w:b/>
          <w:bCs/>
        </w:rPr>
        <w:t>Component 1: Reflective Report</w:t>
      </w:r>
    </w:p>
    <w:p w14:paraId="787F13A4" w14:textId="284E3977" w:rsidR="00A638B4" w:rsidRPr="00F36C0F" w:rsidRDefault="00A638B4" w:rsidP="00A638B4">
      <w:pPr>
        <w:rPr>
          <w:rFonts w:ascii="Arial" w:hAnsi="Arial" w:cs="Arial"/>
          <w:b/>
          <w:bCs/>
        </w:rPr>
      </w:pPr>
      <w:r w:rsidRPr="00F36C0F">
        <w:rPr>
          <w:rFonts w:ascii="Arial" w:hAnsi="Arial" w:cs="Arial"/>
          <w:b/>
          <w:bCs/>
        </w:rPr>
        <w:t xml:space="preserve">Case </w:t>
      </w:r>
      <w:r w:rsidR="00F36C0F" w:rsidRPr="00F36C0F">
        <w:rPr>
          <w:rFonts w:ascii="Arial" w:hAnsi="Arial" w:cs="Arial"/>
          <w:b/>
          <w:bCs/>
        </w:rPr>
        <w:t>Study:</w:t>
      </w:r>
      <w:r w:rsidRPr="00F36C0F">
        <w:rPr>
          <w:rFonts w:ascii="Arial" w:hAnsi="Arial" w:cs="Arial"/>
          <w:b/>
          <w:bCs/>
        </w:rPr>
        <w:t xml:space="preserve"> </w:t>
      </w:r>
      <w:r w:rsidR="00433884" w:rsidRPr="00F36C0F">
        <w:rPr>
          <w:rFonts w:ascii="Arial" w:hAnsi="Arial" w:cs="Arial"/>
          <w:b/>
          <w:bCs/>
        </w:rPr>
        <w:t>Joan’s Story</w:t>
      </w:r>
    </w:p>
    <w:p w14:paraId="3E217995" w14:textId="77777777" w:rsidR="00A638B4" w:rsidRPr="00F36C0F" w:rsidRDefault="00A638B4" w:rsidP="00A638B4">
      <w:pPr>
        <w:rPr>
          <w:rFonts w:ascii="Arial" w:hAnsi="Arial" w:cs="Arial"/>
          <w:b/>
          <w:bCs/>
        </w:rPr>
      </w:pPr>
      <w:r w:rsidRPr="00F36C0F">
        <w:rPr>
          <w:rFonts w:ascii="Arial" w:hAnsi="Arial" w:cs="Arial"/>
          <w:b/>
          <w:bCs/>
        </w:rPr>
        <w:t>Lecturer: Robert Nartowski</w:t>
      </w:r>
    </w:p>
    <w:p w14:paraId="25421E79" w14:textId="77777777" w:rsidR="00A638B4" w:rsidRDefault="00A638B4" w:rsidP="00A638B4"/>
    <w:p w14:paraId="7497DD86" w14:textId="77777777" w:rsidR="00A638B4" w:rsidRDefault="00A638B4" w:rsidP="00A638B4"/>
    <w:p w14:paraId="011A4828" w14:textId="77777777" w:rsidR="00A638B4" w:rsidRDefault="00A638B4" w:rsidP="00A638B4"/>
    <w:p w14:paraId="684EDE5A" w14:textId="77777777" w:rsidR="00A638B4" w:rsidRDefault="00A638B4" w:rsidP="00A638B4"/>
    <w:p w14:paraId="34B508E6" w14:textId="77777777" w:rsidR="00A638B4" w:rsidRDefault="00A638B4" w:rsidP="00A638B4"/>
    <w:p w14:paraId="20233B92" w14:textId="77777777" w:rsidR="00A638B4" w:rsidRDefault="00A638B4" w:rsidP="00A638B4"/>
    <w:p w14:paraId="02B1059E" w14:textId="77777777" w:rsidR="00A638B4" w:rsidRDefault="00A638B4" w:rsidP="00A638B4"/>
    <w:p w14:paraId="6334C94D" w14:textId="5520038B" w:rsidR="0087502E" w:rsidRPr="00F36C0F" w:rsidRDefault="00A638B4" w:rsidP="00A638B4">
      <w:pPr>
        <w:rPr>
          <w:b/>
          <w:bCs/>
        </w:rPr>
      </w:pPr>
      <w:r>
        <w:tab/>
      </w:r>
      <w:r>
        <w:tab/>
      </w:r>
      <w:r>
        <w:tab/>
      </w:r>
      <w:r>
        <w:tab/>
      </w:r>
      <w:r w:rsidRPr="00F36C0F">
        <w:rPr>
          <w:b/>
          <w:bCs/>
        </w:rPr>
        <w:t>Submitted on: 2</w:t>
      </w:r>
      <w:r w:rsidR="008616C9">
        <w:rPr>
          <w:rFonts w:ascii="Arial" w:hAnsi="Arial" w:cs="Arial"/>
          <w:b/>
          <w:bCs/>
          <w:sz w:val="22"/>
          <w:szCs w:val="22"/>
          <w:lang w:val="ru-RU"/>
        </w:rPr>
        <w:t>6</w:t>
      </w:r>
      <w:r w:rsidRPr="00F36C0F">
        <w:rPr>
          <w:b/>
          <w:bCs/>
        </w:rPr>
        <w:t>.10.2026</w:t>
      </w:r>
    </w:p>
    <w:p w14:paraId="3C4916A6" w14:textId="77777777" w:rsidR="0087502E" w:rsidRDefault="0087502E">
      <w:r>
        <w:br w:type="page"/>
      </w:r>
    </w:p>
    <w:sdt>
      <w:sdtPr>
        <w:rPr>
          <w:rFonts w:asciiTheme="minorHAnsi" w:eastAsiaTheme="minorEastAsia" w:hAnsiTheme="minorHAnsi" w:cstheme="minorBidi"/>
          <w:color w:val="auto"/>
          <w:kern w:val="2"/>
          <w:sz w:val="24"/>
          <w:szCs w:val="24"/>
          <w:lang w:val="en-GB" w:eastAsia="en-GB"/>
          <w14:ligatures w14:val="standardContextual"/>
        </w:rPr>
        <w:id w:val="-426039817"/>
        <w:docPartObj>
          <w:docPartGallery w:val="Table of Contents"/>
          <w:docPartUnique/>
        </w:docPartObj>
      </w:sdtPr>
      <w:sdtEndPr>
        <w:rPr>
          <w:b/>
          <w:bCs/>
          <w:noProof/>
        </w:rPr>
      </w:sdtEndPr>
      <w:sdtContent>
        <w:p w14:paraId="75F58259" w14:textId="36C7A55D" w:rsidR="0054370B" w:rsidRPr="0054370B" w:rsidRDefault="0054370B" w:rsidP="0054370B">
          <w:pPr>
            <w:pStyle w:val="TOCHeading"/>
            <w:jc w:val="center"/>
            <w:rPr>
              <w:rFonts w:ascii="Arial" w:hAnsi="Arial" w:cs="Arial"/>
              <w:b/>
              <w:bCs/>
            </w:rPr>
          </w:pPr>
          <w:r w:rsidRPr="0054370B">
            <w:rPr>
              <w:rFonts w:ascii="Arial" w:hAnsi="Arial" w:cs="Arial"/>
              <w:b/>
              <w:bCs/>
            </w:rPr>
            <w:t>Contents</w:t>
          </w:r>
          <w:r>
            <w:rPr>
              <w:rFonts w:ascii="Arial" w:hAnsi="Arial" w:cs="Arial"/>
              <w:b/>
              <w:bCs/>
            </w:rPr>
            <w:t>:</w:t>
          </w:r>
        </w:p>
        <w:p w14:paraId="266A09C0" w14:textId="45BCFADC" w:rsidR="0054370B" w:rsidRPr="0054370B" w:rsidRDefault="0054370B" w:rsidP="0054370B">
          <w:pPr>
            <w:pStyle w:val="TOC1"/>
            <w:jc w:val="center"/>
          </w:pPr>
          <w:r>
            <w:fldChar w:fldCharType="begin"/>
          </w:r>
          <w:r>
            <w:instrText xml:space="preserve"> TOC \o "1-3" \h \z \u </w:instrText>
          </w:r>
          <w:r>
            <w:fldChar w:fldCharType="separate"/>
          </w:r>
          <w:hyperlink w:anchor="_Toc243599577" w:history="1">
            <w:r w:rsidRPr="0054370B">
              <w:rPr>
                <w:rStyle w:val="Hyperlink"/>
              </w:rPr>
              <w:t>Introduction</w:t>
            </w:r>
            <w:r w:rsidRPr="0054370B">
              <w:rPr>
                <w:webHidden/>
              </w:rPr>
              <w:tab/>
            </w:r>
            <w:r w:rsidRPr="0054370B">
              <w:rPr>
                <w:webHidden/>
              </w:rPr>
              <w:fldChar w:fldCharType="begin"/>
            </w:r>
            <w:r w:rsidRPr="0054370B">
              <w:rPr>
                <w:webHidden/>
              </w:rPr>
              <w:instrText xml:space="preserve"> PAGEREF _Toc243599577 \h </w:instrText>
            </w:r>
            <w:r w:rsidRPr="0054370B">
              <w:rPr>
                <w:webHidden/>
              </w:rPr>
            </w:r>
            <w:r w:rsidRPr="0054370B">
              <w:rPr>
                <w:webHidden/>
              </w:rPr>
              <w:fldChar w:fldCharType="separate"/>
            </w:r>
            <w:r w:rsidRPr="0054370B">
              <w:rPr>
                <w:webHidden/>
              </w:rPr>
              <w:t>3</w:t>
            </w:r>
            <w:r w:rsidRPr="0054370B">
              <w:rPr>
                <w:webHidden/>
              </w:rPr>
              <w:fldChar w:fldCharType="end"/>
            </w:r>
          </w:hyperlink>
        </w:p>
        <w:p w14:paraId="4D04DE85" w14:textId="14CFB59E" w:rsidR="0054370B" w:rsidRPr="0054370B" w:rsidRDefault="0054370B" w:rsidP="0054370B">
          <w:pPr>
            <w:pStyle w:val="TOC1"/>
            <w:jc w:val="center"/>
          </w:pPr>
          <w:hyperlink w:anchor="_Toc243599578" w:history="1">
            <w:r w:rsidRPr="0054370B">
              <w:rPr>
                <w:rStyle w:val="Hyperlink"/>
              </w:rPr>
              <w:t>Task 1: Reflection on the Importance of Principles of Health and Social Care</w:t>
            </w:r>
            <w:r w:rsidRPr="0054370B">
              <w:rPr>
                <w:webHidden/>
              </w:rPr>
              <w:tab/>
            </w:r>
            <w:r w:rsidRPr="0054370B">
              <w:rPr>
                <w:webHidden/>
              </w:rPr>
              <w:fldChar w:fldCharType="begin"/>
            </w:r>
            <w:r w:rsidRPr="0054370B">
              <w:rPr>
                <w:webHidden/>
              </w:rPr>
              <w:instrText xml:space="preserve"> PAGEREF _Toc243599578 \h </w:instrText>
            </w:r>
            <w:r w:rsidRPr="0054370B">
              <w:rPr>
                <w:webHidden/>
              </w:rPr>
            </w:r>
            <w:r w:rsidRPr="0054370B">
              <w:rPr>
                <w:webHidden/>
              </w:rPr>
              <w:fldChar w:fldCharType="separate"/>
            </w:r>
            <w:r w:rsidRPr="0054370B">
              <w:rPr>
                <w:webHidden/>
              </w:rPr>
              <w:t>3</w:t>
            </w:r>
            <w:r w:rsidRPr="0054370B">
              <w:rPr>
                <w:webHidden/>
              </w:rPr>
              <w:fldChar w:fldCharType="end"/>
            </w:r>
          </w:hyperlink>
        </w:p>
        <w:p w14:paraId="4ED97101" w14:textId="18FC58CF" w:rsidR="0054370B" w:rsidRDefault="0054370B" w:rsidP="008D0DCC">
          <w:pPr>
            <w:pStyle w:val="TOC2"/>
            <w:rPr>
              <w:noProof/>
            </w:rPr>
          </w:pPr>
          <w:hyperlink w:anchor="_Toc243599579" w:history="1">
            <w:r w:rsidRPr="00364818">
              <w:rPr>
                <w:rStyle w:val="Hyperlink"/>
                <w:rFonts w:ascii="Arial" w:hAnsi="Arial" w:cs="Arial"/>
                <w:noProof/>
              </w:rPr>
              <w:t>Figure 1</w:t>
            </w:r>
            <w:r>
              <w:rPr>
                <w:noProof/>
                <w:webHidden/>
              </w:rPr>
              <w:tab/>
            </w:r>
            <w:r>
              <w:rPr>
                <w:noProof/>
                <w:webHidden/>
              </w:rPr>
              <w:fldChar w:fldCharType="begin"/>
            </w:r>
            <w:r>
              <w:rPr>
                <w:noProof/>
                <w:webHidden/>
              </w:rPr>
              <w:instrText xml:space="preserve"> PAGEREF _Toc243599579 \h </w:instrText>
            </w:r>
            <w:r>
              <w:rPr>
                <w:noProof/>
                <w:webHidden/>
              </w:rPr>
            </w:r>
            <w:r>
              <w:rPr>
                <w:noProof/>
                <w:webHidden/>
              </w:rPr>
              <w:fldChar w:fldCharType="separate"/>
            </w:r>
            <w:r>
              <w:rPr>
                <w:noProof/>
                <w:webHidden/>
              </w:rPr>
              <w:t>4</w:t>
            </w:r>
            <w:r>
              <w:rPr>
                <w:noProof/>
                <w:webHidden/>
              </w:rPr>
              <w:fldChar w:fldCharType="end"/>
            </w:r>
          </w:hyperlink>
        </w:p>
        <w:p w14:paraId="06D1014B" w14:textId="0A4F3013" w:rsidR="0054370B" w:rsidRDefault="0054370B" w:rsidP="0054370B">
          <w:pPr>
            <w:pStyle w:val="TOC1"/>
            <w:jc w:val="center"/>
          </w:pPr>
          <w:hyperlink w:anchor="_Toc243599580" w:history="1">
            <w:r w:rsidRPr="00364818">
              <w:rPr>
                <w:rStyle w:val="Hyperlink"/>
              </w:rPr>
              <w:t>Task 2: Practical Examples of Concepts in Practice – Joan’s Story</w:t>
            </w:r>
            <w:r>
              <w:rPr>
                <w:webHidden/>
              </w:rPr>
              <w:tab/>
            </w:r>
            <w:r>
              <w:rPr>
                <w:webHidden/>
              </w:rPr>
              <w:fldChar w:fldCharType="begin"/>
            </w:r>
            <w:r>
              <w:rPr>
                <w:webHidden/>
              </w:rPr>
              <w:instrText xml:space="preserve"> PAGEREF _Toc243599580 \h </w:instrText>
            </w:r>
            <w:r>
              <w:rPr>
                <w:webHidden/>
              </w:rPr>
            </w:r>
            <w:r>
              <w:rPr>
                <w:webHidden/>
              </w:rPr>
              <w:fldChar w:fldCharType="separate"/>
            </w:r>
            <w:r>
              <w:rPr>
                <w:webHidden/>
              </w:rPr>
              <w:t>5</w:t>
            </w:r>
            <w:r>
              <w:rPr>
                <w:webHidden/>
              </w:rPr>
              <w:fldChar w:fldCharType="end"/>
            </w:r>
          </w:hyperlink>
        </w:p>
        <w:p w14:paraId="1B2B4A21" w14:textId="1EBE148C" w:rsidR="0054370B" w:rsidRDefault="0054370B" w:rsidP="0054370B">
          <w:pPr>
            <w:pStyle w:val="TOC1"/>
            <w:jc w:val="center"/>
          </w:pPr>
          <w:hyperlink w:anchor="_Toc243599581" w:history="1">
            <w:r w:rsidRPr="00364818">
              <w:rPr>
                <w:rStyle w:val="Hyperlink"/>
              </w:rPr>
              <w:t>Task 3: Self-Reflection as a Health and Social Care Professional</w:t>
            </w:r>
            <w:r>
              <w:rPr>
                <w:webHidden/>
              </w:rPr>
              <w:tab/>
            </w:r>
            <w:r>
              <w:rPr>
                <w:webHidden/>
              </w:rPr>
              <w:fldChar w:fldCharType="begin"/>
            </w:r>
            <w:r>
              <w:rPr>
                <w:webHidden/>
              </w:rPr>
              <w:instrText xml:space="preserve"> PAGEREF _Toc243599581 \h </w:instrText>
            </w:r>
            <w:r>
              <w:rPr>
                <w:webHidden/>
              </w:rPr>
            </w:r>
            <w:r>
              <w:rPr>
                <w:webHidden/>
              </w:rPr>
              <w:fldChar w:fldCharType="separate"/>
            </w:r>
            <w:r>
              <w:rPr>
                <w:webHidden/>
              </w:rPr>
              <w:t>7</w:t>
            </w:r>
            <w:r>
              <w:rPr>
                <w:webHidden/>
              </w:rPr>
              <w:fldChar w:fldCharType="end"/>
            </w:r>
          </w:hyperlink>
        </w:p>
        <w:p w14:paraId="66C78A16" w14:textId="5E646E49" w:rsidR="0054370B" w:rsidRDefault="0054370B" w:rsidP="008D0DCC">
          <w:pPr>
            <w:pStyle w:val="TOC2"/>
            <w:rPr>
              <w:noProof/>
            </w:rPr>
          </w:pPr>
          <w:hyperlink w:anchor="_Toc243599582" w:history="1">
            <w:r w:rsidRPr="00364818">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_Toc243599582 \h </w:instrText>
            </w:r>
            <w:r>
              <w:rPr>
                <w:noProof/>
                <w:webHidden/>
              </w:rPr>
            </w:r>
            <w:r>
              <w:rPr>
                <w:noProof/>
                <w:webHidden/>
              </w:rPr>
              <w:fldChar w:fldCharType="separate"/>
            </w:r>
            <w:r>
              <w:rPr>
                <w:noProof/>
                <w:webHidden/>
              </w:rPr>
              <w:t>7</w:t>
            </w:r>
            <w:r>
              <w:rPr>
                <w:noProof/>
                <w:webHidden/>
              </w:rPr>
              <w:fldChar w:fldCharType="end"/>
            </w:r>
          </w:hyperlink>
        </w:p>
        <w:p w14:paraId="10094D61" w14:textId="5240B343" w:rsidR="0054370B" w:rsidRDefault="0054370B" w:rsidP="008D0DCC">
          <w:pPr>
            <w:pStyle w:val="TOC2"/>
            <w:rPr>
              <w:noProof/>
            </w:rPr>
          </w:pPr>
          <w:hyperlink w:anchor="_Toc243599583" w:history="1">
            <w:r w:rsidRPr="00364818">
              <w:rPr>
                <w:rStyle w:val="Hyperlink"/>
                <w:rFonts w:ascii="Arial" w:hAnsi="Arial" w:cs="Arial"/>
                <w:noProof/>
              </w:rPr>
              <w:t>Feelings</w:t>
            </w:r>
            <w:r>
              <w:rPr>
                <w:noProof/>
                <w:webHidden/>
              </w:rPr>
              <w:tab/>
            </w:r>
            <w:r>
              <w:rPr>
                <w:noProof/>
                <w:webHidden/>
              </w:rPr>
              <w:fldChar w:fldCharType="begin"/>
            </w:r>
            <w:r>
              <w:rPr>
                <w:noProof/>
                <w:webHidden/>
              </w:rPr>
              <w:instrText xml:space="preserve"> PAGEREF _Toc243599583 \h </w:instrText>
            </w:r>
            <w:r>
              <w:rPr>
                <w:noProof/>
                <w:webHidden/>
              </w:rPr>
            </w:r>
            <w:r>
              <w:rPr>
                <w:noProof/>
                <w:webHidden/>
              </w:rPr>
              <w:fldChar w:fldCharType="separate"/>
            </w:r>
            <w:r>
              <w:rPr>
                <w:noProof/>
                <w:webHidden/>
              </w:rPr>
              <w:t>7</w:t>
            </w:r>
            <w:r>
              <w:rPr>
                <w:noProof/>
                <w:webHidden/>
              </w:rPr>
              <w:fldChar w:fldCharType="end"/>
            </w:r>
          </w:hyperlink>
        </w:p>
        <w:p w14:paraId="4FEA3E7B" w14:textId="3DA05BD9" w:rsidR="0054370B" w:rsidRDefault="0054370B" w:rsidP="008D0DCC">
          <w:pPr>
            <w:pStyle w:val="TOC2"/>
            <w:rPr>
              <w:noProof/>
            </w:rPr>
          </w:pPr>
          <w:hyperlink w:anchor="_Toc243599584" w:history="1">
            <w:r w:rsidRPr="00364818">
              <w:rPr>
                <w:rStyle w:val="Hyperlink"/>
                <w:rFonts w:ascii="Arial" w:hAnsi="Arial" w:cs="Arial"/>
                <w:noProof/>
              </w:rPr>
              <w:t>Evaluation</w:t>
            </w:r>
            <w:r>
              <w:rPr>
                <w:noProof/>
                <w:webHidden/>
              </w:rPr>
              <w:tab/>
            </w:r>
            <w:r>
              <w:rPr>
                <w:noProof/>
                <w:webHidden/>
              </w:rPr>
              <w:fldChar w:fldCharType="begin"/>
            </w:r>
            <w:r>
              <w:rPr>
                <w:noProof/>
                <w:webHidden/>
              </w:rPr>
              <w:instrText xml:space="preserve"> PAGEREF _Toc243599584 \h </w:instrText>
            </w:r>
            <w:r>
              <w:rPr>
                <w:noProof/>
                <w:webHidden/>
              </w:rPr>
            </w:r>
            <w:r>
              <w:rPr>
                <w:noProof/>
                <w:webHidden/>
              </w:rPr>
              <w:fldChar w:fldCharType="separate"/>
            </w:r>
            <w:r>
              <w:rPr>
                <w:noProof/>
                <w:webHidden/>
              </w:rPr>
              <w:t>7</w:t>
            </w:r>
            <w:r>
              <w:rPr>
                <w:noProof/>
                <w:webHidden/>
              </w:rPr>
              <w:fldChar w:fldCharType="end"/>
            </w:r>
          </w:hyperlink>
        </w:p>
        <w:p w14:paraId="686BD005" w14:textId="63BD195C" w:rsidR="0054370B" w:rsidRDefault="0054370B" w:rsidP="008D0DCC">
          <w:pPr>
            <w:pStyle w:val="TOC2"/>
            <w:rPr>
              <w:noProof/>
            </w:rPr>
          </w:pPr>
          <w:hyperlink w:anchor="_Toc243599585" w:history="1">
            <w:r w:rsidRPr="00364818">
              <w:rPr>
                <w:rStyle w:val="Hyperlink"/>
                <w:rFonts w:ascii="Arial" w:hAnsi="Arial" w:cs="Arial"/>
                <w:noProof/>
              </w:rPr>
              <w:t>Analysis</w:t>
            </w:r>
            <w:r>
              <w:rPr>
                <w:noProof/>
                <w:webHidden/>
              </w:rPr>
              <w:tab/>
            </w:r>
            <w:r>
              <w:rPr>
                <w:noProof/>
                <w:webHidden/>
              </w:rPr>
              <w:fldChar w:fldCharType="begin"/>
            </w:r>
            <w:r>
              <w:rPr>
                <w:noProof/>
                <w:webHidden/>
              </w:rPr>
              <w:instrText xml:space="preserve"> PAGEREF _Toc243599585 \h </w:instrText>
            </w:r>
            <w:r>
              <w:rPr>
                <w:noProof/>
                <w:webHidden/>
              </w:rPr>
            </w:r>
            <w:r>
              <w:rPr>
                <w:noProof/>
                <w:webHidden/>
              </w:rPr>
              <w:fldChar w:fldCharType="separate"/>
            </w:r>
            <w:r>
              <w:rPr>
                <w:noProof/>
                <w:webHidden/>
              </w:rPr>
              <w:t>8</w:t>
            </w:r>
            <w:r>
              <w:rPr>
                <w:noProof/>
                <w:webHidden/>
              </w:rPr>
              <w:fldChar w:fldCharType="end"/>
            </w:r>
          </w:hyperlink>
        </w:p>
        <w:p w14:paraId="0B1839C5" w14:textId="7B2B6544" w:rsidR="0054370B" w:rsidRDefault="0054370B" w:rsidP="008D0DCC">
          <w:pPr>
            <w:pStyle w:val="TOC2"/>
            <w:rPr>
              <w:noProof/>
            </w:rPr>
          </w:pPr>
          <w:hyperlink w:anchor="_Toc243599586" w:history="1">
            <w:r w:rsidRPr="00364818">
              <w:rPr>
                <w:rStyle w:val="Hyperlink"/>
                <w:noProof/>
              </w:rPr>
              <w:t>Summary</w:t>
            </w:r>
            <w:r>
              <w:rPr>
                <w:noProof/>
                <w:webHidden/>
              </w:rPr>
              <w:tab/>
            </w:r>
            <w:r>
              <w:rPr>
                <w:noProof/>
                <w:webHidden/>
              </w:rPr>
              <w:fldChar w:fldCharType="begin"/>
            </w:r>
            <w:r>
              <w:rPr>
                <w:noProof/>
                <w:webHidden/>
              </w:rPr>
              <w:instrText xml:space="preserve"> PAGEREF _Toc243599586 \h </w:instrText>
            </w:r>
            <w:r>
              <w:rPr>
                <w:noProof/>
                <w:webHidden/>
              </w:rPr>
            </w:r>
            <w:r>
              <w:rPr>
                <w:noProof/>
                <w:webHidden/>
              </w:rPr>
              <w:fldChar w:fldCharType="separate"/>
            </w:r>
            <w:r>
              <w:rPr>
                <w:noProof/>
                <w:webHidden/>
              </w:rPr>
              <w:t>9</w:t>
            </w:r>
            <w:r>
              <w:rPr>
                <w:noProof/>
                <w:webHidden/>
              </w:rPr>
              <w:fldChar w:fldCharType="end"/>
            </w:r>
          </w:hyperlink>
        </w:p>
        <w:p w14:paraId="3B6CE7E6" w14:textId="7BE3E418" w:rsidR="0054370B" w:rsidRDefault="0054370B" w:rsidP="008D0DCC">
          <w:pPr>
            <w:pStyle w:val="TOC2"/>
            <w:rPr>
              <w:noProof/>
            </w:rPr>
          </w:pPr>
          <w:hyperlink w:anchor="_Toc243599587" w:history="1">
            <w:r w:rsidRPr="00364818">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_Toc243599587 \h </w:instrText>
            </w:r>
            <w:r>
              <w:rPr>
                <w:noProof/>
                <w:webHidden/>
              </w:rPr>
            </w:r>
            <w:r>
              <w:rPr>
                <w:noProof/>
                <w:webHidden/>
              </w:rPr>
              <w:fldChar w:fldCharType="separate"/>
            </w:r>
            <w:r>
              <w:rPr>
                <w:noProof/>
                <w:webHidden/>
              </w:rPr>
              <w:t>9</w:t>
            </w:r>
            <w:r>
              <w:rPr>
                <w:noProof/>
                <w:webHidden/>
              </w:rPr>
              <w:fldChar w:fldCharType="end"/>
            </w:r>
          </w:hyperlink>
        </w:p>
        <w:p w14:paraId="5C093845" w14:textId="0A0BF469" w:rsidR="0054370B" w:rsidRDefault="0054370B" w:rsidP="0054370B">
          <w:pPr>
            <w:pStyle w:val="TOC1"/>
            <w:jc w:val="center"/>
          </w:pPr>
          <w:hyperlink w:anchor="_Toc243599588" w:history="1">
            <w:r w:rsidRPr="00364818">
              <w:rPr>
                <w:rStyle w:val="Hyperlink"/>
              </w:rPr>
              <w:t>Conclusion</w:t>
            </w:r>
            <w:r>
              <w:rPr>
                <w:webHidden/>
              </w:rPr>
              <w:tab/>
            </w:r>
            <w:r>
              <w:rPr>
                <w:webHidden/>
              </w:rPr>
              <w:fldChar w:fldCharType="begin"/>
            </w:r>
            <w:r>
              <w:rPr>
                <w:webHidden/>
              </w:rPr>
              <w:instrText xml:space="preserve"> PAGEREF _Toc243599588 \h </w:instrText>
            </w:r>
            <w:r>
              <w:rPr>
                <w:webHidden/>
              </w:rPr>
            </w:r>
            <w:r>
              <w:rPr>
                <w:webHidden/>
              </w:rPr>
              <w:fldChar w:fldCharType="separate"/>
            </w:r>
            <w:r>
              <w:rPr>
                <w:webHidden/>
              </w:rPr>
              <w:t>9</w:t>
            </w:r>
            <w:r>
              <w:rPr>
                <w:webHidden/>
              </w:rPr>
              <w:fldChar w:fldCharType="end"/>
            </w:r>
          </w:hyperlink>
        </w:p>
        <w:p w14:paraId="68C0A779" w14:textId="70318427" w:rsidR="0054370B" w:rsidRDefault="0054370B" w:rsidP="0054370B">
          <w:pPr>
            <w:pStyle w:val="TOC1"/>
            <w:jc w:val="center"/>
          </w:pPr>
          <w:hyperlink w:anchor="_Toc243599589" w:history="1">
            <w:r w:rsidRPr="00364818">
              <w:rPr>
                <w:rStyle w:val="Hyperlink"/>
              </w:rPr>
              <w:t>References</w:t>
            </w:r>
            <w:r>
              <w:rPr>
                <w:webHidden/>
              </w:rPr>
              <w:tab/>
            </w:r>
            <w:r>
              <w:rPr>
                <w:webHidden/>
              </w:rPr>
              <w:fldChar w:fldCharType="begin"/>
            </w:r>
            <w:r>
              <w:rPr>
                <w:webHidden/>
              </w:rPr>
              <w:instrText xml:space="preserve"> PAGEREF _Toc243599589 \h </w:instrText>
            </w:r>
            <w:r>
              <w:rPr>
                <w:webHidden/>
              </w:rPr>
            </w:r>
            <w:r>
              <w:rPr>
                <w:webHidden/>
              </w:rPr>
              <w:fldChar w:fldCharType="separate"/>
            </w:r>
            <w:r>
              <w:rPr>
                <w:webHidden/>
              </w:rPr>
              <w:t>10</w:t>
            </w:r>
            <w:r>
              <w:rPr>
                <w:webHidden/>
              </w:rPr>
              <w:fldChar w:fldCharType="end"/>
            </w:r>
          </w:hyperlink>
        </w:p>
        <w:p w14:paraId="36188181" w14:textId="36A7D0B8" w:rsidR="0054370B" w:rsidRDefault="0054370B" w:rsidP="0054370B">
          <w:pPr>
            <w:jc w:val="center"/>
          </w:pPr>
          <w:r>
            <w:rPr>
              <w:b/>
              <w:bCs/>
              <w:noProof/>
            </w:rPr>
            <w:fldChar w:fldCharType="end"/>
          </w:r>
        </w:p>
      </w:sdtContent>
    </w:sdt>
    <w:p w14:paraId="61A5D08B" w14:textId="77777777" w:rsidR="0087502E" w:rsidRDefault="0087502E" w:rsidP="00E42C16"/>
    <w:p w14:paraId="7B1B83EF" w14:textId="43F05752" w:rsidR="00E42C16" w:rsidRDefault="0087502E" w:rsidP="00E42C16">
      <w:r>
        <w:br w:type="page"/>
      </w:r>
    </w:p>
    <w:p w14:paraId="6D7D249B" w14:textId="1001C531" w:rsidR="00E42C16" w:rsidRPr="0054370B" w:rsidRDefault="00E42C16" w:rsidP="0054370B">
      <w:pPr>
        <w:pStyle w:val="Heading1"/>
        <w:jc w:val="center"/>
        <w:rPr>
          <w:rFonts w:ascii="Arial" w:hAnsi="Arial" w:cs="Arial"/>
          <w:sz w:val="32"/>
          <w:szCs w:val="32"/>
          <w:u w:val="single"/>
        </w:rPr>
      </w:pPr>
      <w:bookmarkStart w:id="0" w:name="_Toc243599577"/>
      <w:r w:rsidRPr="0054370B">
        <w:rPr>
          <w:rFonts w:ascii="Arial" w:hAnsi="Arial" w:cs="Arial"/>
          <w:sz w:val="32"/>
          <w:szCs w:val="32"/>
          <w:u w:val="single"/>
        </w:rPr>
        <w:lastRenderedPageBreak/>
        <w:t>Introduction</w:t>
      </w:r>
      <w:bookmarkEnd w:id="0"/>
    </w:p>
    <w:p w14:paraId="0A511C17" w14:textId="53F5992A" w:rsidR="00E42C16" w:rsidRPr="003950B4" w:rsidRDefault="003950B4"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Health and social care services play an important role in supporting people with different health and personal needs. People may need different types of help depending on their health, personal situation and feelings. It is important for care professionals to understand these differences and provide support that meets each person’s needs.</w:t>
      </w:r>
    </w:p>
    <w:p w14:paraId="3613DC58" w14:textId="181BBDF0" w:rsidR="00E42C16" w:rsidRPr="003950B4" w:rsidRDefault="003950B4"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Person-centred care, partnership working and ethics are three important principles in health and social care. Person-centred care means listening to people and understanding what matters to them. Partnership working means that professionals and services work together to provide the right support. Ethics helps professionals respect people’s rights and make responsible decisions.</w:t>
      </w:r>
    </w:p>
    <w:p w14:paraId="32F8E686" w14:textId="6BFB9FAC" w:rsidR="00E42C16" w:rsidRPr="003950B4" w:rsidRDefault="003950B4"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This report will explain these three principles and why they are important in UK health and social care. It will use Joan’s story, published by NHS England, to show how understanding a person’s difficulties can help improve their care. The report will also explore how professionals worked together to support Joan and what challenges they faced. Finally, it will reflect on how these principles could influence my future professional practice and what skills I would need to develop.</w:t>
      </w:r>
    </w:p>
    <w:p w14:paraId="29AFA66C" w14:textId="77777777" w:rsidR="00E42C16" w:rsidRPr="003950B4" w:rsidRDefault="00E42C16" w:rsidP="003950B4">
      <w:pPr>
        <w:spacing w:line="360" w:lineRule="auto"/>
        <w:rPr>
          <w:rFonts w:ascii="Arial" w:hAnsi="Arial" w:cs="Arial"/>
          <w:sz w:val="22"/>
          <w:szCs w:val="22"/>
        </w:rPr>
      </w:pPr>
    </w:p>
    <w:p w14:paraId="01DD30F5" w14:textId="441981DC" w:rsidR="00E42C16" w:rsidRPr="0054370B" w:rsidRDefault="00E42C16" w:rsidP="0054370B">
      <w:pPr>
        <w:pStyle w:val="Heading1"/>
        <w:jc w:val="center"/>
        <w:rPr>
          <w:rFonts w:ascii="Arial" w:hAnsi="Arial" w:cs="Arial"/>
          <w:sz w:val="32"/>
          <w:szCs w:val="32"/>
          <w:u w:val="single"/>
        </w:rPr>
      </w:pPr>
      <w:bookmarkStart w:id="1" w:name="_Toc243599578"/>
      <w:r w:rsidRPr="0054370B">
        <w:rPr>
          <w:rFonts w:ascii="Arial" w:hAnsi="Arial" w:cs="Arial"/>
          <w:sz w:val="32"/>
          <w:szCs w:val="32"/>
          <w:u w:val="single"/>
        </w:rPr>
        <w:t>Task 1: Reflection on the Importance of Principles of Health and Social Care</w:t>
      </w:r>
      <w:bookmarkEnd w:id="1"/>
    </w:p>
    <w:p w14:paraId="6664E149" w14:textId="390DB0CC" w:rsidR="00E42C16" w:rsidRPr="003950B4" w:rsidRDefault="003950B4" w:rsidP="0054370B">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People who use health and social care services have different problems and expectations. Some need help with long-term illnesses, while others need support with daily activities. Care professionals should understand these differences and make sure that people are treated with respect. Person-centred care, partnership working and ethics can help them provide suitable support.</w:t>
      </w:r>
    </w:p>
    <w:p w14:paraId="3B656B11" w14:textId="33E8089E" w:rsidR="00E42C16" w:rsidRPr="003950B4" w:rsidRDefault="003950B4" w:rsidP="0054370B">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Person-centred care means looking at the person, not only their medical condition. It is important to ask people about their needs and what they want to achieve. For example, a person with a long-term illness may find it difficult to attend hospital appointments. Instead of blaming them, professionals should try to understand the reasons and find a suitable solution. The Care Quality Commission (CQC, 2024) explains that care should reflect people’s individual needs and preferences. This approach can help people feel more confident. However, it may be difficult when services have limited time or resources.</w:t>
      </w:r>
    </w:p>
    <w:p w14:paraId="3CC93342" w14:textId="0E737041" w:rsidR="00E42C16" w:rsidRPr="003950B4" w:rsidRDefault="003950B4" w:rsidP="0054370B">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 xml:space="preserve">Maslow’s Hierarchy of Needs can help explain why people need different types of support. Maslow (1943) identified needs such as safety, belonging and respect, as well as </w:t>
      </w:r>
      <w:r w:rsidR="00E42C16" w:rsidRPr="003950B4">
        <w:rPr>
          <w:rFonts w:ascii="Arial" w:hAnsi="Arial" w:cs="Arial"/>
          <w:sz w:val="22"/>
          <w:szCs w:val="22"/>
        </w:rPr>
        <w:lastRenderedPageBreak/>
        <w:t>basic physical needs. For example, a person recovering from an illness may need medical treatment, but they may also feel lonely or worried about their future. Professionals should consider these feelings when planning care. The theory is useful because it shows that wellbeing involves more than physical health. However, people’s needs can change, and not everyone has the same priorities.</w:t>
      </w:r>
    </w:p>
    <w:p w14:paraId="6A4C5449" w14:textId="77777777" w:rsidR="0087502E" w:rsidRPr="0054370B" w:rsidRDefault="007D38A6" w:rsidP="0054370B">
      <w:pPr>
        <w:jc w:val="center"/>
        <w:rPr>
          <w:rFonts w:ascii="Arial" w:hAnsi="Arial" w:cs="Arial"/>
          <w:sz w:val="22"/>
          <w:szCs w:val="22"/>
        </w:rPr>
      </w:pPr>
      <w:r w:rsidRPr="0054370B">
        <w:rPr>
          <w:rFonts w:ascii="Arial" w:hAnsi="Arial" w:cs="Arial"/>
          <w:noProof/>
          <w:sz w:val="22"/>
          <w:szCs w:val="22"/>
        </w:rPr>
        <w:drawing>
          <wp:inline distT="0" distB="0" distL="0" distR="0" wp14:anchorId="69D4CB3E" wp14:editId="3F4DA461">
            <wp:extent cx="4587580" cy="4637314"/>
            <wp:effectExtent l="0" t="0" r="3810" b="0"/>
            <wp:docPr id="865260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35399" cy="4685652"/>
                    </a:xfrm>
                    <a:prstGeom prst="rect">
                      <a:avLst/>
                    </a:prstGeom>
                    <a:noFill/>
                    <a:ln>
                      <a:noFill/>
                    </a:ln>
                  </pic:spPr>
                </pic:pic>
              </a:graphicData>
            </a:graphic>
          </wp:inline>
        </w:drawing>
      </w:r>
    </w:p>
    <w:p w14:paraId="7226FA29" w14:textId="7DA9C251" w:rsidR="007D38A6" w:rsidRPr="003950B4" w:rsidRDefault="007D38A6" w:rsidP="0054370B">
      <w:pPr>
        <w:spacing w:line="240" w:lineRule="auto"/>
        <w:jc w:val="center"/>
        <w:rPr>
          <w:rFonts w:ascii="Arial" w:hAnsi="Arial" w:cs="Arial"/>
          <w:sz w:val="22"/>
          <w:szCs w:val="22"/>
        </w:rPr>
      </w:pPr>
      <w:bookmarkStart w:id="2" w:name="_Toc243599579"/>
      <w:r w:rsidRPr="0054370B">
        <w:rPr>
          <w:rStyle w:val="Heading2Char"/>
          <w:rFonts w:ascii="Arial" w:hAnsi="Arial" w:cs="Arial"/>
          <w:sz w:val="24"/>
          <w:szCs w:val="24"/>
        </w:rPr>
        <w:t>Figure 1</w:t>
      </w:r>
      <w:bookmarkEnd w:id="2"/>
      <w:r w:rsidRPr="003950B4">
        <w:rPr>
          <w:rFonts w:ascii="Arial" w:hAnsi="Arial" w:cs="Arial"/>
          <w:sz w:val="22"/>
          <w:szCs w:val="22"/>
        </w:rPr>
        <w:t>: An early pyramid representation of Maslow’s Hierarchy of Needs (1960).</w:t>
      </w:r>
    </w:p>
    <w:p w14:paraId="0DC03AC7" w14:textId="4A776BE3" w:rsidR="00E42C16" w:rsidRPr="003950B4" w:rsidRDefault="007D38A6" w:rsidP="0054370B">
      <w:pPr>
        <w:spacing w:line="240" w:lineRule="auto"/>
        <w:jc w:val="center"/>
        <w:rPr>
          <w:rFonts w:ascii="Arial" w:hAnsi="Arial" w:cs="Arial"/>
          <w:sz w:val="22"/>
          <w:szCs w:val="22"/>
        </w:rPr>
      </w:pPr>
      <w:r w:rsidRPr="003950B4">
        <w:rPr>
          <w:rFonts w:ascii="Arial" w:hAnsi="Arial" w:cs="Arial"/>
          <w:sz w:val="22"/>
          <w:szCs w:val="22"/>
        </w:rPr>
        <w:t>Source: McDermid (1960, p. 94), reproduced in Bridgman et al. (2019, p. 87).</w:t>
      </w:r>
    </w:p>
    <w:p w14:paraId="6BACC215" w14:textId="77777777" w:rsidR="0054370B" w:rsidRDefault="003950B4" w:rsidP="003950B4">
      <w:pPr>
        <w:spacing w:line="360" w:lineRule="auto"/>
        <w:rPr>
          <w:rFonts w:ascii="Arial" w:hAnsi="Arial" w:cs="Arial"/>
          <w:sz w:val="22"/>
          <w:szCs w:val="22"/>
        </w:rPr>
      </w:pPr>
      <w:r w:rsidRPr="003950B4">
        <w:rPr>
          <w:rFonts w:ascii="Arial" w:hAnsi="Arial" w:cs="Arial"/>
          <w:sz w:val="22"/>
          <w:szCs w:val="22"/>
        </w:rPr>
        <w:t xml:space="preserve">          </w:t>
      </w:r>
    </w:p>
    <w:p w14:paraId="48AC749F" w14:textId="3CA56F7E" w:rsidR="00E42C16" w:rsidRPr="003950B4" w:rsidRDefault="0054370B" w:rsidP="0054370B">
      <w:pPr>
        <w:spacing w:line="360" w:lineRule="auto"/>
        <w:jc w:val="both"/>
        <w:rPr>
          <w:rFonts w:ascii="Arial" w:hAnsi="Arial" w:cs="Arial"/>
          <w:sz w:val="22"/>
          <w:szCs w:val="22"/>
        </w:rPr>
      </w:pPr>
      <w:r>
        <w:rPr>
          <w:rFonts w:ascii="Arial" w:hAnsi="Arial" w:cs="Arial"/>
          <w:sz w:val="22"/>
          <w:szCs w:val="22"/>
        </w:rPr>
        <w:t xml:space="preserve">      </w:t>
      </w:r>
      <w:r w:rsidR="002E48ED" w:rsidRPr="002E48ED">
        <w:rPr>
          <w:rFonts w:ascii="Arial" w:hAnsi="Arial" w:cs="Arial"/>
          <w:sz w:val="22"/>
          <w:szCs w:val="22"/>
        </w:rPr>
        <w:t>Good care often depends on different people and services working together.</w:t>
      </w:r>
      <w:r w:rsidR="003950B4" w:rsidRPr="003950B4">
        <w:rPr>
          <w:rFonts w:ascii="Arial" w:hAnsi="Arial" w:cs="Arial"/>
          <w:sz w:val="22"/>
          <w:szCs w:val="22"/>
        </w:rPr>
        <w:t xml:space="preserve"> </w:t>
      </w:r>
      <w:r w:rsidR="00E42C16" w:rsidRPr="003950B4">
        <w:rPr>
          <w:rFonts w:ascii="Arial" w:hAnsi="Arial" w:cs="Arial"/>
          <w:sz w:val="22"/>
          <w:szCs w:val="22"/>
        </w:rPr>
        <w:t xml:space="preserve">A person with several health conditions may need support from a GP, hospital staff and community services. By working together, these professionals can understand the person’s situation and avoid giving conflicting advice. The </w:t>
      </w:r>
      <w:r w:rsidR="00E42C16" w:rsidRPr="009F08C7">
        <w:rPr>
          <w:rFonts w:ascii="Arial" w:hAnsi="Arial" w:cs="Arial"/>
          <w:i/>
          <w:iCs/>
          <w:sz w:val="22"/>
          <w:szCs w:val="22"/>
        </w:rPr>
        <w:t>Care Act 2014</w:t>
      </w:r>
      <w:r w:rsidR="00E42C16" w:rsidRPr="003950B4">
        <w:rPr>
          <w:rFonts w:ascii="Arial" w:hAnsi="Arial" w:cs="Arial"/>
          <w:sz w:val="22"/>
          <w:szCs w:val="22"/>
        </w:rPr>
        <w:t xml:space="preserve"> supports cooperation between services to promote wellbeing. Research by Cameron et al. (2014) also shows that joint working can improve care, although communication problems and different priorities can make it difficult.</w:t>
      </w:r>
    </w:p>
    <w:p w14:paraId="586BD8E1" w14:textId="50511B96" w:rsidR="00E42C16" w:rsidRPr="003950B4" w:rsidRDefault="003950B4" w:rsidP="00B57CB9">
      <w:pPr>
        <w:spacing w:line="360" w:lineRule="auto"/>
        <w:jc w:val="both"/>
        <w:rPr>
          <w:rFonts w:ascii="Arial" w:hAnsi="Arial" w:cs="Arial"/>
          <w:sz w:val="22"/>
          <w:szCs w:val="22"/>
        </w:rPr>
      </w:pPr>
      <w:r w:rsidRPr="003950B4">
        <w:rPr>
          <w:rFonts w:ascii="Arial" w:hAnsi="Arial" w:cs="Arial"/>
          <w:sz w:val="22"/>
          <w:szCs w:val="22"/>
        </w:rPr>
        <w:lastRenderedPageBreak/>
        <w:t xml:space="preserve">             </w:t>
      </w:r>
      <w:r w:rsidR="00E42C16" w:rsidRPr="003950B4">
        <w:rPr>
          <w:rFonts w:ascii="Arial" w:hAnsi="Arial" w:cs="Arial"/>
          <w:sz w:val="22"/>
          <w:szCs w:val="22"/>
        </w:rPr>
        <w:t>Bronfenbrenner (1979) explains that people’s lives are affected by their surroundings and relationships. For example, someone may struggle to manage their health because they live alone or have problems travelling to appointments. This theory helps professionals understand why support from different services may be needed. However, arranging this support can be difficult when services have different responsibilities.</w:t>
      </w:r>
    </w:p>
    <w:p w14:paraId="1B3BFBF6" w14:textId="529C1FA9" w:rsidR="00E42C16" w:rsidRPr="003950B4" w:rsidRDefault="003950B4"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Ethics helps care professionals decide how to treat people fairly and safely. Beauchamp and Childress (2019) describe four principles: autonomy, beneficence, non-maleficence and justice. These involve respecting choices, helping people, avoiding harm and providing fair treatment.</w:t>
      </w:r>
    </w:p>
    <w:p w14:paraId="490F1AF5" w14:textId="26A8D7C5" w:rsidR="00E42C16" w:rsidRPr="003950B4" w:rsidRDefault="003950B4"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 xml:space="preserve">For example, a patient may decide not to follow medical advice. Professionals should listen to their reasons, explain possible risks and respect their right to make decisions where they have capacity. This can be difficult when the professional believes that the decision could harm the person’s health. The </w:t>
      </w:r>
      <w:r w:rsidR="00E42C16" w:rsidRPr="009F08C7">
        <w:rPr>
          <w:rFonts w:ascii="Arial" w:hAnsi="Arial" w:cs="Arial"/>
          <w:i/>
          <w:iCs/>
          <w:sz w:val="22"/>
          <w:szCs w:val="22"/>
        </w:rPr>
        <w:t>Mental Capacity Act 2005</w:t>
      </w:r>
      <w:r w:rsidR="00E42C16" w:rsidRPr="003950B4">
        <w:rPr>
          <w:rFonts w:ascii="Arial" w:hAnsi="Arial" w:cs="Arial"/>
          <w:sz w:val="22"/>
          <w:szCs w:val="22"/>
        </w:rPr>
        <w:t xml:space="preserve"> supports the principle that adults should be assumed to have capacity unless it is established otherwise.</w:t>
      </w:r>
    </w:p>
    <w:p w14:paraId="6389FF05" w14:textId="290171D7" w:rsidR="00E42C16" w:rsidRPr="003950B4" w:rsidRDefault="003950B4"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Overall, these principles help professionals understand people’s circumstances and provide more respectful care. However, they require good communication, time and careful decisions.</w:t>
      </w:r>
    </w:p>
    <w:p w14:paraId="201AA13A" w14:textId="77777777" w:rsidR="00E42C16" w:rsidRPr="003950B4" w:rsidRDefault="00E42C16" w:rsidP="003950B4">
      <w:pPr>
        <w:spacing w:line="360" w:lineRule="auto"/>
        <w:rPr>
          <w:rFonts w:ascii="Arial" w:hAnsi="Arial" w:cs="Arial"/>
          <w:sz w:val="22"/>
          <w:szCs w:val="22"/>
        </w:rPr>
      </w:pPr>
    </w:p>
    <w:p w14:paraId="1BB28777" w14:textId="4040799C" w:rsidR="00E42C16" w:rsidRPr="0054370B" w:rsidRDefault="00E42C16" w:rsidP="0054370B">
      <w:pPr>
        <w:pStyle w:val="Heading1"/>
        <w:jc w:val="center"/>
        <w:rPr>
          <w:rFonts w:ascii="Arial" w:hAnsi="Arial" w:cs="Arial"/>
          <w:sz w:val="32"/>
          <w:szCs w:val="32"/>
          <w:u w:val="single"/>
        </w:rPr>
      </w:pPr>
      <w:bookmarkStart w:id="3" w:name="_Toc243599580"/>
      <w:r w:rsidRPr="0054370B">
        <w:rPr>
          <w:rFonts w:ascii="Arial" w:hAnsi="Arial" w:cs="Arial"/>
          <w:sz w:val="32"/>
          <w:szCs w:val="32"/>
          <w:u w:val="single"/>
        </w:rPr>
        <w:t>Task 2: Practical Examples of Concepts in Practice – Joan’s Story</w:t>
      </w:r>
      <w:bookmarkEnd w:id="3"/>
    </w:p>
    <w:p w14:paraId="44D30694" w14:textId="4F27ADB9"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Person-centred care, partnership working and ethics can make a difference to people who have long-term health problems. Joan’s story, published by NHS England (n.d.), shows why it is important to understand a person’s difficulties before deciding how to help them.</w:t>
      </w:r>
    </w:p>
    <w:p w14:paraId="79F6C21D" w14:textId="42AB6322"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Joan was living with two long-term conditions: chronic obstructive pulmonary disease (COPD) and Crohn’s disease. She found it difficult to attend appointments and follow advice about managing her health. At first, professionals could have seen this as a lack of interest in her treatment. However, her situation was more complicated. Her health problems affected what she could do in everyday life.</w:t>
      </w:r>
    </w:p>
    <w:p w14:paraId="314AB0BC" w14:textId="4406EFEF"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A member of her care team asked Joan to complete a Patient Activation Measure (PAM) questionnaire. This helped the team understand how confident she felt about managing her health. Her first result showed that she had very low confidence. Through regular meetings, the team learned that symptoms of Crohn’s disease were one reason why she missed appointments (NHS England, n.d.).</w:t>
      </w:r>
    </w:p>
    <w:p w14:paraId="3809C789" w14:textId="592F82D5"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lastRenderedPageBreak/>
        <w:t xml:space="preserve">              </w:t>
      </w:r>
      <w:r w:rsidR="00E42C16" w:rsidRPr="003950B4">
        <w:rPr>
          <w:rFonts w:ascii="Arial" w:hAnsi="Arial" w:cs="Arial"/>
          <w:sz w:val="22"/>
          <w:szCs w:val="22"/>
        </w:rPr>
        <w:t>This is an example of person-centred care. Instead of only telling Joan what she should do, professionals listened to her and tried to understand the problem. They worked with her to find ways of making her care more suitable. NICE (2021) explains that people should be involved in decisions about their treatment. In Joan’s case, listening helped professionals understand something that might otherwise have been missed.</w:t>
      </w:r>
    </w:p>
    <w:p w14:paraId="1734FD08" w14:textId="72D33C5F"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 xml:space="preserve">Partnership working was also important. Joan worked with her care team to make an action plan. Her GP helped her receive treatment for Crohn’s disease. This meant that different professionals were involved in dealing with problems that affected her health. The </w:t>
      </w:r>
      <w:r w:rsidR="00E42C16" w:rsidRPr="009F08C7">
        <w:rPr>
          <w:rFonts w:ascii="Arial" w:hAnsi="Arial" w:cs="Arial"/>
          <w:i/>
          <w:iCs/>
          <w:sz w:val="22"/>
          <w:szCs w:val="22"/>
        </w:rPr>
        <w:t>Care Act</w:t>
      </w:r>
      <w:r w:rsidR="00E42C16" w:rsidRPr="003950B4">
        <w:rPr>
          <w:rFonts w:ascii="Arial" w:hAnsi="Arial" w:cs="Arial"/>
          <w:sz w:val="22"/>
          <w:szCs w:val="22"/>
        </w:rPr>
        <w:t xml:space="preserve"> </w:t>
      </w:r>
      <w:r w:rsidR="00E42C16" w:rsidRPr="009F08C7">
        <w:rPr>
          <w:rFonts w:ascii="Arial" w:hAnsi="Arial" w:cs="Arial"/>
          <w:i/>
          <w:iCs/>
          <w:sz w:val="22"/>
          <w:szCs w:val="22"/>
        </w:rPr>
        <w:t>2014</w:t>
      </w:r>
      <w:r w:rsidR="00E42C16" w:rsidRPr="003950B4">
        <w:rPr>
          <w:rFonts w:ascii="Arial" w:hAnsi="Arial" w:cs="Arial"/>
          <w:sz w:val="22"/>
          <w:szCs w:val="22"/>
        </w:rPr>
        <w:t xml:space="preserve"> supports cooperation between services to improve people’s wellbeing.</w:t>
      </w:r>
    </w:p>
    <w:p w14:paraId="1E196173" w14:textId="5281F39E"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However, this approach was not without challenges. Joan had more than one health condition, and her symptoms made it difficult for her to follow the original care arrangements. Professionals needed time to understand her situation and provide suitable support. This shows that a care plan may not work well if it does not consider the person’s daily difficulties.</w:t>
      </w:r>
    </w:p>
    <w:p w14:paraId="2869F834" w14:textId="515A757A"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Ethics was another important part of Joan’s care. She needed to be treated with respect rather than judged for missing appointments. This relates to autonomy and beneficence, which involve respecting people’s choices and acting in their best interests (Beauchamp and Childress, 2019). It was important to involve Joan in her action plan instead of making decisions without her.</w:t>
      </w:r>
    </w:p>
    <w:p w14:paraId="7EBFA0F5" w14:textId="2D66F515"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The results were positive. After seven months, Joan’s PAM score had increased by more than 40%. She attended appointments more regularly, and her emergency hospital admissions fell from two to one (NHS England, n.d.). These changes suggest that the support helped her manage her health more confidently</w:t>
      </w:r>
      <w:r w:rsidRPr="003950B4">
        <w:rPr>
          <w:rFonts w:ascii="Arial" w:hAnsi="Arial" w:cs="Arial"/>
          <w:sz w:val="22"/>
          <w:szCs w:val="22"/>
        </w:rPr>
        <w:t>.</w:t>
      </w:r>
    </w:p>
    <w:p w14:paraId="3D07E53A" w14:textId="3EFF2120"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The case also shows why professionals should not make quick assumptions about patients. Understanding Joan’s situation helped the team respond to her needs. However, one case study cannot prove that all the improvements were caused by the new care approach. Other factors may also have influenced her health.</w:t>
      </w:r>
    </w:p>
    <w:p w14:paraId="10A90386" w14:textId="5FF14069"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Overall, Joan’s story shows that listening, working together and treating people fairly can improve the support they receive. It also shows that people with long-term conditions may need care plans that can change when their circumstances change.</w:t>
      </w:r>
      <w:r w:rsidRPr="003950B4">
        <w:rPr>
          <w:rFonts w:ascii="Arial" w:hAnsi="Arial" w:cs="Arial"/>
          <w:sz w:val="22"/>
          <w:szCs w:val="22"/>
        </w:rPr>
        <w:t xml:space="preserve">                   </w:t>
      </w:r>
    </w:p>
    <w:p w14:paraId="3EF8E813" w14:textId="77777777" w:rsidR="00E42C16" w:rsidRPr="003950B4" w:rsidRDefault="00E42C16" w:rsidP="003950B4">
      <w:pPr>
        <w:spacing w:line="360" w:lineRule="auto"/>
        <w:rPr>
          <w:rFonts w:ascii="Arial" w:hAnsi="Arial" w:cs="Arial"/>
          <w:sz w:val="22"/>
          <w:szCs w:val="22"/>
        </w:rPr>
      </w:pPr>
    </w:p>
    <w:p w14:paraId="0D8F8446" w14:textId="5A87AD8B" w:rsidR="00E42C16" w:rsidRPr="003950B4" w:rsidRDefault="00E42C16" w:rsidP="0054370B">
      <w:pPr>
        <w:pStyle w:val="Heading1"/>
        <w:jc w:val="center"/>
        <w:rPr>
          <w:rFonts w:ascii="Arial" w:hAnsi="Arial" w:cs="Arial"/>
          <w:sz w:val="32"/>
          <w:szCs w:val="32"/>
          <w:u w:val="single"/>
        </w:rPr>
      </w:pPr>
      <w:bookmarkStart w:id="4" w:name="_Toc243599581"/>
      <w:r w:rsidRPr="003950B4">
        <w:rPr>
          <w:rFonts w:ascii="Arial" w:hAnsi="Arial" w:cs="Arial"/>
          <w:sz w:val="32"/>
          <w:szCs w:val="32"/>
          <w:u w:val="single"/>
        </w:rPr>
        <w:lastRenderedPageBreak/>
        <w:t>Task 3: Self-Reflection as a Health and Social Care Professional</w:t>
      </w:r>
      <w:bookmarkEnd w:id="4"/>
    </w:p>
    <w:p w14:paraId="790FB343" w14:textId="4B7B76C1"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I think that working in health and social care requires patience, respect and good communication. Every person is different, and professionals need to understand their needs. Although I do not work in health and social care at the moment, I can use my experience from my current job to think about how I would work with people in the future.</w:t>
      </w:r>
    </w:p>
    <w:p w14:paraId="0DDEA59C" w14:textId="42768380"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I will use Gibbs’ Reflective Cycle to reflect on my experience. This model includes six stages: description, feelings, evaluation, analysis, conclusion and action plan (Gibbs, 2013). It can help me understand what I do well and what I need to improve.</w:t>
      </w:r>
    </w:p>
    <w:p w14:paraId="3336186A" w14:textId="0C8AA49C" w:rsidR="00E42C16" w:rsidRPr="003950B4" w:rsidRDefault="00E42C16" w:rsidP="003950B4">
      <w:pPr>
        <w:pStyle w:val="Heading2"/>
        <w:rPr>
          <w:rFonts w:ascii="Arial" w:hAnsi="Arial" w:cs="Arial"/>
        </w:rPr>
      </w:pPr>
      <w:bookmarkStart w:id="5" w:name="_Toc243599582"/>
      <w:r w:rsidRPr="003950B4">
        <w:rPr>
          <w:rFonts w:ascii="Arial" w:hAnsi="Arial" w:cs="Arial"/>
        </w:rPr>
        <w:t>Description</w:t>
      </w:r>
      <w:bookmarkEnd w:id="5"/>
    </w:p>
    <w:p w14:paraId="43C90158" w14:textId="0C935E05"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At my workplace, I work with people from different backgrounds. Sometimes new colleagues are not sure what to do because they are unfamiliar with their tasks. When I notice this, I try to help by explaining the work and answering their questions. I understand that some people need more time or support than others.</w:t>
      </w:r>
    </w:p>
    <w:p w14:paraId="2CDF57E2" w14:textId="05239E24"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This experience is not directly related to patient care, but it has helped me understand the importance of supporting people according to their individual needs.</w:t>
      </w:r>
    </w:p>
    <w:p w14:paraId="70A4E7D5" w14:textId="0D3A9485" w:rsidR="00E42C16" w:rsidRPr="003950B4" w:rsidRDefault="00E42C16" w:rsidP="003950B4">
      <w:pPr>
        <w:pStyle w:val="Heading2"/>
        <w:rPr>
          <w:rFonts w:ascii="Arial" w:hAnsi="Arial" w:cs="Arial"/>
        </w:rPr>
      </w:pPr>
      <w:bookmarkStart w:id="6" w:name="_Toc243599583"/>
      <w:r w:rsidRPr="003950B4">
        <w:rPr>
          <w:rFonts w:ascii="Arial" w:hAnsi="Arial" w:cs="Arial"/>
        </w:rPr>
        <w:t>Feelings</w:t>
      </w:r>
      <w:bookmarkEnd w:id="6"/>
    </w:p>
    <w:p w14:paraId="2F15BB65" w14:textId="5827E2F4"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When I see that a new colleague needs help, I want them to feel comfortable and included. I remember that starting a new job can be difficult. I feel that helping someone is part of being a good team member.</w:t>
      </w:r>
    </w:p>
    <w:p w14:paraId="23DB3D32" w14:textId="63B72C19"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However, I sometimes wonder whether my explanations are clear enough. Different people may understand information in different ways. This makes me think about the importance of checking that someone has understood what I have said.</w:t>
      </w:r>
    </w:p>
    <w:p w14:paraId="77321425" w14:textId="25C56738" w:rsidR="00E42C16" w:rsidRPr="003950B4" w:rsidRDefault="00E42C16" w:rsidP="003950B4">
      <w:pPr>
        <w:pStyle w:val="Heading2"/>
        <w:rPr>
          <w:rFonts w:ascii="Arial" w:hAnsi="Arial" w:cs="Arial"/>
        </w:rPr>
      </w:pPr>
      <w:bookmarkStart w:id="7" w:name="_Toc243599584"/>
      <w:r w:rsidRPr="003950B4">
        <w:rPr>
          <w:rFonts w:ascii="Arial" w:hAnsi="Arial" w:cs="Arial"/>
        </w:rPr>
        <w:t>Evaluation</w:t>
      </w:r>
      <w:bookmarkEnd w:id="7"/>
    </w:p>
    <w:p w14:paraId="2935A5BF" w14:textId="17AB681A"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One positive part of my experience is that I am willing to help others. I try to be patient and respectful, even when someone needs more time to understand a task. I believe this helps create a supportive working environment.</w:t>
      </w:r>
    </w:p>
    <w:p w14:paraId="2FCFFE7B" w14:textId="24080BBE"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However, I also recognise a weakness. Sometimes I may explain something without checking whether the person fully understands it. I need to improve this because good communication is not only about giving information. It is also about listening and making sure that the information is clear.</w:t>
      </w:r>
    </w:p>
    <w:p w14:paraId="315C4662" w14:textId="388E1922" w:rsidR="00E42C16" w:rsidRPr="003950B4" w:rsidRDefault="00E42C16" w:rsidP="003950B4">
      <w:pPr>
        <w:pStyle w:val="Heading2"/>
        <w:rPr>
          <w:rFonts w:ascii="Arial" w:hAnsi="Arial" w:cs="Arial"/>
        </w:rPr>
      </w:pPr>
      <w:bookmarkStart w:id="8" w:name="_Toc243599585"/>
      <w:r w:rsidRPr="003950B4">
        <w:rPr>
          <w:rFonts w:ascii="Arial" w:hAnsi="Arial" w:cs="Arial"/>
        </w:rPr>
        <w:lastRenderedPageBreak/>
        <w:t>Analysis</w:t>
      </w:r>
      <w:bookmarkEnd w:id="8"/>
    </w:p>
    <w:p w14:paraId="2502E252" w14:textId="002C24D8"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This experience connects with person-centred care because it shows why individual needs are important. In health and social care, I would not expect every person to communicate or understand information in the same way. For example, someone with hearing difficulties may need written information or extra time.</w:t>
      </w:r>
    </w:p>
    <w:p w14:paraId="79855E77" w14:textId="36251BCD"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The Care Quality Commission (CQC, 2024) explains that care should meet people’s individual needs. NICE (2021) also highlights the importance of involving people in decisions about their care. I understand that supporting patients would require me to listen to their preferences rather than make assumptions.</w:t>
      </w:r>
    </w:p>
    <w:p w14:paraId="071D9057" w14:textId="4FAB7CCE"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 xml:space="preserve">Partnership working is another important principle. At my workplace, helping new colleagues is part of working together. In health and social care, partnership working also involves different professionals and services. For example, a person leaving hospital may need help from nurses, social workers and community services. The Health and </w:t>
      </w:r>
      <w:r w:rsidR="00E42C16" w:rsidRPr="009F08C7">
        <w:rPr>
          <w:rFonts w:ascii="Arial" w:hAnsi="Arial" w:cs="Arial"/>
          <w:i/>
          <w:iCs/>
          <w:sz w:val="22"/>
          <w:szCs w:val="22"/>
        </w:rPr>
        <w:t>Care Act 2022</w:t>
      </w:r>
      <w:r w:rsidR="00E42C16" w:rsidRPr="003950B4">
        <w:rPr>
          <w:rFonts w:ascii="Arial" w:hAnsi="Arial" w:cs="Arial"/>
          <w:sz w:val="22"/>
          <w:szCs w:val="22"/>
        </w:rPr>
        <w:t xml:space="preserve"> supports more joined-up health and care services.</w:t>
      </w:r>
    </w:p>
    <w:p w14:paraId="1DA79FB1" w14:textId="6FD2A37A"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I have learned that teamwork requires clear communication and respect for other people’s responsibilities. However, in a care setting, I would also need to understand confidentiality and how to share information safely.</w:t>
      </w:r>
    </w:p>
    <w:p w14:paraId="794E9CE1" w14:textId="7ED65FC0"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Ethics is equally important. Beauchamp and Childress (2019) explain four ethical principles: autonomy, beneficence, non-maleficence and justice. These involve respecting people’s choices, helping others, avoiding harm and treating people fairly.</w:t>
      </w:r>
    </w:p>
    <w:p w14:paraId="13AB6395" w14:textId="3C413556"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 xml:space="preserve">When I help new colleagues, I try to treat everyone with respect, regardless of their background or experience. This connects with justice because everyone should have a fair opportunity to learn. The </w:t>
      </w:r>
      <w:r w:rsidR="00E42C16" w:rsidRPr="009F08C7">
        <w:rPr>
          <w:rFonts w:ascii="Arial" w:hAnsi="Arial" w:cs="Arial"/>
          <w:i/>
          <w:iCs/>
          <w:sz w:val="22"/>
          <w:szCs w:val="22"/>
        </w:rPr>
        <w:t>Equality Act 2010</w:t>
      </w:r>
      <w:r w:rsidR="00E42C16" w:rsidRPr="003950B4">
        <w:rPr>
          <w:rFonts w:ascii="Arial" w:hAnsi="Arial" w:cs="Arial"/>
          <w:sz w:val="22"/>
          <w:szCs w:val="22"/>
        </w:rPr>
        <w:t xml:space="preserve"> also protects people from discrimination based on certain characteristics, including age and disability.</w:t>
      </w:r>
    </w:p>
    <w:p w14:paraId="602B90A8" w14:textId="241FC4BE" w:rsidR="003950B4"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In health and social care, I would need to respect people’s dignity, privacy and choices. The NMC Code explains that nurses and midwives should prioritise people, practise effectively, preserve safety and promote professionalism and trust (NMC, 2018). Although I am not a nurse, these standards help me understand the importance of responsible professional behaviour.</w:t>
      </w:r>
    </w:p>
    <w:p w14:paraId="1E3F235C" w14:textId="205CFCB8" w:rsidR="00E42C16" w:rsidRPr="003950B4" w:rsidRDefault="003950B4" w:rsidP="003950B4">
      <w:pPr>
        <w:pStyle w:val="Heading2"/>
      </w:pPr>
      <w:bookmarkStart w:id="9" w:name="_Toc243599586"/>
      <w:r>
        <w:t>Summary</w:t>
      </w:r>
      <w:bookmarkEnd w:id="9"/>
    </w:p>
    <w:p w14:paraId="5FA4E1ED" w14:textId="717257E4"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Looking back at my experience, I believe that patience, respect and willingness to help are my strengths. However, I also understand that I need to improve my communication skills.</w:t>
      </w:r>
    </w:p>
    <w:p w14:paraId="75B1F311" w14:textId="71CB6C56" w:rsidR="003C1210"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lastRenderedPageBreak/>
        <w:t xml:space="preserve">              </w:t>
      </w:r>
      <w:r w:rsidR="00E42C16" w:rsidRPr="003950B4">
        <w:rPr>
          <w:rFonts w:ascii="Arial" w:hAnsi="Arial" w:cs="Arial"/>
          <w:sz w:val="22"/>
          <w:szCs w:val="22"/>
        </w:rPr>
        <w:t>I have learned that helping someone does not always mean giving them instructions. It can also mean listening, understanding their difficulties and allowing them enough time. This is something I would like to remember in my future professional practice.</w:t>
      </w:r>
    </w:p>
    <w:p w14:paraId="618A7970" w14:textId="353A359E" w:rsidR="00E42C16" w:rsidRPr="003950B4" w:rsidRDefault="00E42C16" w:rsidP="003950B4">
      <w:pPr>
        <w:pStyle w:val="Heading2"/>
        <w:rPr>
          <w:rFonts w:ascii="Arial" w:hAnsi="Arial" w:cs="Arial"/>
        </w:rPr>
      </w:pPr>
      <w:bookmarkStart w:id="10" w:name="_Toc243599587"/>
      <w:r w:rsidRPr="003950B4">
        <w:rPr>
          <w:rFonts w:ascii="Arial" w:hAnsi="Arial" w:cs="Arial"/>
        </w:rPr>
        <w:t>Action Plan</w:t>
      </w:r>
      <w:bookmarkEnd w:id="10"/>
    </w:p>
    <w:p w14:paraId="76D03BBE" w14:textId="0D7DFC06"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In the future, I will try to check more carefully whether people understand my explanations. I can ask simple questions and give people time to respond. I will also ask for feedback about how clearly I communicate.</w:t>
      </w:r>
    </w:p>
    <w:p w14:paraId="28162E41" w14:textId="4D55E8B7"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To prepare for a future role in health and social care, I would like to attend training in communication, safeguarding, equality and confidentiality. I would also learn from experienced care professionals and ask for guidance when I am unsure about something.</w:t>
      </w:r>
    </w:p>
    <w:p w14:paraId="75F93E3D" w14:textId="2F4CD7CD"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I will continue to use Gibbs’ Reflective Cycle to think about my experiences and identify areas for improvement. This will help me develop the skills needed to support people safely, fairly and respectfully.</w:t>
      </w:r>
    </w:p>
    <w:p w14:paraId="11A9A5A7" w14:textId="77777777" w:rsidR="00E42C16" w:rsidRPr="003950B4" w:rsidRDefault="00E42C16" w:rsidP="003950B4">
      <w:pPr>
        <w:spacing w:line="360" w:lineRule="auto"/>
        <w:rPr>
          <w:rFonts w:ascii="Arial" w:hAnsi="Arial" w:cs="Arial"/>
          <w:sz w:val="22"/>
          <w:szCs w:val="22"/>
        </w:rPr>
      </w:pPr>
    </w:p>
    <w:p w14:paraId="4B5D857B" w14:textId="24092278" w:rsidR="00E42C16" w:rsidRPr="003950B4" w:rsidRDefault="00E42C16" w:rsidP="003950B4">
      <w:pPr>
        <w:pStyle w:val="Heading1"/>
        <w:jc w:val="center"/>
        <w:rPr>
          <w:rFonts w:ascii="Arial" w:hAnsi="Arial" w:cs="Arial"/>
          <w:sz w:val="32"/>
          <w:szCs w:val="32"/>
          <w:u w:val="single"/>
        </w:rPr>
      </w:pPr>
      <w:bookmarkStart w:id="11" w:name="_Toc243599588"/>
      <w:r w:rsidRPr="003950B4">
        <w:rPr>
          <w:rFonts w:ascii="Arial" w:hAnsi="Arial" w:cs="Arial"/>
          <w:sz w:val="32"/>
          <w:szCs w:val="32"/>
          <w:u w:val="single"/>
        </w:rPr>
        <w:t>Conclusion</w:t>
      </w:r>
      <w:bookmarkEnd w:id="11"/>
    </w:p>
    <w:p w14:paraId="0DE34ECF" w14:textId="346BBB9C"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This report has explained why person-centred care, partnership working and ethics are important in health and social care. These principles help professionals understand people’s needs, work together and treat everyone with respect.</w:t>
      </w:r>
    </w:p>
    <w:p w14:paraId="64AB4EE2" w14:textId="0AF9A931"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Joan’s story showed that listening to a person can help professionals understand the reasons behind their difficulties. It also showed how working together can improve the support a person receives.</w:t>
      </w:r>
    </w:p>
    <w:p w14:paraId="2399D7FC" w14:textId="7B8BBCF3" w:rsidR="00E42C16" w:rsidRPr="003950B4"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My reflection on helping new colleagues at work has helped me understand the importance of patience, communication and teamwork. I have also recognised that I need to develop my knowledge and confidence.</w:t>
      </w:r>
    </w:p>
    <w:p w14:paraId="14995539" w14:textId="10FAA515" w:rsidR="00E42C16" w:rsidRDefault="003C1210" w:rsidP="00B57CB9">
      <w:pPr>
        <w:spacing w:line="360" w:lineRule="auto"/>
        <w:jc w:val="both"/>
        <w:rPr>
          <w:rFonts w:ascii="Arial" w:hAnsi="Arial" w:cs="Arial"/>
          <w:sz w:val="22"/>
          <w:szCs w:val="22"/>
        </w:rPr>
      </w:pPr>
      <w:r w:rsidRPr="003950B4">
        <w:rPr>
          <w:rFonts w:ascii="Arial" w:hAnsi="Arial" w:cs="Arial"/>
          <w:sz w:val="22"/>
          <w:szCs w:val="22"/>
        </w:rPr>
        <w:t xml:space="preserve">                   </w:t>
      </w:r>
      <w:r w:rsidR="00E42C16" w:rsidRPr="003950B4">
        <w:rPr>
          <w:rFonts w:ascii="Arial" w:hAnsi="Arial" w:cs="Arial"/>
          <w:sz w:val="22"/>
          <w:szCs w:val="22"/>
        </w:rPr>
        <w:t>In the future, I would like to use these principles to support people in a safe, fair and respectful way</w:t>
      </w:r>
      <w:r w:rsidR="003950B4">
        <w:rPr>
          <w:rFonts w:ascii="Arial" w:hAnsi="Arial" w:cs="Arial"/>
          <w:sz w:val="22"/>
          <w:szCs w:val="22"/>
        </w:rPr>
        <w:t>.</w:t>
      </w:r>
    </w:p>
    <w:p w14:paraId="3DD312EB" w14:textId="77777777" w:rsidR="00B535B6" w:rsidRPr="003950B4" w:rsidRDefault="00B535B6" w:rsidP="00B57CB9">
      <w:pPr>
        <w:spacing w:line="360" w:lineRule="auto"/>
        <w:jc w:val="both"/>
        <w:rPr>
          <w:rFonts w:ascii="Arial" w:hAnsi="Arial" w:cs="Arial"/>
          <w:sz w:val="22"/>
          <w:szCs w:val="22"/>
        </w:rPr>
      </w:pPr>
    </w:p>
    <w:p w14:paraId="666BA57E" w14:textId="1BC3CF31" w:rsidR="00E42C16" w:rsidRPr="003C1210" w:rsidRDefault="00E42C16" w:rsidP="003C1210">
      <w:pPr>
        <w:pStyle w:val="Heading1"/>
        <w:spacing w:line="360" w:lineRule="auto"/>
        <w:jc w:val="center"/>
        <w:rPr>
          <w:rFonts w:ascii="Arial" w:hAnsi="Arial" w:cs="Arial"/>
          <w:sz w:val="32"/>
          <w:szCs w:val="32"/>
          <w:u w:val="single"/>
        </w:rPr>
      </w:pPr>
      <w:bookmarkStart w:id="12" w:name="_Toc243599589"/>
      <w:r w:rsidRPr="003C1210">
        <w:rPr>
          <w:rFonts w:ascii="Arial" w:hAnsi="Arial" w:cs="Arial"/>
          <w:sz w:val="32"/>
          <w:szCs w:val="32"/>
          <w:u w:val="single"/>
        </w:rPr>
        <w:lastRenderedPageBreak/>
        <w:t>References</w:t>
      </w:r>
      <w:bookmarkEnd w:id="12"/>
    </w:p>
    <w:p w14:paraId="2ACE28AE" w14:textId="3E2E458A" w:rsidR="00E42C16" w:rsidRPr="00C67062" w:rsidRDefault="00E42C16" w:rsidP="00C67062">
      <w:pPr>
        <w:spacing w:line="360" w:lineRule="auto"/>
        <w:ind w:left="720" w:hanging="720"/>
        <w:rPr>
          <w:rFonts w:ascii="Arial" w:hAnsi="Arial" w:cs="Arial"/>
          <w:sz w:val="22"/>
          <w:szCs w:val="22"/>
        </w:rPr>
      </w:pPr>
      <w:r w:rsidRPr="00C67062">
        <w:rPr>
          <w:rFonts w:ascii="Arial" w:hAnsi="Arial" w:cs="Arial"/>
          <w:sz w:val="22"/>
          <w:szCs w:val="22"/>
        </w:rPr>
        <w:t xml:space="preserve">Beauchamp, T.L. and Childress, J.F. (2019) </w:t>
      </w:r>
      <w:r w:rsidRPr="008D0DCC">
        <w:rPr>
          <w:rFonts w:ascii="Arial" w:hAnsi="Arial" w:cs="Arial"/>
          <w:i/>
          <w:iCs/>
          <w:sz w:val="22"/>
          <w:szCs w:val="22"/>
        </w:rPr>
        <w:t>Principles of Biomedical Ethics</w:t>
      </w:r>
      <w:r w:rsidRPr="00C67062">
        <w:rPr>
          <w:rFonts w:ascii="Arial" w:hAnsi="Arial" w:cs="Arial"/>
          <w:sz w:val="22"/>
          <w:szCs w:val="22"/>
        </w:rPr>
        <w:t xml:space="preserve">. 8th edn. New York: Oxford University Press. Available at: https://www.oup.com.au/books/higher-education/health-nursing-social-work/9780190640873 (Accessed: </w:t>
      </w:r>
      <w:r w:rsidR="00B535B6">
        <w:rPr>
          <w:rFonts w:ascii="Arial" w:hAnsi="Arial" w:cs="Arial"/>
          <w:sz w:val="22"/>
          <w:szCs w:val="22"/>
        </w:rPr>
        <w:t>15</w:t>
      </w:r>
      <w:r w:rsidRPr="00C67062">
        <w:rPr>
          <w:rFonts w:ascii="Arial" w:hAnsi="Arial" w:cs="Arial"/>
          <w:sz w:val="22"/>
          <w:szCs w:val="22"/>
        </w:rPr>
        <w:t xml:space="preserve"> October 2026).</w:t>
      </w:r>
    </w:p>
    <w:p w14:paraId="6222BAF7" w14:textId="1DE60E2E" w:rsidR="00C67062" w:rsidRPr="00C67062" w:rsidRDefault="00C67062" w:rsidP="00C67062">
      <w:pPr>
        <w:spacing w:line="360" w:lineRule="auto"/>
        <w:ind w:left="720" w:hanging="720"/>
        <w:rPr>
          <w:rFonts w:ascii="Arial" w:hAnsi="Arial" w:cs="Arial"/>
          <w:sz w:val="22"/>
          <w:szCs w:val="22"/>
        </w:rPr>
      </w:pPr>
      <w:r w:rsidRPr="00C67062">
        <w:rPr>
          <w:rFonts w:ascii="Arial" w:hAnsi="Arial" w:cs="Arial"/>
          <w:sz w:val="22"/>
          <w:szCs w:val="22"/>
        </w:rPr>
        <w:t xml:space="preserve">Bridgman, T., Cummings, S. and Ballard, J. (2019) ‘Who built Maslow’s pyramid? A history of the creation of management studies’ most famous symbol and its implications for management education’, </w:t>
      </w:r>
      <w:r w:rsidRPr="008D0DCC">
        <w:rPr>
          <w:rFonts w:ascii="Arial" w:hAnsi="Arial" w:cs="Arial"/>
          <w:i/>
          <w:iCs/>
          <w:sz w:val="22"/>
          <w:szCs w:val="22"/>
        </w:rPr>
        <w:t>Academy of Management Learning &amp; Education</w:t>
      </w:r>
      <w:r w:rsidRPr="00C67062">
        <w:rPr>
          <w:rFonts w:ascii="Arial" w:hAnsi="Arial" w:cs="Arial"/>
          <w:sz w:val="22"/>
          <w:szCs w:val="22"/>
        </w:rPr>
        <w:t xml:space="preserve">, 18(1), pp. 81–98. Available at: https://doi.org/10.5465/amle.2017.0351 (Accessed: </w:t>
      </w:r>
      <w:r w:rsidR="00B535B6">
        <w:rPr>
          <w:rFonts w:ascii="Arial" w:hAnsi="Arial" w:cs="Arial"/>
          <w:sz w:val="22"/>
          <w:szCs w:val="22"/>
        </w:rPr>
        <w:t>18</w:t>
      </w:r>
      <w:r w:rsidRPr="00C67062">
        <w:rPr>
          <w:rFonts w:ascii="Arial" w:hAnsi="Arial" w:cs="Arial"/>
          <w:sz w:val="22"/>
          <w:szCs w:val="22"/>
        </w:rPr>
        <w:t xml:space="preserve"> October 2026).</w:t>
      </w:r>
    </w:p>
    <w:p w14:paraId="66C36586" w14:textId="35480BE7" w:rsidR="00E42C16" w:rsidRPr="00C67062" w:rsidRDefault="00E42C16" w:rsidP="003C1210">
      <w:pPr>
        <w:spacing w:line="360" w:lineRule="auto"/>
        <w:ind w:left="720" w:hanging="720"/>
        <w:rPr>
          <w:rFonts w:ascii="Arial" w:hAnsi="Arial" w:cs="Arial"/>
          <w:sz w:val="22"/>
          <w:szCs w:val="22"/>
        </w:rPr>
      </w:pPr>
      <w:r w:rsidRPr="00C67062">
        <w:rPr>
          <w:rFonts w:ascii="Arial" w:hAnsi="Arial" w:cs="Arial"/>
          <w:sz w:val="22"/>
          <w:szCs w:val="22"/>
        </w:rPr>
        <w:t xml:space="preserve">Bronfenbrenner, U. (1979) </w:t>
      </w:r>
      <w:r w:rsidRPr="008D0DCC">
        <w:rPr>
          <w:rFonts w:ascii="Arial" w:hAnsi="Arial" w:cs="Arial"/>
          <w:i/>
          <w:iCs/>
          <w:sz w:val="22"/>
          <w:szCs w:val="22"/>
        </w:rPr>
        <w:t>The Ecology of Human Development: Experiments by Nature and</w:t>
      </w:r>
      <w:r w:rsidRPr="00C67062">
        <w:rPr>
          <w:rFonts w:ascii="Arial" w:hAnsi="Arial" w:cs="Arial"/>
          <w:sz w:val="22"/>
          <w:szCs w:val="22"/>
        </w:rPr>
        <w:t xml:space="preserve"> </w:t>
      </w:r>
      <w:r w:rsidRPr="008D0DCC">
        <w:rPr>
          <w:rFonts w:ascii="Arial" w:hAnsi="Arial" w:cs="Arial"/>
          <w:i/>
          <w:iCs/>
          <w:sz w:val="22"/>
          <w:szCs w:val="22"/>
        </w:rPr>
        <w:t>Design</w:t>
      </w:r>
      <w:r w:rsidRPr="00C67062">
        <w:rPr>
          <w:rFonts w:ascii="Arial" w:hAnsi="Arial" w:cs="Arial"/>
          <w:sz w:val="22"/>
          <w:szCs w:val="22"/>
        </w:rPr>
        <w:t xml:space="preserve">. Cambridge, MA: Harvard University Press. Available at: https://doi.org/10.4159/9780674028845 (Accessed: </w:t>
      </w:r>
      <w:r w:rsidR="00B535B6">
        <w:rPr>
          <w:rFonts w:ascii="Arial" w:hAnsi="Arial" w:cs="Arial"/>
          <w:sz w:val="22"/>
          <w:szCs w:val="22"/>
        </w:rPr>
        <w:t>18</w:t>
      </w:r>
      <w:r w:rsidRPr="00C67062">
        <w:rPr>
          <w:rFonts w:ascii="Arial" w:hAnsi="Arial" w:cs="Arial"/>
          <w:sz w:val="22"/>
          <w:szCs w:val="22"/>
        </w:rPr>
        <w:t xml:space="preserve"> October 2026).</w:t>
      </w:r>
    </w:p>
    <w:p w14:paraId="25F35CA7" w14:textId="7E7F13A7" w:rsidR="00E42C16" w:rsidRPr="00C67062" w:rsidRDefault="00E42C16" w:rsidP="003C1210">
      <w:pPr>
        <w:spacing w:line="360" w:lineRule="auto"/>
        <w:ind w:left="720" w:hanging="720"/>
        <w:rPr>
          <w:rFonts w:ascii="Arial" w:hAnsi="Arial" w:cs="Arial"/>
          <w:sz w:val="22"/>
          <w:szCs w:val="22"/>
        </w:rPr>
      </w:pPr>
      <w:r w:rsidRPr="00C67062">
        <w:rPr>
          <w:rFonts w:ascii="Arial" w:hAnsi="Arial" w:cs="Arial"/>
          <w:sz w:val="22"/>
          <w:szCs w:val="22"/>
        </w:rPr>
        <w:t xml:space="preserve">Cameron, A., Lart, R., Bostock, L. and Coomber, C. (2014) ‘Factors that promote and hinder joint and integrated working between health and social care services: a review of research literature’, </w:t>
      </w:r>
      <w:r w:rsidRPr="008D0DCC">
        <w:rPr>
          <w:rFonts w:ascii="Arial" w:hAnsi="Arial" w:cs="Arial"/>
          <w:i/>
          <w:iCs/>
          <w:sz w:val="22"/>
          <w:szCs w:val="22"/>
        </w:rPr>
        <w:t>Health &amp; Social Care in the Community</w:t>
      </w:r>
      <w:r w:rsidRPr="00C67062">
        <w:rPr>
          <w:rFonts w:ascii="Arial" w:hAnsi="Arial" w:cs="Arial"/>
          <w:sz w:val="22"/>
          <w:szCs w:val="22"/>
        </w:rPr>
        <w:t xml:space="preserve">, 22(3), pp. 225–233. Available at: https://doi.org/10.1111/hsc.12057 (Accessed: </w:t>
      </w:r>
      <w:r w:rsidR="00B535B6">
        <w:rPr>
          <w:rFonts w:ascii="Arial" w:hAnsi="Arial" w:cs="Arial"/>
          <w:sz w:val="22"/>
          <w:szCs w:val="22"/>
        </w:rPr>
        <w:t>15</w:t>
      </w:r>
      <w:r w:rsidRPr="00C67062">
        <w:rPr>
          <w:rFonts w:ascii="Arial" w:hAnsi="Arial" w:cs="Arial"/>
          <w:sz w:val="22"/>
          <w:szCs w:val="22"/>
        </w:rPr>
        <w:t xml:space="preserve"> October 2026).</w:t>
      </w:r>
    </w:p>
    <w:p w14:paraId="308F7B01" w14:textId="27B9A6D9" w:rsidR="00E42C16" w:rsidRPr="00C67062" w:rsidRDefault="00E42C16" w:rsidP="003C1210">
      <w:pPr>
        <w:spacing w:line="360" w:lineRule="auto"/>
        <w:ind w:left="720" w:hanging="720"/>
        <w:rPr>
          <w:rFonts w:ascii="Arial" w:hAnsi="Arial" w:cs="Arial"/>
          <w:sz w:val="22"/>
          <w:szCs w:val="22"/>
        </w:rPr>
      </w:pPr>
      <w:r w:rsidRPr="008D0DCC">
        <w:rPr>
          <w:rFonts w:ascii="Arial" w:hAnsi="Arial" w:cs="Arial"/>
          <w:i/>
          <w:iCs/>
          <w:sz w:val="22"/>
          <w:szCs w:val="22"/>
        </w:rPr>
        <w:t>Care Act 2014</w:t>
      </w:r>
      <w:r w:rsidRPr="00C67062">
        <w:rPr>
          <w:rFonts w:ascii="Arial" w:hAnsi="Arial" w:cs="Arial"/>
          <w:sz w:val="22"/>
          <w:szCs w:val="22"/>
        </w:rPr>
        <w:t xml:space="preserve">, c. 23. Available at: https://www.legislation.gov.uk/ukpga/2014/23/contents (Accessed: </w:t>
      </w:r>
      <w:r w:rsidR="00B535B6">
        <w:rPr>
          <w:rFonts w:ascii="Arial" w:hAnsi="Arial" w:cs="Arial"/>
          <w:sz w:val="22"/>
          <w:szCs w:val="22"/>
        </w:rPr>
        <w:t>19</w:t>
      </w:r>
      <w:r w:rsidRPr="00C67062">
        <w:rPr>
          <w:rFonts w:ascii="Arial" w:hAnsi="Arial" w:cs="Arial"/>
          <w:sz w:val="22"/>
          <w:szCs w:val="22"/>
        </w:rPr>
        <w:t xml:space="preserve"> October 2026).</w:t>
      </w:r>
    </w:p>
    <w:p w14:paraId="306C6DC1" w14:textId="7EF5DE96" w:rsidR="00E42C16" w:rsidRPr="00C67062" w:rsidRDefault="00E42C16" w:rsidP="003C1210">
      <w:pPr>
        <w:spacing w:line="360" w:lineRule="auto"/>
        <w:ind w:left="720" w:hanging="720"/>
        <w:rPr>
          <w:rFonts w:ascii="Arial" w:hAnsi="Arial" w:cs="Arial"/>
          <w:sz w:val="22"/>
          <w:szCs w:val="22"/>
        </w:rPr>
      </w:pPr>
      <w:r w:rsidRPr="00C67062">
        <w:rPr>
          <w:rFonts w:ascii="Arial" w:hAnsi="Arial" w:cs="Arial"/>
          <w:sz w:val="22"/>
          <w:szCs w:val="22"/>
        </w:rPr>
        <w:t xml:space="preserve">Care Quality Commission (CQC) (2024) </w:t>
      </w:r>
      <w:r w:rsidRPr="008D0DCC">
        <w:rPr>
          <w:rFonts w:ascii="Arial" w:hAnsi="Arial" w:cs="Arial"/>
          <w:i/>
          <w:iCs/>
          <w:sz w:val="22"/>
          <w:szCs w:val="22"/>
        </w:rPr>
        <w:t>Person-centred care</w:t>
      </w:r>
      <w:r w:rsidRPr="00C67062">
        <w:rPr>
          <w:rFonts w:ascii="Arial" w:hAnsi="Arial" w:cs="Arial"/>
          <w:sz w:val="22"/>
          <w:szCs w:val="22"/>
        </w:rPr>
        <w:t xml:space="preserve">. Available at: https://www.cqc.org.uk/guidance-regulation/providers/assessment/single-assessment-framework/responsive/person-centred-care (Accessed: </w:t>
      </w:r>
      <w:r w:rsidR="00B535B6">
        <w:rPr>
          <w:rFonts w:ascii="Arial" w:hAnsi="Arial" w:cs="Arial"/>
          <w:sz w:val="22"/>
          <w:szCs w:val="22"/>
        </w:rPr>
        <w:t>17</w:t>
      </w:r>
      <w:r w:rsidRPr="00C67062">
        <w:rPr>
          <w:rFonts w:ascii="Arial" w:hAnsi="Arial" w:cs="Arial"/>
          <w:sz w:val="22"/>
          <w:szCs w:val="22"/>
        </w:rPr>
        <w:t xml:space="preserve"> October 2026).</w:t>
      </w:r>
    </w:p>
    <w:p w14:paraId="0E3FAA75" w14:textId="46820AFD" w:rsidR="00E42C16" w:rsidRPr="00C67062" w:rsidRDefault="00E42C16" w:rsidP="003C1210">
      <w:pPr>
        <w:spacing w:line="360" w:lineRule="auto"/>
        <w:ind w:left="720" w:hanging="720"/>
        <w:rPr>
          <w:rFonts w:ascii="Arial" w:hAnsi="Arial" w:cs="Arial"/>
          <w:sz w:val="22"/>
          <w:szCs w:val="22"/>
        </w:rPr>
      </w:pPr>
      <w:r w:rsidRPr="008D0DCC">
        <w:rPr>
          <w:rFonts w:ascii="Arial" w:hAnsi="Arial" w:cs="Arial"/>
          <w:i/>
          <w:iCs/>
          <w:sz w:val="22"/>
          <w:szCs w:val="22"/>
        </w:rPr>
        <w:t>Equality Act 2010</w:t>
      </w:r>
      <w:r w:rsidRPr="00C67062">
        <w:rPr>
          <w:rFonts w:ascii="Arial" w:hAnsi="Arial" w:cs="Arial"/>
          <w:sz w:val="22"/>
          <w:szCs w:val="22"/>
        </w:rPr>
        <w:t xml:space="preserve">, c. 15. Available at: https://www.legislation.gov.uk/ukpga/2010/15/contents (Accessed: </w:t>
      </w:r>
      <w:r w:rsidR="00B535B6">
        <w:rPr>
          <w:rFonts w:ascii="Arial" w:hAnsi="Arial" w:cs="Arial"/>
          <w:sz w:val="22"/>
          <w:szCs w:val="22"/>
        </w:rPr>
        <w:t>18</w:t>
      </w:r>
      <w:r w:rsidRPr="00C67062">
        <w:rPr>
          <w:rFonts w:ascii="Arial" w:hAnsi="Arial" w:cs="Arial"/>
          <w:sz w:val="22"/>
          <w:szCs w:val="22"/>
        </w:rPr>
        <w:t xml:space="preserve"> October 2026).</w:t>
      </w:r>
    </w:p>
    <w:p w14:paraId="7A6E00D5" w14:textId="3619AC2B" w:rsidR="00E42C16" w:rsidRPr="00C67062" w:rsidRDefault="00E42C16" w:rsidP="00C67062">
      <w:pPr>
        <w:spacing w:line="360" w:lineRule="auto"/>
        <w:ind w:left="720" w:hanging="720"/>
        <w:rPr>
          <w:rFonts w:ascii="Arial" w:hAnsi="Arial" w:cs="Arial"/>
          <w:sz w:val="22"/>
          <w:szCs w:val="22"/>
        </w:rPr>
      </w:pPr>
      <w:r w:rsidRPr="00C67062">
        <w:rPr>
          <w:rFonts w:ascii="Arial" w:hAnsi="Arial" w:cs="Arial"/>
          <w:sz w:val="22"/>
          <w:szCs w:val="22"/>
        </w:rPr>
        <w:t xml:space="preserve">Gibbs, G. (2013) </w:t>
      </w:r>
      <w:r w:rsidRPr="008D0DCC">
        <w:rPr>
          <w:rFonts w:ascii="Arial" w:hAnsi="Arial" w:cs="Arial"/>
          <w:i/>
          <w:iCs/>
          <w:sz w:val="22"/>
          <w:szCs w:val="22"/>
        </w:rPr>
        <w:t>Learning by Doing: A Guide to Teaching and Learning Methods</w:t>
      </w:r>
      <w:r w:rsidRPr="00C67062">
        <w:rPr>
          <w:rFonts w:ascii="Arial" w:hAnsi="Arial" w:cs="Arial"/>
          <w:sz w:val="22"/>
          <w:szCs w:val="22"/>
        </w:rPr>
        <w:t xml:space="preserve">. Online reprint. Oxford: Oxford Brookes University. Available at: https://radar.brookes.ac.uk/radar/file/a7e1f738-c0a2-47b5-8ab7-95b8973cdbf9/1/Learning%20by%20doing%20-%20Graham%20Gibbs.pdf (Accessed: </w:t>
      </w:r>
      <w:r w:rsidR="00B535B6">
        <w:rPr>
          <w:rFonts w:ascii="Arial" w:hAnsi="Arial" w:cs="Arial"/>
          <w:sz w:val="22"/>
          <w:szCs w:val="22"/>
        </w:rPr>
        <w:t>15</w:t>
      </w:r>
      <w:r w:rsidRPr="00C67062">
        <w:rPr>
          <w:rFonts w:ascii="Arial" w:hAnsi="Arial" w:cs="Arial"/>
          <w:sz w:val="22"/>
          <w:szCs w:val="22"/>
        </w:rPr>
        <w:t xml:space="preserve"> October 2026).</w:t>
      </w:r>
    </w:p>
    <w:p w14:paraId="7AF10DAB" w14:textId="2837E1D9" w:rsidR="00E42C16" w:rsidRPr="00C67062" w:rsidRDefault="00E42C16" w:rsidP="00C67062">
      <w:pPr>
        <w:spacing w:line="360" w:lineRule="auto"/>
        <w:ind w:left="720" w:hanging="720"/>
        <w:rPr>
          <w:rFonts w:ascii="Arial" w:hAnsi="Arial" w:cs="Arial"/>
          <w:sz w:val="22"/>
          <w:szCs w:val="22"/>
        </w:rPr>
      </w:pPr>
      <w:r w:rsidRPr="008D0DCC">
        <w:rPr>
          <w:rFonts w:ascii="Arial" w:hAnsi="Arial" w:cs="Arial"/>
          <w:i/>
          <w:iCs/>
          <w:sz w:val="22"/>
          <w:szCs w:val="22"/>
        </w:rPr>
        <w:t>Health and Care Act 2022</w:t>
      </w:r>
      <w:r w:rsidRPr="00C67062">
        <w:rPr>
          <w:rFonts w:ascii="Arial" w:hAnsi="Arial" w:cs="Arial"/>
          <w:sz w:val="22"/>
          <w:szCs w:val="22"/>
        </w:rPr>
        <w:t xml:space="preserve">, c. 31. Available at: https://www.legislation.gov.uk/ukpga/2022/31/contents (Accessed: </w:t>
      </w:r>
      <w:r w:rsidR="00B535B6">
        <w:rPr>
          <w:rFonts w:ascii="Arial" w:hAnsi="Arial" w:cs="Arial"/>
          <w:sz w:val="22"/>
          <w:szCs w:val="22"/>
        </w:rPr>
        <w:t>18</w:t>
      </w:r>
      <w:r w:rsidRPr="00C67062">
        <w:rPr>
          <w:rFonts w:ascii="Arial" w:hAnsi="Arial" w:cs="Arial"/>
          <w:sz w:val="22"/>
          <w:szCs w:val="22"/>
        </w:rPr>
        <w:t xml:space="preserve"> October 2026).</w:t>
      </w:r>
    </w:p>
    <w:p w14:paraId="61B8599C" w14:textId="275D2FE9" w:rsidR="00E42C16" w:rsidRPr="00C67062" w:rsidRDefault="00E42C16" w:rsidP="00C67062">
      <w:pPr>
        <w:spacing w:line="360" w:lineRule="auto"/>
        <w:ind w:left="720" w:hanging="720"/>
        <w:rPr>
          <w:rFonts w:ascii="Arial" w:hAnsi="Arial" w:cs="Arial"/>
          <w:sz w:val="22"/>
          <w:szCs w:val="22"/>
        </w:rPr>
      </w:pPr>
      <w:r w:rsidRPr="00C67062">
        <w:rPr>
          <w:rFonts w:ascii="Arial" w:hAnsi="Arial" w:cs="Arial"/>
          <w:sz w:val="22"/>
          <w:szCs w:val="22"/>
        </w:rPr>
        <w:lastRenderedPageBreak/>
        <w:t xml:space="preserve">Maslow, A.H. (1943) ‘A theory of human motivation’, </w:t>
      </w:r>
      <w:r w:rsidRPr="008D0DCC">
        <w:rPr>
          <w:rFonts w:ascii="Arial" w:hAnsi="Arial" w:cs="Arial"/>
          <w:i/>
          <w:iCs/>
          <w:sz w:val="22"/>
          <w:szCs w:val="22"/>
        </w:rPr>
        <w:t>Psychological Review</w:t>
      </w:r>
      <w:r w:rsidRPr="00C67062">
        <w:rPr>
          <w:rFonts w:ascii="Arial" w:hAnsi="Arial" w:cs="Arial"/>
          <w:sz w:val="22"/>
          <w:szCs w:val="22"/>
        </w:rPr>
        <w:t xml:space="preserve">, 50(4), pp. 370–396. Available at: https://doi.org/10.1037/h0054346 (Accessed: </w:t>
      </w:r>
      <w:r w:rsidR="00B535B6">
        <w:rPr>
          <w:rFonts w:ascii="Arial" w:hAnsi="Arial" w:cs="Arial"/>
          <w:sz w:val="22"/>
          <w:szCs w:val="22"/>
        </w:rPr>
        <w:t>15</w:t>
      </w:r>
      <w:r w:rsidRPr="00C67062">
        <w:rPr>
          <w:rFonts w:ascii="Arial" w:hAnsi="Arial" w:cs="Arial"/>
          <w:sz w:val="22"/>
          <w:szCs w:val="22"/>
        </w:rPr>
        <w:t xml:space="preserve"> October 2026).</w:t>
      </w:r>
    </w:p>
    <w:p w14:paraId="176E8BAE" w14:textId="55215DF3" w:rsidR="00E42C16" w:rsidRPr="00C67062" w:rsidRDefault="00E42C16" w:rsidP="00C67062">
      <w:pPr>
        <w:spacing w:line="360" w:lineRule="auto"/>
        <w:ind w:left="720" w:hanging="720"/>
        <w:rPr>
          <w:rFonts w:ascii="Arial" w:hAnsi="Arial" w:cs="Arial"/>
          <w:sz w:val="22"/>
          <w:szCs w:val="22"/>
        </w:rPr>
      </w:pPr>
      <w:r w:rsidRPr="00C67062">
        <w:rPr>
          <w:rFonts w:ascii="Arial" w:hAnsi="Arial" w:cs="Arial"/>
          <w:sz w:val="22"/>
          <w:szCs w:val="22"/>
        </w:rPr>
        <w:t>Mental Capacity Act 2005, c. 9. Available at: https://www.legislation.gov.uk/ukpga/2005/9/contents (Accessed:  October 2026).</w:t>
      </w:r>
    </w:p>
    <w:p w14:paraId="72EE2CE1" w14:textId="06EDA392" w:rsidR="00E42C16" w:rsidRPr="00C67062" w:rsidRDefault="00E42C16" w:rsidP="00C67062">
      <w:pPr>
        <w:spacing w:line="360" w:lineRule="auto"/>
        <w:ind w:left="720" w:hanging="720"/>
        <w:rPr>
          <w:rFonts w:ascii="Arial" w:hAnsi="Arial" w:cs="Arial"/>
          <w:sz w:val="22"/>
          <w:szCs w:val="22"/>
        </w:rPr>
      </w:pPr>
      <w:r w:rsidRPr="00C67062">
        <w:rPr>
          <w:rFonts w:ascii="Arial" w:hAnsi="Arial" w:cs="Arial"/>
          <w:sz w:val="22"/>
          <w:szCs w:val="22"/>
        </w:rPr>
        <w:t xml:space="preserve">National Institute for Health and Care Excellence (NICE) (2021) </w:t>
      </w:r>
      <w:r w:rsidRPr="008D0DCC">
        <w:rPr>
          <w:rFonts w:ascii="Arial" w:hAnsi="Arial" w:cs="Arial"/>
          <w:i/>
          <w:iCs/>
          <w:sz w:val="22"/>
          <w:szCs w:val="22"/>
        </w:rPr>
        <w:t>Shared decision making</w:t>
      </w:r>
      <w:r w:rsidRPr="00C67062">
        <w:rPr>
          <w:rFonts w:ascii="Arial" w:hAnsi="Arial" w:cs="Arial"/>
          <w:sz w:val="22"/>
          <w:szCs w:val="22"/>
        </w:rPr>
        <w:t xml:space="preserve">. NICE guideline NG197. Available at: https://www.nice.org.uk/guidance/ng197 (Accessed: </w:t>
      </w:r>
      <w:r w:rsidR="00B535B6">
        <w:rPr>
          <w:rFonts w:ascii="Arial" w:hAnsi="Arial" w:cs="Arial"/>
          <w:sz w:val="22"/>
          <w:szCs w:val="22"/>
        </w:rPr>
        <w:t>17</w:t>
      </w:r>
      <w:r w:rsidRPr="00C67062">
        <w:rPr>
          <w:rFonts w:ascii="Arial" w:hAnsi="Arial" w:cs="Arial"/>
          <w:sz w:val="22"/>
          <w:szCs w:val="22"/>
        </w:rPr>
        <w:t xml:space="preserve"> October 2026).</w:t>
      </w:r>
    </w:p>
    <w:p w14:paraId="5179BA2D" w14:textId="235C15F4" w:rsidR="00E42C16" w:rsidRPr="00C67062" w:rsidRDefault="00E42C16" w:rsidP="00C67062">
      <w:pPr>
        <w:spacing w:line="360" w:lineRule="auto"/>
        <w:ind w:left="720" w:hanging="720"/>
        <w:rPr>
          <w:rFonts w:ascii="Arial" w:hAnsi="Arial" w:cs="Arial"/>
          <w:sz w:val="22"/>
          <w:szCs w:val="22"/>
        </w:rPr>
      </w:pPr>
      <w:r w:rsidRPr="00C67062">
        <w:rPr>
          <w:rFonts w:ascii="Arial" w:hAnsi="Arial" w:cs="Arial"/>
          <w:sz w:val="22"/>
          <w:szCs w:val="22"/>
        </w:rPr>
        <w:t xml:space="preserve">NHS England (n.d.) </w:t>
      </w:r>
      <w:r w:rsidRPr="008D0DCC">
        <w:rPr>
          <w:rFonts w:ascii="Arial" w:hAnsi="Arial" w:cs="Arial"/>
          <w:i/>
          <w:iCs/>
          <w:sz w:val="22"/>
          <w:szCs w:val="22"/>
        </w:rPr>
        <w:t>Joan’s Story</w:t>
      </w:r>
      <w:r w:rsidRPr="00C67062">
        <w:rPr>
          <w:rFonts w:ascii="Arial" w:hAnsi="Arial" w:cs="Arial"/>
          <w:sz w:val="22"/>
          <w:szCs w:val="22"/>
        </w:rPr>
        <w:t xml:space="preserve">. Available at: https://www.england.nhs.uk/personalisedcare/comprehensive-model/case-studies/joans-story/ (Accessed: </w:t>
      </w:r>
      <w:r w:rsidR="00B535B6">
        <w:rPr>
          <w:rFonts w:ascii="Arial" w:hAnsi="Arial" w:cs="Arial"/>
          <w:sz w:val="22"/>
          <w:szCs w:val="22"/>
        </w:rPr>
        <w:t>18</w:t>
      </w:r>
      <w:r w:rsidRPr="00C67062">
        <w:rPr>
          <w:rFonts w:ascii="Arial" w:hAnsi="Arial" w:cs="Arial"/>
          <w:sz w:val="22"/>
          <w:szCs w:val="22"/>
        </w:rPr>
        <w:t xml:space="preserve"> October 2026).</w:t>
      </w:r>
    </w:p>
    <w:p w14:paraId="45E8393F" w14:textId="06289514" w:rsidR="00E42C16" w:rsidRPr="00C67062" w:rsidRDefault="00E42C16" w:rsidP="00C67062">
      <w:pPr>
        <w:spacing w:line="360" w:lineRule="auto"/>
        <w:ind w:left="720" w:hanging="720"/>
        <w:rPr>
          <w:rFonts w:ascii="Arial" w:hAnsi="Arial" w:cs="Arial"/>
          <w:sz w:val="22"/>
          <w:szCs w:val="22"/>
        </w:rPr>
      </w:pPr>
      <w:r w:rsidRPr="00C67062">
        <w:rPr>
          <w:rFonts w:ascii="Arial" w:hAnsi="Arial" w:cs="Arial"/>
          <w:sz w:val="22"/>
          <w:szCs w:val="22"/>
        </w:rPr>
        <w:t xml:space="preserve">Nursing and Midwifery Council (NMC) (2018) The Code: </w:t>
      </w:r>
      <w:r w:rsidRPr="008D0DCC">
        <w:rPr>
          <w:rFonts w:ascii="Arial" w:hAnsi="Arial" w:cs="Arial"/>
          <w:i/>
          <w:iCs/>
          <w:sz w:val="22"/>
          <w:szCs w:val="22"/>
        </w:rPr>
        <w:t>Professional standards of practice</w:t>
      </w:r>
      <w:r w:rsidRPr="00C67062">
        <w:rPr>
          <w:rFonts w:ascii="Arial" w:hAnsi="Arial" w:cs="Arial"/>
          <w:sz w:val="22"/>
          <w:szCs w:val="22"/>
        </w:rPr>
        <w:t xml:space="preserve"> </w:t>
      </w:r>
      <w:r w:rsidRPr="008D0DCC">
        <w:rPr>
          <w:rFonts w:ascii="Arial" w:hAnsi="Arial" w:cs="Arial"/>
          <w:i/>
          <w:iCs/>
          <w:sz w:val="22"/>
          <w:szCs w:val="22"/>
        </w:rPr>
        <w:t>and behaviour for nurses, midwives and nursing associates</w:t>
      </w:r>
      <w:r w:rsidRPr="00C67062">
        <w:rPr>
          <w:rFonts w:ascii="Arial" w:hAnsi="Arial" w:cs="Arial"/>
          <w:sz w:val="22"/>
          <w:szCs w:val="22"/>
        </w:rPr>
        <w:t xml:space="preserve">. Available at: https://www.nmc.org.uk/standards/code/ (Accessed: </w:t>
      </w:r>
      <w:r w:rsidR="00B535B6">
        <w:rPr>
          <w:rFonts w:ascii="Arial" w:hAnsi="Arial" w:cs="Arial"/>
          <w:sz w:val="22"/>
          <w:szCs w:val="22"/>
        </w:rPr>
        <w:t>17</w:t>
      </w:r>
      <w:r w:rsidRPr="00C67062">
        <w:rPr>
          <w:rFonts w:ascii="Arial" w:hAnsi="Arial" w:cs="Arial"/>
          <w:sz w:val="22"/>
          <w:szCs w:val="22"/>
        </w:rPr>
        <w:t xml:space="preserve"> October 2026).</w:t>
      </w:r>
    </w:p>
    <w:p w14:paraId="78E90B1D" w14:textId="77777777" w:rsidR="00E42C16" w:rsidRDefault="00E42C16" w:rsidP="00E42C16"/>
    <w:p w14:paraId="6573BA64" w14:textId="77777777" w:rsidR="00E42C16" w:rsidRDefault="00E42C16"/>
    <w:sectPr w:rsidR="00E42C1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922D9A" w14:textId="77777777" w:rsidR="00DC59A7" w:rsidRDefault="00DC59A7" w:rsidP="0087502E">
      <w:pPr>
        <w:spacing w:after="0" w:line="240" w:lineRule="auto"/>
      </w:pPr>
      <w:r>
        <w:separator/>
      </w:r>
    </w:p>
  </w:endnote>
  <w:endnote w:type="continuationSeparator" w:id="0">
    <w:p w14:paraId="7B10D6EE" w14:textId="77777777" w:rsidR="00DC59A7" w:rsidRDefault="00DC59A7" w:rsidP="00875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2376478"/>
      <w:docPartObj>
        <w:docPartGallery w:val="Page Numbers (Bottom of Page)"/>
        <w:docPartUnique/>
      </w:docPartObj>
    </w:sdtPr>
    <w:sdtEndPr>
      <w:rPr>
        <w:noProof/>
      </w:rPr>
    </w:sdtEndPr>
    <w:sdtContent>
      <w:p w14:paraId="39514E60" w14:textId="346D75AD" w:rsidR="0087502E" w:rsidRDefault="008750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4DE634" w14:textId="77777777" w:rsidR="0087502E" w:rsidRDefault="00875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FD791" w14:textId="77777777" w:rsidR="00DC59A7" w:rsidRDefault="00DC59A7" w:rsidP="0087502E">
      <w:pPr>
        <w:spacing w:after="0" w:line="240" w:lineRule="auto"/>
      </w:pPr>
      <w:r>
        <w:separator/>
      </w:r>
    </w:p>
  </w:footnote>
  <w:footnote w:type="continuationSeparator" w:id="0">
    <w:p w14:paraId="154C3E37" w14:textId="77777777" w:rsidR="00DC59A7" w:rsidRDefault="00DC59A7" w:rsidP="008750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C16"/>
    <w:rsid w:val="00222E01"/>
    <w:rsid w:val="002529D8"/>
    <w:rsid w:val="002E48ED"/>
    <w:rsid w:val="00342B2E"/>
    <w:rsid w:val="003950B4"/>
    <w:rsid w:val="003C1210"/>
    <w:rsid w:val="00433884"/>
    <w:rsid w:val="00462378"/>
    <w:rsid w:val="0054370B"/>
    <w:rsid w:val="006F1966"/>
    <w:rsid w:val="00711045"/>
    <w:rsid w:val="00730D83"/>
    <w:rsid w:val="00794D04"/>
    <w:rsid w:val="007D38A6"/>
    <w:rsid w:val="008616C9"/>
    <w:rsid w:val="0087502E"/>
    <w:rsid w:val="008D0DCC"/>
    <w:rsid w:val="009649BE"/>
    <w:rsid w:val="0099698A"/>
    <w:rsid w:val="009F08C7"/>
    <w:rsid w:val="00A374DA"/>
    <w:rsid w:val="00A638B4"/>
    <w:rsid w:val="00B535B6"/>
    <w:rsid w:val="00B57CB9"/>
    <w:rsid w:val="00B82381"/>
    <w:rsid w:val="00C67062"/>
    <w:rsid w:val="00DC59A7"/>
    <w:rsid w:val="00E42C16"/>
    <w:rsid w:val="00F36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5A8102"/>
  <w15:chartTrackingRefBased/>
  <w15:docId w15:val="{7FAACD35-3B8A-D44E-9738-3A645EF50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C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2C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2C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2C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C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C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C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C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C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C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2C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2C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C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C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C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C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C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C16"/>
    <w:rPr>
      <w:rFonts w:eastAsiaTheme="majorEastAsia" w:cstheme="majorBidi"/>
      <w:color w:val="272727" w:themeColor="text1" w:themeTint="D8"/>
    </w:rPr>
  </w:style>
  <w:style w:type="paragraph" w:styleId="Title">
    <w:name w:val="Title"/>
    <w:basedOn w:val="Normal"/>
    <w:next w:val="Normal"/>
    <w:link w:val="TitleChar"/>
    <w:uiPriority w:val="10"/>
    <w:qFormat/>
    <w:rsid w:val="00E42C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C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C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C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C16"/>
    <w:pPr>
      <w:spacing w:before="160"/>
      <w:jc w:val="center"/>
    </w:pPr>
    <w:rPr>
      <w:i/>
      <w:iCs/>
      <w:color w:val="404040" w:themeColor="text1" w:themeTint="BF"/>
    </w:rPr>
  </w:style>
  <w:style w:type="character" w:customStyle="1" w:styleId="QuoteChar">
    <w:name w:val="Quote Char"/>
    <w:basedOn w:val="DefaultParagraphFont"/>
    <w:link w:val="Quote"/>
    <w:uiPriority w:val="29"/>
    <w:rsid w:val="00E42C16"/>
    <w:rPr>
      <w:i/>
      <w:iCs/>
      <w:color w:val="404040" w:themeColor="text1" w:themeTint="BF"/>
    </w:rPr>
  </w:style>
  <w:style w:type="paragraph" w:styleId="ListParagraph">
    <w:name w:val="List Paragraph"/>
    <w:basedOn w:val="Normal"/>
    <w:uiPriority w:val="34"/>
    <w:qFormat/>
    <w:rsid w:val="00E42C16"/>
    <w:pPr>
      <w:ind w:left="720"/>
      <w:contextualSpacing/>
    </w:pPr>
  </w:style>
  <w:style w:type="character" w:styleId="IntenseEmphasis">
    <w:name w:val="Intense Emphasis"/>
    <w:basedOn w:val="DefaultParagraphFont"/>
    <w:uiPriority w:val="21"/>
    <w:qFormat/>
    <w:rsid w:val="00E42C16"/>
    <w:rPr>
      <w:i/>
      <w:iCs/>
      <w:color w:val="0F4761" w:themeColor="accent1" w:themeShade="BF"/>
    </w:rPr>
  </w:style>
  <w:style w:type="paragraph" w:styleId="IntenseQuote">
    <w:name w:val="Intense Quote"/>
    <w:basedOn w:val="Normal"/>
    <w:next w:val="Normal"/>
    <w:link w:val="IntenseQuoteChar"/>
    <w:uiPriority w:val="30"/>
    <w:qFormat/>
    <w:rsid w:val="00E42C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C16"/>
    <w:rPr>
      <w:i/>
      <w:iCs/>
      <w:color w:val="0F4761" w:themeColor="accent1" w:themeShade="BF"/>
    </w:rPr>
  </w:style>
  <w:style w:type="character" w:styleId="IntenseReference">
    <w:name w:val="Intense Reference"/>
    <w:basedOn w:val="DefaultParagraphFont"/>
    <w:uiPriority w:val="32"/>
    <w:qFormat/>
    <w:rsid w:val="00E42C16"/>
    <w:rPr>
      <w:b/>
      <w:bCs/>
      <w:smallCaps/>
      <w:color w:val="0F4761" w:themeColor="accent1" w:themeShade="BF"/>
      <w:spacing w:val="5"/>
    </w:rPr>
  </w:style>
  <w:style w:type="paragraph" w:styleId="Header">
    <w:name w:val="header"/>
    <w:basedOn w:val="Normal"/>
    <w:link w:val="HeaderChar"/>
    <w:uiPriority w:val="99"/>
    <w:unhideWhenUsed/>
    <w:rsid w:val="00875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02E"/>
  </w:style>
  <w:style w:type="paragraph" w:styleId="Footer">
    <w:name w:val="footer"/>
    <w:basedOn w:val="Normal"/>
    <w:link w:val="FooterChar"/>
    <w:uiPriority w:val="99"/>
    <w:unhideWhenUsed/>
    <w:rsid w:val="00875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02E"/>
  </w:style>
  <w:style w:type="paragraph" w:styleId="TOCHeading">
    <w:name w:val="TOC Heading"/>
    <w:basedOn w:val="Heading1"/>
    <w:next w:val="Normal"/>
    <w:uiPriority w:val="39"/>
    <w:unhideWhenUsed/>
    <w:qFormat/>
    <w:rsid w:val="0054370B"/>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54370B"/>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8D0DCC"/>
    <w:pPr>
      <w:tabs>
        <w:tab w:val="right" w:leader="dot" w:pos="9016"/>
      </w:tabs>
      <w:spacing w:after="100" w:line="360" w:lineRule="auto"/>
      <w:ind w:left="240"/>
      <w:jc w:val="center"/>
    </w:pPr>
  </w:style>
  <w:style w:type="character" w:styleId="Hyperlink">
    <w:name w:val="Hyperlink"/>
    <w:basedOn w:val="DefaultParagraphFont"/>
    <w:uiPriority w:val="99"/>
    <w:unhideWhenUsed/>
    <w:rsid w:val="0054370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BFEE94-CECF-43B0-B0F7-DAAA936A9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11</Pages>
  <Words>2917</Words>
  <Characters>16633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Karyna Korniienko (2509255)</cp:lastModifiedBy>
  <cp:revision>56</cp:revision>
  <dcterms:created xsi:type="dcterms:W3CDTF">2026-10-22T19:43:00Z</dcterms:created>
  <dcterms:modified xsi:type="dcterms:W3CDTF">2026-10-26T21:59:00Z</dcterms:modified>
</cp:coreProperties>
</file>