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ajorEastAsia" w:cstheme="majorBidi"/>
          <w:spacing w:val="-10"/>
          <w:kern w:val="28"/>
          <w:sz w:val="56"/>
          <w:szCs w:val="56"/>
        </w:rPr>
        <w:id w:val="-399136005"/>
        <w:docPartObj>
          <w:docPartGallery w:val="Cover Pages"/>
          <w:docPartUnique/>
        </w:docPartObj>
      </w:sdtPr>
      <w:sdtContent>
        <w:p w14:paraId="7CA06F18" w14:textId="5834E87E" w:rsidR="00251E77" w:rsidRDefault="00251E77">
          <w:r>
            <w:rPr>
              <w:noProof/>
            </w:rPr>
            <w:drawing>
              <wp:anchor distT="0" distB="0" distL="114300" distR="114300" simplePos="0" relativeHeight="251658240" behindDoc="0" locked="0" layoutInCell="1" allowOverlap="1" wp14:anchorId="5C20402F" wp14:editId="25836B76">
                <wp:simplePos x="0" y="0"/>
                <wp:positionH relativeFrom="column">
                  <wp:posOffset>2971800</wp:posOffset>
                </wp:positionH>
                <wp:positionV relativeFrom="paragraph">
                  <wp:posOffset>363</wp:posOffset>
                </wp:positionV>
                <wp:extent cx="3555365" cy="1480185"/>
                <wp:effectExtent l="0" t="0" r="6985" b="5715"/>
                <wp:wrapSquare wrapText="bothSides"/>
                <wp:docPr id="14798394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55365" cy="1480185"/>
                        </a:xfrm>
                        <a:prstGeom prst="rect">
                          <a:avLst/>
                        </a:prstGeom>
                        <a:noFill/>
                        <a:ln>
                          <a:noFill/>
                        </a:ln>
                      </pic:spPr>
                    </pic:pic>
                  </a:graphicData>
                </a:graphic>
              </wp:anchor>
            </w:drawing>
          </w:r>
        </w:p>
        <w:p w14:paraId="0FE720C1" w14:textId="4EA5A1E4" w:rsidR="00251E77" w:rsidRPr="00251E77" w:rsidRDefault="00000000" w:rsidP="00251E77">
          <w:pPr>
            <w:pStyle w:val="Title"/>
          </w:pPr>
        </w:p>
      </w:sdtContent>
    </w:sdt>
    <w:p w14:paraId="1FB4AE32" w14:textId="77777777" w:rsidR="00025FD3" w:rsidRDefault="00025FD3" w:rsidP="00251E77"/>
    <w:p w14:paraId="1BDDF8C1" w14:textId="77777777" w:rsidR="00251E77" w:rsidRDefault="00251E77" w:rsidP="00251E77"/>
    <w:p w14:paraId="71BA3C53" w14:textId="77777777" w:rsidR="00251E77" w:rsidRPr="00740351" w:rsidRDefault="00251E77" w:rsidP="00251E77">
      <w:pPr>
        <w:rPr>
          <w:rFonts w:cs="Arial"/>
        </w:rPr>
      </w:pPr>
    </w:p>
    <w:p w14:paraId="7B595B4D" w14:textId="60E36FDF" w:rsidR="00251E77" w:rsidRPr="00740351" w:rsidRDefault="00251E77" w:rsidP="00740351">
      <w:pPr>
        <w:pStyle w:val="Title"/>
        <w:jc w:val="center"/>
        <w:rPr>
          <w:rFonts w:cs="Arial"/>
          <w:b/>
          <w:bCs/>
        </w:rPr>
      </w:pPr>
      <w:r w:rsidRPr="00740351">
        <w:rPr>
          <w:rFonts w:cs="Arial"/>
          <w:b/>
          <w:bCs/>
        </w:rPr>
        <w:t>Master of Business Administration</w:t>
      </w:r>
    </w:p>
    <w:p w14:paraId="227F2247" w14:textId="4C71C1C9" w:rsidR="00251E77" w:rsidRPr="00740351" w:rsidRDefault="00400B6A" w:rsidP="00740351">
      <w:pPr>
        <w:pStyle w:val="Title"/>
        <w:jc w:val="center"/>
        <w:rPr>
          <w:rFonts w:cs="Arial"/>
          <w:sz w:val="40"/>
          <w:szCs w:val="40"/>
        </w:rPr>
      </w:pPr>
      <w:r>
        <w:rPr>
          <w:rFonts w:cs="Arial"/>
          <w:sz w:val="40"/>
          <w:szCs w:val="40"/>
        </w:rPr>
        <w:t xml:space="preserve">Financial </w:t>
      </w:r>
      <w:r w:rsidR="00251E77" w:rsidRPr="00740351">
        <w:rPr>
          <w:rFonts w:cs="Arial"/>
          <w:sz w:val="40"/>
          <w:szCs w:val="40"/>
        </w:rPr>
        <w:t>Management</w:t>
      </w:r>
    </w:p>
    <w:p w14:paraId="33BD43BC" w14:textId="7954FF91" w:rsidR="00251E77" w:rsidRPr="00740351" w:rsidRDefault="00251E77" w:rsidP="00740351">
      <w:pPr>
        <w:pStyle w:val="Title"/>
        <w:jc w:val="center"/>
        <w:rPr>
          <w:rFonts w:cs="Arial"/>
          <w:sz w:val="40"/>
          <w:szCs w:val="40"/>
        </w:rPr>
      </w:pPr>
      <w:r w:rsidRPr="00740351">
        <w:rPr>
          <w:rFonts w:cs="Arial"/>
          <w:sz w:val="40"/>
          <w:szCs w:val="40"/>
        </w:rPr>
        <w:t>Module Code: LCMB7</w:t>
      </w:r>
      <w:r w:rsidR="00400B6A">
        <w:rPr>
          <w:rFonts w:cs="Arial"/>
          <w:sz w:val="40"/>
          <w:szCs w:val="40"/>
        </w:rPr>
        <w:t>0</w:t>
      </w:r>
      <w:r w:rsidR="003F0EC9">
        <w:rPr>
          <w:rFonts w:cs="Arial"/>
          <w:sz w:val="40"/>
          <w:szCs w:val="40"/>
        </w:rPr>
        <w:t>0</w:t>
      </w:r>
      <w:r w:rsidR="00400B6A">
        <w:rPr>
          <w:rFonts w:cs="Arial"/>
          <w:sz w:val="40"/>
          <w:szCs w:val="40"/>
        </w:rPr>
        <w:t>2</w:t>
      </w:r>
    </w:p>
    <w:p w14:paraId="74B0F37E" w14:textId="77777777" w:rsidR="00740351" w:rsidRDefault="00740351" w:rsidP="00740351">
      <w:pPr>
        <w:jc w:val="center"/>
      </w:pPr>
    </w:p>
    <w:p w14:paraId="79361398" w14:textId="21B8C419" w:rsidR="00740351" w:rsidRDefault="00400B6A" w:rsidP="00740351">
      <w:pPr>
        <w:pStyle w:val="Title"/>
        <w:jc w:val="center"/>
        <w:rPr>
          <w:sz w:val="40"/>
          <w:szCs w:val="40"/>
        </w:rPr>
      </w:pPr>
      <w:r w:rsidRPr="00400B6A">
        <w:rPr>
          <w:sz w:val="40"/>
          <w:szCs w:val="40"/>
        </w:rPr>
        <w:t>Assessment component: Financial performance and management</w:t>
      </w:r>
    </w:p>
    <w:p w14:paraId="4AD32F37" w14:textId="4F497A5F" w:rsidR="00740351" w:rsidRPr="00740351" w:rsidRDefault="00740351" w:rsidP="00740351">
      <w:r>
        <w:rPr>
          <w:noProof/>
        </w:rPr>
        <mc:AlternateContent>
          <mc:Choice Requires="wps">
            <w:drawing>
              <wp:anchor distT="0" distB="0" distL="114300" distR="114300" simplePos="0" relativeHeight="251658241" behindDoc="0" locked="0" layoutInCell="1" allowOverlap="1" wp14:anchorId="50E876E3" wp14:editId="57DA8F2D">
                <wp:simplePos x="0" y="0"/>
                <wp:positionH relativeFrom="column">
                  <wp:posOffset>-791570</wp:posOffset>
                </wp:positionH>
                <wp:positionV relativeFrom="paragraph">
                  <wp:posOffset>266794</wp:posOffset>
                </wp:positionV>
                <wp:extent cx="7533564" cy="0"/>
                <wp:effectExtent l="0" t="0" r="0" b="0"/>
                <wp:wrapNone/>
                <wp:docPr id="2128543278" name="Straight Connector 2"/>
                <wp:cNvGraphicFramePr/>
                <a:graphic xmlns:a="http://schemas.openxmlformats.org/drawingml/2006/main">
                  <a:graphicData uri="http://schemas.microsoft.com/office/word/2010/wordprocessingShape">
                    <wps:wsp>
                      <wps:cNvCnPr/>
                      <wps:spPr>
                        <a:xfrm flipV="1">
                          <a:off x="0" y="0"/>
                          <a:ext cx="7533564"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8468945" id="Straight Connector 2" o:spid="_x0000_s1026" style="position:absolute;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2.35pt,21pt" to="530.8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" strokecolor="#156082 [3204]" strokeweight="1.5pt">
                <v:stroke joinstyle="miter"/>
              </v:line>
            </w:pict>
          </mc:Fallback>
        </mc:AlternateContent>
      </w:r>
    </w:p>
    <w:p w14:paraId="0CD83A0C" w14:textId="77777777" w:rsidR="00740351" w:rsidRDefault="00740351" w:rsidP="00740351"/>
    <w:p w14:paraId="2CB162B3" w14:textId="7B218742" w:rsidR="00740351" w:rsidRPr="00740351" w:rsidRDefault="00740351" w:rsidP="00740351">
      <w:pPr>
        <w:rPr>
          <w:sz w:val="32"/>
          <w:szCs w:val="32"/>
        </w:rPr>
      </w:pPr>
      <w:r w:rsidRPr="00740351">
        <w:rPr>
          <w:sz w:val="32"/>
          <w:szCs w:val="32"/>
        </w:rPr>
        <w:t xml:space="preserve">Name: Riyaben Jayrushnabhai Prajapati </w:t>
      </w:r>
    </w:p>
    <w:p w14:paraId="4B518EDD" w14:textId="79D02A24" w:rsidR="00740351" w:rsidRPr="00740351" w:rsidRDefault="00740351" w:rsidP="00740351">
      <w:pPr>
        <w:rPr>
          <w:sz w:val="32"/>
          <w:szCs w:val="32"/>
        </w:rPr>
      </w:pPr>
      <w:r w:rsidRPr="00740351">
        <w:rPr>
          <w:sz w:val="32"/>
          <w:szCs w:val="32"/>
        </w:rPr>
        <w:t>Student ID:</w:t>
      </w:r>
      <w:r>
        <w:rPr>
          <w:sz w:val="32"/>
          <w:szCs w:val="32"/>
        </w:rPr>
        <w:t xml:space="preserve"> 2529556</w:t>
      </w:r>
    </w:p>
    <w:p w14:paraId="47857136" w14:textId="055215DF" w:rsidR="00740351" w:rsidRPr="00740351" w:rsidRDefault="00740351" w:rsidP="00400B6A">
      <w:pPr>
        <w:rPr>
          <w:sz w:val="32"/>
          <w:szCs w:val="32"/>
        </w:rPr>
      </w:pPr>
      <w:r w:rsidRPr="00740351">
        <w:rPr>
          <w:sz w:val="32"/>
          <w:szCs w:val="32"/>
        </w:rPr>
        <w:t xml:space="preserve">Lecturer: </w:t>
      </w:r>
      <w:r w:rsidR="00400B6A" w:rsidRPr="00400B6A">
        <w:rPr>
          <w:sz w:val="32"/>
          <w:szCs w:val="32"/>
        </w:rPr>
        <w:t>Vasilios Tavlaridis</w:t>
      </w:r>
      <w:r w:rsidR="00400B6A">
        <w:rPr>
          <w:sz w:val="32"/>
          <w:szCs w:val="32"/>
        </w:rPr>
        <w:t xml:space="preserve">, </w:t>
      </w:r>
      <w:r w:rsidR="00400B6A" w:rsidRPr="00400B6A">
        <w:rPr>
          <w:sz w:val="32"/>
          <w:szCs w:val="32"/>
        </w:rPr>
        <w:t>Hoang Nguyen</w:t>
      </w:r>
    </w:p>
    <w:p w14:paraId="74EB927C" w14:textId="55232532" w:rsidR="00740351" w:rsidRPr="00740351" w:rsidRDefault="00740351" w:rsidP="00740351">
      <w:pPr>
        <w:rPr>
          <w:sz w:val="32"/>
          <w:szCs w:val="32"/>
        </w:rPr>
      </w:pPr>
      <w:r w:rsidRPr="00740351">
        <w:rPr>
          <w:sz w:val="32"/>
          <w:szCs w:val="32"/>
        </w:rPr>
        <w:t>Word Count:</w:t>
      </w:r>
      <w:r>
        <w:rPr>
          <w:sz w:val="32"/>
          <w:szCs w:val="32"/>
        </w:rPr>
        <w:t xml:space="preserve"> </w:t>
      </w:r>
      <w:r w:rsidR="00400B6A">
        <w:rPr>
          <w:sz w:val="32"/>
          <w:szCs w:val="32"/>
        </w:rPr>
        <w:t>5</w:t>
      </w:r>
      <w:r w:rsidR="0075043C">
        <w:rPr>
          <w:sz w:val="32"/>
          <w:szCs w:val="32"/>
        </w:rPr>
        <w:t>500 ~</w:t>
      </w:r>
    </w:p>
    <w:p w14:paraId="16949CE4" w14:textId="538A579E" w:rsidR="00740351" w:rsidRDefault="00740351" w:rsidP="00740351">
      <w:pPr>
        <w:rPr>
          <w:sz w:val="32"/>
          <w:szCs w:val="32"/>
        </w:rPr>
      </w:pPr>
      <w:r w:rsidRPr="00740351">
        <w:rPr>
          <w:sz w:val="32"/>
          <w:szCs w:val="32"/>
        </w:rPr>
        <w:t>Submission Date:</w:t>
      </w:r>
      <w:r>
        <w:rPr>
          <w:sz w:val="32"/>
          <w:szCs w:val="32"/>
        </w:rPr>
        <w:t xml:space="preserve"> </w:t>
      </w:r>
      <w:r w:rsidR="00400B6A">
        <w:rPr>
          <w:sz w:val="32"/>
          <w:szCs w:val="32"/>
        </w:rPr>
        <w:t>24</w:t>
      </w:r>
      <w:r w:rsidR="00CE16C1" w:rsidRPr="00CE16C1">
        <w:rPr>
          <w:sz w:val="32"/>
          <w:szCs w:val="32"/>
          <w:vertAlign w:val="superscript"/>
        </w:rPr>
        <w:t>th</w:t>
      </w:r>
      <w:r w:rsidR="00CE16C1">
        <w:rPr>
          <w:sz w:val="32"/>
          <w:szCs w:val="32"/>
        </w:rPr>
        <w:t xml:space="preserve"> </w:t>
      </w:r>
      <w:r w:rsidR="00400B6A">
        <w:rPr>
          <w:sz w:val="32"/>
          <w:szCs w:val="32"/>
        </w:rPr>
        <w:t xml:space="preserve">April </w:t>
      </w:r>
      <w:r w:rsidR="00CE16C1">
        <w:rPr>
          <w:sz w:val="32"/>
          <w:szCs w:val="32"/>
        </w:rPr>
        <w:t>2026</w:t>
      </w:r>
    </w:p>
    <w:p w14:paraId="347DCD8C" w14:textId="649F8667" w:rsidR="001D4008" w:rsidRDefault="00740351">
      <w:pPr>
        <w:spacing w:line="278" w:lineRule="auto"/>
        <w:jc w:val="left"/>
        <w:rPr>
          <w:sz w:val="32"/>
          <w:szCs w:val="32"/>
        </w:rPr>
      </w:pPr>
      <w:r>
        <w:rPr>
          <w:sz w:val="32"/>
          <w:szCs w:val="32"/>
        </w:rPr>
        <w:br w:type="page"/>
      </w:r>
    </w:p>
    <w:sdt>
      <w:sdtPr>
        <w:rPr>
          <w:rFonts w:ascii="Arial" w:eastAsiaTheme="minorEastAsia" w:hAnsi="Arial" w:cstheme="minorBidi"/>
          <w:color w:val="auto"/>
          <w:kern w:val="2"/>
          <w:sz w:val="24"/>
          <w:szCs w:val="24"/>
          <w:lang w:bidi="gu-IN"/>
          <w14:ligatures w14:val="standardContextual"/>
        </w:rPr>
        <w:id w:val="344446033"/>
        <w:docPartObj>
          <w:docPartGallery w:val="Table of Contents"/>
          <w:docPartUnique/>
        </w:docPartObj>
      </w:sdtPr>
      <w:sdtEndPr>
        <w:rPr>
          <w:b/>
        </w:rPr>
      </w:sdtEndPr>
      <w:sdtContent>
        <w:p w14:paraId="6BD9F0FC" w14:textId="3C87B86C" w:rsidR="003422F4" w:rsidRPr="003F0EC9" w:rsidRDefault="001D4008" w:rsidP="003F0EC9">
          <w:pPr>
            <w:pStyle w:val="TOCHeading"/>
          </w:pPr>
          <w:r w:rsidRPr="00CE50F1">
            <w:t>Contents</w:t>
          </w:r>
          <w:r>
            <w:fldChar w:fldCharType="begin"/>
          </w:r>
          <w:r>
            <w:instrText xml:space="preserve"> TOC \o "1-3" \h \z \u </w:instrText>
          </w:r>
          <w:r>
            <w:fldChar w:fldCharType="separate"/>
          </w:r>
        </w:p>
        <w:p w14:paraId="22FEDA6D" w14:textId="134A8EBB" w:rsidR="003422F4" w:rsidRDefault="003422F4">
          <w:pPr>
            <w:pStyle w:val="TOC1"/>
            <w:tabs>
              <w:tab w:val="right" w:leader="dot" w:pos="9350"/>
            </w:tabs>
            <w:rPr>
              <w:rFonts w:asciiTheme="minorHAnsi" w:eastAsiaTheme="minorEastAsia" w:hAnsiTheme="minorHAnsi"/>
              <w:noProof/>
            </w:rPr>
          </w:pPr>
          <w:hyperlink w:anchor="_Toc227848197" w:history="1">
            <w:r w:rsidRPr="00EF7D26">
              <w:rPr>
                <w:rStyle w:val="Hyperlink"/>
                <w:noProof/>
              </w:rPr>
              <w:t>1. Intr</w:t>
            </w:r>
            <w:r w:rsidRPr="00EF7D26">
              <w:rPr>
                <w:rStyle w:val="Hyperlink"/>
                <w:noProof/>
              </w:rPr>
              <w:t>o</w:t>
            </w:r>
            <w:r w:rsidRPr="00EF7D26">
              <w:rPr>
                <w:rStyle w:val="Hyperlink"/>
                <w:noProof/>
              </w:rPr>
              <w:t>duction</w:t>
            </w:r>
            <w:r>
              <w:rPr>
                <w:noProof/>
                <w:webHidden/>
              </w:rPr>
              <w:tab/>
            </w:r>
            <w:r>
              <w:rPr>
                <w:noProof/>
                <w:webHidden/>
              </w:rPr>
              <w:fldChar w:fldCharType="begin"/>
            </w:r>
            <w:r>
              <w:rPr>
                <w:noProof/>
                <w:webHidden/>
              </w:rPr>
              <w:instrText xml:space="preserve"> PAGEREF _Toc227848197 \h </w:instrText>
            </w:r>
            <w:r>
              <w:rPr>
                <w:noProof/>
                <w:webHidden/>
              </w:rPr>
            </w:r>
            <w:r>
              <w:rPr>
                <w:noProof/>
                <w:webHidden/>
              </w:rPr>
              <w:fldChar w:fldCharType="separate"/>
            </w:r>
            <w:r>
              <w:rPr>
                <w:noProof/>
                <w:webHidden/>
              </w:rPr>
              <w:t>5</w:t>
            </w:r>
            <w:r>
              <w:rPr>
                <w:noProof/>
                <w:webHidden/>
              </w:rPr>
              <w:fldChar w:fldCharType="end"/>
            </w:r>
          </w:hyperlink>
        </w:p>
        <w:p w14:paraId="260E4A36" w14:textId="27303BA5" w:rsidR="003422F4" w:rsidRDefault="003422F4">
          <w:pPr>
            <w:pStyle w:val="TOC1"/>
            <w:tabs>
              <w:tab w:val="right" w:leader="dot" w:pos="9350"/>
            </w:tabs>
            <w:rPr>
              <w:rFonts w:asciiTheme="minorHAnsi" w:eastAsiaTheme="minorEastAsia" w:hAnsiTheme="minorHAnsi"/>
              <w:noProof/>
            </w:rPr>
          </w:pPr>
          <w:hyperlink w:anchor="_Toc227848198" w:history="1">
            <w:r w:rsidRPr="00EF7D26">
              <w:rPr>
                <w:rStyle w:val="Hyperlink"/>
                <w:noProof/>
              </w:rPr>
              <w:t>2. Company and Industry Context</w:t>
            </w:r>
            <w:r>
              <w:rPr>
                <w:noProof/>
                <w:webHidden/>
              </w:rPr>
              <w:tab/>
            </w:r>
            <w:r>
              <w:rPr>
                <w:noProof/>
                <w:webHidden/>
              </w:rPr>
              <w:fldChar w:fldCharType="begin"/>
            </w:r>
            <w:r>
              <w:rPr>
                <w:noProof/>
                <w:webHidden/>
              </w:rPr>
              <w:instrText xml:space="preserve"> PAGEREF _Toc227848198 \h </w:instrText>
            </w:r>
            <w:r>
              <w:rPr>
                <w:noProof/>
                <w:webHidden/>
              </w:rPr>
            </w:r>
            <w:r>
              <w:rPr>
                <w:noProof/>
                <w:webHidden/>
              </w:rPr>
              <w:fldChar w:fldCharType="separate"/>
            </w:r>
            <w:r>
              <w:rPr>
                <w:noProof/>
                <w:webHidden/>
              </w:rPr>
              <w:t>6</w:t>
            </w:r>
            <w:r>
              <w:rPr>
                <w:noProof/>
                <w:webHidden/>
              </w:rPr>
              <w:fldChar w:fldCharType="end"/>
            </w:r>
          </w:hyperlink>
        </w:p>
        <w:p w14:paraId="0D41BF74" w14:textId="6F4A58C2" w:rsidR="003422F4" w:rsidRDefault="003422F4">
          <w:pPr>
            <w:pStyle w:val="TOC1"/>
            <w:tabs>
              <w:tab w:val="right" w:leader="dot" w:pos="9350"/>
            </w:tabs>
            <w:rPr>
              <w:rFonts w:asciiTheme="minorHAnsi" w:eastAsiaTheme="minorEastAsia" w:hAnsiTheme="minorHAnsi"/>
              <w:noProof/>
            </w:rPr>
          </w:pPr>
          <w:hyperlink w:anchor="_Toc227848199" w:history="1">
            <w:r w:rsidRPr="00EF7D26">
              <w:rPr>
                <w:rStyle w:val="Hyperlink"/>
                <w:noProof/>
              </w:rPr>
              <w:t>3. Financial Health Check</w:t>
            </w:r>
            <w:r>
              <w:rPr>
                <w:noProof/>
                <w:webHidden/>
              </w:rPr>
              <w:tab/>
            </w:r>
            <w:r>
              <w:rPr>
                <w:noProof/>
                <w:webHidden/>
              </w:rPr>
              <w:fldChar w:fldCharType="begin"/>
            </w:r>
            <w:r>
              <w:rPr>
                <w:noProof/>
                <w:webHidden/>
              </w:rPr>
              <w:instrText xml:space="preserve"> PAGEREF _Toc227848199 \h </w:instrText>
            </w:r>
            <w:r>
              <w:rPr>
                <w:noProof/>
                <w:webHidden/>
              </w:rPr>
            </w:r>
            <w:r>
              <w:rPr>
                <w:noProof/>
                <w:webHidden/>
              </w:rPr>
              <w:fldChar w:fldCharType="separate"/>
            </w:r>
            <w:r>
              <w:rPr>
                <w:noProof/>
                <w:webHidden/>
              </w:rPr>
              <w:t>8</w:t>
            </w:r>
            <w:r>
              <w:rPr>
                <w:noProof/>
                <w:webHidden/>
              </w:rPr>
              <w:fldChar w:fldCharType="end"/>
            </w:r>
          </w:hyperlink>
        </w:p>
        <w:p w14:paraId="2E5A83B5" w14:textId="24391516" w:rsidR="003422F4" w:rsidRDefault="003422F4">
          <w:pPr>
            <w:pStyle w:val="TOC2"/>
            <w:tabs>
              <w:tab w:val="right" w:leader="dot" w:pos="9350"/>
            </w:tabs>
            <w:rPr>
              <w:rFonts w:asciiTheme="minorHAnsi" w:eastAsiaTheme="minorEastAsia" w:hAnsiTheme="minorHAnsi"/>
              <w:noProof/>
            </w:rPr>
          </w:pPr>
          <w:hyperlink w:anchor="_Toc227848200" w:history="1">
            <w:r w:rsidRPr="00EF7D26">
              <w:rPr>
                <w:rStyle w:val="Hyperlink"/>
                <w:noProof/>
              </w:rPr>
              <w:t>3.1 Basis of Financial Analysis</w:t>
            </w:r>
            <w:r>
              <w:rPr>
                <w:noProof/>
                <w:webHidden/>
              </w:rPr>
              <w:tab/>
            </w:r>
            <w:r>
              <w:rPr>
                <w:noProof/>
                <w:webHidden/>
              </w:rPr>
              <w:fldChar w:fldCharType="begin"/>
            </w:r>
            <w:r>
              <w:rPr>
                <w:noProof/>
                <w:webHidden/>
              </w:rPr>
              <w:instrText xml:space="preserve"> PAGEREF _Toc227848200 \h </w:instrText>
            </w:r>
            <w:r>
              <w:rPr>
                <w:noProof/>
                <w:webHidden/>
              </w:rPr>
            </w:r>
            <w:r>
              <w:rPr>
                <w:noProof/>
                <w:webHidden/>
              </w:rPr>
              <w:fldChar w:fldCharType="separate"/>
            </w:r>
            <w:r>
              <w:rPr>
                <w:noProof/>
                <w:webHidden/>
              </w:rPr>
              <w:t>8</w:t>
            </w:r>
            <w:r>
              <w:rPr>
                <w:noProof/>
                <w:webHidden/>
              </w:rPr>
              <w:fldChar w:fldCharType="end"/>
            </w:r>
          </w:hyperlink>
        </w:p>
        <w:p w14:paraId="617B83EE" w14:textId="11C73A00" w:rsidR="003422F4" w:rsidRDefault="003422F4">
          <w:pPr>
            <w:pStyle w:val="TOC2"/>
            <w:tabs>
              <w:tab w:val="right" w:leader="dot" w:pos="9350"/>
            </w:tabs>
            <w:rPr>
              <w:rFonts w:asciiTheme="minorHAnsi" w:eastAsiaTheme="minorEastAsia" w:hAnsiTheme="minorHAnsi"/>
              <w:noProof/>
            </w:rPr>
          </w:pPr>
          <w:hyperlink w:anchor="_Toc227848201" w:history="1">
            <w:r w:rsidRPr="00EF7D26">
              <w:rPr>
                <w:rStyle w:val="Hyperlink"/>
                <w:noProof/>
              </w:rPr>
              <w:t>3.2 Profitability Analysis</w:t>
            </w:r>
            <w:r>
              <w:rPr>
                <w:noProof/>
                <w:webHidden/>
              </w:rPr>
              <w:tab/>
            </w:r>
            <w:r>
              <w:rPr>
                <w:noProof/>
                <w:webHidden/>
              </w:rPr>
              <w:fldChar w:fldCharType="begin"/>
            </w:r>
            <w:r>
              <w:rPr>
                <w:noProof/>
                <w:webHidden/>
              </w:rPr>
              <w:instrText xml:space="preserve"> PAGEREF _Toc227848201 \h </w:instrText>
            </w:r>
            <w:r>
              <w:rPr>
                <w:noProof/>
                <w:webHidden/>
              </w:rPr>
            </w:r>
            <w:r>
              <w:rPr>
                <w:noProof/>
                <w:webHidden/>
              </w:rPr>
              <w:fldChar w:fldCharType="separate"/>
            </w:r>
            <w:r>
              <w:rPr>
                <w:noProof/>
                <w:webHidden/>
              </w:rPr>
              <w:t>9</w:t>
            </w:r>
            <w:r>
              <w:rPr>
                <w:noProof/>
                <w:webHidden/>
              </w:rPr>
              <w:fldChar w:fldCharType="end"/>
            </w:r>
          </w:hyperlink>
        </w:p>
        <w:p w14:paraId="5A811EBF" w14:textId="2272CC29" w:rsidR="003422F4" w:rsidRDefault="003422F4">
          <w:pPr>
            <w:pStyle w:val="TOC2"/>
            <w:tabs>
              <w:tab w:val="right" w:leader="dot" w:pos="9350"/>
            </w:tabs>
            <w:rPr>
              <w:rFonts w:asciiTheme="minorHAnsi" w:eastAsiaTheme="minorEastAsia" w:hAnsiTheme="minorHAnsi"/>
              <w:noProof/>
            </w:rPr>
          </w:pPr>
          <w:hyperlink w:anchor="_Toc227848202" w:history="1">
            <w:r w:rsidRPr="00EF7D26">
              <w:rPr>
                <w:rStyle w:val="Hyperlink"/>
                <w:noProof/>
              </w:rPr>
              <w:t>3.3 Liquidity Analysis</w:t>
            </w:r>
            <w:r>
              <w:rPr>
                <w:noProof/>
                <w:webHidden/>
              </w:rPr>
              <w:tab/>
            </w:r>
            <w:r>
              <w:rPr>
                <w:noProof/>
                <w:webHidden/>
              </w:rPr>
              <w:fldChar w:fldCharType="begin"/>
            </w:r>
            <w:r>
              <w:rPr>
                <w:noProof/>
                <w:webHidden/>
              </w:rPr>
              <w:instrText xml:space="preserve"> PAGEREF _Toc227848202 \h </w:instrText>
            </w:r>
            <w:r>
              <w:rPr>
                <w:noProof/>
                <w:webHidden/>
              </w:rPr>
            </w:r>
            <w:r>
              <w:rPr>
                <w:noProof/>
                <w:webHidden/>
              </w:rPr>
              <w:fldChar w:fldCharType="separate"/>
            </w:r>
            <w:r>
              <w:rPr>
                <w:noProof/>
                <w:webHidden/>
              </w:rPr>
              <w:t>11</w:t>
            </w:r>
            <w:r>
              <w:rPr>
                <w:noProof/>
                <w:webHidden/>
              </w:rPr>
              <w:fldChar w:fldCharType="end"/>
            </w:r>
          </w:hyperlink>
        </w:p>
        <w:p w14:paraId="268564B3" w14:textId="3D7F9529" w:rsidR="003422F4" w:rsidRDefault="003422F4">
          <w:pPr>
            <w:pStyle w:val="TOC2"/>
            <w:tabs>
              <w:tab w:val="right" w:leader="dot" w:pos="9350"/>
            </w:tabs>
            <w:rPr>
              <w:rFonts w:asciiTheme="minorHAnsi" w:eastAsiaTheme="minorEastAsia" w:hAnsiTheme="minorHAnsi"/>
              <w:noProof/>
            </w:rPr>
          </w:pPr>
          <w:hyperlink w:anchor="_Toc227848203" w:history="1">
            <w:r w:rsidRPr="00EF7D26">
              <w:rPr>
                <w:rStyle w:val="Hyperlink"/>
                <w:noProof/>
              </w:rPr>
              <w:t>3.4 Efficiency Analysis</w:t>
            </w:r>
            <w:r>
              <w:rPr>
                <w:noProof/>
                <w:webHidden/>
              </w:rPr>
              <w:tab/>
            </w:r>
            <w:r>
              <w:rPr>
                <w:noProof/>
                <w:webHidden/>
              </w:rPr>
              <w:fldChar w:fldCharType="begin"/>
            </w:r>
            <w:r>
              <w:rPr>
                <w:noProof/>
                <w:webHidden/>
              </w:rPr>
              <w:instrText xml:space="preserve"> PAGEREF _Toc227848203 \h </w:instrText>
            </w:r>
            <w:r>
              <w:rPr>
                <w:noProof/>
                <w:webHidden/>
              </w:rPr>
            </w:r>
            <w:r>
              <w:rPr>
                <w:noProof/>
                <w:webHidden/>
              </w:rPr>
              <w:fldChar w:fldCharType="separate"/>
            </w:r>
            <w:r>
              <w:rPr>
                <w:noProof/>
                <w:webHidden/>
              </w:rPr>
              <w:t>13</w:t>
            </w:r>
            <w:r>
              <w:rPr>
                <w:noProof/>
                <w:webHidden/>
              </w:rPr>
              <w:fldChar w:fldCharType="end"/>
            </w:r>
          </w:hyperlink>
        </w:p>
        <w:p w14:paraId="6674DC4D" w14:textId="64D404CA" w:rsidR="003422F4" w:rsidRDefault="003422F4">
          <w:pPr>
            <w:pStyle w:val="TOC2"/>
            <w:tabs>
              <w:tab w:val="right" w:leader="dot" w:pos="9350"/>
            </w:tabs>
            <w:rPr>
              <w:rFonts w:asciiTheme="minorHAnsi" w:eastAsiaTheme="minorEastAsia" w:hAnsiTheme="minorHAnsi"/>
              <w:noProof/>
            </w:rPr>
          </w:pPr>
          <w:hyperlink w:anchor="_Toc227848204" w:history="1">
            <w:r w:rsidRPr="00EF7D26">
              <w:rPr>
                <w:rStyle w:val="Hyperlink"/>
                <w:noProof/>
              </w:rPr>
              <w:t>3.5 Gearing and Solvency Analysis</w:t>
            </w:r>
            <w:r>
              <w:rPr>
                <w:noProof/>
                <w:webHidden/>
              </w:rPr>
              <w:tab/>
            </w:r>
            <w:r>
              <w:rPr>
                <w:noProof/>
                <w:webHidden/>
              </w:rPr>
              <w:fldChar w:fldCharType="begin"/>
            </w:r>
            <w:r>
              <w:rPr>
                <w:noProof/>
                <w:webHidden/>
              </w:rPr>
              <w:instrText xml:space="preserve"> PAGEREF _Toc227848204 \h </w:instrText>
            </w:r>
            <w:r>
              <w:rPr>
                <w:noProof/>
                <w:webHidden/>
              </w:rPr>
            </w:r>
            <w:r>
              <w:rPr>
                <w:noProof/>
                <w:webHidden/>
              </w:rPr>
              <w:fldChar w:fldCharType="separate"/>
            </w:r>
            <w:r>
              <w:rPr>
                <w:noProof/>
                <w:webHidden/>
              </w:rPr>
              <w:t>15</w:t>
            </w:r>
            <w:r>
              <w:rPr>
                <w:noProof/>
                <w:webHidden/>
              </w:rPr>
              <w:fldChar w:fldCharType="end"/>
            </w:r>
          </w:hyperlink>
        </w:p>
        <w:p w14:paraId="2C34556F" w14:textId="120BF21C" w:rsidR="003422F4" w:rsidRDefault="003422F4">
          <w:pPr>
            <w:pStyle w:val="TOC2"/>
            <w:tabs>
              <w:tab w:val="right" w:leader="dot" w:pos="9350"/>
            </w:tabs>
            <w:rPr>
              <w:rFonts w:asciiTheme="minorHAnsi" w:eastAsiaTheme="minorEastAsia" w:hAnsiTheme="minorHAnsi"/>
              <w:noProof/>
            </w:rPr>
          </w:pPr>
          <w:hyperlink w:anchor="_Toc227848205" w:history="1">
            <w:r w:rsidRPr="00EF7D26">
              <w:rPr>
                <w:rStyle w:val="Hyperlink"/>
                <w:noProof/>
              </w:rPr>
              <w:t>3.6 Investor and Cash Flow Analysis</w:t>
            </w:r>
            <w:r>
              <w:rPr>
                <w:noProof/>
                <w:webHidden/>
              </w:rPr>
              <w:tab/>
            </w:r>
            <w:r>
              <w:rPr>
                <w:noProof/>
                <w:webHidden/>
              </w:rPr>
              <w:fldChar w:fldCharType="begin"/>
            </w:r>
            <w:r>
              <w:rPr>
                <w:noProof/>
                <w:webHidden/>
              </w:rPr>
              <w:instrText xml:space="preserve"> PAGEREF _Toc227848205 \h </w:instrText>
            </w:r>
            <w:r>
              <w:rPr>
                <w:noProof/>
                <w:webHidden/>
              </w:rPr>
            </w:r>
            <w:r>
              <w:rPr>
                <w:noProof/>
                <w:webHidden/>
              </w:rPr>
              <w:fldChar w:fldCharType="separate"/>
            </w:r>
            <w:r>
              <w:rPr>
                <w:noProof/>
                <w:webHidden/>
              </w:rPr>
              <w:t>17</w:t>
            </w:r>
            <w:r>
              <w:rPr>
                <w:noProof/>
                <w:webHidden/>
              </w:rPr>
              <w:fldChar w:fldCharType="end"/>
            </w:r>
          </w:hyperlink>
        </w:p>
        <w:p w14:paraId="6EBE4688" w14:textId="7DAB00F7" w:rsidR="003422F4" w:rsidRDefault="003422F4">
          <w:pPr>
            <w:pStyle w:val="TOC2"/>
            <w:tabs>
              <w:tab w:val="right" w:leader="dot" w:pos="9350"/>
            </w:tabs>
            <w:rPr>
              <w:rFonts w:asciiTheme="minorHAnsi" w:eastAsiaTheme="minorEastAsia" w:hAnsiTheme="minorHAnsi"/>
              <w:noProof/>
            </w:rPr>
          </w:pPr>
          <w:hyperlink w:anchor="_Toc227848206" w:history="1">
            <w:r w:rsidRPr="00EF7D26">
              <w:rPr>
                <w:rStyle w:val="Hyperlink"/>
                <w:noProof/>
              </w:rPr>
              <w:t>3.7 Summary of Key Strengths, Weaknesses and Financial Risks</w:t>
            </w:r>
            <w:r>
              <w:rPr>
                <w:noProof/>
                <w:webHidden/>
              </w:rPr>
              <w:tab/>
            </w:r>
            <w:r>
              <w:rPr>
                <w:noProof/>
                <w:webHidden/>
              </w:rPr>
              <w:fldChar w:fldCharType="begin"/>
            </w:r>
            <w:r>
              <w:rPr>
                <w:noProof/>
                <w:webHidden/>
              </w:rPr>
              <w:instrText xml:space="preserve"> PAGEREF _Toc227848206 \h </w:instrText>
            </w:r>
            <w:r>
              <w:rPr>
                <w:noProof/>
                <w:webHidden/>
              </w:rPr>
            </w:r>
            <w:r>
              <w:rPr>
                <w:noProof/>
                <w:webHidden/>
              </w:rPr>
              <w:fldChar w:fldCharType="separate"/>
            </w:r>
            <w:r>
              <w:rPr>
                <w:noProof/>
                <w:webHidden/>
              </w:rPr>
              <w:t>19</w:t>
            </w:r>
            <w:r>
              <w:rPr>
                <w:noProof/>
                <w:webHidden/>
              </w:rPr>
              <w:fldChar w:fldCharType="end"/>
            </w:r>
          </w:hyperlink>
        </w:p>
        <w:p w14:paraId="14A4CCFD" w14:textId="511C9013" w:rsidR="003422F4" w:rsidRDefault="003422F4">
          <w:pPr>
            <w:pStyle w:val="TOC1"/>
            <w:tabs>
              <w:tab w:val="right" w:leader="dot" w:pos="9350"/>
            </w:tabs>
            <w:rPr>
              <w:rFonts w:asciiTheme="minorHAnsi" w:eastAsiaTheme="minorEastAsia" w:hAnsiTheme="minorHAnsi"/>
              <w:noProof/>
            </w:rPr>
          </w:pPr>
          <w:hyperlink w:anchor="_Toc227848207" w:history="1">
            <w:r w:rsidRPr="00EF7D26">
              <w:rPr>
                <w:rStyle w:val="Hyperlink"/>
                <w:noProof/>
              </w:rPr>
              <w:t>4. Working Capital Management Analysis</w:t>
            </w:r>
            <w:r>
              <w:rPr>
                <w:noProof/>
                <w:webHidden/>
              </w:rPr>
              <w:tab/>
            </w:r>
            <w:r>
              <w:rPr>
                <w:noProof/>
                <w:webHidden/>
              </w:rPr>
              <w:fldChar w:fldCharType="begin"/>
            </w:r>
            <w:r>
              <w:rPr>
                <w:noProof/>
                <w:webHidden/>
              </w:rPr>
              <w:instrText xml:space="preserve"> PAGEREF _Toc227848207 \h </w:instrText>
            </w:r>
            <w:r>
              <w:rPr>
                <w:noProof/>
                <w:webHidden/>
              </w:rPr>
            </w:r>
            <w:r>
              <w:rPr>
                <w:noProof/>
                <w:webHidden/>
              </w:rPr>
              <w:fldChar w:fldCharType="separate"/>
            </w:r>
            <w:r>
              <w:rPr>
                <w:noProof/>
                <w:webHidden/>
              </w:rPr>
              <w:t>21</w:t>
            </w:r>
            <w:r>
              <w:rPr>
                <w:noProof/>
                <w:webHidden/>
              </w:rPr>
              <w:fldChar w:fldCharType="end"/>
            </w:r>
          </w:hyperlink>
        </w:p>
        <w:p w14:paraId="1158C9E0" w14:textId="7939EDE0" w:rsidR="003422F4" w:rsidRDefault="003422F4">
          <w:pPr>
            <w:pStyle w:val="TOC2"/>
            <w:tabs>
              <w:tab w:val="right" w:leader="dot" w:pos="9350"/>
            </w:tabs>
            <w:rPr>
              <w:rFonts w:asciiTheme="minorHAnsi" w:eastAsiaTheme="minorEastAsia" w:hAnsiTheme="minorHAnsi"/>
              <w:noProof/>
            </w:rPr>
          </w:pPr>
          <w:hyperlink w:anchor="_Toc227848208" w:history="1">
            <w:r w:rsidRPr="00EF7D26">
              <w:rPr>
                <w:rStyle w:val="Hyperlink"/>
                <w:noProof/>
              </w:rPr>
              <w:t>4.1 Cash Operating Cycle</w:t>
            </w:r>
            <w:r>
              <w:rPr>
                <w:noProof/>
                <w:webHidden/>
              </w:rPr>
              <w:tab/>
            </w:r>
            <w:r>
              <w:rPr>
                <w:noProof/>
                <w:webHidden/>
              </w:rPr>
              <w:fldChar w:fldCharType="begin"/>
            </w:r>
            <w:r>
              <w:rPr>
                <w:noProof/>
                <w:webHidden/>
              </w:rPr>
              <w:instrText xml:space="preserve"> PAGEREF _Toc227848208 \h </w:instrText>
            </w:r>
            <w:r>
              <w:rPr>
                <w:noProof/>
                <w:webHidden/>
              </w:rPr>
            </w:r>
            <w:r>
              <w:rPr>
                <w:noProof/>
                <w:webHidden/>
              </w:rPr>
              <w:fldChar w:fldCharType="separate"/>
            </w:r>
            <w:r>
              <w:rPr>
                <w:noProof/>
                <w:webHidden/>
              </w:rPr>
              <w:t>21</w:t>
            </w:r>
            <w:r>
              <w:rPr>
                <w:noProof/>
                <w:webHidden/>
              </w:rPr>
              <w:fldChar w:fldCharType="end"/>
            </w:r>
          </w:hyperlink>
        </w:p>
        <w:p w14:paraId="16454030" w14:textId="27D17B11" w:rsidR="003422F4" w:rsidRDefault="003422F4">
          <w:pPr>
            <w:pStyle w:val="TOC2"/>
            <w:tabs>
              <w:tab w:val="right" w:leader="dot" w:pos="9350"/>
            </w:tabs>
            <w:rPr>
              <w:rFonts w:asciiTheme="minorHAnsi" w:eastAsiaTheme="minorEastAsia" w:hAnsiTheme="minorHAnsi"/>
              <w:noProof/>
            </w:rPr>
          </w:pPr>
          <w:hyperlink w:anchor="_Toc227848209" w:history="1">
            <w:r w:rsidRPr="00EF7D26">
              <w:rPr>
                <w:rStyle w:val="Hyperlink"/>
                <w:noProof/>
              </w:rPr>
              <w:t>4.2 Diagnosis of Working Capital Issues</w:t>
            </w:r>
            <w:r>
              <w:rPr>
                <w:noProof/>
                <w:webHidden/>
              </w:rPr>
              <w:tab/>
            </w:r>
            <w:r>
              <w:rPr>
                <w:noProof/>
                <w:webHidden/>
              </w:rPr>
              <w:fldChar w:fldCharType="begin"/>
            </w:r>
            <w:r>
              <w:rPr>
                <w:noProof/>
                <w:webHidden/>
              </w:rPr>
              <w:instrText xml:space="preserve"> PAGEREF _Toc227848209 \h </w:instrText>
            </w:r>
            <w:r>
              <w:rPr>
                <w:noProof/>
                <w:webHidden/>
              </w:rPr>
            </w:r>
            <w:r>
              <w:rPr>
                <w:noProof/>
                <w:webHidden/>
              </w:rPr>
              <w:fldChar w:fldCharType="separate"/>
            </w:r>
            <w:r>
              <w:rPr>
                <w:noProof/>
                <w:webHidden/>
              </w:rPr>
              <w:t>24</w:t>
            </w:r>
            <w:r>
              <w:rPr>
                <w:noProof/>
                <w:webHidden/>
              </w:rPr>
              <w:fldChar w:fldCharType="end"/>
            </w:r>
          </w:hyperlink>
        </w:p>
        <w:p w14:paraId="79BC328C" w14:textId="66464C53" w:rsidR="003422F4" w:rsidRDefault="003422F4">
          <w:pPr>
            <w:pStyle w:val="TOC2"/>
            <w:tabs>
              <w:tab w:val="right" w:leader="dot" w:pos="9350"/>
            </w:tabs>
            <w:rPr>
              <w:rFonts w:asciiTheme="minorHAnsi" w:eastAsiaTheme="minorEastAsia" w:hAnsiTheme="minorHAnsi"/>
              <w:noProof/>
            </w:rPr>
          </w:pPr>
          <w:hyperlink w:anchor="_Toc227848210" w:history="1">
            <w:r w:rsidRPr="00EF7D26">
              <w:rPr>
                <w:rStyle w:val="Hyperlink"/>
                <w:noProof/>
              </w:rPr>
              <w:t>4.3 Strategies to Improve Liquidity</w:t>
            </w:r>
            <w:r>
              <w:rPr>
                <w:noProof/>
                <w:webHidden/>
              </w:rPr>
              <w:tab/>
            </w:r>
            <w:r>
              <w:rPr>
                <w:noProof/>
                <w:webHidden/>
              </w:rPr>
              <w:fldChar w:fldCharType="begin"/>
            </w:r>
            <w:r>
              <w:rPr>
                <w:noProof/>
                <w:webHidden/>
              </w:rPr>
              <w:instrText xml:space="preserve"> PAGEREF _Toc227848210 \h </w:instrText>
            </w:r>
            <w:r>
              <w:rPr>
                <w:noProof/>
                <w:webHidden/>
              </w:rPr>
            </w:r>
            <w:r>
              <w:rPr>
                <w:noProof/>
                <w:webHidden/>
              </w:rPr>
              <w:fldChar w:fldCharType="separate"/>
            </w:r>
            <w:r>
              <w:rPr>
                <w:noProof/>
                <w:webHidden/>
              </w:rPr>
              <w:t>26</w:t>
            </w:r>
            <w:r>
              <w:rPr>
                <w:noProof/>
                <w:webHidden/>
              </w:rPr>
              <w:fldChar w:fldCharType="end"/>
            </w:r>
          </w:hyperlink>
        </w:p>
        <w:p w14:paraId="43EC1F24" w14:textId="1FC1C231" w:rsidR="003422F4" w:rsidRDefault="003422F4">
          <w:pPr>
            <w:pStyle w:val="TOC2"/>
            <w:tabs>
              <w:tab w:val="right" w:leader="dot" w:pos="9350"/>
            </w:tabs>
            <w:rPr>
              <w:rFonts w:asciiTheme="minorHAnsi" w:eastAsiaTheme="minorEastAsia" w:hAnsiTheme="minorHAnsi"/>
              <w:noProof/>
            </w:rPr>
          </w:pPr>
          <w:hyperlink w:anchor="_Toc227848211" w:history="1">
            <w:r w:rsidRPr="00EF7D26">
              <w:rPr>
                <w:rStyle w:val="Hyperlink"/>
                <w:noProof/>
              </w:rPr>
              <w:t>4.4 Short-Term and Long-Term Financing Options</w:t>
            </w:r>
            <w:r>
              <w:rPr>
                <w:noProof/>
                <w:webHidden/>
              </w:rPr>
              <w:tab/>
            </w:r>
            <w:r>
              <w:rPr>
                <w:noProof/>
                <w:webHidden/>
              </w:rPr>
              <w:fldChar w:fldCharType="begin"/>
            </w:r>
            <w:r>
              <w:rPr>
                <w:noProof/>
                <w:webHidden/>
              </w:rPr>
              <w:instrText xml:space="preserve"> PAGEREF _Toc227848211 \h </w:instrText>
            </w:r>
            <w:r>
              <w:rPr>
                <w:noProof/>
                <w:webHidden/>
              </w:rPr>
            </w:r>
            <w:r>
              <w:rPr>
                <w:noProof/>
                <w:webHidden/>
              </w:rPr>
              <w:fldChar w:fldCharType="separate"/>
            </w:r>
            <w:r>
              <w:rPr>
                <w:noProof/>
                <w:webHidden/>
              </w:rPr>
              <w:t>28</w:t>
            </w:r>
            <w:r>
              <w:rPr>
                <w:noProof/>
                <w:webHidden/>
              </w:rPr>
              <w:fldChar w:fldCharType="end"/>
            </w:r>
          </w:hyperlink>
        </w:p>
        <w:p w14:paraId="547392B3" w14:textId="272E4601" w:rsidR="003422F4" w:rsidRDefault="003422F4">
          <w:pPr>
            <w:pStyle w:val="TOC1"/>
            <w:tabs>
              <w:tab w:val="right" w:leader="dot" w:pos="9350"/>
            </w:tabs>
            <w:rPr>
              <w:rFonts w:asciiTheme="minorHAnsi" w:eastAsiaTheme="minorEastAsia" w:hAnsiTheme="minorHAnsi"/>
              <w:noProof/>
            </w:rPr>
          </w:pPr>
          <w:hyperlink w:anchor="_Toc227848212" w:history="1">
            <w:r w:rsidRPr="00EF7D26">
              <w:rPr>
                <w:rStyle w:val="Hyperlink"/>
                <w:noProof/>
              </w:rPr>
              <w:t>5. Strategic Financial Restructuring Plan</w:t>
            </w:r>
            <w:r>
              <w:rPr>
                <w:noProof/>
                <w:webHidden/>
              </w:rPr>
              <w:tab/>
            </w:r>
            <w:r>
              <w:rPr>
                <w:noProof/>
                <w:webHidden/>
              </w:rPr>
              <w:fldChar w:fldCharType="begin"/>
            </w:r>
            <w:r>
              <w:rPr>
                <w:noProof/>
                <w:webHidden/>
              </w:rPr>
              <w:instrText xml:space="preserve"> PAGEREF _Toc227848212 \h </w:instrText>
            </w:r>
            <w:r>
              <w:rPr>
                <w:noProof/>
                <w:webHidden/>
              </w:rPr>
            </w:r>
            <w:r>
              <w:rPr>
                <w:noProof/>
                <w:webHidden/>
              </w:rPr>
              <w:fldChar w:fldCharType="separate"/>
            </w:r>
            <w:r>
              <w:rPr>
                <w:noProof/>
                <w:webHidden/>
              </w:rPr>
              <w:t>31</w:t>
            </w:r>
            <w:r>
              <w:rPr>
                <w:noProof/>
                <w:webHidden/>
              </w:rPr>
              <w:fldChar w:fldCharType="end"/>
            </w:r>
          </w:hyperlink>
        </w:p>
        <w:p w14:paraId="70CFC912" w14:textId="03F5F0E3" w:rsidR="003422F4" w:rsidRDefault="003422F4">
          <w:pPr>
            <w:pStyle w:val="TOC2"/>
            <w:tabs>
              <w:tab w:val="right" w:leader="dot" w:pos="9350"/>
            </w:tabs>
            <w:rPr>
              <w:rFonts w:asciiTheme="minorHAnsi" w:eastAsiaTheme="minorEastAsia" w:hAnsiTheme="minorHAnsi"/>
              <w:noProof/>
            </w:rPr>
          </w:pPr>
          <w:hyperlink w:anchor="_Toc227848213" w:history="1">
            <w:r w:rsidRPr="00EF7D26">
              <w:rPr>
                <w:rStyle w:val="Hyperlink"/>
                <w:noProof/>
              </w:rPr>
              <w:t>5.1 Need for Restructuring</w:t>
            </w:r>
            <w:r>
              <w:rPr>
                <w:noProof/>
                <w:webHidden/>
              </w:rPr>
              <w:tab/>
            </w:r>
            <w:r>
              <w:rPr>
                <w:noProof/>
                <w:webHidden/>
              </w:rPr>
              <w:fldChar w:fldCharType="begin"/>
            </w:r>
            <w:r>
              <w:rPr>
                <w:noProof/>
                <w:webHidden/>
              </w:rPr>
              <w:instrText xml:space="preserve"> PAGEREF _Toc227848213 \h </w:instrText>
            </w:r>
            <w:r>
              <w:rPr>
                <w:noProof/>
                <w:webHidden/>
              </w:rPr>
            </w:r>
            <w:r>
              <w:rPr>
                <w:noProof/>
                <w:webHidden/>
              </w:rPr>
              <w:fldChar w:fldCharType="separate"/>
            </w:r>
            <w:r>
              <w:rPr>
                <w:noProof/>
                <w:webHidden/>
              </w:rPr>
              <w:t>31</w:t>
            </w:r>
            <w:r>
              <w:rPr>
                <w:noProof/>
                <w:webHidden/>
              </w:rPr>
              <w:fldChar w:fldCharType="end"/>
            </w:r>
          </w:hyperlink>
        </w:p>
        <w:p w14:paraId="6E61B4E4" w14:textId="26441541" w:rsidR="003422F4" w:rsidRDefault="003422F4">
          <w:pPr>
            <w:pStyle w:val="TOC2"/>
            <w:tabs>
              <w:tab w:val="right" w:leader="dot" w:pos="9350"/>
            </w:tabs>
            <w:rPr>
              <w:rFonts w:asciiTheme="minorHAnsi" w:eastAsiaTheme="minorEastAsia" w:hAnsiTheme="minorHAnsi"/>
              <w:noProof/>
            </w:rPr>
          </w:pPr>
          <w:hyperlink w:anchor="_Toc227848214" w:history="1">
            <w:r w:rsidRPr="00EF7D26">
              <w:rPr>
                <w:rStyle w:val="Hyperlink"/>
                <w:noProof/>
              </w:rPr>
              <w:t>5.2 Equity Injection</w:t>
            </w:r>
            <w:r>
              <w:rPr>
                <w:noProof/>
                <w:webHidden/>
              </w:rPr>
              <w:tab/>
            </w:r>
            <w:r>
              <w:rPr>
                <w:noProof/>
                <w:webHidden/>
              </w:rPr>
              <w:fldChar w:fldCharType="begin"/>
            </w:r>
            <w:r>
              <w:rPr>
                <w:noProof/>
                <w:webHidden/>
              </w:rPr>
              <w:instrText xml:space="preserve"> PAGEREF _Toc227848214 \h </w:instrText>
            </w:r>
            <w:r>
              <w:rPr>
                <w:noProof/>
                <w:webHidden/>
              </w:rPr>
            </w:r>
            <w:r>
              <w:rPr>
                <w:noProof/>
                <w:webHidden/>
              </w:rPr>
              <w:fldChar w:fldCharType="separate"/>
            </w:r>
            <w:r>
              <w:rPr>
                <w:noProof/>
                <w:webHidden/>
              </w:rPr>
              <w:t>33</w:t>
            </w:r>
            <w:r>
              <w:rPr>
                <w:noProof/>
                <w:webHidden/>
              </w:rPr>
              <w:fldChar w:fldCharType="end"/>
            </w:r>
          </w:hyperlink>
        </w:p>
        <w:p w14:paraId="35658AB0" w14:textId="437990EE" w:rsidR="003422F4" w:rsidRDefault="003422F4">
          <w:pPr>
            <w:pStyle w:val="TOC2"/>
            <w:tabs>
              <w:tab w:val="right" w:leader="dot" w:pos="9350"/>
            </w:tabs>
            <w:rPr>
              <w:rFonts w:asciiTheme="minorHAnsi" w:eastAsiaTheme="minorEastAsia" w:hAnsiTheme="minorHAnsi"/>
              <w:noProof/>
            </w:rPr>
          </w:pPr>
          <w:hyperlink w:anchor="_Toc227848215" w:history="1">
            <w:r w:rsidRPr="00EF7D26">
              <w:rPr>
                <w:rStyle w:val="Hyperlink"/>
                <w:noProof/>
              </w:rPr>
              <w:t>5.3 Debt Restructuring / Refinancing</w:t>
            </w:r>
            <w:r>
              <w:rPr>
                <w:noProof/>
                <w:webHidden/>
              </w:rPr>
              <w:tab/>
            </w:r>
            <w:r>
              <w:rPr>
                <w:noProof/>
                <w:webHidden/>
              </w:rPr>
              <w:fldChar w:fldCharType="begin"/>
            </w:r>
            <w:r>
              <w:rPr>
                <w:noProof/>
                <w:webHidden/>
              </w:rPr>
              <w:instrText xml:space="preserve"> PAGEREF _Toc227848215 \h </w:instrText>
            </w:r>
            <w:r>
              <w:rPr>
                <w:noProof/>
                <w:webHidden/>
              </w:rPr>
            </w:r>
            <w:r>
              <w:rPr>
                <w:noProof/>
                <w:webHidden/>
              </w:rPr>
              <w:fldChar w:fldCharType="separate"/>
            </w:r>
            <w:r>
              <w:rPr>
                <w:noProof/>
                <w:webHidden/>
              </w:rPr>
              <w:t>35</w:t>
            </w:r>
            <w:r>
              <w:rPr>
                <w:noProof/>
                <w:webHidden/>
              </w:rPr>
              <w:fldChar w:fldCharType="end"/>
            </w:r>
          </w:hyperlink>
        </w:p>
        <w:p w14:paraId="13863F28" w14:textId="58070BAC" w:rsidR="003422F4" w:rsidRDefault="003422F4">
          <w:pPr>
            <w:pStyle w:val="TOC2"/>
            <w:tabs>
              <w:tab w:val="right" w:leader="dot" w:pos="9350"/>
            </w:tabs>
            <w:rPr>
              <w:rFonts w:asciiTheme="minorHAnsi" w:eastAsiaTheme="minorEastAsia" w:hAnsiTheme="minorHAnsi"/>
              <w:noProof/>
            </w:rPr>
          </w:pPr>
          <w:hyperlink w:anchor="_Toc227848216" w:history="1">
            <w:r w:rsidRPr="00EF7D26">
              <w:rPr>
                <w:rStyle w:val="Hyperlink"/>
                <w:noProof/>
              </w:rPr>
              <w:t>5.4 Divestiture or Asset Rationalisation</w:t>
            </w:r>
            <w:r>
              <w:rPr>
                <w:noProof/>
                <w:webHidden/>
              </w:rPr>
              <w:tab/>
            </w:r>
            <w:r>
              <w:rPr>
                <w:noProof/>
                <w:webHidden/>
              </w:rPr>
              <w:fldChar w:fldCharType="begin"/>
            </w:r>
            <w:r>
              <w:rPr>
                <w:noProof/>
                <w:webHidden/>
              </w:rPr>
              <w:instrText xml:space="preserve"> PAGEREF _Toc227848216 \h </w:instrText>
            </w:r>
            <w:r>
              <w:rPr>
                <w:noProof/>
                <w:webHidden/>
              </w:rPr>
            </w:r>
            <w:r>
              <w:rPr>
                <w:noProof/>
                <w:webHidden/>
              </w:rPr>
              <w:fldChar w:fldCharType="separate"/>
            </w:r>
            <w:r>
              <w:rPr>
                <w:noProof/>
                <w:webHidden/>
              </w:rPr>
              <w:t>37</w:t>
            </w:r>
            <w:r>
              <w:rPr>
                <w:noProof/>
                <w:webHidden/>
              </w:rPr>
              <w:fldChar w:fldCharType="end"/>
            </w:r>
          </w:hyperlink>
        </w:p>
        <w:p w14:paraId="2031A45F" w14:textId="3968663F" w:rsidR="003422F4" w:rsidRDefault="003422F4">
          <w:pPr>
            <w:pStyle w:val="TOC2"/>
            <w:tabs>
              <w:tab w:val="right" w:leader="dot" w:pos="9350"/>
            </w:tabs>
            <w:rPr>
              <w:rFonts w:asciiTheme="minorHAnsi" w:eastAsiaTheme="minorEastAsia" w:hAnsiTheme="minorHAnsi"/>
              <w:noProof/>
            </w:rPr>
          </w:pPr>
          <w:hyperlink w:anchor="_Toc227848217" w:history="1">
            <w:r w:rsidRPr="00EF7D26">
              <w:rPr>
                <w:rStyle w:val="Hyperlink"/>
                <w:noProof/>
              </w:rPr>
              <w:t>5.5 Recommended Financial Restructuring Strategy</w:t>
            </w:r>
            <w:r>
              <w:rPr>
                <w:noProof/>
                <w:webHidden/>
              </w:rPr>
              <w:tab/>
            </w:r>
            <w:r>
              <w:rPr>
                <w:noProof/>
                <w:webHidden/>
              </w:rPr>
              <w:fldChar w:fldCharType="begin"/>
            </w:r>
            <w:r>
              <w:rPr>
                <w:noProof/>
                <w:webHidden/>
              </w:rPr>
              <w:instrText xml:space="preserve"> PAGEREF _Toc227848217 \h </w:instrText>
            </w:r>
            <w:r>
              <w:rPr>
                <w:noProof/>
                <w:webHidden/>
              </w:rPr>
            </w:r>
            <w:r>
              <w:rPr>
                <w:noProof/>
                <w:webHidden/>
              </w:rPr>
              <w:fldChar w:fldCharType="separate"/>
            </w:r>
            <w:r>
              <w:rPr>
                <w:noProof/>
                <w:webHidden/>
              </w:rPr>
              <w:t>39</w:t>
            </w:r>
            <w:r>
              <w:rPr>
                <w:noProof/>
                <w:webHidden/>
              </w:rPr>
              <w:fldChar w:fldCharType="end"/>
            </w:r>
          </w:hyperlink>
        </w:p>
        <w:p w14:paraId="2B7B84E3" w14:textId="027DBDFF" w:rsidR="003422F4" w:rsidRDefault="003422F4">
          <w:pPr>
            <w:pStyle w:val="TOC2"/>
            <w:tabs>
              <w:tab w:val="right" w:leader="dot" w:pos="9350"/>
            </w:tabs>
            <w:rPr>
              <w:rFonts w:asciiTheme="minorHAnsi" w:eastAsiaTheme="minorEastAsia" w:hAnsiTheme="minorHAnsi"/>
              <w:noProof/>
            </w:rPr>
          </w:pPr>
          <w:hyperlink w:anchor="_Toc227848218" w:history="1">
            <w:r w:rsidRPr="00EF7D26">
              <w:rPr>
                <w:rStyle w:val="Hyperlink"/>
                <w:noProof/>
              </w:rPr>
              <w:t>5.6 International and Ethical Considerations</w:t>
            </w:r>
            <w:r>
              <w:rPr>
                <w:noProof/>
                <w:webHidden/>
              </w:rPr>
              <w:tab/>
            </w:r>
            <w:r>
              <w:rPr>
                <w:noProof/>
                <w:webHidden/>
              </w:rPr>
              <w:fldChar w:fldCharType="begin"/>
            </w:r>
            <w:r>
              <w:rPr>
                <w:noProof/>
                <w:webHidden/>
              </w:rPr>
              <w:instrText xml:space="preserve"> PAGEREF _Toc227848218 \h </w:instrText>
            </w:r>
            <w:r>
              <w:rPr>
                <w:noProof/>
                <w:webHidden/>
              </w:rPr>
            </w:r>
            <w:r>
              <w:rPr>
                <w:noProof/>
                <w:webHidden/>
              </w:rPr>
              <w:fldChar w:fldCharType="separate"/>
            </w:r>
            <w:r>
              <w:rPr>
                <w:noProof/>
                <w:webHidden/>
              </w:rPr>
              <w:t>42</w:t>
            </w:r>
            <w:r>
              <w:rPr>
                <w:noProof/>
                <w:webHidden/>
              </w:rPr>
              <w:fldChar w:fldCharType="end"/>
            </w:r>
          </w:hyperlink>
        </w:p>
        <w:p w14:paraId="3CA5D108" w14:textId="558368BF" w:rsidR="003422F4" w:rsidRDefault="003422F4">
          <w:pPr>
            <w:pStyle w:val="TOC1"/>
            <w:tabs>
              <w:tab w:val="right" w:leader="dot" w:pos="9350"/>
            </w:tabs>
            <w:rPr>
              <w:rFonts w:asciiTheme="minorHAnsi" w:eastAsiaTheme="minorEastAsia" w:hAnsiTheme="minorHAnsi"/>
              <w:noProof/>
            </w:rPr>
          </w:pPr>
          <w:hyperlink w:anchor="_Toc227848219" w:history="1">
            <w:r w:rsidRPr="00EF7D26">
              <w:rPr>
                <w:rStyle w:val="Hyperlink"/>
                <w:noProof/>
              </w:rPr>
              <w:t>6. Investment Appraisal and Capital Budgeting</w:t>
            </w:r>
            <w:r>
              <w:rPr>
                <w:noProof/>
                <w:webHidden/>
              </w:rPr>
              <w:tab/>
            </w:r>
            <w:r>
              <w:rPr>
                <w:noProof/>
                <w:webHidden/>
              </w:rPr>
              <w:fldChar w:fldCharType="begin"/>
            </w:r>
            <w:r>
              <w:rPr>
                <w:noProof/>
                <w:webHidden/>
              </w:rPr>
              <w:instrText xml:space="preserve"> PAGEREF _Toc227848219 \h </w:instrText>
            </w:r>
            <w:r>
              <w:rPr>
                <w:noProof/>
                <w:webHidden/>
              </w:rPr>
            </w:r>
            <w:r>
              <w:rPr>
                <w:noProof/>
                <w:webHidden/>
              </w:rPr>
              <w:fldChar w:fldCharType="separate"/>
            </w:r>
            <w:r>
              <w:rPr>
                <w:noProof/>
                <w:webHidden/>
              </w:rPr>
              <w:t>44</w:t>
            </w:r>
            <w:r>
              <w:rPr>
                <w:noProof/>
                <w:webHidden/>
              </w:rPr>
              <w:fldChar w:fldCharType="end"/>
            </w:r>
          </w:hyperlink>
        </w:p>
        <w:p w14:paraId="4050EE35" w14:textId="61DD368F" w:rsidR="003422F4" w:rsidRDefault="003422F4">
          <w:pPr>
            <w:pStyle w:val="TOC2"/>
            <w:tabs>
              <w:tab w:val="right" w:leader="dot" w:pos="9350"/>
            </w:tabs>
            <w:rPr>
              <w:rFonts w:asciiTheme="minorHAnsi" w:eastAsiaTheme="minorEastAsia" w:hAnsiTheme="minorHAnsi"/>
              <w:noProof/>
            </w:rPr>
          </w:pPr>
          <w:hyperlink w:anchor="_Toc227848220" w:history="1">
            <w:r w:rsidRPr="00EF7D26">
              <w:rPr>
                <w:rStyle w:val="Hyperlink"/>
                <w:noProof/>
              </w:rPr>
              <w:t>6.1 Appraisal Methods</w:t>
            </w:r>
            <w:r>
              <w:rPr>
                <w:noProof/>
                <w:webHidden/>
              </w:rPr>
              <w:tab/>
            </w:r>
            <w:r>
              <w:rPr>
                <w:noProof/>
                <w:webHidden/>
              </w:rPr>
              <w:fldChar w:fldCharType="begin"/>
            </w:r>
            <w:r>
              <w:rPr>
                <w:noProof/>
                <w:webHidden/>
              </w:rPr>
              <w:instrText xml:space="preserve"> PAGEREF _Toc227848220 \h </w:instrText>
            </w:r>
            <w:r>
              <w:rPr>
                <w:noProof/>
                <w:webHidden/>
              </w:rPr>
            </w:r>
            <w:r>
              <w:rPr>
                <w:noProof/>
                <w:webHidden/>
              </w:rPr>
              <w:fldChar w:fldCharType="separate"/>
            </w:r>
            <w:r>
              <w:rPr>
                <w:noProof/>
                <w:webHidden/>
              </w:rPr>
              <w:t>44</w:t>
            </w:r>
            <w:r>
              <w:rPr>
                <w:noProof/>
                <w:webHidden/>
              </w:rPr>
              <w:fldChar w:fldCharType="end"/>
            </w:r>
          </w:hyperlink>
        </w:p>
        <w:p w14:paraId="7BCF39F9" w14:textId="00CA1022" w:rsidR="003422F4" w:rsidRDefault="003422F4">
          <w:pPr>
            <w:pStyle w:val="TOC2"/>
            <w:tabs>
              <w:tab w:val="right" w:leader="dot" w:pos="9350"/>
            </w:tabs>
            <w:rPr>
              <w:rFonts w:asciiTheme="minorHAnsi" w:eastAsiaTheme="minorEastAsia" w:hAnsiTheme="minorHAnsi"/>
              <w:noProof/>
            </w:rPr>
          </w:pPr>
          <w:hyperlink w:anchor="_Toc227848221" w:history="1">
            <w:r w:rsidRPr="00EF7D26">
              <w:rPr>
                <w:rStyle w:val="Hyperlink"/>
                <w:noProof/>
              </w:rPr>
              <w:t>6.2 Project Results</w:t>
            </w:r>
            <w:r>
              <w:rPr>
                <w:noProof/>
                <w:webHidden/>
              </w:rPr>
              <w:tab/>
            </w:r>
            <w:r>
              <w:rPr>
                <w:noProof/>
                <w:webHidden/>
              </w:rPr>
              <w:fldChar w:fldCharType="begin"/>
            </w:r>
            <w:r>
              <w:rPr>
                <w:noProof/>
                <w:webHidden/>
              </w:rPr>
              <w:instrText xml:space="preserve"> PAGEREF _Toc227848221 \h </w:instrText>
            </w:r>
            <w:r>
              <w:rPr>
                <w:noProof/>
                <w:webHidden/>
              </w:rPr>
            </w:r>
            <w:r>
              <w:rPr>
                <w:noProof/>
                <w:webHidden/>
              </w:rPr>
              <w:fldChar w:fldCharType="separate"/>
            </w:r>
            <w:r>
              <w:rPr>
                <w:noProof/>
                <w:webHidden/>
              </w:rPr>
              <w:t>47</w:t>
            </w:r>
            <w:r>
              <w:rPr>
                <w:noProof/>
                <w:webHidden/>
              </w:rPr>
              <w:fldChar w:fldCharType="end"/>
            </w:r>
          </w:hyperlink>
        </w:p>
        <w:p w14:paraId="57EFF3AD" w14:textId="51E85DEE" w:rsidR="003422F4" w:rsidRDefault="003422F4">
          <w:pPr>
            <w:pStyle w:val="TOC2"/>
            <w:tabs>
              <w:tab w:val="right" w:leader="dot" w:pos="9350"/>
            </w:tabs>
            <w:rPr>
              <w:rFonts w:asciiTheme="minorHAnsi" w:eastAsiaTheme="minorEastAsia" w:hAnsiTheme="minorHAnsi"/>
              <w:noProof/>
            </w:rPr>
          </w:pPr>
          <w:hyperlink w:anchor="_Toc227848222" w:history="1">
            <w:r w:rsidRPr="00EF7D26">
              <w:rPr>
                <w:rStyle w:val="Hyperlink"/>
                <w:noProof/>
              </w:rPr>
              <w:t>Table 1. Investment appraisal results for Projects A, B and C</w:t>
            </w:r>
            <w:r>
              <w:rPr>
                <w:noProof/>
                <w:webHidden/>
              </w:rPr>
              <w:tab/>
            </w:r>
            <w:r>
              <w:rPr>
                <w:noProof/>
                <w:webHidden/>
              </w:rPr>
              <w:fldChar w:fldCharType="begin"/>
            </w:r>
            <w:r>
              <w:rPr>
                <w:noProof/>
                <w:webHidden/>
              </w:rPr>
              <w:instrText xml:space="preserve"> PAGEREF _Toc227848222 \h </w:instrText>
            </w:r>
            <w:r>
              <w:rPr>
                <w:noProof/>
                <w:webHidden/>
              </w:rPr>
            </w:r>
            <w:r>
              <w:rPr>
                <w:noProof/>
                <w:webHidden/>
              </w:rPr>
              <w:fldChar w:fldCharType="separate"/>
            </w:r>
            <w:r>
              <w:rPr>
                <w:noProof/>
                <w:webHidden/>
              </w:rPr>
              <w:t>47</w:t>
            </w:r>
            <w:r>
              <w:rPr>
                <w:noProof/>
                <w:webHidden/>
              </w:rPr>
              <w:fldChar w:fldCharType="end"/>
            </w:r>
          </w:hyperlink>
        </w:p>
        <w:p w14:paraId="2B64152E" w14:textId="6D817F1E" w:rsidR="003422F4" w:rsidRDefault="003422F4">
          <w:pPr>
            <w:pStyle w:val="TOC2"/>
            <w:tabs>
              <w:tab w:val="right" w:leader="dot" w:pos="9350"/>
            </w:tabs>
            <w:rPr>
              <w:rFonts w:asciiTheme="minorHAnsi" w:eastAsiaTheme="minorEastAsia" w:hAnsiTheme="minorHAnsi"/>
              <w:noProof/>
            </w:rPr>
          </w:pPr>
          <w:hyperlink w:anchor="_Toc227848223" w:history="1">
            <w:r w:rsidRPr="00EF7D26">
              <w:rPr>
                <w:rStyle w:val="Hyperlink"/>
                <w:noProof/>
              </w:rPr>
              <w:t>6.3 Interpretation of Findings</w:t>
            </w:r>
            <w:r>
              <w:rPr>
                <w:noProof/>
                <w:webHidden/>
              </w:rPr>
              <w:tab/>
            </w:r>
            <w:r>
              <w:rPr>
                <w:noProof/>
                <w:webHidden/>
              </w:rPr>
              <w:fldChar w:fldCharType="begin"/>
            </w:r>
            <w:r>
              <w:rPr>
                <w:noProof/>
                <w:webHidden/>
              </w:rPr>
              <w:instrText xml:space="preserve"> PAGEREF _Toc227848223 \h </w:instrText>
            </w:r>
            <w:r>
              <w:rPr>
                <w:noProof/>
                <w:webHidden/>
              </w:rPr>
            </w:r>
            <w:r>
              <w:rPr>
                <w:noProof/>
                <w:webHidden/>
              </w:rPr>
              <w:fldChar w:fldCharType="separate"/>
            </w:r>
            <w:r>
              <w:rPr>
                <w:noProof/>
                <w:webHidden/>
              </w:rPr>
              <w:t>49</w:t>
            </w:r>
            <w:r>
              <w:rPr>
                <w:noProof/>
                <w:webHidden/>
              </w:rPr>
              <w:fldChar w:fldCharType="end"/>
            </w:r>
          </w:hyperlink>
        </w:p>
        <w:p w14:paraId="398D5DAD" w14:textId="5DEC85AE" w:rsidR="003422F4" w:rsidRDefault="003422F4">
          <w:pPr>
            <w:pStyle w:val="TOC2"/>
            <w:tabs>
              <w:tab w:val="right" w:leader="dot" w:pos="9350"/>
            </w:tabs>
            <w:rPr>
              <w:rFonts w:asciiTheme="minorHAnsi" w:eastAsiaTheme="minorEastAsia" w:hAnsiTheme="minorHAnsi"/>
              <w:noProof/>
            </w:rPr>
          </w:pPr>
          <w:hyperlink w:anchor="_Toc227848224" w:history="1">
            <w:r w:rsidRPr="00EF7D26">
              <w:rPr>
                <w:rStyle w:val="Hyperlink"/>
                <w:noProof/>
              </w:rPr>
              <w:t>6.4 Recommended Single Project</w:t>
            </w:r>
            <w:r>
              <w:rPr>
                <w:noProof/>
                <w:webHidden/>
              </w:rPr>
              <w:tab/>
            </w:r>
            <w:r>
              <w:rPr>
                <w:noProof/>
                <w:webHidden/>
              </w:rPr>
              <w:fldChar w:fldCharType="begin"/>
            </w:r>
            <w:r>
              <w:rPr>
                <w:noProof/>
                <w:webHidden/>
              </w:rPr>
              <w:instrText xml:space="preserve"> PAGEREF _Toc227848224 \h </w:instrText>
            </w:r>
            <w:r>
              <w:rPr>
                <w:noProof/>
                <w:webHidden/>
              </w:rPr>
            </w:r>
            <w:r>
              <w:rPr>
                <w:noProof/>
                <w:webHidden/>
              </w:rPr>
              <w:fldChar w:fldCharType="separate"/>
            </w:r>
            <w:r>
              <w:rPr>
                <w:noProof/>
                <w:webHidden/>
              </w:rPr>
              <w:t>51</w:t>
            </w:r>
            <w:r>
              <w:rPr>
                <w:noProof/>
                <w:webHidden/>
              </w:rPr>
              <w:fldChar w:fldCharType="end"/>
            </w:r>
          </w:hyperlink>
        </w:p>
        <w:p w14:paraId="7F4F9920" w14:textId="57AAE5DE" w:rsidR="003422F4" w:rsidRDefault="003422F4">
          <w:pPr>
            <w:pStyle w:val="TOC2"/>
            <w:tabs>
              <w:tab w:val="right" w:leader="dot" w:pos="9350"/>
            </w:tabs>
            <w:rPr>
              <w:rFonts w:asciiTheme="minorHAnsi" w:eastAsiaTheme="minorEastAsia" w:hAnsiTheme="minorHAnsi"/>
              <w:noProof/>
            </w:rPr>
          </w:pPr>
          <w:hyperlink w:anchor="_Toc227848225" w:history="1">
            <w:r w:rsidRPr="00EF7D26">
              <w:rPr>
                <w:rStyle w:val="Hyperlink"/>
                <w:noProof/>
              </w:rPr>
              <w:t>6.5 Capital Rationing and Best Project Combination</w:t>
            </w:r>
            <w:r>
              <w:rPr>
                <w:noProof/>
                <w:webHidden/>
              </w:rPr>
              <w:tab/>
            </w:r>
            <w:r>
              <w:rPr>
                <w:noProof/>
                <w:webHidden/>
              </w:rPr>
              <w:fldChar w:fldCharType="begin"/>
            </w:r>
            <w:r>
              <w:rPr>
                <w:noProof/>
                <w:webHidden/>
              </w:rPr>
              <w:instrText xml:space="preserve"> PAGEREF _Toc227848225 \h </w:instrText>
            </w:r>
            <w:r>
              <w:rPr>
                <w:noProof/>
                <w:webHidden/>
              </w:rPr>
            </w:r>
            <w:r>
              <w:rPr>
                <w:noProof/>
                <w:webHidden/>
              </w:rPr>
              <w:fldChar w:fldCharType="separate"/>
            </w:r>
            <w:r>
              <w:rPr>
                <w:noProof/>
                <w:webHidden/>
              </w:rPr>
              <w:t>53</w:t>
            </w:r>
            <w:r>
              <w:rPr>
                <w:noProof/>
                <w:webHidden/>
              </w:rPr>
              <w:fldChar w:fldCharType="end"/>
            </w:r>
          </w:hyperlink>
        </w:p>
        <w:p w14:paraId="2BB25451" w14:textId="2FE390F4" w:rsidR="003422F4" w:rsidRDefault="003422F4">
          <w:pPr>
            <w:pStyle w:val="TOC2"/>
            <w:tabs>
              <w:tab w:val="right" w:leader="dot" w:pos="9350"/>
            </w:tabs>
            <w:rPr>
              <w:rFonts w:asciiTheme="minorHAnsi" w:eastAsiaTheme="minorEastAsia" w:hAnsiTheme="minorHAnsi"/>
              <w:noProof/>
            </w:rPr>
          </w:pPr>
          <w:hyperlink w:anchor="_Toc227848226" w:history="1">
            <w:r w:rsidRPr="00EF7D26">
              <w:rPr>
                <w:rStyle w:val="Hyperlink"/>
                <w:noProof/>
              </w:rPr>
              <w:t>6.6 Non-Financial Risks and Strategic Fit</w:t>
            </w:r>
            <w:r>
              <w:rPr>
                <w:noProof/>
                <w:webHidden/>
              </w:rPr>
              <w:tab/>
            </w:r>
            <w:r>
              <w:rPr>
                <w:noProof/>
                <w:webHidden/>
              </w:rPr>
              <w:fldChar w:fldCharType="begin"/>
            </w:r>
            <w:r>
              <w:rPr>
                <w:noProof/>
                <w:webHidden/>
              </w:rPr>
              <w:instrText xml:space="preserve"> PAGEREF _Toc227848226 \h </w:instrText>
            </w:r>
            <w:r>
              <w:rPr>
                <w:noProof/>
                <w:webHidden/>
              </w:rPr>
            </w:r>
            <w:r>
              <w:rPr>
                <w:noProof/>
                <w:webHidden/>
              </w:rPr>
              <w:fldChar w:fldCharType="separate"/>
            </w:r>
            <w:r>
              <w:rPr>
                <w:noProof/>
                <w:webHidden/>
              </w:rPr>
              <w:t>56</w:t>
            </w:r>
            <w:r>
              <w:rPr>
                <w:noProof/>
                <w:webHidden/>
              </w:rPr>
              <w:fldChar w:fldCharType="end"/>
            </w:r>
          </w:hyperlink>
        </w:p>
        <w:p w14:paraId="73596C48" w14:textId="597518C4" w:rsidR="003422F4" w:rsidRDefault="003422F4">
          <w:pPr>
            <w:pStyle w:val="TOC1"/>
            <w:tabs>
              <w:tab w:val="right" w:leader="dot" w:pos="9350"/>
            </w:tabs>
            <w:rPr>
              <w:rFonts w:asciiTheme="minorHAnsi" w:eastAsiaTheme="minorEastAsia" w:hAnsiTheme="minorHAnsi"/>
              <w:noProof/>
            </w:rPr>
          </w:pPr>
          <w:hyperlink w:anchor="_Toc227848227" w:history="1">
            <w:r w:rsidRPr="00EF7D26">
              <w:rPr>
                <w:rStyle w:val="Hyperlink"/>
                <w:noProof/>
              </w:rPr>
              <w:t>7. Conclusion</w:t>
            </w:r>
            <w:r>
              <w:rPr>
                <w:noProof/>
                <w:webHidden/>
              </w:rPr>
              <w:tab/>
            </w:r>
            <w:r>
              <w:rPr>
                <w:noProof/>
                <w:webHidden/>
              </w:rPr>
              <w:fldChar w:fldCharType="begin"/>
            </w:r>
            <w:r>
              <w:rPr>
                <w:noProof/>
                <w:webHidden/>
              </w:rPr>
              <w:instrText xml:space="preserve"> PAGEREF _Toc227848227 \h </w:instrText>
            </w:r>
            <w:r>
              <w:rPr>
                <w:noProof/>
                <w:webHidden/>
              </w:rPr>
            </w:r>
            <w:r>
              <w:rPr>
                <w:noProof/>
                <w:webHidden/>
              </w:rPr>
              <w:fldChar w:fldCharType="separate"/>
            </w:r>
            <w:r>
              <w:rPr>
                <w:noProof/>
                <w:webHidden/>
              </w:rPr>
              <w:t>58</w:t>
            </w:r>
            <w:r>
              <w:rPr>
                <w:noProof/>
                <w:webHidden/>
              </w:rPr>
              <w:fldChar w:fldCharType="end"/>
            </w:r>
          </w:hyperlink>
        </w:p>
        <w:p w14:paraId="489C0396" w14:textId="54E4EBC8" w:rsidR="003422F4" w:rsidRDefault="003422F4">
          <w:pPr>
            <w:pStyle w:val="TOC1"/>
            <w:tabs>
              <w:tab w:val="right" w:leader="dot" w:pos="9350"/>
            </w:tabs>
            <w:rPr>
              <w:rFonts w:asciiTheme="minorHAnsi" w:eastAsiaTheme="minorEastAsia" w:hAnsiTheme="minorHAnsi"/>
              <w:noProof/>
            </w:rPr>
          </w:pPr>
          <w:hyperlink w:anchor="_Toc227848228" w:history="1">
            <w:r w:rsidRPr="00EF7D26">
              <w:rPr>
                <w:rStyle w:val="Hyperlink"/>
                <w:noProof/>
              </w:rPr>
              <w:t>References</w:t>
            </w:r>
            <w:r>
              <w:rPr>
                <w:noProof/>
                <w:webHidden/>
              </w:rPr>
              <w:tab/>
            </w:r>
            <w:r>
              <w:rPr>
                <w:noProof/>
                <w:webHidden/>
              </w:rPr>
              <w:fldChar w:fldCharType="begin"/>
            </w:r>
            <w:r>
              <w:rPr>
                <w:noProof/>
                <w:webHidden/>
              </w:rPr>
              <w:instrText xml:space="preserve"> PAGEREF _Toc227848228 \h </w:instrText>
            </w:r>
            <w:r>
              <w:rPr>
                <w:noProof/>
                <w:webHidden/>
              </w:rPr>
            </w:r>
            <w:r>
              <w:rPr>
                <w:noProof/>
                <w:webHidden/>
              </w:rPr>
              <w:fldChar w:fldCharType="separate"/>
            </w:r>
            <w:r>
              <w:rPr>
                <w:noProof/>
                <w:webHidden/>
              </w:rPr>
              <w:t>61</w:t>
            </w:r>
            <w:r>
              <w:rPr>
                <w:noProof/>
                <w:webHidden/>
              </w:rPr>
              <w:fldChar w:fldCharType="end"/>
            </w:r>
          </w:hyperlink>
        </w:p>
        <w:p w14:paraId="24426E08" w14:textId="52802D88" w:rsidR="003422F4" w:rsidRDefault="003422F4">
          <w:pPr>
            <w:pStyle w:val="TOC1"/>
            <w:tabs>
              <w:tab w:val="right" w:leader="dot" w:pos="9350"/>
            </w:tabs>
            <w:rPr>
              <w:rFonts w:asciiTheme="minorHAnsi" w:eastAsiaTheme="minorEastAsia" w:hAnsiTheme="minorHAnsi"/>
              <w:noProof/>
            </w:rPr>
          </w:pPr>
          <w:hyperlink w:anchor="_Toc227848229" w:history="1">
            <w:r w:rsidRPr="00EF7D26">
              <w:rPr>
                <w:rStyle w:val="Hyperlink"/>
                <w:noProof/>
              </w:rPr>
              <w:t>Appendices</w:t>
            </w:r>
            <w:r>
              <w:rPr>
                <w:noProof/>
                <w:webHidden/>
              </w:rPr>
              <w:tab/>
            </w:r>
            <w:r>
              <w:rPr>
                <w:noProof/>
                <w:webHidden/>
              </w:rPr>
              <w:fldChar w:fldCharType="begin"/>
            </w:r>
            <w:r>
              <w:rPr>
                <w:noProof/>
                <w:webHidden/>
              </w:rPr>
              <w:instrText xml:space="preserve"> PAGEREF _Toc227848229 \h </w:instrText>
            </w:r>
            <w:r>
              <w:rPr>
                <w:noProof/>
                <w:webHidden/>
              </w:rPr>
            </w:r>
            <w:r>
              <w:rPr>
                <w:noProof/>
                <w:webHidden/>
              </w:rPr>
              <w:fldChar w:fldCharType="separate"/>
            </w:r>
            <w:r>
              <w:rPr>
                <w:noProof/>
                <w:webHidden/>
              </w:rPr>
              <w:t>62</w:t>
            </w:r>
            <w:r>
              <w:rPr>
                <w:noProof/>
                <w:webHidden/>
              </w:rPr>
              <w:fldChar w:fldCharType="end"/>
            </w:r>
          </w:hyperlink>
        </w:p>
        <w:p w14:paraId="5EB1F74C" w14:textId="6FF69228" w:rsidR="003F0EC9" w:rsidRPr="00CE50F1" w:rsidRDefault="001D4008" w:rsidP="00CE50F1">
          <w:pPr>
            <w:rPr>
              <w:b/>
              <w:bCs/>
              <w:noProof/>
            </w:rPr>
          </w:pPr>
          <w:r>
            <w:rPr>
              <w:b/>
              <w:bCs/>
              <w:noProof/>
            </w:rPr>
            <w:fldChar w:fldCharType="end"/>
          </w:r>
        </w:p>
      </w:sdtContent>
    </w:sdt>
    <w:p w14:paraId="1EC7B86E" w14:textId="6FD9EF6B" w:rsidR="00CE50F1" w:rsidRPr="00CE50F1" w:rsidRDefault="00CE50F1" w:rsidP="00CE50F1">
      <w:pPr>
        <w:rPr>
          <w:sz w:val="32"/>
          <w:szCs w:val="32"/>
        </w:rPr>
      </w:pPr>
      <w:r w:rsidRPr="00CE50F1">
        <w:rPr>
          <w:sz w:val="32"/>
          <w:szCs w:val="32"/>
        </w:rPr>
        <w:t>List of Tables</w:t>
      </w:r>
    </w:p>
    <w:p w14:paraId="3AE7EEBE" w14:textId="07BC4987" w:rsidR="00CE50F1" w:rsidRDefault="00CE50F1">
      <w:pPr>
        <w:pStyle w:val="TableofFigures"/>
        <w:tabs>
          <w:tab w:val="right" w:leader="dot" w:pos="9350"/>
        </w:tabs>
        <w:rPr>
          <w:noProof/>
        </w:rPr>
      </w:pPr>
      <w:r>
        <w:rPr>
          <w:sz w:val="32"/>
          <w:szCs w:val="32"/>
        </w:rPr>
        <w:fldChar w:fldCharType="begin"/>
      </w:r>
      <w:r>
        <w:rPr>
          <w:sz w:val="32"/>
          <w:szCs w:val="32"/>
        </w:rPr>
        <w:instrText xml:space="preserve"> TOC \h \z \c "Table" </w:instrText>
      </w:r>
      <w:r>
        <w:rPr>
          <w:sz w:val="32"/>
          <w:szCs w:val="32"/>
        </w:rPr>
        <w:fldChar w:fldCharType="separate"/>
      </w:r>
      <w:hyperlink w:anchor="_Toc227891332" w:history="1">
        <w:r w:rsidRPr="00445672">
          <w:rPr>
            <w:rStyle w:val="Hyperlink"/>
            <w:noProof/>
          </w:rPr>
          <w:t>Table 1 (Investment appraisal results for Projects A, B and C)</w:t>
        </w:r>
        <w:r>
          <w:rPr>
            <w:noProof/>
            <w:webHidden/>
          </w:rPr>
          <w:tab/>
        </w:r>
        <w:r>
          <w:rPr>
            <w:noProof/>
            <w:webHidden/>
          </w:rPr>
          <w:fldChar w:fldCharType="begin"/>
        </w:r>
        <w:r>
          <w:rPr>
            <w:noProof/>
            <w:webHidden/>
          </w:rPr>
          <w:instrText xml:space="preserve"> PAGEREF _Toc227891332 \h </w:instrText>
        </w:r>
        <w:r>
          <w:rPr>
            <w:noProof/>
            <w:webHidden/>
          </w:rPr>
        </w:r>
        <w:r>
          <w:rPr>
            <w:noProof/>
            <w:webHidden/>
          </w:rPr>
          <w:fldChar w:fldCharType="separate"/>
        </w:r>
        <w:r>
          <w:rPr>
            <w:noProof/>
            <w:webHidden/>
          </w:rPr>
          <w:t>22</w:t>
        </w:r>
        <w:r>
          <w:rPr>
            <w:noProof/>
            <w:webHidden/>
          </w:rPr>
          <w:fldChar w:fldCharType="end"/>
        </w:r>
      </w:hyperlink>
    </w:p>
    <w:p w14:paraId="6EBED2FA" w14:textId="63931918" w:rsidR="00CE50F1" w:rsidRDefault="00CE50F1">
      <w:pPr>
        <w:pStyle w:val="TableofFigures"/>
        <w:tabs>
          <w:tab w:val="right" w:leader="dot" w:pos="9350"/>
        </w:tabs>
        <w:rPr>
          <w:noProof/>
        </w:rPr>
      </w:pPr>
      <w:hyperlink w:anchor="_Toc227891333" w:history="1">
        <w:r w:rsidRPr="00445672">
          <w:rPr>
            <w:rStyle w:val="Hyperlink"/>
            <w:noProof/>
          </w:rPr>
          <w:t>Table 2 (Five-Year Financial Data Table, source: Tesla Annual Report 2020-2024)</w:t>
        </w:r>
        <w:r>
          <w:rPr>
            <w:noProof/>
            <w:webHidden/>
          </w:rPr>
          <w:tab/>
        </w:r>
        <w:r>
          <w:rPr>
            <w:noProof/>
            <w:webHidden/>
          </w:rPr>
          <w:fldChar w:fldCharType="begin"/>
        </w:r>
        <w:r>
          <w:rPr>
            <w:noProof/>
            <w:webHidden/>
          </w:rPr>
          <w:instrText xml:space="preserve"> PAGEREF _Toc227891333 \h </w:instrText>
        </w:r>
        <w:r>
          <w:rPr>
            <w:noProof/>
            <w:webHidden/>
          </w:rPr>
        </w:r>
        <w:r>
          <w:rPr>
            <w:noProof/>
            <w:webHidden/>
          </w:rPr>
          <w:fldChar w:fldCharType="separate"/>
        </w:r>
        <w:r>
          <w:rPr>
            <w:noProof/>
            <w:webHidden/>
          </w:rPr>
          <w:t>33</w:t>
        </w:r>
        <w:r>
          <w:rPr>
            <w:noProof/>
            <w:webHidden/>
          </w:rPr>
          <w:fldChar w:fldCharType="end"/>
        </w:r>
      </w:hyperlink>
    </w:p>
    <w:p w14:paraId="29B0A680" w14:textId="502388CF" w:rsidR="00CE50F1" w:rsidRDefault="00CE50F1">
      <w:pPr>
        <w:pStyle w:val="TableofFigures"/>
        <w:tabs>
          <w:tab w:val="right" w:leader="dot" w:pos="9350"/>
        </w:tabs>
        <w:rPr>
          <w:noProof/>
        </w:rPr>
      </w:pPr>
      <w:hyperlink w:anchor="_Toc227891334" w:history="1">
        <w:r w:rsidRPr="00445672">
          <w:rPr>
            <w:rStyle w:val="Hyperlink"/>
            <w:noProof/>
          </w:rPr>
          <w:t>Table 3 (Ratio formulas Used in the analysis)</w:t>
        </w:r>
        <w:r>
          <w:rPr>
            <w:noProof/>
            <w:webHidden/>
          </w:rPr>
          <w:tab/>
        </w:r>
        <w:r>
          <w:rPr>
            <w:noProof/>
            <w:webHidden/>
          </w:rPr>
          <w:fldChar w:fldCharType="begin"/>
        </w:r>
        <w:r>
          <w:rPr>
            <w:noProof/>
            <w:webHidden/>
          </w:rPr>
          <w:instrText xml:space="preserve"> PAGEREF _Toc227891334 \h </w:instrText>
        </w:r>
        <w:r>
          <w:rPr>
            <w:noProof/>
            <w:webHidden/>
          </w:rPr>
        </w:r>
        <w:r>
          <w:rPr>
            <w:noProof/>
            <w:webHidden/>
          </w:rPr>
          <w:fldChar w:fldCharType="separate"/>
        </w:r>
        <w:r>
          <w:rPr>
            <w:noProof/>
            <w:webHidden/>
          </w:rPr>
          <w:t>35</w:t>
        </w:r>
        <w:r>
          <w:rPr>
            <w:noProof/>
            <w:webHidden/>
          </w:rPr>
          <w:fldChar w:fldCharType="end"/>
        </w:r>
      </w:hyperlink>
    </w:p>
    <w:p w14:paraId="78F042B4" w14:textId="1F2EFC3C" w:rsidR="00CE50F1" w:rsidRDefault="00CE50F1">
      <w:pPr>
        <w:pStyle w:val="TableofFigures"/>
        <w:tabs>
          <w:tab w:val="right" w:leader="dot" w:pos="9350"/>
        </w:tabs>
        <w:rPr>
          <w:noProof/>
        </w:rPr>
      </w:pPr>
      <w:hyperlink w:anchor="_Toc227891335" w:history="1">
        <w:r w:rsidRPr="00445672">
          <w:rPr>
            <w:rStyle w:val="Hyperlink"/>
            <w:noProof/>
          </w:rPr>
          <w:t>Table 4 (Tesla five-year ratio analysis, 2020–2024, Source: Author calculations based on Tesla Annual Reports 2020–2024.)</w:t>
        </w:r>
        <w:r>
          <w:rPr>
            <w:noProof/>
            <w:webHidden/>
          </w:rPr>
          <w:tab/>
        </w:r>
        <w:r>
          <w:rPr>
            <w:noProof/>
            <w:webHidden/>
          </w:rPr>
          <w:fldChar w:fldCharType="begin"/>
        </w:r>
        <w:r>
          <w:rPr>
            <w:noProof/>
            <w:webHidden/>
          </w:rPr>
          <w:instrText xml:space="preserve"> PAGEREF _Toc227891335 \h </w:instrText>
        </w:r>
        <w:r>
          <w:rPr>
            <w:noProof/>
            <w:webHidden/>
          </w:rPr>
        </w:r>
        <w:r>
          <w:rPr>
            <w:noProof/>
            <w:webHidden/>
          </w:rPr>
          <w:fldChar w:fldCharType="separate"/>
        </w:r>
        <w:r>
          <w:rPr>
            <w:noProof/>
            <w:webHidden/>
          </w:rPr>
          <w:t>36</w:t>
        </w:r>
        <w:r>
          <w:rPr>
            <w:noProof/>
            <w:webHidden/>
          </w:rPr>
          <w:fldChar w:fldCharType="end"/>
        </w:r>
      </w:hyperlink>
    </w:p>
    <w:p w14:paraId="343BFB29" w14:textId="5C33E0D2" w:rsidR="00CE50F1" w:rsidRDefault="00CE50F1">
      <w:pPr>
        <w:pStyle w:val="TableofFigures"/>
        <w:tabs>
          <w:tab w:val="right" w:leader="dot" w:pos="9350"/>
        </w:tabs>
        <w:rPr>
          <w:noProof/>
        </w:rPr>
      </w:pPr>
      <w:hyperlink w:anchor="_Toc227891336" w:history="1">
        <w:r w:rsidRPr="00445672">
          <w:rPr>
            <w:rStyle w:val="Hyperlink"/>
            <w:noProof/>
          </w:rPr>
          <w:t>Table 5 (Author calculations based on Tesla Annual Reports 2020–2024.)</w:t>
        </w:r>
        <w:r>
          <w:rPr>
            <w:noProof/>
            <w:webHidden/>
          </w:rPr>
          <w:tab/>
        </w:r>
        <w:r>
          <w:rPr>
            <w:noProof/>
            <w:webHidden/>
          </w:rPr>
          <w:fldChar w:fldCharType="begin"/>
        </w:r>
        <w:r>
          <w:rPr>
            <w:noProof/>
            <w:webHidden/>
          </w:rPr>
          <w:instrText xml:space="preserve"> PAGEREF _Toc227891336 \h </w:instrText>
        </w:r>
        <w:r>
          <w:rPr>
            <w:noProof/>
            <w:webHidden/>
          </w:rPr>
        </w:r>
        <w:r>
          <w:rPr>
            <w:noProof/>
            <w:webHidden/>
          </w:rPr>
          <w:fldChar w:fldCharType="separate"/>
        </w:r>
        <w:r>
          <w:rPr>
            <w:noProof/>
            <w:webHidden/>
          </w:rPr>
          <w:t>37</w:t>
        </w:r>
        <w:r>
          <w:rPr>
            <w:noProof/>
            <w:webHidden/>
          </w:rPr>
          <w:fldChar w:fldCharType="end"/>
        </w:r>
      </w:hyperlink>
    </w:p>
    <w:p w14:paraId="7C1F32D3" w14:textId="63328277" w:rsidR="00CE50F1" w:rsidRDefault="00CE50F1">
      <w:pPr>
        <w:pStyle w:val="TableofFigures"/>
        <w:tabs>
          <w:tab w:val="right" w:leader="dot" w:pos="9350"/>
        </w:tabs>
        <w:rPr>
          <w:noProof/>
        </w:rPr>
      </w:pPr>
      <w:hyperlink w:anchor="_Toc227891337" w:history="1">
        <w:r w:rsidRPr="00445672">
          <w:rPr>
            <w:rStyle w:val="Hyperlink"/>
            <w:noProof/>
          </w:rPr>
          <w:t>Table 6 (Project cash flow data)</w:t>
        </w:r>
        <w:r>
          <w:rPr>
            <w:noProof/>
            <w:webHidden/>
          </w:rPr>
          <w:tab/>
        </w:r>
        <w:r>
          <w:rPr>
            <w:noProof/>
            <w:webHidden/>
          </w:rPr>
          <w:fldChar w:fldCharType="begin"/>
        </w:r>
        <w:r>
          <w:rPr>
            <w:noProof/>
            <w:webHidden/>
          </w:rPr>
          <w:instrText xml:space="preserve"> PAGEREF _Toc227891337 \h </w:instrText>
        </w:r>
        <w:r>
          <w:rPr>
            <w:noProof/>
            <w:webHidden/>
          </w:rPr>
        </w:r>
        <w:r>
          <w:rPr>
            <w:noProof/>
            <w:webHidden/>
          </w:rPr>
          <w:fldChar w:fldCharType="separate"/>
        </w:r>
        <w:r>
          <w:rPr>
            <w:noProof/>
            <w:webHidden/>
          </w:rPr>
          <w:t>38</w:t>
        </w:r>
        <w:r>
          <w:rPr>
            <w:noProof/>
            <w:webHidden/>
          </w:rPr>
          <w:fldChar w:fldCharType="end"/>
        </w:r>
      </w:hyperlink>
    </w:p>
    <w:p w14:paraId="53EDCE2C" w14:textId="2E7221F8" w:rsidR="00CE50F1" w:rsidRDefault="00CE50F1">
      <w:pPr>
        <w:pStyle w:val="TableofFigures"/>
        <w:tabs>
          <w:tab w:val="right" w:leader="dot" w:pos="9350"/>
        </w:tabs>
        <w:rPr>
          <w:noProof/>
        </w:rPr>
      </w:pPr>
      <w:hyperlink w:anchor="_Toc227891338" w:history="1">
        <w:r w:rsidRPr="00445672">
          <w:rPr>
            <w:rStyle w:val="Hyperlink"/>
            <w:noProof/>
          </w:rPr>
          <w:t>Table 7 (Payback period calculations)</w:t>
        </w:r>
        <w:r>
          <w:rPr>
            <w:noProof/>
            <w:webHidden/>
          </w:rPr>
          <w:tab/>
        </w:r>
        <w:r>
          <w:rPr>
            <w:noProof/>
            <w:webHidden/>
          </w:rPr>
          <w:fldChar w:fldCharType="begin"/>
        </w:r>
        <w:r>
          <w:rPr>
            <w:noProof/>
            <w:webHidden/>
          </w:rPr>
          <w:instrText xml:space="preserve"> PAGEREF _Toc227891338 \h </w:instrText>
        </w:r>
        <w:r>
          <w:rPr>
            <w:noProof/>
            <w:webHidden/>
          </w:rPr>
        </w:r>
        <w:r>
          <w:rPr>
            <w:noProof/>
            <w:webHidden/>
          </w:rPr>
          <w:fldChar w:fldCharType="separate"/>
        </w:r>
        <w:r>
          <w:rPr>
            <w:noProof/>
            <w:webHidden/>
          </w:rPr>
          <w:t>39</w:t>
        </w:r>
        <w:r>
          <w:rPr>
            <w:noProof/>
            <w:webHidden/>
          </w:rPr>
          <w:fldChar w:fldCharType="end"/>
        </w:r>
      </w:hyperlink>
    </w:p>
    <w:p w14:paraId="650B6232" w14:textId="419E644F" w:rsidR="00CE50F1" w:rsidRDefault="00CE50F1">
      <w:pPr>
        <w:pStyle w:val="TableofFigures"/>
        <w:tabs>
          <w:tab w:val="right" w:leader="dot" w:pos="9350"/>
        </w:tabs>
        <w:rPr>
          <w:noProof/>
        </w:rPr>
      </w:pPr>
      <w:hyperlink w:anchor="_Toc227891339" w:history="1">
        <w:r w:rsidRPr="00445672">
          <w:rPr>
            <w:rStyle w:val="Hyperlink"/>
            <w:noProof/>
          </w:rPr>
          <w:t>Table 8 (Accounting rate of return calculations)</w:t>
        </w:r>
        <w:r>
          <w:rPr>
            <w:noProof/>
            <w:webHidden/>
          </w:rPr>
          <w:tab/>
        </w:r>
        <w:r>
          <w:rPr>
            <w:noProof/>
            <w:webHidden/>
          </w:rPr>
          <w:fldChar w:fldCharType="begin"/>
        </w:r>
        <w:r>
          <w:rPr>
            <w:noProof/>
            <w:webHidden/>
          </w:rPr>
          <w:instrText xml:space="preserve"> PAGEREF _Toc227891339 \h </w:instrText>
        </w:r>
        <w:r>
          <w:rPr>
            <w:noProof/>
            <w:webHidden/>
          </w:rPr>
        </w:r>
        <w:r>
          <w:rPr>
            <w:noProof/>
            <w:webHidden/>
          </w:rPr>
          <w:fldChar w:fldCharType="separate"/>
        </w:r>
        <w:r>
          <w:rPr>
            <w:noProof/>
            <w:webHidden/>
          </w:rPr>
          <w:t>40</w:t>
        </w:r>
        <w:r>
          <w:rPr>
            <w:noProof/>
            <w:webHidden/>
          </w:rPr>
          <w:fldChar w:fldCharType="end"/>
        </w:r>
      </w:hyperlink>
    </w:p>
    <w:p w14:paraId="00C30DCE" w14:textId="2B7E956E" w:rsidR="00CE50F1" w:rsidRDefault="00CE50F1">
      <w:pPr>
        <w:pStyle w:val="TableofFigures"/>
        <w:tabs>
          <w:tab w:val="right" w:leader="dot" w:pos="9350"/>
        </w:tabs>
        <w:rPr>
          <w:noProof/>
        </w:rPr>
      </w:pPr>
      <w:hyperlink w:anchor="_Toc227891340" w:history="1">
        <w:r w:rsidRPr="00445672">
          <w:rPr>
            <w:rStyle w:val="Hyperlink"/>
            <w:noProof/>
          </w:rPr>
          <w:t>Table 9 (Net present value calculation: Project A)</w:t>
        </w:r>
        <w:r>
          <w:rPr>
            <w:noProof/>
            <w:webHidden/>
          </w:rPr>
          <w:tab/>
        </w:r>
        <w:r>
          <w:rPr>
            <w:noProof/>
            <w:webHidden/>
          </w:rPr>
          <w:fldChar w:fldCharType="begin"/>
        </w:r>
        <w:r>
          <w:rPr>
            <w:noProof/>
            <w:webHidden/>
          </w:rPr>
          <w:instrText xml:space="preserve"> PAGEREF _Toc227891340 \h </w:instrText>
        </w:r>
        <w:r>
          <w:rPr>
            <w:noProof/>
            <w:webHidden/>
          </w:rPr>
        </w:r>
        <w:r>
          <w:rPr>
            <w:noProof/>
            <w:webHidden/>
          </w:rPr>
          <w:fldChar w:fldCharType="separate"/>
        </w:r>
        <w:r>
          <w:rPr>
            <w:noProof/>
            <w:webHidden/>
          </w:rPr>
          <w:t>41</w:t>
        </w:r>
        <w:r>
          <w:rPr>
            <w:noProof/>
            <w:webHidden/>
          </w:rPr>
          <w:fldChar w:fldCharType="end"/>
        </w:r>
      </w:hyperlink>
    </w:p>
    <w:p w14:paraId="55F5520E" w14:textId="14626D52" w:rsidR="00CE50F1" w:rsidRDefault="00CE50F1">
      <w:pPr>
        <w:pStyle w:val="TableofFigures"/>
        <w:tabs>
          <w:tab w:val="right" w:leader="dot" w:pos="9350"/>
        </w:tabs>
        <w:rPr>
          <w:noProof/>
        </w:rPr>
      </w:pPr>
      <w:hyperlink w:anchor="_Toc227891341" w:history="1">
        <w:r w:rsidRPr="00445672">
          <w:rPr>
            <w:rStyle w:val="Hyperlink"/>
            <w:noProof/>
          </w:rPr>
          <w:t>Table 10 (Net present value calculation: Project B)</w:t>
        </w:r>
        <w:r>
          <w:rPr>
            <w:noProof/>
            <w:webHidden/>
          </w:rPr>
          <w:tab/>
        </w:r>
        <w:r>
          <w:rPr>
            <w:noProof/>
            <w:webHidden/>
          </w:rPr>
          <w:fldChar w:fldCharType="begin"/>
        </w:r>
        <w:r>
          <w:rPr>
            <w:noProof/>
            <w:webHidden/>
          </w:rPr>
          <w:instrText xml:space="preserve"> PAGEREF _Toc227891341 \h </w:instrText>
        </w:r>
        <w:r>
          <w:rPr>
            <w:noProof/>
            <w:webHidden/>
          </w:rPr>
        </w:r>
        <w:r>
          <w:rPr>
            <w:noProof/>
            <w:webHidden/>
          </w:rPr>
          <w:fldChar w:fldCharType="separate"/>
        </w:r>
        <w:r>
          <w:rPr>
            <w:noProof/>
            <w:webHidden/>
          </w:rPr>
          <w:t>42</w:t>
        </w:r>
        <w:r>
          <w:rPr>
            <w:noProof/>
            <w:webHidden/>
          </w:rPr>
          <w:fldChar w:fldCharType="end"/>
        </w:r>
      </w:hyperlink>
    </w:p>
    <w:p w14:paraId="3F59C219" w14:textId="291D2D7F" w:rsidR="00CE50F1" w:rsidRDefault="00CE50F1">
      <w:pPr>
        <w:pStyle w:val="TableofFigures"/>
        <w:tabs>
          <w:tab w:val="right" w:leader="dot" w:pos="9350"/>
        </w:tabs>
        <w:rPr>
          <w:noProof/>
        </w:rPr>
      </w:pPr>
      <w:hyperlink w:anchor="_Toc227891342" w:history="1">
        <w:r w:rsidRPr="00445672">
          <w:rPr>
            <w:rStyle w:val="Hyperlink"/>
            <w:noProof/>
          </w:rPr>
          <w:t>Table 11 (Net present value calculation: Project C)</w:t>
        </w:r>
        <w:r>
          <w:rPr>
            <w:noProof/>
            <w:webHidden/>
          </w:rPr>
          <w:tab/>
        </w:r>
        <w:r>
          <w:rPr>
            <w:noProof/>
            <w:webHidden/>
          </w:rPr>
          <w:fldChar w:fldCharType="begin"/>
        </w:r>
        <w:r>
          <w:rPr>
            <w:noProof/>
            <w:webHidden/>
          </w:rPr>
          <w:instrText xml:space="preserve"> PAGEREF _Toc227891342 \h </w:instrText>
        </w:r>
        <w:r>
          <w:rPr>
            <w:noProof/>
            <w:webHidden/>
          </w:rPr>
        </w:r>
        <w:r>
          <w:rPr>
            <w:noProof/>
            <w:webHidden/>
          </w:rPr>
          <w:fldChar w:fldCharType="separate"/>
        </w:r>
        <w:r>
          <w:rPr>
            <w:noProof/>
            <w:webHidden/>
          </w:rPr>
          <w:t>42</w:t>
        </w:r>
        <w:r>
          <w:rPr>
            <w:noProof/>
            <w:webHidden/>
          </w:rPr>
          <w:fldChar w:fldCharType="end"/>
        </w:r>
      </w:hyperlink>
    </w:p>
    <w:p w14:paraId="7178044F" w14:textId="124F0889" w:rsidR="00CE50F1" w:rsidRDefault="00CE50F1">
      <w:pPr>
        <w:pStyle w:val="TableofFigures"/>
        <w:tabs>
          <w:tab w:val="right" w:leader="dot" w:pos="9350"/>
        </w:tabs>
        <w:rPr>
          <w:noProof/>
        </w:rPr>
      </w:pPr>
      <w:hyperlink w:anchor="_Toc227891343" w:history="1">
        <w:r w:rsidRPr="00445672">
          <w:rPr>
            <w:rStyle w:val="Hyperlink"/>
            <w:noProof/>
          </w:rPr>
          <w:t>Table 12 (Profitability index calculations)</w:t>
        </w:r>
        <w:r>
          <w:rPr>
            <w:noProof/>
            <w:webHidden/>
          </w:rPr>
          <w:tab/>
        </w:r>
        <w:r>
          <w:rPr>
            <w:noProof/>
            <w:webHidden/>
          </w:rPr>
          <w:fldChar w:fldCharType="begin"/>
        </w:r>
        <w:r>
          <w:rPr>
            <w:noProof/>
            <w:webHidden/>
          </w:rPr>
          <w:instrText xml:space="preserve"> PAGEREF _Toc227891343 \h </w:instrText>
        </w:r>
        <w:r>
          <w:rPr>
            <w:noProof/>
            <w:webHidden/>
          </w:rPr>
        </w:r>
        <w:r>
          <w:rPr>
            <w:noProof/>
            <w:webHidden/>
          </w:rPr>
          <w:fldChar w:fldCharType="separate"/>
        </w:r>
        <w:r>
          <w:rPr>
            <w:noProof/>
            <w:webHidden/>
          </w:rPr>
          <w:t>43</w:t>
        </w:r>
        <w:r>
          <w:rPr>
            <w:noProof/>
            <w:webHidden/>
          </w:rPr>
          <w:fldChar w:fldCharType="end"/>
        </w:r>
      </w:hyperlink>
    </w:p>
    <w:p w14:paraId="244A32A0" w14:textId="17332A4D" w:rsidR="00CE50F1" w:rsidRDefault="00CE50F1">
      <w:pPr>
        <w:pStyle w:val="TableofFigures"/>
        <w:tabs>
          <w:tab w:val="right" w:leader="dot" w:pos="9350"/>
        </w:tabs>
        <w:rPr>
          <w:noProof/>
        </w:rPr>
      </w:pPr>
      <w:hyperlink w:anchor="_Toc227891344" w:history="1">
        <w:r w:rsidRPr="00445672">
          <w:rPr>
            <w:rStyle w:val="Hyperlink"/>
            <w:noProof/>
          </w:rPr>
          <w:t>Table 13 (Internal rate of return results)</w:t>
        </w:r>
        <w:r>
          <w:rPr>
            <w:noProof/>
            <w:webHidden/>
          </w:rPr>
          <w:tab/>
        </w:r>
        <w:r>
          <w:rPr>
            <w:noProof/>
            <w:webHidden/>
          </w:rPr>
          <w:fldChar w:fldCharType="begin"/>
        </w:r>
        <w:r>
          <w:rPr>
            <w:noProof/>
            <w:webHidden/>
          </w:rPr>
          <w:instrText xml:space="preserve"> PAGEREF _Toc227891344 \h </w:instrText>
        </w:r>
        <w:r>
          <w:rPr>
            <w:noProof/>
            <w:webHidden/>
          </w:rPr>
        </w:r>
        <w:r>
          <w:rPr>
            <w:noProof/>
            <w:webHidden/>
          </w:rPr>
          <w:fldChar w:fldCharType="separate"/>
        </w:r>
        <w:r>
          <w:rPr>
            <w:noProof/>
            <w:webHidden/>
          </w:rPr>
          <w:t>43</w:t>
        </w:r>
        <w:r>
          <w:rPr>
            <w:noProof/>
            <w:webHidden/>
          </w:rPr>
          <w:fldChar w:fldCharType="end"/>
        </w:r>
      </w:hyperlink>
    </w:p>
    <w:p w14:paraId="4D84FB91" w14:textId="60F41BC1" w:rsidR="00CE50F1" w:rsidRDefault="00CE50F1">
      <w:pPr>
        <w:pStyle w:val="TableofFigures"/>
        <w:tabs>
          <w:tab w:val="right" w:leader="dot" w:pos="9350"/>
        </w:tabs>
        <w:rPr>
          <w:noProof/>
        </w:rPr>
      </w:pPr>
      <w:hyperlink w:anchor="_Toc227891345" w:history="1">
        <w:r w:rsidRPr="00445672">
          <w:rPr>
            <w:rStyle w:val="Hyperlink"/>
            <w:noProof/>
          </w:rPr>
          <w:t>Table 14 (Investment appraisal summary)</w:t>
        </w:r>
        <w:r>
          <w:rPr>
            <w:noProof/>
            <w:webHidden/>
          </w:rPr>
          <w:tab/>
        </w:r>
        <w:r>
          <w:rPr>
            <w:noProof/>
            <w:webHidden/>
          </w:rPr>
          <w:fldChar w:fldCharType="begin"/>
        </w:r>
        <w:r>
          <w:rPr>
            <w:noProof/>
            <w:webHidden/>
          </w:rPr>
          <w:instrText xml:space="preserve"> PAGEREF _Toc227891345 \h </w:instrText>
        </w:r>
        <w:r>
          <w:rPr>
            <w:noProof/>
            <w:webHidden/>
          </w:rPr>
        </w:r>
        <w:r>
          <w:rPr>
            <w:noProof/>
            <w:webHidden/>
          </w:rPr>
          <w:fldChar w:fldCharType="separate"/>
        </w:r>
        <w:r>
          <w:rPr>
            <w:noProof/>
            <w:webHidden/>
          </w:rPr>
          <w:t>44</w:t>
        </w:r>
        <w:r>
          <w:rPr>
            <w:noProof/>
            <w:webHidden/>
          </w:rPr>
          <w:fldChar w:fldCharType="end"/>
        </w:r>
      </w:hyperlink>
    </w:p>
    <w:p w14:paraId="01B3C28B" w14:textId="2DCEB14A" w:rsidR="00CE50F1" w:rsidRDefault="00CE50F1">
      <w:pPr>
        <w:pStyle w:val="TableofFigures"/>
        <w:tabs>
          <w:tab w:val="right" w:leader="dot" w:pos="9350"/>
        </w:tabs>
        <w:rPr>
          <w:noProof/>
        </w:rPr>
      </w:pPr>
      <w:hyperlink w:anchor="_Toc227891346" w:history="1">
        <w:r w:rsidRPr="00445672">
          <w:rPr>
            <w:rStyle w:val="Hyperlink"/>
            <w:noProof/>
          </w:rPr>
          <w:t>Table 15 (Capital rationing combinations)</w:t>
        </w:r>
        <w:r>
          <w:rPr>
            <w:noProof/>
            <w:webHidden/>
          </w:rPr>
          <w:tab/>
        </w:r>
        <w:r>
          <w:rPr>
            <w:noProof/>
            <w:webHidden/>
          </w:rPr>
          <w:fldChar w:fldCharType="begin"/>
        </w:r>
        <w:r>
          <w:rPr>
            <w:noProof/>
            <w:webHidden/>
          </w:rPr>
          <w:instrText xml:space="preserve"> PAGEREF _Toc227891346 \h </w:instrText>
        </w:r>
        <w:r>
          <w:rPr>
            <w:noProof/>
            <w:webHidden/>
          </w:rPr>
        </w:r>
        <w:r>
          <w:rPr>
            <w:noProof/>
            <w:webHidden/>
          </w:rPr>
          <w:fldChar w:fldCharType="separate"/>
        </w:r>
        <w:r>
          <w:rPr>
            <w:noProof/>
            <w:webHidden/>
          </w:rPr>
          <w:t>44</w:t>
        </w:r>
        <w:r>
          <w:rPr>
            <w:noProof/>
            <w:webHidden/>
          </w:rPr>
          <w:fldChar w:fldCharType="end"/>
        </w:r>
      </w:hyperlink>
    </w:p>
    <w:p w14:paraId="6CFAF8D2" w14:textId="7683E036" w:rsidR="00CE50F1" w:rsidRPr="002B0A64" w:rsidRDefault="00CE50F1" w:rsidP="00CE50F1">
      <w:pPr>
        <w:pStyle w:val="Heading1"/>
      </w:pPr>
      <w:r>
        <w:rPr>
          <w:sz w:val="32"/>
          <w:szCs w:val="32"/>
        </w:rPr>
        <w:lastRenderedPageBreak/>
        <w:fldChar w:fldCharType="end"/>
      </w:r>
      <w:bookmarkStart w:id="0" w:name="_Toc224865682"/>
      <w:bookmarkStart w:id="1" w:name="_Toc227848195"/>
      <w:r w:rsidRPr="00CE50F1">
        <w:t xml:space="preserve"> </w:t>
      </w:r>
      <w:r w:rsidRPr="002B0A64">
        <w:t>List of Abbreviations</w:t>
      </w:r>
      <w:bookmarkEnd w:id="0"/>
      <w:bookmarkEnd w:id="1"/>
    </w:p>
    <w:tbl>
      <w:tblPr>
        <w:tblW w:w="10356" w:type="dxa"/>
        <w:tblCellSpacing w:w="15" w:type="dxa"/>
        <w:tblCellMar>
          <w:top w:w="15" w:type="dxa"/>
          <w:left w:w="15" w:type="dxa"/>
          <w:bottom w:w="15" w:type="dxa"/>
          <w:right w:w="15" w:type="dxa"/>
        </w:tblCellMar>
        <w:tblLook w:val="04A0" w:firstRow="1" w:lastRow="0" w:firstColumn="1" w:lastColumn="0" w:noHBand="0" w:noVBand="1"/>
      </w:tblPr>
      <w:tblGrid>
        <w:gridCol w:w="2026"/>
        <w:gridCol w:w="8330"/>
      </w:tblGrid>
      <w:tr w:rsidR="00900429" w:rsidRPr="00900429" w14:paraId="27F62889" w14:textId="77777777" w:rsidTr="006F6E67">
        <w:trPr>
          <w:trHeight w:val="611"/>
          <w:tblHeader/>
          <w:tblCellSpacing w:w="15" w:type="dxa"/>
        </w:trPr>
        <w:tc>
          <w:tcPr>
            <w:tcW w:w="0" w:type="auto"/>
            <w:vAlign w:val="center"/>
            <w:hideMark/>
          </w:tcPr>
          <w:p w14:paraId="146FBC71" w14:textId="77777777" w:rsidR="00900429" w:rsidRPr="006F6E67" w:rsidRDefault="00900429" w:rsidP="006F6E67">
            <w:pPr>
              <w:rPr>
                <w:b/>
                <w:bCs/>
              </w:rPr>
            </w:pPr>
            <w:r w:rsidRPr="006F6E67">
              <w:rPr>
                <w:b/>
                <w:bCs/>
              </w:rPr>
              <w:t>Abbreviation</w:t>
            </w:r>
          </w:p>
        </w:tc>
        <w:tc>
          <w:tcPr>
            <w:tcW w:w="0" w:type="auto"/>
            <w:vAlign w:val="center"/>
            <w:hideMark/>
          </w:tcPr>
          <w:p w14:paraId="1D9CEB28" w14:textId="77777777" w:rsidR="00900429" w:rsidRPr="006F6E67" w:rsidRDefault="00900429" w:rsidP="006F6E67">
            <w:pPr>
              <w:rPr>
                <w:b/>
                <w:bCs/>
              </w:rPr>
            </w:pPr>
            <w:r w:rsidRPr="006F6E67">
              <w:rPr>
                <w:b/>
                <w:bCs/>
              </w:rPr>
              <w:t>Full Form</w:t>
            </w:r>
          </w:p>
        </w:tc>
      </w:tr>
      <w:tr w:rsidR="00900429" w:rsidRPr="00900429" w14:paraId="03858050" w14:textId="77777777" w:rsidTr="006F6E67">
        <w:trPr>
          <w:trHeight w:val="591"/>
          <w:tblCellSpacing w:w="15" w:type="dxa"/>
        </w:trPr>
        <w:tc>
          <w:tcPr>
            <w:tcW w:w="0" w:type="auto"/>
            <w:vAlign w:val="center"/>
            <w:hideMark/>
          </w:tcPr>
          <w:p w14:paraId="297DE2CB" w14:textId="77777777" w:rsidR="00900429" w:rsidRPr="00900429" w:rsidRDefault="00900429" w:rsidP="00900429">
            <w:r w:rsidRPr="00900429">
              <w:t>ARR</w:t>
            </w:r>
          </w:p>
        </w:tc>
        <w:tc>
          <w:tcPr>
            <w:tcW w:w="0" w:type="auto"/>
            <w:vAlign w:val="center"/>
            <w:hideMark/>
          </w:tcPr>
          <w:p w14:paraId="5D72431C" w14:textId="77777777" w:rsidR="00900429" w:rsidRPr="00900429" w:rsidRDefault="00900429" w:rsidP="00900429">
            <w:r w:rsidRPr="00900429">
              <w:t>Accounting Rate of Return</w:t>
            </w:r>
          </w:p>
        </w:tc>
      </w:tr>
      <w:tr w:rsidR="00900429" w:rsidRPr="00900429" w14:paraId="662A01F0" w14:textId="77777777" w:rsidTr="006F6E67">
        <w:trPr>
          <w:trHeight w:val="591"/>
          <w:tblCellSpacing w:w="15" w:type="dxa"/>
        </w:trPr>
        <w:tc>
          <w:tcPr>
            <w:tcW w:w="0" w:type="auto"/>
            <w:vAlign w:val="center"/>
            <w:hideMark/>
          </w:tcPr>
          <w:p w14:paraId="33982932" w14:textId="77777777" w:rsidR="00900429" w:rsidRPr="00900429" w:rsidRDefault="00900429" w:rsidP="00900429">
            <w:r w:rsidRPr="00900429">
              <w:t>CAPEX</w:t>
            </w:r>
          </w:p>
        </w:tc>
        <w:tc>
          <w:tcPr>
            <w:tcW w:w="0" w:type="auto"/>
            <w:vAlign w:val="center"/>
            <w:hideMark/>
          </w:tcPr>
          <w:p w14:paraId="6F713C7A" w14:textId="77777777" w:rsidR="00900429" w:rsidRPr="00900429" w:rsidRDefault="00900429" w:rsidP="00900429">
            <w:r w:rsidRPr="00900429">
              <w:t>Capital Expenditure</w:t>
            </w:r>
          </w:p>
        </w:tc>
      </w:tr>
      <w:tr w:rsidR="00900429" w:rsidRPr="00900429" w14:paraId="23D309F9" w14:textId="77777777" w:rsidTr="006F6E67">
        <w:trPr>
          <w:trHeight w:val="572"/>
          <w:tblCellSpacing w:w="15" w:type="dxa"/>
        </w:trPr>
        <w:tc>
          <w:tcPr>
            <w:tcW w:w="0" w:type="auto"/>
            <w:vAlign w:val="center"/>
            <w:hideMark/>
          </w:tcPr>
          <w:p w14:paraId="74994A7F" w14:textId="77777777" w:rsidR="00900429" w:rsidRPr="00900429" w:rsidRDefault="00900429" w:rsidP="00900429">
            <w:r w:rsidRPr="00900429">
              <w:t>CSR</w:t>
            </w:r>
          </w:p>
        </w:tc>
        <w:tc>
          <w:tcPr>
            <w:tcW w:w="0" w:type="auto"/>
            <w:vAlign w:val="center"/>
            <w:hideMark/>
          </w:tcPr>
          <w:p w14:paraId="37CBE312" w14:textId="77777777" w:rsidR="00900429" w:rsidRPr="00900429" w:rsidRDefault="00900429" w:rsidP="00900429">
            <w:r w:rsidRPr="00900429">
              <w:t>Corporate Social Responsibility</w:t>
            </w:r>
          </w:p>
        </w:tc>
      </w:tr>
      <w:tr w:rsidR="00900429" w:rsidRPr="00900429" w14:paraId="5B1EA669" w14:textId="77777777" w:rsidTr="006F6E67">
        <w:trPr>
          <w:trHeight w:val="591"/>
          <w:tblCellSpacing w:w="15" w:type="dxa"/>
        </w:trPr>
        <w:tc>
          <w:tcPr>
            <w:tcW w:w="0" w:type="auto"/>
            <w:vAlign w:val="center"/>
            <w:hideMark/>
          </w:tcPr>
          <w:p w14:paraId="72326687" w14:textId="77777777" w:rsidR="00900429" w:rsidRPr="00900429" w:rsidRDefault="00900429" w:rsidP="00900429">
            <w:r w:rsidRPr="00900429">
              <w:t>DCF</w:t>
            </w:r>
          </w:p>
        </w:tc>
        <w:tc>
          <w:tcPr>
            <w:tcW w:w="0" w:type="auto"/>
            <w:vAlign w:val="center"/>
            <w:hideMark/>
          </w:tcPr>
          <w:p w14:paraId="1294376A" w14:textId="77777777" w:rsidR="00900429" w:rsidRPr="00900429" w:rsidRDefault="00900429" w:rsidP="00900429">
            <w:r w:rsidRPr="00900429">
              <w:t>Discounted Cash Flow</w:t>
            </w:r>
          </w:p>
        </w:tc>
      </w:tr>
      <w:tr w:rsidR="00900429" w:rsidRPr="00900429" w14:paraId="7E008A82" w14:textId="77777777" w:rsidTr="006F6E67">
        <w:trPr>
          <w:trHeight w:val="591"/>
          <w:tblCellSpacing w:w="15" w:type="dxa"/>
        </w:trPr>
        <w:tc>
          <w:tcPr>
            <w:tcW w:w="0" w:type="auto"/>
            <w:vAlign w:val="center"/>
            <w:hideMark/>
          </w:tcPr>
          <w:p w14:paraId="41E3003B" w14:textId="77777777" w:rsidR="00900429" w:rsidRPr="00900429" w:rsidRDefault="00900429" w:rsidP="00900429">
            <w:r w:rsidRPr="00900429">
              <w:t>EBIT</w:t>
            </w:r>
          </w:p>
        </w:tc>
        <w:tc>
          <w:tcPr>
            <w:tcW w:w="0" w:type="auto"/>
            <w:vAlign w:val="center"/>
            <w:hideMark/>
          </w:tcPr>
          <w:p w14:paraId="3C8CBB77" w14:textId="77777777" w:rsidR="00900429" w:rsidRPr="00900429" w:rsidRDefault="00900429" w:rsidP="00900429">
            <w:r w:rsidRPr="00900429">
              <w:t>Earnings Before Interest and Tax</w:t>
            </w:r>
          </w:p>
        </w:tc>
      </w:tr>
      <w:tr w:rsidR="00900429" w:rsidRPr="00900429" w14:paraId="0BB97CFB" w14:textId="77777777" w:rsidTr="006F6E67">
        <w:trPr>
          <w:trHeight w:val="591"/>
          <w:tblCellSpacing w:w="15" w:type="dxa"/>
        </w:trPr>
        <w:tc>
          <w:tcPr>
            <w:tcW w:w="0" w:type="auto"/>
            <w:vAlign w:val="center"/>
            <w:hideMark/>
          </w:tcPr>
          <w:p w14:paraId="75CEABF6" w14:textId="77777777" w:rsidR="00900429" w:rsidRPr="00900429" w:rsidRDefault="00900429" w:rsidP="00900429">
            <w:r w:rsidRPr="00900429">
              <w:t>EPS</w:t>
            </w:r>
          </w:p>
        </w:tc>
        <w:tc>
          <w:tcPr>
            <w:tcW w:w="0" w:type="auto"/>
            <w:vAlign w:val="center"/>
            <w:hideMark/>
          </w:tcPr>
          <w:p w14:paraId="14A7FD9F" w14:textId="77777777" w:rsidR="00900429" w:rsidRPr="00900429" w:rsidRDefault="00900429" w:rsidP="00900429">
            <w:r w:rsidRPr="00900429">
              <w:t>Earnings Per Share</w:t>
            </w:r>
          </w:p>
        </w:tc>
      </w:tr>
      <w:tr w:rsidR="00900429" w:rsidRPr="00900429" w14:paraId="7F705742" w14:textId="77777777" w:rsidTr="006F6E67">
        <w:trPr>
          <w:trHeight w:val="591"/>
          <w:tblCellSpacing w:w="15" w:type="dxa"/>
        </w:trPr>
        <w:tc>
          <w:tcPr>
            <w:tcW w:w="0" w:type="auto"/>
            <w:vAlign w:val="center"/>
            <w:hideMark/>
          </w:tcPr>
          <w:p w14:paraId="65FC4FD8" w14:textId="77777777" w:rsidR="00900429" w:rsidRPr="00900429" w:rsidRDefault="00900429" w:rsidP="00900429">
            <w:r w:rsidRPr="00900429">
              <w:t>EV</w:t>
            </w:r>
          </w:p>
        </w:tc>
        <w:tc>
          <w:tcPr>
            <w:tcW w:w="0" w:type="auto"/>
            <w:vAlign w:val="center"/>
            <w:hideMark/>
          </w:tcPr>
          <w:p w14:paraId="1B90072F" w14:textId="77777777" w:rsidR="00900429" w:rsidRPr="00900429" w:rsidRDefault="00900429" w:rsidP="00900429">
            <w:r w:rsidRPr="00900429">
              <w:t>Electric Vehicle</w:t>
            </w:r>
          </w:p>
        </w:tc>
      </w:tr>
      <w:tr w:rsidR="00900429" w:rsidRPr="00900429" w14:paraId="239C0855" w14:textId="77777777" w:rsidTr="006F6E67">
        <w:trPr>
          <w:trHeight w:val="591"/>
          <w:tblCellSpacing w:w="15" w:type="dxa"/>
        </w:trPr>
        <w:tc>
          <w:tcPr>
            <w:tcW w:w="0" w:type="auto"/>
            <w:vAlign w:val="center"/>
            <w:hideMark/>
          </w:tcPr>
          <w:p w14:paraId="13D0803B" w14:textId="77777777" w:rsidR="00900429" w:rsidRPr="00900429" w:rsidRDefault="00900429" w:rsidP="00900429">
            <w:r w:rsidRPr="00900429">
              <w:t>IEA</w:t>
            </w:r>
          </w:p>
        </w:tc>
        <w:tc>
          <w:tcPr>
            <w:tcW w:w="0" w:type="auto"/>
            <w:vAlign w:val="center"/>
            <w:hideMark/>
          </w:tcPr>
          <w:p w14:paraId="40D417A6" w14:textId="77777777" w:rsidR="00900429" w:rsidRPr="00900429" w:rsidRDefault="00900429" w:rsidP="00900429">
            <w:r w:rsidRPr="00900429">
              <w:t>International Energy Agency</w:t>
            </w:r>
          </w:p>
        </w:tc>
      </w:tr>
      <w:tr w:rsidR="00900429" w:rsidRPr="00900429" w14:paraId="6E43FAA6" w14:textId="77777777" w:rsidTr="006F6E67">
        <w:trPr>
          <w:trHeight w:val="591"/>
          <w:tblCellSpacing w:w="15" w:type="dxa"/>
        </w:trPr>
        <w:tc>
          <w:tcPr>
            <w:tcW w:w="0" w:type="auto"/>
            <w:vAlign w:val="center"/>
            <w:hideMark/>
          </w:tcPr>
          <w:p w14:paraId="33F8743B" w14:textId="77777777" w:rsidR="00900429" w:rsidRPr="00900429" w:rsidRDefault="00900429" w:rsidP="00900429">
            <w:r w:rsidRPr="00900429">
              <w:t>IMF</w:t>
            </w:r>
          </w:p>
        </w:tc>
        <w:tc>
          <w:tcPr>
            <w:tcW w:w="0" w:type="auto"/>
            <w:vAlign w:val="center"/>
            <w:hideMark/>
          </w:tcPr>
          <w:p w14:paraId="5D8FBC9F" w14:textId="77777777" w:rsidR="00900429" w:rsidRPr="00900429" w:rsidRDefault="00900429" w:rsidP="00900429">
            <w:r w:rsidRPr="00900429">
              <w:t>International Monetary Fund</w:t>
            </w:r>
          </w:p>
        </w:tc>
      </w:tr>
      <w:tr w:rsidR="00900429" w:rsidRPr="00900429" w14:paraId="389BCE73" w14:textId="77777777" w:rsidTr="006F6E67">
        <w:trPr>
          <w:trHeight w:val="591"/>
          <w:tblCellSpacing w:w="15" w:type="dxa"/>
        </w:trPr>
        <w:tc>
          <w:tcPr>
            <w:tcW w:w="0" w:type="auto"/>
            <w:vAlign w:val="center"/>
            <w:hideMark/>
          </w:tcPr>
          <w:p w14:paraId="40F398CF" w14:textId="77777777" w:rsidR="00900429" w:rsidRPr="00900429" w:rsidRDefault="00900429" w:rsidP="00900429">
            <w:r w:rsidRPr="00900429">
              <w:t>IRR</w:t>
            </w:r>
          </w:p>
        </w:tc>
        <w:tc>
          <w:tcPr>
            <w:tcW w:w="0" w:type="auto"/>
            <w:vAlign w:val="center"/>
            <w:hideMark/>
          </w:tcPr>
          <w:p w14:paraId="5C3A0341" w14:textId="77777777" w:rsidR="00900429" w:rsidRPr="00900429" w:rsidRDefault="00900429" w:rsidP="00900429">
            <w:r w:rsidRPr="00900429">
              <w:t>Internal Rate of Return</w:t>
            </w:r>
          </w:p>
        </w:tc>
      </w:tr>
      <w:tr w:rsidR="00900429" w:rsidRPr="00900429" w14:paraId="4B680A72" w14:textId="77777777" w:rsidTr="006F6E67">
        <w:trPr>
          <w:trHeight w:val="591"/>
          <w:tblCellSpacing w:w="15" w:type="dxa"/>
        </w:trPr>
        <w:tc>
          <w:tcPr>
            <w:tcW w:w="0" w:type="auto"/>
            <w:vAlign w:val="center"/>
            <w:hideMark/>
          </w:tcPr>
          <w:p w14:paraId="4C4BD297" w14:textId="77777777" w:rsidR="00900429" w:rsidRPr="00900429" w:rsidRDefault="00900429" w:rsidP="00900429">
            <w:r w:rsidRPr="00900429">
              <w:t>NPV</w:t>
            </w:r>
          </w:p>
        </w:tc>
        <w:tc>
          <w:tcPr>
            <w:tcW w:w="0" w:type="auto"/>
            <w:vAlign w:val="center"/>
            <w:hideMark/>
          </w:tcPr>
          <w:p w14:paraId="13DAC945" w14:textId="77777777" w:rsidR="00900429" w:rsidRPr="00900429" w:rsidRDefault="00900429" w:rsidP="00900429">
            <w:r w:rsidRPr="00900429">
              <w:t>Net Present Value</w:t>
            </w:r>
          </w:p>
        </w:tc>
      </w:tr>
      <w:tr w:rsidR="00900429" w:rsidRPr="00900429" w14:paraId="0EA5D39B" w14:textId="77777777" w:rsidTr="006F6E67">
        <w:trPr>
          <w:trHeight w:val="572"/>
          <w:tblCellSpacing w:w="15" w:type="dxa"/>
        </w:trPr>
        <w:tc>
          <w:tcPr>
            <w:tcW w:w="0" w:type="auto"/>
            <w:vAlign w:val="center"/>
            <w:hideMark/>
          </w:tcPr>
          <w:p w14:paraId="7165A1F6" w14:textId="77777777" w:rsidR="00900429" w:rsidRPr="00900429" w:rsidRDefault="00900429" w:rsidP="00900429">
            <w:r w:rsidRPr="00900429">
              <w:t>OCF</w:t>
            </w:r>
          </w:p>
        </w:tc>
        <w:tc>
          <w:tcPr>
            <w:tcW w:w="0" w:type="auto"/>
            <w:vAlign w:val="center"/>
            <w:hideMark/>
          </w:tcPr>
          <w:p w14:paraId="63033F72" w14:textId="77777777" w:rsidR="00900429" w:rsidRPr="00900429" w:rsidRDefault="00900429" w:rsidP="00900429">
            <w:r w:rsidRPr="00900429">
              <w:t>Operating Cash Flow</w:t>
            </w:r>
          </w:p>
        </w:tc>
      </w:tr>
      <w:tr w:rsidR="00900429" w:rsidRPr="00900429" w14:paraId="3E9DC285" w14:textId="77777777" w:rsidTr="006F6E67">
        <w:trPr>
          <w:trHeight w:val="591"/>
          <w:tblCellSpacing w:w="15" w:type="dxa"/>
        </w:trPr>
        <w:tc>
          <w:tcPr>
            <w:tcW w:w="0" w:type="auto"/>
            <w:vAlign w:val="center"/>
            <w:hideMark/>
          </w:tcPr>
          <w:p w14:paraId="0AB396F6" w14:textId="77777777" w:rsidR="00900429" w:rsidRPr="00900429" w:rsidRDefault="00900429" w:rsidP="00900429">
            <w:r w:rsidRPr="00900429">
              <w:t>OECD</w:t>
            </w:r>
          </w:p>
        </w:tc>
        <w:tc>
          <w:tcPr>
            <w:tcW w:w="0" w:type="auto"/>
            <w:vAlign w:val="center"/>
            <w:hideMark/>
          </w:tcPr>
          <w:p w14:paraId="26B310F1" w14:textId="0170FB3B" w:rsidR="00900429" w:rsidRPr="00900429" w:rsidRDefault="00900429" w:rsidP="00900429">
            <w:r w:rsidRPr="00900429">
              <w:t>Organization</w:t>
            </w:r>
            <w:r w:rsidRPr="00900429">
              <w:t xml:space="preserve"> for Economic Co-operation and Development</w:t>
            </w:r>
          </w:p>
        </w:tc>
      </w:tr>
      <w:tr w:rsidR="00900429" w:rsidRPr="00900429" w14:paraId="0413E361" w14:textId="77777777" w:rsidTr="006F6E67">
        <w:trPr>
          <w:trHeight w:val="591"/>
          <w:tblCellSpacing w:w="15" w:type="dxa"/>
        </w:trPr>
        <w:tc>
          <w:tcPr>
            <w:tcW w:w="0" w:type="auto"/>
            <w:vAlign w:val="center"/>
            <w:hideMark/>
          </w:tcPr>
          <w:p w14:paraId="453C4168" w14:textId="77777777" w:rsidR="00900429" w:rsidRPr="00900429" w:rsidRDefault="00900429" w:rsidP="00900429">
            <w:r w:rsidRPr="00900429">
              <w:t>PI</w:t>
            </w:r>
          </w:p>
        </w:tc>
        <w:tc>
          <w:tcPr>
            <w:tcW w:w="0" w:type="auto"/>
            <w:vAlign w:val="center"/>
            <w:hideMark/>
          </w:tcPr>
          <w:p w14:paraId="33A60B7F" w14:textId="77777777" w:rsidR="00900429" w:rsidRPr="00900429" w:rsidRDefault="00900429" w:rsidP="00900429">
            <w:r w:rsidRPr="00900429">
              <w:t>Profitability Index</w:t>
            </w:r>
          </w:p>
        </w:tc>
      </w:tr>
      <w:tr w:rsidR="00900429" w:rsidRPr="00900429" w14:paraId="01EBF6FA" w14:textId="77777777" w:rsidTr="006F6E67">
        <w:trPr>
          <w:trHeight w:val="591"/>
          <w:tblCellSpacing w:w="15" w:type="dxa"/>
        </w:trPr>
        <w:tc>
          <w:tcPr>
            <w:tcW w:w="0" w:type="auto"/>
            <w:vAlign w:val="center"/>
            <w:hideMark/>
          </w:tcPr>
          <w:p w14:paraId="0A06A45B" w14:textId="77777777" w:rsidR="00900429" w:rsidRPr="00900429" w:rsidRDefault="00900429" w:rsidP="00900429">
            <w:r w:rsidRPr="00900429">
              <w:t>ROA</w:t>
            </w:r>
          </w:p>
        </w:tc>
        <w:tc>
          <w:tcPr>
            <w:tcW w:w="0" w:type="auto"/>
            <w:vAlign w:val="center"/>
            <w:hideMark/>
          </w:tcPr>
          <w:p w14:paraId="3BDBFFAA" w14:textId="77777777" w:rsidR="00900429" w:rsidRPr="00900429" w:rsidRDefault="00900429" w:rsidP="00900429">
            <w:r w:rsidRPr="00900429">
              <w:t>Return on Assets</w:t>
            </w:r>
          </w:p>
        </w:tc>
      </w:tr>
      <w:tr w:rsidR="00900429" w:rsidRPr="00900429" w14:paraId="35093C9B" w14:textId="77777777" w:rsidTr="006F6E67">
        <w:trPr>
          <w:trHeight w:val="591"/>
          <w:tblCellSpacing w:w="15" w:type="dxa"/>
        </w:trPr>
        <w:tc>
          <w:tcPr>
            <w:tcW w:w="0" w:type="auto"/>
            <w:vAlign w:val="center"/>
            <w:hideMark/>
          </w:tcPr>
          <w:p w14:paraId="546E7C9B" w14:textId="77777777" w:rsidR="00900429" w:rsidRPr="00900429" w:rsidRDefault="00900429" w:rsidP="00900429">
            <w:r w:rsidRPr="00900429">
              <w:t>ROCE</w:t>
            </w:r>
          </w:p>
        </w:tc>
        <w:tc>
          <w:tcPr>
            <w:tcW w:w="0" w:type="auto"/>
            <w:vAlign w:val="center"/>
            <w:hideMark/>
          </w:tcPr>
          <w:p w14:paraId="2DAF3176" w14:textId="77777777" w:rsidR="00900429" w:rsidRPr="00900429" w:rsidRDefault="00900429" w:rsidP="00900429">
            <w:r w:rsidRPr="00900429">
              <w:t>Return on Capital Employed</w:t>
            </w:r>
          </w:p>
        </w:tc>
      </w:tr>
      <w:tr w:rsidR="00900429" w:rsidRPr="00900429" w14:paraId="79A35C35" w14:textId="77777777" w:rsidTr="006F6E67">
        <w:trPr>
          <w:trHeight w:val="611"/>
          <w:tblCellSpacing w:w="15" w:type="dxa"/>
        </w:trPr>
        <w:tc>
          <w:tcPr>
            <w:tcW w:w="0" w:type="auto"/>
            <w:vAlign w:val="center"/>
            <w:hideMark/>
          </w:tcPr>
          <w:p w14:paraId="3E66DDC0" w14:textId="77777777" w:rsidR="00900429" w:rsidRPr="00900429" w:rsidRDefault="00900429" w:rsidP="00900429">
            <w:r w:rsidRPr="00900429">
              <w:t>WACC</w:t>
            </w:r>
          </w:p>
        </w:tc>
        <w:tc>
          <w:tcPr>
            <w:tcW w:w="0" w:type="auto"/>
            <w:vAlign w:val="center"/>
            <w:hideMark/>
          </w:tcPr>
          <w:p w14:paraId="0B55E79E" w14:textId="77777777" w:rsidR="00900429" w:rsidRPr="00900429" w:rsidRDefault="00900429" w:rsidP="00900429">
            <w:r w:rsidRPr="00900429">
              <w:t>Weighted Average Cost of Capital</w:t>
            </w:r>
          </w:p>
        </w:tc>
      </w:tr>
    </w:tbl>
    <w:p w14:paraId="556B0493" w14:textId="46D275C8" w:rsidR="00740351" w:rsidRDefault="00740351" w:rsidP="00740351">
      <w:pPr>
        <w:pStyle w:val="Heading1"/>
      </w:pPr>
      <w:bookmarkStart w:id="2" w:name="_Toc224865683"/>
      <w:bookmarkStart w:id="3" w:name="_Toc227848196"/>
      <w:r w:rsidRPr="00740351">
        <w:lastRenderedPageBreak/>
        <w:t xml:space="preserve">Executive </w:t>
      </w:r>
      <w:bookmarkEnd w:id="2"/>
      <w:r w:rsidR="00887C24">
        <w:t>Summary</w:t>
      </w:r>
      <w:bookmarkEnd w:id="3"/>
    </w:p>
    <w:p w14:paraId="02DFBEB2" w14:textId="77777777" w:rsidR="00DF75D2" w:rsidRPr="00DF75D2" w:rsidRDefault="00DF75D2" w:rsidP="00DF75D2">
      <w:r w:rsidRPr="00DF75D2">
        <w:t>This report evaluates Tesla’s financial performance and strategic position over the past five years in response to the Strategic CFO Challenge. It assesses four key areas required by the assignment: financial health, working capital management, financial restructuring, and investment appraisal. The analysis aims to identify Tesla’s major financial strengths and weaknesses, evaluate the sustainability of its current position, and recommend financially viable actions that support long-term growth and shareholder value.</w:t>
      </w:r>
    </w:p>
    <w:p w14:paraId="5CA37114" w14:textId="4074F88A" w:rsidR="00DF75D2" w:rsidRPr="00DF75D2" w:rsidRDefault="00DF75D2" w:rsidP="00DF75D2">
      <w:r w:rsidRPr="00DF75D2">
        <w:t xml:space="preserve">The findings show that Tesla remains financially significant within the global electric vehicle industry, supported by strong market presence, innovation capability, and substantial liquidity. However, the five-year analysis also indicates that revenue growth has not been matched by </w:t>
      </w:r>
      <w:r w:rsidRPr="00DF75D2">
        <w:t>equal</w:t>
      </w:r>
      <w:r w:rsidRPr="00DF75D2">
        <w:t xml:space="preserve"> consistent profitability, efficiency, or earnings quality. This suggests that future success will depend not only on continued expansion, but also on tighter cost control, stronger working capital discipline, and more selective capital allocation.</w:t>
      </w:r>
    </w:p>
    <w:p w14:paraId="0535F1E0" w14:textId="77777777" w:rsidR="00DF75D2" w:rsidRPr="00DF75D2" w:rsidRDefault="00DF75D2" w:rsidP="00DF75D2">
      <w:r w:rsidRPr="00DF75D2">
        <w:t>The report therefore recommends improving liquidity through working capital reform, adopting a selective restructuring strategy that preserves flexibility and shareholder value, and using investment appraisal techniques to identify the most suitable project and project combination under capital rationing. Overall, Tesla should pursue disciplined financial management to strengthen resilience, sustain competitiveness, and support long-term value creation.</w:t>
      </w:r>
    </w:p>
    <w:p w14:paraId="7D709B45" w14:textId="77777777" w:rsidR="00DF75D2" w:rsidRDefault="00DF75D2" w:rsidP="009F13F7"/>
    <w:p w14:paraId="2B6ED82E" w14:textId="77777777" w:rsidR="00DF75D2" w:rsidRDefault="00DF75D2" w:rsidP="009F13F7"/>
    <w:p w14:paraId="7657F886" w14:textId="77777777" w:rsidR="00DF75D2" w:rsidRDefault="00DF75D2" w:rsidP="009F13F7"/>
    <w:p w14:paraId="77E93270" w14:textId="56683221" w:rsidR="009F13F7" w:rsidRDefault="009143F2" w:rsidP="009F13F7">
      <w:r w:rsidRPr="009143F2">
        <w:t xml:space="preserve"> </w:t>
      </w:r>
    </w:p>
    <w:p w14:paraId="59312F9C" w14:textId="364EE550" w:rsidR="00400B6A" w:rsidRDefault="009143F2" w:rsidP="009143F2">
      <w:pPr>
        <w:pStyle w:val="Heading1"/>
      </w:pPr>
      <w:bookmarkStart w:id="4" w:name="_Toc227848197"/>
      <w:r>
        <w:lastRenderedPageBreak/>
        <w:t xml:space="preserve">1. </w:t>
      </w:r>
      <w:r w:rsidR="00400B6A">
        <w:t>Introduction</w:t>
      </w:r>
      <w:bookmarkEnd w:id="4"/>
    </w:p>
    <w:p w14:paraId="2F32088F" w14:textId="77777777" w:rsidR="00DF75D2" w:rsidRPr="00DF75D2" w:rsidRDefault="00DF75D2" w:rsidP="00DF75D2">
      <w:r w:rsidRPr="00DF75D2">
        <w:t>Tesla Inc. is a leading electric vehicle manufacturer with additional operations in energy generation and storage, making it a significant participant in the global EV market. The company’s published annual reports for 2020 to 2024 provide a suitable basis for evaluating its recent financial performance using official financial statement evidence (Tesla, 2024; Tesla, 2023; Tesla, 2022; Tesla, 2021; Tesla, 2020).</w:t>
      </w:r>
    </w:p>
    <w:p w14:paraId="2D7F151D" w14:textId="77777777" w:rsidR="00DF75D2" w:rsidRPr="00DF75D2" w:rsidRDefault="00DF75D2" w:rsidP="00DF75D2">
      <w:r w:rsidRPr="00DF75D2">
        <w:t>Financial management is particularly important in the electric vehicle industry because firms operate in a capital-intensive and highly competitive environment shaped by rapid technological change, large-scale investment requirements, pricing pressure, and international expansion. In this context, financial decision-making must extend beyond reporting past results and support liquidity management, strategic flexibility, risk control, and long-term shareholder value (IEA, 2025; Tesla, 2024).</w:t>
      </w:r>
    </w:p>
    <w:p w14:paraId="72790ABF" w14:textId="70FF1ED9" w:rsidR="00400B6A" w:rsidRDefault="00DF75D2" w:rsidP="00400B6A">
      <w:r w:rsidRPr="00DF75D2">
        <w:t>This report responds to the Strategic CFO Challenge set out in the assessment brief. Its purpose is to evaluate Tesla’s financial health over the past five years, identify key strengths, weaknesses, and financial risks, and recommend financially viable actions to support long-term performance. The analysis begins with a financial health check based on profitability, liquidity, efficiency, gearing, investment, and cash flow. It then examines Tesla’s working capital position and financing choices, evaluates alternative financial restructuring options, and appraises three investment projects using payback period, accounting rate of return, net present value, profitability index, and internal rate of return. The report concludes with recommendations intended to support financially disciplined, strategically justified, and sustainable decision-making (Tesla, 2024; Tesla, 2023).</w:t>
      </w:r>
      <w:r w:rsidR="002B1EB2" w:rsidRPr="002B1EB2">
        <w:t xml:space="preserve"> </w:t>
      </w:r>
    </w:p>
    <w:p w14:paraId="30204623" w14:textId="77777777" w:rsidR="00DF75D2" w:rsidRPr="00400B6A" w:rsidRDefault="00DF75D2" w:rsidP="00400B6A"/>
    <w:p w14:paraId="4EFC6497" w14:textId="7E241585" w:rsidR="00400B6A" w:rsidRDefault="00400B6A" w:rsidP="00400B6A">
      <w:pPr>
        <w:pStyle w:val="Heading1"/>
      </w:pPr>
      <w:bookmarkStart w:id="5" w:name="_Toc227848198"/>
      <w:r>
        <w:t>2. Company and Industry Context</w:t>
      </w:r>
      <w:bookmarkEnd w:id="5"/>
    </w:p>
    <w:p w14:paraId="5DE02025" w14:textId="77777777" w:rsidR="00F82D3F" w:rsidRPr="00F82D3F" w:rsidRDefault="00F82D3F" w:rsidP="00F82D3F">
      <w:r w:rsidRPr="00F82D3F">
        <w:t xml:space="preserve">Tesla, Inc. is a global electric vehicle and clean energy company whose operations span automotive manufacturing, software-enabled vehicle services, and energy generation and storage. Its investor relations archive provides a consistent set of annual reports for </w:t>
      </w:r>
      <w:r w:rsidRPr="00F82D3F">
        <w:lastRenderedPageBreak/>
        <w:t xml:space="preserve">2020 to 2024, making the company suitable for a five-year financial review based on official published statements. </w:t>
      </w:r>
    </w:p>
    <w:p w14:paraId="7A3E0C8C" w14:textId="77777777" w:rsidR="00F82D3F" w:rsidRPr="00F82D3F" w:rsidRDefault="00F82D3F" w:rsidP="00F82D3F">
      <w:r w:rsidRPr="00F82D3F">
        <w:t xml:space="preserve">Tesla operates in an electric vehicle market that remains </w:t>
      </w:r>
      <w:proofErr w:type="gramStart"/>
      <w:r w:rsidRPr="00F82D3F">
        <w:t>high-growth</w:t>
      </w:r>
      <w:proofErr w:type="gramEnd"/>
      <w:r w:rsidRPr="00F82D3F">
        <w:t xml:space="preserve"> but increasingly competitive. The International Energy Agency states that global electric car sales are expected to exceed </w:t>
      </w:r>
      <w:proofErr w:type="gramStart"/>
      <w:r w:rsidRPr="00F82D3F">
        <w:t>20</w:t>
      </w:r>
      <w:proofErr w:type="gramEnd"/>
      <w:r w:rsidRPr="00F82D3F">
        <w:t xml:space="preserve"> million in 2025, meaning that more than one in four cars sold worldwide would be electric. This confirms that the long-term opportunity for EV manufacturers remains substantial, but it also implies greater pricing pressure, more intense competition, and higher expectations around scale, innovation, and cost efficiency. </w:t>
      </w:r>
    </w:p>
    <w:p w14:paraId="39744049" w14:textId="77777777" w:rsidR="00F82D3F" w:rsidRPr="00F82D3F" w:rsidRDefault="00F82D3F" w:rsidP="00F82D3F">
      <w:r w:rsidRPr="00F82D3F">
        <w:t xml:space="preserve">This industry setting is financially significant because the EV sector is both capital-intensive and strategically volatile. Manufacturers must commit large sums to production capacity, battery technology, software development, and international expansion, while also responding to inflation, regulatory change, supply chain disruption, and changing consumer demand. In corporate finance terms, firms in such markets cannot be assessed through revenue growth alone; performance must also be judged through profitability, liquidity, efficiency, cash generation, capital structure, and investment discipline (Brealey </w:t>
      </w:r>
      <w:r w:rsidRPr="00F82D3F">
        <w:rPr>
          <w:i/>
          <w:iCs/>
        </w:rPr>
        <w:t>et al</w:t>
      </w:r>
      <w:r w:rsidRPr="00F82D3F">
        <w:t xml:space="preserve">., 2022; Atrill and McLaney, 2025). Tesla’s scale and market position therefore do not remove financial pressure; rather, they increase the importance of disciplined financial management and sustainable earnings quality. </w:t>
      </w:r>
    </w:p>
    <w:p w14:paraId="450CEB07" w14:textId="371742BA" w:rsidR="002B1EB2" w:rsidRDefault="00F82D3F" w:rsidP="002B1EB2">
      <w:r w:rsidRPr="00F82D3F">
        <w:t>Overall, Tesla remains strategically important within the global EV transition, but the combination of rapid market growth, competitive pressure, and heavy investment requirements means that board-level decisions must be supported by rigorous financial analysis rather than market optimism alone. This justifies the report’s focus on five-year financial health, working capital discipline, restructuring choices, and investment appraisal as the basis for strategic financial recommendations.</w:t>
      </w:r>
      <w:r w:rsidR="002B1EB2" w:rsidRPr="002B1EB2">
        <w:t xml:space="preserve"> </w:t>
      </w:r>
    </w:p>
    <w:p w14:paraId="3192A2E6" w14:textId="77777777" w:rsidR="003422F4" w:rsidRPr="002B1EB2" w:rsidRDefault="003422F4" w:rsidP="002B1EB2"/>
    <w:p w14:paraId="168D7FA7" w14:textId="38A840F2" w:rsidR="002B1EB2" w:rsidRDefault="00400B6A" w:rsidP="003422F4">
      <w:pPr>
        <w:pStyle w:val="Heading1"/>
      </w:pPr>
      <w:bookmarkStart w:id="6" w:name="_Toc227848199"/>
      <w:r>
        <w:lastRenderedPageBreak/>
        <w:t>3. Financial Health Check</w:t>
      </w:r>
      <w:bookmarkEnd w:id="6"/>
    </w:p>
    <w:p w14:paraId="2F9B860E" w14:textId="1BA1502D" w:rsidR="00400B6A" w:rsidRDefault="00400B6A" w:rsidP="00400B6A">
      <w:pPr>
        <w:pStyle w:val="Heading2"/>
      </w:pPr>
      <w:bookmarkStart w:id="7" w:name="_Toc227848200"/>
      <w:r>
        <w:t>3.1 Basis of Financial Analysis</w:t>
      </w:r>
      <w:bookmarkEnd w:id="7"/>
    </w:p>
    <w:p w14:paraId="2D34B3BD" w14:textId="77777777" w:rsidR="00CF1C2A" w:rsidRPr="00CF1C2A" w:rsidRDefault="00CF1C2A" w:rsidP="00CF1C2A">
      <w:r w:rsidRPr="00CF1C2A">
        <w:t>This financial health check is based on Tesla’s published annual reports for 2020 to 2024, which provide the income statement, balance sheet, and cash flow data needed for a five-year evaluation of performance (Tesla, 2024; Tesla, 2023; Tesla, 2022; Tesla, 2021; Tesla, 2020). Using a five-year period is more informative than relying on a single reporting year because it helps identify underlying trends and reduces the risk of over-interpreting temporary movements in pricing, production, demand, or macroeconomic conditions.</w:t>
      </w:r>
    </w:p>
    <w:p w14:paraId="56F4DC76" w14:textId="3D290BFE" w:rsidR="00835505" w:rsidRDefault="00CF1C2A" w:rsidP="00835505">
      <w:r w:rsidRPr="00CF1C2A">
        <w:t>This longer-term perspective is particularly important in the electric vehicle sector, where rapid market growth is accompanied by high capital intensity, competitive pressure, and continued investment requirements (IEA, 2025). The analysis is structured around six categories of financial performance: profitability, liquidity, efficiency, gearing, investment, and cash flow. Ratio analysis provides a useful starting point for evaluating financial performance, but it should not be interpreted in isolation because results may be influenced by accounting policies, exceptional items, and wider market conditions (Atrill and McLaney, 2022; Brealey et al., 2022). Therefore, the following discussion combines ratio evidence with business context to support more critical and balanced financial judgement.</w:t>
      </w:r>
    </w:p>
    <w:p w14:paraId="7C72959C" w14:textId="0ABA75FC" w:rsidR="00400B6A" w:rsidRDefault="00835505" w:rsidP="00400B6A">
      <w:pPr>
        <w:pStyle w:val="Heading2"/>
      </w:pPr>
      <w:bookmarkStart w:id="8" w:name="_Toc227848201"/>
      <w:r>
        <w:t>3.2 Profitability Analysis</w:t>
      </w:r>
      <w:bookmarkEnd w:id="8"/>
    </w:p>
    <w:p w14:paraId="0DA26215" w14:textId="77777777" w:rsidR="00CF1C2A" w:rsidRPr="00CF1C2A" w:rsidRDefault="00CF1C2A" w:rsidP="00CF1C2A">
      <w:r w:rsidRPr="00CF1C2A">
        <w:t xml:space="preserve">Profitability analysis shows whether Tesla’s growth has been converted into sustainable earnings and efficient returns. In a capital-intensive industry, rising revenue does not necessarily indicate stronger financial performance because margins can be affected by pricing pressure, production costs, and expansion expenditure (Atrill and McLaney, 2022). Tesla’s recent results suggest that profitability has become more volatile over time. Revenue increased from $81.46 billion in 2022 to $97.69 billion in 2024, but net income attributable to common stockholders fell from $15.00 billion in 2023 to $7.09 billion in 2024, despite continued sales growth (Tesla, 2024; Tesla, 2023; Tesla, 2022). In addition, Tesla noted that 2023 earnings included a one-time non-cash tax benefit of $5.93 billion, </w:t>
      </w:r>
      <w:r w:rsidRPr="00CF1C2A">
        <w:lastRenderedPageBreak/>
        <w:t>meaning the underlying profit trend was weaker than the headline figure first implied (Tesla, 2023).</w:t>
      </w:r>
    </w:p>
    <w:p w14:paraId="299969BE" w14:textId="235AFCD2" w:rsidR="00CF1C2A" w:rsidRPr="00CF1C2A" w:rsidRDefault="00CF1C2A" w:rsidP="00CF1C2A">
      <w:r w:rsidRPr="00CF1C2A">
        <w:t xml:space="preserve">This pattern indicates sustained pressure on gross, operating, and net profit margins, which is common in capital-intensive industries facing increased competition and cost volatility (Brealey et al., 2022). From a financial perspective, this raises concerns about earnings quality and margin sustainability in an increasingly competitive EV market. The same issue affects return-based measures such as return on assets and return on </w:t>
      </w:r>
      <w:r w:rsidRPr="00CF1C2A">
        <w:t>employed capital</w:t>
      </w:r>
      <w:r w:rsidRPr="00CF1C2A">
        <w:t>, because weaker profits reduce the efficiency with which Tesla’s growing asset base generates returns (Brealey et al., 2022).</w:t>
      </w:r>
    </w:p>
    <w:p w14:paraId="5FA1B8B4" w14:textId="52EE9CFB" w:rsidR="00F607C2" w:rsidRPr="0082552D" w:rsidRDefault="00CF1C2A" w:rsidP="00F607C2">
      <w:r w:rsidRPr="00CF1C2A">
        <w:t>However, this interpretation should not be viewed solely as a sign of operational weakness. Tesla’s recent pricing strategy, particularly the reduction in vehicle prices, may represent a deliberate effort to expand market share and strengthen its competitive position within the global EV market (IEA, 2025). While such a strategy may support long-term growth through increased sales volume and economies of scale, it introduces short-term financial risks by compressing margins and reducing return efficiency. As a result, Tesla’s profitability performance reflects a complex balance between strategic positioning and financial efficiency. Sustaining long-term shareholder value will therefore depend on improved cost control, pricing discipline, and the ability to convert revenue growth into consistent and high-quality earnings (Atrill and McLaney, 2022).</w:t>
      </w:r>
    </w:p>
    <w:p w14:paraId="52E2694C" w14:textId="5A37B1C9" w:rsidR="00400B6A" w:rsidRDefault="00F607C2" w:rsidP="00400B6A">
      <w:pPr>
        <w:pStyle w:val="Heading2"/>
      </w:pPr>
      <w:bookmarkStart w:id="9" w:name="_Toc227848202"/>
      <w:r>
        <w:t>3.3 Liquidity Analysis</w:t>
      </w:r>
      <w:bookmarkEnd w:id="9"/>
    </w:p>
    <w:p w14:paraId="456F92F1" w14:textId="77777777" w:rsidR="00CF1C2A" w:rsidRPr="00CF1C2A" w:rsidRDefault="00CF1C2A" w:rsidP="00CF1C2A">
      <w:r w:rsidRPr="00CF1C2A">
        <w:t>Liquidity analysis assesses Tesla’s ability to meet short-term obligations while preserving financial flexibility. This is particularly important in the EV sector because firms must fund production, inventory, technology development, and expansion while remaining resilient to pricing pressure and demand volatility (Atrill and McLaney, 2022). Tesla’s 2024 balance sheet shows current assets of $58.36 billion against current liabilities of $28.82 billion, compared with $49.62 billion and $28.75 billion respectively in 2023. This indicates that Tesla’s current ratio remained comfortably above 1 and strengthened further in 2024 (Tesla, 2024; Tesla, 2023).</w:t>
      </w:r>
    </w:p>
    <w:p w14:paraId="6464F95F" w14:textId="77777777" w:rsidR="00CF1C2A" w:rsidRPr="00CF1C2A" w:rsidRDefault="00CF1C2A" w:rsidP="00CF1C2A">
      <w:r w:rsidRPr="00CF1C2A">
        <w:lastRenderedPageBreak/>
        <w:t>Tesla also reported cash and cash equivalents of $16.14 billion and short-term investments of $20.42 billion in 2024, suggesting a strong immediate liquidity buffer (Tesla, 2024). This indicates that short-term resilience remained strong despite weaker profitability. However, liquidity ratios alone may not fully reflect financial resilience, as the quality of current assets depends on their convertibility into cash (Atrill and McLaney, 2022). Current assets also included $12.02 billion of inventory and $4.42 billion of receivables, both of which depend on successful stock turnover, delivery timing, and collection performance (Tesla, 2024).</w:t>
      </w:r>
    </w:p>
    <w:p w14:paraId="1A1E023E" w14:textId="0F67A401" w:rsidR="000265D3" w:rsidRDefault="00CF1C2A" w:rsidP="003422F4">
      <w:r w:rsidRPr="00CF1C2A">
        <w:t xml:space="preserve">Therefore, while Tesla’s balance sheet suggests strong liquidity, the quality of this liquidity is partly dependent on operational efficiency rather than cash alone. Tesla’s short-term position is </w:t>
      </w:r>
      <w:r w:rsidRPr="00CF1C2A">
        <w:t>robust but</w:t>
      </w:r>
      <w:r w:rsidRPr="00CF1C2A">
        <w:t xml:space="preserve"> continued working capital discipline is required to ensure that liquidity is supported by efficient cash conversion rather than reliance on accumulated reserves.</w:t>
      </w:r>
    </w:p>
    <w:p w14:paraId="52EE6A8A" w14:textId="0C48CF4E" w:rsidR="00400B6A" w:rsidRDefault="000265D3" w:rsidP="00400B6A">
      <w:pPr>
        <w:pStyle w:val="Heading2"/>
      </w:pPr>
      <w:bookmarkStart w:id="10" w:name="_Toc227848203"/>
      <w:r>
        <w:t>3.4 Efficiency Analysis</w:t>
      </w:r>
      <w:bookmarkEnd w:id="10"/>
    </w:p>
    <w:p w14:paraId="1F63169A" w14:textId="77777777" w:rsidR="00CF1C2A" w:rsidRPr="00CF1C2A" w:rsidRDefault="00CF1C2A" w:rsidP="00CF1C2A">
      <w:r w:rsidRPr="00CF1C2A">
        <w:t xml:space="preserve">Efficiency analysis examines how effectively Tesla uses its assets and manages working capital to generate revenue. This is important in the EV industry because manufacturing businesses require substantial investment in inventory, production facilities, logistics, and operating resources (Atrill and McLaney, 2022). Tesla’s recent financial statements suggest a mixed efficiency position. Revenue increased from $81.46 billion in 2022 to $97.69 billion in 2024, but total assets also rose from $82.34 billion in 2022 to $122.07 billion in 2024, indicating that asset growth outpaced sales growth over the period (Tesla, 2024; Tesla, 2023; Tesla, 2022). This suggests </w:t>
      </w:r>
      <w:proofErr w:type="gramStart"/>
      <w:r w:rsidRPr="00CF1C2A">
        <w:t>some</w:t>
      </w:r>
      <w:proofErr w:type="gramEnd"/>
      <w:r w:rsidRPr="00CF1C2A">
        <w:t xml:space="preserve"> weakening in asset utilisation.</w:t>
      </w:r>
    </w:p>
    <w:p w14:paraId="3766D95A" w14:textId="77777777" w:rsidR="00CF1C2A" w:rsidRPr="00CF1C2A" w:rsidRDefault="00CF1C2A" w:rsidP="00CF1C2A">
      <w:r w:rsidRPr="00CF1C2A">
        <w:t>Inefficient asset utilisation can reduce overall firm performance, particularly in capital-intensive industries where large investments must generate proportionate returns (Brealey et al., 2022). Inventory management shows partial improvement, with inventory falling from $13.63 billion in 2023 to $12.02 billion in 2024 (Tesla, 2024; Tesla, 2023). However, recurring inventory write-downs, including $190 million in 2024, indicate continued exposure to demand uncertainty and pricing pressure (Tesla, 2024).</w:t>
      </w:r>
    </w:p>
    <w:p w14:paraId="258EFF2A" w14:textId="76952503" w:rsidR="00440EA4" w:rsidRDefault="00CF1C2A" w:rsidP="003422F4">
      <w:r w:rsidRPr="00CF1C2A">
        <w:lastRenderedPageBreak/>
        <w:t>Receivables are also complex, as they include balances linked to financing partners, regulatory credits, and government rebates, meaning cash collection depends partly on external counterparties (Tesla, 2024). In addition, the decline in accounts payable suggests reduced reliance on supplier credit (Tesla, 2024; Tesla, 2023). Taken together, these factors indicate that while Tesla remains operationally strong, its efficiency gains are uneven. Improving asset utilisation and working capital coordination will be essential to enhance overall financial performance.</w:t>
      </w:r>
    </w:p>
    <w:p w14:paraId="1F7A197C" w14:textId="79DFAC72" w:rsidR="00400B6A" w:rsidRDefault="00440EA4" w:rsidP="00400B6A">
      <w:pPr>
        <w:pStyle w:val="Heading2"/>
      </w:pPr>
      <w:bookmarkStart w:id="11" w:name="_Toc227848204"/>
      <w:r>
        <w:t>3.5 Gearing and Solvency Analysis</w:t>
      </w:r>
      <w:bookmarkEnd w:id="11"/>
    </w:p>
    <w:p w14:paraId="66F18330" w14:textId="684904CC" w:rsidR="00CF1C2A" w:rsidRPr="00CF1C2A" w:rsidRDefault="00CF1C2A" w:rsidP="00CF1C2A">
      <w:r w:rsidRPr="00CF1C2A">
        <w:t xml:space="preserve">Gearing and solvency analysis evaluates the extent to which Tesla depends on debt finance and whether its long-term capital structure remains sustainable. This is especially important in a capital-intensive industry, where expansion must be funded without exposing the business to excessive financial risk (Brealey et al., 2022). Tesla’s 2024 balance sheet indicates a </w:t>
      </w:r>
      <w:r w:rsidR="006F6E67" w:rsidRPr="00CF1C2A">
        <w:t>strong</w:t>
      </w:r>
      <w:r w:rsidRPr="00CF1C2A">
        <w:t xml:space="preserve"> solvency position, with equity exceeding total liabilities (Tesla, 2024).</w:t>
      </w:r>
    </w:p>
    <w:p w14:paraId="5A42AA4B" w14:textId="77777777" w:rsidR="00CF1C2A" w:rsidRPr="00CF1C2A" w:rsidRDefault="00CF1C2A" w:rsidP="00CF1C2A">
      <w:r w:rsidRPr="00CF1C2A">
        <w:t>An optimal capital structure balances risk and return by combining debt and equity in a way that minimises the cost of capital while maintaining financial flexibility (Brealey et al., 2022). Tesla’s debt burden appears manageable relative to its liquidity resources, with total debt significantly lower than its combined cash and short-term investments (Tesla, 2024). Interest cover is also strong, indicating the company’s ability to meet financing costs comfortably.</w:t>
      </w:r>
    </w:p>
    <w:p w14:paraId="285B53B7" w14:textId="4BA9D55F" w:rsidR="00614B0F" w:rsidRPr="00CE3B3C" w:rsidRDefault="00CF1C2A" w:rsidP="00614B0F">
      <w:r w:rsidRPr="00CF1C2A">
        <w:t>However, solvency should not be viewed uncritically. The increase in long-term debt and finance leases suggests a gradual rise in financial commitments (Tesla, 2024; Tesla, 2023). While this remains sustainable, continued growth in obligations alongside declining profitability could increase financial risk over time. Maintaining a balanced capital structure will therefore depend on preserving earnings quality and exercising disciplined use of debt finance.</w:t>
      </w:r>
      <w:r w:rsidR="00614B0F">
        <w:t xml:space="preserve"> </w:t>
      </w:r>
    </w:p>
    <w:p w14:paraId="2A306C5C" w14:textId="52A74BC0" w:rsidR="00400B6A" w:rsidRDefault="00614B0F" w:rsidP="00400B6A">
      <w:pPr>
        <w:pStyle w:val="Heading2"/>
      </w:pPr>
      <w:bookmarkStart w:id="12" w:name="_Toc227848205"/>
      <w:r>
        <w:lastRenderedPageBreak/>
        <w:t>3.6 Investor and Cash Flow Analysis</w:t>
      </w:r>
      <w:bookmarkEnd w:id="12"/>
    </w:p>
    <w:p w14:paraId="4C7B7271" w14:textId="77777777" w:rsidR="00CF1C2A" w:rsidRPr="00CF1C2A" w:rsidRDefault="00CF1C2A" w:rsidP="00CF1C2A">
      <w:r w:rsidRPr="00CF1C2A">
        <w:t>Investor and cash flow analysis assesses whether Tesla’s accounting performance is supported by cash generation and whether shareholder returns are sustainable. This is particularly important in a capital-intensive sector where growth depends on continuous investment (Brealey et al., 2022). Tesla’s earnings performance weakened in 2024, with net income falling significantly, indicating reduced returns to shareholders (Tesla, 2024; Tesla, 2023).</w:t>
      </w:r>
    </w:p>
    <w:p w14:paraId="36E2300B" w14:textId="77777777" w:rsidR="00CF1C2A" w:rsidRPr="00CF1C2A" w:rsidRDefault="00CF1C2A" w:rsidP="00CF1C2A">
      <w:r w:rsidRPr="00CF1C2A">
        <w:t>In contrast, operating cash flow remained strong, increasing to $14.92 billion in 2024 (Tesla, 2024). Strong operating cash flow is often considered a more reliable indicator of financial health than accounting profit, as it reflects the firm’s ability to generate real cash from operations (Atrill and McLaney, 2022). However, this strength is offset by rising investment requirements, with significant cash outflows for capital expenditure.</w:t>
      </w:r>
    </w:p>
    <w:p w14:paraId="3C07BD43" w14:textId="4F5045CC" w:rsidR="008717F1" w:rsidRDefault="00CF1C2A" w:rsidP="008717F1">
      <w:r w:rsidRPr="00CF1C2A">
        <w:t>As a result, operating cash inflows were insufficient to fully cover investment outflows, highlighting pressure on free cash flow. This creates a mixed financial position: Tesla remains cash-generative and financially resilient, but high reinvestment reduces immediate shareholder returns. Sustaining investor confidence will therefore depend on improving profitability while maintaining strong cash generation.</w:t>
      </w:r>
    </w:p>
    <w:p w14:paraId="1EB9D5BF" w14:textId="0FF476DA" w:rsidR="00400B6A" w:rsidRDefault="008717F1" w:rsidP="00400B6A">
      <w:pPr>
        <w:pStyle w:val="Heading2"/>
      </w:pPr>
      <w:bookmarkStart w:id="13" w:name="_Toc227848206"/>
      <w:r>
        <w:t>3.7 Summary of Key Strengths, Weaknesses and Financial Risks</w:t>
      </w:r>
      <w:bookmarkEnd w:id="13"/>
    </w:p>
    <w:p w14:paraId="2400CD96" w14:textId="77777777" w:rsidR="00CF1C2A" w:rsidRPr="00CF1C2A" w:rsidRDefault="00CF1C2A" w:rsidP="00CF1C2A">
      <w:r w:rsidRPr="00CF1C2A">
        <w:t>The financial analysis indicates that Tesla remains a financially resilient company, supported by strong liquidity, substantial operating cash generation, and a solid equity-based capital structure (Tesla, 2024; Tesla, 2023). These factors provide short-term financial stability and the flexibility to continue investing in growth.</w:t>
      </w:r>
    </w:p>
    <w:p w14:paraId="4DDBC922" w14:textId="77777777" w:rsidR="00CF1C2A" w:rsidRPr="00CF1C2A" w:rsidRDefault="00CF1C2A" w:rsidP="00CF1C2A">
      <w:r w:rsidRPr="00CF1C2A">
        <w:t>However, the review also highlights key weaknesses. Profitability has declined despite revenue growth, suggesting increasing pressure on margins and a deterioration in earnings quality. Efficiency remains uneven, as asset growth has not translated into proportionate revenue gains, while working capital management still presents challenges.</w:t>
      </w:r>
    </w:p>
    <w:p w14:paraId="33AB8DA1" w14:textId="6190FFA4" w:rsidR="001B3CB5" w:rsidRDefault="00CF1C2A" w:rsidP="00400B6A">
      <w:r w:rsidRPr="00CF1C2A">
        <w:t xml:space="preserve">These weaknesses create financial risks, including continued margin pressure, reliance on cash reserves for liquidity quality, and rising long-term obligations. Taken together, </w:t>
      </w:r>
      <w:r w:rsidRPr="00CF1C2A">
        <w:lastRenderedPageBreak/>
        <w:t>Tesla appears financially strong but increasingly exposed to performance and capital discipline risks. Sustaining long-term value will therefore require improved cost control, enhanced efficiency, and more disciplined capital allocation decisions (Brealey et al., 2022).</w:t>
      </w:r>
    </w:p>
    <w:p w14:paraId="702F4853" w14:textId="77777777" w:rsidR="00CF1C2A" w:rsidRDefault="00CF1C2A" w:rsidP="00400B6A"/>
    <w:p w14:paraId="5ABC652A" w14:textId="60CA318C" w:rsidR="003D51C9" w:rsidRPr="003D51C9" w:rsidRDefault="000E1782" w:rsidP="003422F4">
      <w:pPr>
        <w:pStyle w:val="Heading1"/>
      </w:pPr>
      <w:bookmarkStart w:id="14" w:name="_Toc227848207"/>
      <w:r>
        <w:t>4. Working Capital Management Analysis</w:t>
      </w:r>
      <w:bookmarkEnd w:id="14"/>
    </w:p>
    <w:p w14:paraId="2B982629" w14:textId="0881D25B" w:rsidR="00400B6A" w:rsidRDefault="003D51C9" w:rsidP="00400B6A">
      <w:pPr>
        <w:pStyle w:val="Heading2"/>
      </w:pPr>
      <w:bookmarkStart w:id="15" w:name="_Toc227848208"/>
      <w:r>
        <w:t>4.1 Cash Operating Cycle</w:t>
      </w:r>
      <w:bookmarkEnd w:id="15"/>
    </w:p>
    <w:p w14:paraId="4BDEF506" w14:textId="77777777" w:rsidR="00CF1C2A" w:rsidRPr="00CF1C2A" w:rsidRDefault="00CF1C2A" w:rsidP="00CF1C2A">
      <w:r w:rsidRPr="00CF1C2A">
        <w:t>Working capital management affects a firm’s ability to maintain liquidity, support operations, and reduce short-term financing pressure. This is particularly important for Tesla, as a capital-intensive business that depends on efficient inventory management, timely cash collection, and effective use of supplier credit (Atrill and McLaney, 2022). Effective working capital management improves liquidity and operational efficiency by reducing the cash conversion cycle and minimising reliance on external financing (Agarwal and Singh, 2022).</w:t>
      </w:r>
    </w:p>
    <w:p w14:paraId="436AD2ED" w14:textId="77777777" w:rsidR="00CF1C2A" w:rsidRPr="00CF1C2A" w:rsidRDefault="00CF1C2A" w:rsidP="00CF1C2A">
      <w:r w:rsidRPr="00CF1C2A">
        <w:t>The cash operating cycle measures the time taken for cash invested in operations to be converted back into cash through sales and collections. It is typically assessed using inventory days, receivables days, and payables days. A shorter cycle improves liquidity by accelerating cash conversion, whereas a longer cycle increases reliance on internal or external financing.</w:t>
      </w:r>
    </w:p>
    <w:p w14:paraId="742AAF94" w14:textId="77777777" w:rsidR="00CF1C2A" w:rsidRPr="00CF1C2A" w:rsidRDefault="00CF1C2A" w:rsidP="00CF1C2A">
      <w:r w:rsidRPr="00CF1C2A">
        <w:t xml:space="preserve">Tesla’s recent performance suggests a mixed cash conversion position. Inventory fell from $13.63 billion in 2023 to $12.02 billion in 2024 while revenue remained broadly stable, indicating potential improvement in inventory turnover (Tesla, 2024; Tesla, 2023). However, recurring inventory write-downs, including $190 million in 2024, highlight continued exposure to demand and pricing risk (Tesla, 2024). Receivables are also structurally complex, as they include balances linked to financing partners, regulatory credits, and government rebates, </w:t>
      </w:r>
      <w:proofErr w:type="gramStart"/>
      <w:r w:rsidRPr="00CF1C2A">
        <w:t>some of</w:t>
      </w:r>
      <w:proofErr w:type="gramEnd"/>
      <w:r w:rsidRPr="00CF1C2A">
        <w:t xml:space="preserve"> which may take extended periods to collect </w:t>
      </w:r>
      <w:r w:rsidRPr="00CF1C2A">
        <w:lastRenderedPageBreak/>
        <w:t>(Tesla, 2024). In addition, the decline in accounts payable from $14.43 billion to $12.47 billion suggests reduced reliance on supplier credit (Tesla, 2024; Tesla, 2023).</w:t>
      </w:r>
    </w:p>
    <w:p w14:paraId="586EF928" w14:textId="19921E57" w:rsidR="002B1EB2" w:rsidRPr="001B3CB5" w:rsidRDefault="00CF1C2A" w:rsidP="001B3CB5">
      <w:r w:rsidRPr="00CF1C2A">
        <w:t xml:space="preserve">These factors indicate that Tesla’s cash operating cycle has not improved uniformly. While inventory management shows </w:t>
      </w:r>
      <w:proofErr w:type="gramStart"/>
      <w:r w:rsidRPr="00CF1C2A">
        <w:t>some</w:t>
      </w:r>
      <w:proofErr w:type="gramEnd"/>
      <w:r w:rsidRPr="00CF1C2A">
        <w:t xml:space="preserve"> progress, slower receivable conversion and reduced payables support may limit overall cash efficiency. This suggests that improvements in one component of working capital may be offset by weaknesses in others, highlighting the need for a more integrated approach to cash flow management.</w:t>
      </w:r>
    </w:p>
    <w:p w14:paraId="06FCB18A" w14:textId="6C962DFB" w:rsidR="00400B6A" w:rsidRDefault="00400B6A" w:rsidP="00400B6A">
      <w:pPr>
        <w:pStyle w:val="Heading2"/>
      </w:pPr>
      <w:bookmarkStart w:id="16" w:name="_Toc227848209"/>
      <w:r>
        <w:t>4.2 Diagnosis of Working Capital Issues</w:t>
      </w:r>
      <w:bookmarkEnd w:id="16"/>
    </w:p>
    <w:p w14:paraId="01E150C9" w14:textId="77777777" w:rsidR="00CF1C2A" w:rsidRPr="00CF1C2A" w:rsidRDefault="00CF1C2A" w:rsidP="00CF1C2A">
      <w:r w:rsidRPr="00CF1C2A">
        <w:t xml:space="preserve">Although Tesla’s balance sheet indicates strong liquidity, the cash operating cycle highlights several underlying working capital weaknesses. A key issue is the complexity of receivables. Tesla reports that receivables include balances from financing partners, regulatory credits, energy products, and government rebates, </w:t>
      </w:r>
      <w:proofErr w:type="gramStart"/>
      <w:r w:rsidRPr="00CF1C2A">
        <w:t>some of</w:t>
      </w:r>
      <w:proofErr w:type="gramEnd"/>
      <w:r w:rsidRPr="00CF1C2A">
        <w:t xml:space="preserve"> which may take extended periods to collect (Tesla, 2024). This delays cash conversion and reduces the predictability of short-term inflows, weakening operational liquidity efficiency.</w:t>
      </w:r>
    </w:p>
    <w:p w14:paraId="3BE4D90E" w14:textId="77777777" w:rsidR="00CF1C2A" w:rsidRPr="00CF1C2A" w:rsidRDefault="00CF1C2A" w:rsidP="00CF1C2A">
      <w:r w:rsidRPr="00CF1C2A">
        <w:t>A second issue relates to inventory risk. Inventory declined to $12.02 billion in 2024, suggesting improved stock management; however, recurring write-downs indicate continued exposure to demand uncertainty and pricing pressure (Tesla, 2024; Tesla, 2023). This suggests that inventory is not yet fully aligned with market demand, increasing the risk of value erosion and inefficient capital utilisation.</w:t>
      </w:r>
    </w:p>
    <w:p w14:paraId="5567C41B" w14:textId="77777777" w:rsidR="00CF1C2A" w:rsidRPr="00CF1C2A" w:rsidRDefault="00CF1C2A" w:rsidP="00CF1C2A">
      <w:r w:rsidRPr="00CF1C2A">
        <w:t>A third concern is the reduction in accounts payable from $14.43 billion in 2023 to $12.47 billion in 2024 (Tesla, 2024; Tesla, 2023). While this may reflect stronger supplier relationships, it also suggests reduced use of trade credit, which is typically a low-cost source of short-term financing (Brealey et al., 2022).</w:t>
      </w:r>
    </w:p>
    <w:p w14:paraId="63E5658F" w14:textId="4373BDC2" w:rsidR="002B1EB2" w:rsidRDefault="00CF1C2A" w:rsidP="001B3CB5">
      <w:r w:rsidRPr="00CF1C2A">
        <w:t>Taken together, these issues indicate that Tesla’s liquidity strength is partly supported by large cash balances rather than fully efficient working capital processes. While this provides short-term financial security, it may mask underlying inefficiencies in cash conversion. Addressing these inefficiencies is therefore essential to improving sustainable liquidity.</w:t>
      </w:r>
    </w:p>
    <w:p w14:paraId="2733A8EA" w14:textId="345960DA" w:rsidR="00400B6A" w:rsidRDefault="00400B6A" w:rsidP="00400B6A">
      <w:pPr>
        <w:pStyle w:val="Heading2"/>
      </w:pPr>
      <w:bookmarkStart w:id="17" w:name="_Toc227848210"/>
      <w:r>
        <w:lastRenderedPageBreak/>
        <w:t>4.3 Strategies to Improve Liquidity</w:t>
      </w:r>
      <w:bookmarkEnd w:id="17"/>
    </w:p>
    <w:p w14:paraId="2E09E076" w14:textId="0DF3DF4C" w:rsidR="00CF1C2A" w:rsidRPr="00CF1C2A" w:rsidRDefault="00CF1C2A" w:rsidP="00CF1C2A">
      <w:r w:rsidRPr="00CF1C2A">
        <w:t xml:space="preserve">Tesla’s liquidity should be strengthened by improving the efficiency of working capital rather than relying on large cash reserves. The </w:t>
      </w:r>
      <w:r w:rsidR="006F6E67" w:rsidRPr="00CF1C2A">
        <w:t>priority</w:t>
      </w:r>
      <w:r w:rsidRPr="00CF1C2A">
        <w:t xml:space="preserve"> is tighter receivables management. While structural delays linked to financing partners and government balances cannot be fully eliminated, liquidity can be improved by segmenting receivables, strengthening collection monitoring, and accelerating recovery of balances under direct operational control. Improved </w:t>
      </w:r>
      <w:r w:rsidRPr="00CF1C2A">
        <w:t>forecasts</w:t>
      </w:r>
      <w:r w:rsidRPr="00CF1C2A">
        <w:t xml:space="preserve"> of delayed receipts would also reduce uncertainty in cash planning.</w:t>
      </w:r>
    </w:p>
    <w:p w14:paraId="4BF4CA0F" w14:textId="0D33B13E" w:rsidR="00CF1C2A" w:rsidRPr="00CF1C2A" w:rsidRDefault="00CF1C2A" w:rsidP="00CF1C2A">
      <w:r w:rsidRPr="00CF1C2A">
        <w:t xml:space="preserve">The second priority is stronger inventory discipline. Aligning production more closely with real-time demand and improving forecasting accuracy would reduce excess stock, release cash tied up in </w:t>
      </w:r>
      <w:r w:rsidRPr="00CF1C2A">
        <w:t>inventory and</w:t>
      </w:r>
      <w:r w:rsidRPr="00CF1C2A">
        <w:t xml:space="preserve"> limit further value erosion. This is particularly important in industries subject to rapid technological change </w:t>
      </w:r>
      <w:r w:rsidRPr="00CF1C2A">
        <w:t>and</w:t>
      </w:r>
      <w:r w:rsidRPr="00CF1C2A">
        <w:t xml:space="preserve"> pressure.</w:t>
      </w:r>
    </w:p>
    <w:p w14:paraId="08F88E53" w14:textId="3797A9F5" w:rsidR="00CF1C2A" w:rsidRPr="00CF1C2A" w:rsidRDefault="00CF1C2A" w:rsidP="00CF1C2A">
      <w:r w:rsidRPr="00CF1C2A">
        <w:t xml:space="preserve">A third strategy </w:t>
      </w:r>
      <w:r w:rsidR="006F6E67" w:rsidRPr="00CF1C2A">
        <w:t>is to make</w:t>
      </w:r>
      <w:r w:rsidRPr="00CF1C2A">
        <w:t xml:space="preserve"> more effective use of supplier credit. Managing supplier terms more strategically could extend payment periods without damaging relationships, allowing Tesla to retain cash for longer and reduce short-term funding pressure. Trade credit is often a cost-effective source of financing compared with external borrowing (Brealey et al., 2022).</w:t>
      </w:r>
    </w:p>
    <w:p w14:paraId="70B49062" w14:textId="5F567B38" w:rsidR="004F20E0" w:rsidRDefault="00CF1C2A" w:rsidP="003422F4">
      <w:r w:rsidRPr="00CF1C2A">
        <w:t>Finally, integrating receivables, inventory, and payables within a coordinated cash management framework would improve overall liquidity control. More frequent short-term cash forecasting would enable earlier identification of working capital pressures and allow timely operational adjustments. Together, these measures would accelerate cash conversion and strengthen liquidity through improved operational discipline rather than reliance on accumulated reserves.</w:t>
      </w:r>
    </w:p>
    <w:p w14:paraId="03E3F22D" w14:textId="5A13F011" w:rsidR="00400B6A" w:rsidRDefault="004F20E0" w:rsidP="00400B6A">
      <w:pPr>
        <w:pStyle w:val="Heading2"/>
      </w:pPr>
      <w:bookmarkStart w:id="18" w:name="_Toc227848211"/>
      <w:r>
        <w:t>4.4 Short-Term and Long-Term Financing Options</w:t>
      </w:r>
      <w:bookmarkEnd w:id="18"/>
    </w:p>
    <w:p w14:paraId="1AD17073" w14:textId="77777777" w:rsidR="00CF1C2A" w:rsidRPr="00CF1C2A" w:rsidRDefault="00CF1C2A" w:rsidP="00CF1C2A">
      <w:r w:rsidRPr="00CF1C2A">
        <w:t xml:space="preserve">The choice between short-term and long-term financing affects liquidity, risk exposure, and financial flexibility. Short-term financing, including trade credit and short-term borrowing, is typically used to manage temporary working capital needs and timing gaps between cash inflows and outflows (Atrill and McLaney, 2022). For Tesla, such financing </w:t>
      </w:r>
      <w:r w:rsidRPr="00CF1C2A">
        <w:lastRenderedPageBreak/>
        <w:t>can support liquidity where receivables delays or inventory cycles create short-term pressure. However, short-term funding introduces refinancing risk and cost volatility, particularly in uncertain market conditions (Brealey et al., 2022).</w:t>
      </w:r>
    </w:p>
    <w:p w14:paraId="6FD3BAD3" w14:textId="77777777" w:rsidR="00CF1C2A" w:rsidRPr="00CF1C2A" w:rsidRDefault="00CF1C2A" w:rsidP="00CF1C2A">
      <w:r w:rsidRPr="00CF1C2A">
        <w:t>Long-term financing, including loans, bonds, lease finance, and equity, is more appropriate for funding strategic investment. Tesla’s continued capital expenditure on factories, technology, and infrastructure indicates the need for stable, long-duration funding aligned with asset life (Tesla, 2024). According to financial theory, matching the maturity of financing with the life of assets reduces risk and improves financial stability (Brealey et al., 2022).</w:t>
      </w:r>
    </w:p>
    <w:p w14:paraId="56D2A757" w14:textId="17CA8BFE" w:rsidR="001B3CB5" w:rsidRPr="001B3CB5" w:rsidRDefault="00CF1C2A" w:rsidP="001B3CB5">
      <w:r w:rsidRPr="00CF1C2A">
        <w:t>A balanced approach is therefore most suitable. Short-term finance should be used selectively to support operational liquidity, while long-term funding should be prioritised for capital investment. This matching principle reduces the risk of financing long-term assets with short-term liabilities. Given Tesla’s strong liquidity position and moderate debt profile, the company is well placed to adopt this disciplined structure. However, maintaining this balance will require careful monitoring of cash flows and financing conditions to avoid excessive reliance on either funding source.</w:t>
      </w:r>
    </w:p>
    <w:p w14:paraId="21180928" w14:textId="481C008F" w:rsidR="00710F10" w:rsidRDefault="00710F10" w:rsidP="00400B6A"/>
    <w:p w14:paraId="3A85B53D" w14:textId="77777777" w:rsidR="00400B6A" w:rsidRDefault="00710F10" w:rsidP="00400B6A">
      <w:pPr>
        <w:pStyle w:val="Heading1"/>
      </w:pPr>
      <w:bookmarkStart w:id="19" w:name="_Toc227848212"/>
      <w:r>
        <w:t>5. Strategic Financial Restructuring Plan</w:t>
      </w:r>
      <w:bookmarkEnd w:id="19"/>
    </w:p>
    <w:p w14:paraId="3686B004" w14:textId="002281E0" w:rsidR="00400B6A" w:rsidRDefault="00400B6A" w:rsidP="00400B6A">
      <w:pPr>
        <w:pStyle w:val="Heading2"/>
      </w:pPr>
      <w:bookmarkStart w:id="20" w:name="_Toc227848213"/>
      <w:r>
        <w:t>5.1 Need for Restructuring</w:t>
      </w:r>
      <w:bookmarkEnd w:id="20"/>
    </w:p>
    <w:p w14:paraId="7C74CC0D" w14:textId="77777777" w:rsidR="00CF1C2A" w:rsidRPr="00CF1C2A" w:rsidRDefault="00CF1C2A" w:rsidP="00CF1C2A">
      <w:r w:rsidRPr="00CF1C2A">
        <w:t>Financial restructuring is appropriate where a firm remains viable but shows signs that its current financial model requires adjustment to protect long-term value. In Tesla’s case, earlier analysis indicates no immediate liquidity or solvency crisis; however, it highlights increasing pressure on profitability, efficiency, and capital allocation. This creates the need for restructuring as a strategic, rather than corrective, response (Tesla, 2024; Tesla, 2023).</w:t>
      </w:r>
    </w:p>
    <w:p w14:paraId="27C50530" w14:textId="77777777" w:rsidR="00CF1C2A" w:rsidRPr="00CF1C2A" w:rsidRDefault="00CF1C2A" w:rsidP="00CF1C2A">
      <w:r w:rsidRPr="00CF1C2A">
        <w:t xml:space="preserve">A key driver is the decline in earnings quality. Although Tesla continues to generate strong revenues, recent results show that growth is no longer translating into proportionate </w:t>
      </w:r>
      <w:r w:rsidRPr="00CF1C2A">
        <w:lastRenderedPageBreak/>
        <w:t>bottom-line performance, indicating pressure on margins and returns (Tesla, 2024). In capital-intensive industries, sustained profitability is essential to justify continued investment and maintain shareholder confidence (Brealey et al., 2022). Without careful alignment between funding and returns, there is a risk that capital may be committed without delivering sufficient value.</w:t>
      </w:r>
    </w:p>
    <w:p w14:paraId="75ED8D99" w14:textId="70F50AA7" w:rsidR="002B1EB2" w:rsidRPr="00B82D93" w:rsidRDefault="00CF1C2A" w:rsidP="00B82D93">
      <w:r w:rsidRPr="00CF1C2A">
        <w:t>In addition, rising long-term obligations and mixed working capital efficiency suggest a gradual shift in financial risk. While the balance sheet remains strong, sustaining this position will depend on improved financial discipline and capital efficiency. Restructuring is therefore required to enhance profitability, optimise capital structure, and strengthen strategic flexibility in a more competitive and investment-intensive environment (IEA, 2025).</w:t>
      </w:r>
    </w:p>
    <w:p w14:paraId="681B4E89" w14:textId="2E3D04CA" w:rsidR="00400B6A" w:rsidRDefault="00400B6A" w:rsidP="00400B6A">
      <w:pPr>
        <w:pStyle w:val="Heading2"/>
      </w:pPr>
      <w:bookmarkStart w:id="21" w:name="_Toc227848214"/>
      <w:r>
        <w:t>5.2 Equity Injection</w:t>
      </w:r>
      <w:bookmarkEnd w:id="21"/>
    </w:p>
    <w:p w14:paraId="40C9C12B" w14:textId="77777777" w:rsidR="00CF1C2A" w:rsidRPr="00CF1C2A" w:rsidRDefault="00CF1C2A" w:rsidP="00CF1C2A">
      <w:r w:rsidRPr="00CF1C2A">
        <w:t>Equity injection is a restructuring option that strengthens the capital base without creating fixed repayment obligations. This can improve solvency and reduce reliance on debt, which is beneficial in a capital-intensive industry (Brealey et al., 2022). In Tesla’s case, additional equity would further reinforce an already strong balance sheet, as stockholders’ equity exceeded total liabilities in 2024 (Tesla, 2024).</w:t>
      </w:r>
    </w:p>
    <w:p w14:paraId="170472F4" w14:textId="49A62B1B" w:rsidR="00CF1C2A" w:rsidRPr="00CF1C2A" w:rsidRDefault="00CF1C2A" w:rsidP="00CF1C2A">
      <w:r w:rsidRPr="00CF1C2A">
        <w:t xml:space="preserve">However, equity financing has significant drawbacks. The most important is shareholder </w:t>
      </w:r>
      <w:r w:rsidRPr="00CF1C2A">
        <w:t>dilation</w:t>
      </w:r>
      <w:r w:rsidRPr="00CF1C2A">
        <w:t>, as issuing new shares reduces earnings per share and ownership value unless the funds generate sufficiently high returns. In addition, equity is typically more expensive than debt due to higher required returns from investors (Brealey et al., 2022). Given that Tesla continues to generate strong operating cash flow and holds substantial liquid resources, new equity may be viewed as unnecessary under current conditions (Tesla, 2024).</w:t>
      </w:r>
    </w:p>
    <w:p w14:paraId="5702042C" w14:textId="4999A253" w:rsidR="007B2D47" w:rsidRPr="007B2D47" w:rsidRDefault="00CF1C2A" w:rsidP="007B2D47">
      <w:r w:rsidRPr="00CF1C2A">
        <w:t xml:space="preserve">Equity issuance may also create negative market signals. Investors could interpret a large capital raise as an indication of underlying financial pressure, even if this is not the case, potentially affecting share valuation and confidence. Therefore, while equity injection offers benefits in terms of financial flexibility, it is not the most appropriate first-line option. </w:t>
      </w:r>
      <w:r w:rsidRPr="00CF1C2A">
        <w:lastRenderedPageBreak/>
        <w:t>It should be reserved for major strategic investments where long-term returns justify the cost and dilution.</w:t>
      </w:r>
    </w:p>
    <w:p w14:paraId="7AA0C9BD" w14:textId="0366FD34" w:rsidR="00400B6A" w:rsidRDefault="007B2D47" w:rsidP="00400B6A">
      <w:pPr>
        <w:pStyle w:val="Heading2"/>
      </w:pPr>
      <w:bookmarkStart w:id="22" w:name="_Toc227848215"/>
      <w:r>
        <w:t>5.3 Debt Restructuring / Refinancing</w:t>
      </w:r>
      <w:bookmarkEnd w:id="22"/>
    </w:p>
    <w:p w14:paraId="21E6196F" w14:textId="77777777" w:rsidR="00CF1C2A" w:rsidRPr="00CF1C2A" w:rsidRDefault="00CF1C2A" w:rsidP="00CF1C2A">
      <w:r w:rsidRPr="00CF1C2A">
        <w:t>Debt restructuring through refinancing allows a firm to adjust the maturity and cost of its liabilities without diluting shareholders. This can improve financial flexibility and reduce refinancing risk, making it a relevant option for capital-intensive firms (Brealey et al., 2022). In Tesla’s case, refinancing is an optimisation tool rather than a response to financial distress, as the company maintains strong liquidity and moderate debt levels (Tesla, 2024).</w:t>
      </w:r>
    </w:p>
    <w:p w14:paraId="136A79DD" w14:textId="77777777" w:rsidR="00CF1C2A" w:rsidRPr="00CF1C2A" w:rsidRDefault="00CF1C2A" w:rsidP="00CF1C2A">
      <w:r w:rsidRPr="00CF1C2A">
        <w:t>Refinancing offers several advantages. It can improve the maturity profile of debt by spreading repayment obligations over a longer period, reducing the risk of concentrated future cash outflows. This is particularly valuable given Tesla’s ongoing capital expenditure and expansion commitments. In addition, refinancing may reduce financing costs if favourable terms are secured, supporting profitability under margin pressure.</w:t>
      </w:r>
    </w:p>
    <w:p w14:paraId="76D1D226" w14:textId="77777777" w:rsidR="00CF1C2A" w:rsidRPr="00CF1C2A" w:rsidRDefault="00CF1C2A" w:rsidP="00CF1C2A">
      <w:r w:rsidRPr="00CF1C2A">
        <w:t>However, refinancing also has limitations. It does not reduce the overall level of debt and therefore cannot compensate for sustained declines in profitability. It also exposes the firm to interest rate fluctuations and credit market conditions. If used without improvements in operational efficiency and cash generation, refinancing may only delay financial pressure rather than resolve it.</w:t>
      </w:r>
    </w:p>
    <w:p w14:paraId="7C32E491" w14:textId="3A74A291" w:rsidR="00204EDE" w:rsidRPr="00204EDE" w:rsidRDefault="00CF1C2A" w:rsidP="00204EDE">
      <w:r w:rsidRPr="00CF1C2A">
        <w:t>Refinancing is therefore a suitable restructuring option, provided it is used selectively and supported by improvements in financial performance. It is more appropriate than equity injection under current conditions, as it enhances financial flexibility while preserving shareholder value.</w:t>
      </w:r>
    </w:p>
    <w:p w14:paraId="05684E0D" w14:textId="477778ED" w:rsidR="00400B6A" w:rsidRDefault="00204EDE" w:rsidP="00400B6A">
      <w:pPr>
        <w:pStyle w:val="Heading2"/>
      </w:pPr>
      <w:bookmarkStart w:id="23" w:name="_Toc227848216"/>
      <w:r>
        <w:t>5.4 Divestiture or Asset Rationalisation</w:t>
      </w:r>
      <w:bookmarkEnd w:id="23"/>
    </w:p>
    <w:p w14:paraId="366ECDBF" w14:textId="77777777" w:rsidR="00CF1C2A" w:rsidRPr="00CF1C2A" w:rsidRDefault="00CF1C2A" w:rsidP="00CF1C2A">
      <w:r w:rsidRPr="00CF1C2A">
        <w:t>Divestiture or asset rationalisation focuses on improving financial efficiency by reducing or reallocating assets that do not contribute sufficiently to value creation. This approach targets the asset side of the balance sheet and aims to improve capital allocation and operational flexibility (Brealey et al., 2022).</w:t>
      </w:r>
    </w:p>
    <w:p w14:paraId="53D7D980" w14:textId="77777777" w:rsidR="00CF1C2A" w:rsidRPr="00CF1C2A" w:rsidRDefault="00CF1C2A" w:rsidP="00CF1C2A">
      <w:r w:rsidRPr="00CF1C2A">
        <w:lastRenderedPageBreak/>
        <w:t>For Tesla, large-scale divestiture is not necessary given its strong market position and continued growth across core activities such as electric vehicles and energy solutions (Tesla, 2024). However, targeted rationalisation remains relevant. Earlier analysis showed that total assets have grown while profitability has come under pressure, raising concerns about whether all assets are generating adequate returns (Tesla, 2024; Tesla, 2023).</w:t>
      </w:r>
    </w:p>
    <w:p w14:paraId="1ABFE536" w14:textId="77777777" w:rsidR="00CF1C2A" w:rsidRPr="00CF1C2A" w:rsidRDefault="00CF1C2A" w:rsidP="00CF1C2A">
      <w:r w:rsidRPr="00CF1C2A">
        <w:t>This approach can improve return on assets and enhance strategic flexibility by reducing fixed cost burdens and reallocating capital toward higher-value opportunities. However, it must be applied cautiously. Excessive divestment could weaken future growth capacity or signal strategic uncertainty to investors, particularly in a technology-driven business where long-term capability is critical.</w:t>
      </w:r>
    </w:p>
    <w:p w14:paraId="3082780D" w14:textId="063981E8" w:rsidR="00FA041D" w:rsidRPr="00713FE2" w:rsidRDefault="00CF1C2A" w:rsidP="00713FE2">
      <w:r w:rsidRPr="00CF1C2A">
        <w:t>Targeted asset rationalisation is therefore the most appropriate approach, as it improves efficiency while preserving core strategic capabilities.</w:t>
      </w:r>
    </w:p>
    <w:p w14:paraId="0D86FBE7" w14:textId="598592BC" w:rsidR="00400B6A" w:rsidRDefault="00FA041D" w:rsidP="00400B6A">
      <w:pPr>
        <w:pStyle w:val="Heading2"/>
      </w:pPr>
      <w:bookmarkStart w:id="24" w:name="_Toc227848217"/>
      <w:r>
        <w:t>5.5 Recommended Financial Restructuring Strategy</w:t>
      </w:r>
      <w:bookmarkEnd w:id="24"/>
    </w:p>
    <w:p w14:paraId="3EACEDB5" w14:textId="77777777" w:rsidR="00CF1C2A" w:rsidRPr="00CF1C2A" w:rsidRDefault="00CF1C2A" w:rsidP="00CF1C2A">
      <w:r w:rsidRPr="00CF1C2A">
        <w:t>The most appropriate restructuring strategy for Tesla is a selective and balanced approach focused on optimisation rather than fundamental change. The company remains financially strong but faces increasing pressure on profitability, efficiency, and capital discipline (Tesla, 2024; Tesla, 2023). The objective is therefore to enhance financial quality while preserving flexibility and shareholder value.</w:t>
      </w:r>
    </w:p>
    <w:p w14:paraId="0B281A50" w14:textId="77777777" w:rsidR="00CF1C2A" w:rsidRPr="00CF1C2A" w:rsidRDefault="00CF1C2A" w:rsidP="00CF1C2A">
      <w:r w:rsidRPr="00CF1C2A">
        <w:t>The first element is targeted debt refinancing. Improving the maturity structure of debt would reduce refinancing risk and better align funding with long-term investment. This supports financial stability without diluting shareholders.</w:t>
      </w:r>
    </w:p>
    <w:p w14:paraId="1C863593" w14:textId="77777777" w:rsidR="00CF1C2A" w:rsidRPr="00CF1C2A" w:rsidRDefault="00CF1C2A" w:rsidP="00CF1C2A">
      <w:r w:rsidRPr="00CF1C2A">
        <w:t>The second element is disciplined capital allocation supported by targeted asset rationalisation. Continued asset growth alongside weaker profitability indicates that not all investments are generating sufficient returns. Reallocating capital toward higher-value activities would improve efficiency and strengthen return on capital employed.</w:t>
      </w:r>
    </w:p>
    <w:p w14:paraId="63C1F8F4" w14:textId="77777777" w:rsidR="00CF1C2A" w:rsidRPr="00CF1C2A" w:rsidRDefault="00CF1C2A" w:rsidP="00CF1C2A">
      <w:r w:rsidRPr="00CF1C2A">
        <w:lastRenderedPageBreak/>
        <w:t>The third element is to avoid equity injection as a primary measure. Although it strengthens solvency, the associated dilution and potential negative market signals outweigh the benefits under current conditions.</w:t>
      </w:r>
    </w:p>
    <w:p w14:paraId="23789D75" w14:textId="77777777" w:rsidR="00CF1C2A" w:rsidRPr="00CF1C2A" w:rsidRDefault="00CF1C2A" w:rsidP="00CF1C2A">
      <w:r w:rsidRPr="00CF1C2A">
        <w:t>The final element is integration with working capital reform. Improving receivables management, inventory control, and supplier financing would enhance cash conversion and reduce reliance on external funding.</w:t>
      </w:r>
    </w:p>
    <w:p w14:paraId="44A88290" w14:textId="1D7F37A6" w:rsidR="00791FA2" w:rsidRDefault="00CF1C2A" w:rsidP="00AD0290">
      <w:r w:rsidRPr="00CF1C2A">
        <w:t>Taken together, this strategy improves both asset efficiency and capital structure, reduces financial risk, and supports sustainable long-term value creation. Importantly, it aligns financial decisions with both operational performance and strategic objectives, which is essential for long-term success (Brealey et al., 2022).</w:t>
      </w:r>
    </w:p>
    <w:p w14:paraId="0CF5905C" w14:textId="0FA59A4B" w:rsidR="00400B6A" w:rsidRDefault="00791FA2" w:rsidP="002B1EB2">
      <w:pPr>
        <w:pStyle w:val="Heading2"/>
      </w:pPr>
      <w:bookmarkStart w:id="25" w:name="_Toc227848218"/>
      <w:r>
        <w:t>5.6 International and Ethical Considerations</w:t>
      </w:r>
      <w:bookmarkEnd w:id="25"/>
    </w:p>
    <w:p w14:paraId="7183E25D" w14:textId="77777777" w:rsidR="00CF1C2A" w:rsidRPr="00CF1C2A" w:rsidRDefault="00CF1C2A" w:rsidP="00CF1C2A">
      <w:r w:rsidRPr="00CF1C2A">
        <w:t>Financial restructuring must consider international and ethical factors because Tesla operates in a global environment influenced by currency movements, inflation, taxation, and stakeholder expectations. Currency risk is particularly relevant, as exchange-rate fluctuations can affect revenues, costs, and financing obligations (Tesla, 2024). Maintaining flexibility in financing decisions is therefore essential to manage these risks.</w:t>
      </w:r>
    </w:p>
    <w:p w14:paraId="6B900C75" w14:textId="77777777" w:rsidR="00CF1C2A" w:rsidRPr="00CF1C2A" w:rsidRDefault="00CF1C2A" w:rsidP="00CF1C2A">
      <w:r w:rsidRPr="00CF1C2A">
        <w:t>Inflation also has important implications. Rising input costs, wages, and logistics expenses can reduce margins and affect the real value of future cash flows, particularly in capital-intensive industries (IEA, 2025; Tesla, 2024). Restructuring decisions should therefore prioritise cost control and preserve liquidity to absorb future cost pressures.</w:t>
      </w:r>
    </w:p>
    <w:p w14:paraId="103ADC51" w14:textId="77777777" w:rsidR="00CF1C2A" w:rsidRPr="00CF1C2A" w:rsidRDefault="00CF1C2A" w:rsidP="00CF1C2A">
      <w:r w:rsidRPr="00CF1C2A">
        <w:t>Taxation considerations further influence restructuring choices. While efficient tax planning can improve after-tax returns, overly aggressive strategies may create reputational and regulatory risks. A balanced approach that aligns with good governance is therefore essential.</w:t>
      </w:r>
    </w:p>
    <w:p w14:paraId="3D22D3FC" w14:textId="77777777" w:rsidR="00CF1C2A" w:rsidRPr="00CF1C2A" w:rsidRDefault="00CF1C2A" w:rsidP="00CF1C2A">
      <w:r w:rsidRPr="00CF1C2A">
        <w:t xml:space="preserve">Ethically, restructuring must consider its impact on stakeholders, including employees, suppliers, and customers. Decisions that prioritise short-term financial gains at the expense of stakeholder relationships may weaken long-term value. Tesla’s association </w:t>
      </w:r>
      <w:r w:rsidRPr="00CF1C2A">
        <w:lastRenderedPageBreak/>
        <w:t>with sustainability and innovation means that restructuring decisions must remain consistent with its broader corporate responsibilities.</w:t>
      </w:r>
    </w:p>
    <w:p w14:paraId="4D2A6C7E" w14:textId="5C5A9EEA" w:rsidR="00AD0290" w:rsidRDefault="00CF1C2A" w:rsidP="00A05711">
      <w:r w:rsidRPr="00CF1C2A">
        <w:t>Overall, financial restructuring should be both economically effective and ethically responsible to ensure long-term sustainability and stakeholder trust.</w:t>
      </w:r>
    </w:p>
    <w:p w14:paraId="6400A7CC" w14:textId="77777777" w:rsidR="00CF1C2A" w:rsidRPr="00A05711" w:rsidRDefault="00CF1C2A" w:rsidP="00A05711"/>
    <w:p w14:paraId="408B6A5B" w14:textId="596DCAA6" w:rsidR="002B1EB2" w:rsidRDefault="00400B6A" w:rsidP="003422F4">
      <w:pPr>
        <w:pStyle w:val="Heading1"/>
      </w:pPr>
      <w:bookmarkStart w:id="26" w:name="_Toc227848219"/>
      <w:r>
        <w:t>6. Investment Appraisal and Capital Budgeting</w:t>
      </w:r>
      <w:bookmarkEnd w:id="26"/>
    </w:p>
    <w:p w14:paraId="485D5BDC" w14:textId="63D01390" w:rsidR="00400B6A" w:rsidRDefault="00400B6A" w:rsidP="00400B6A">
      <w:pPr>
        <w:pStyle w:val="Heading2"/>
      </w:pPr>
      <w:bookmarkStart w:id="27" w:name="_Toc227848220"/>
      <w:r>
        <w:t>6.1 Appraisal Methods</w:t>
      </w:r>
      <w:bookmarkEnd w:id="27"/>
    </w:p>
    <w:p w14:paraId="7E9E60CD" w14:textId="77777777" w:rsidR="006F4797" w:rsidRPr="006F4797" w:rsidRDefault="006F4797" w:rsidP="006F4797">
      <w:r w:rsidRPr="006F4797">
        <w:t>Investment appraisal supports financial decision-making by evaluating whether a project generates sufficient return to justify the capital invested. This is particularly important for Tesla, given its capital-intensive operations and ongoing investment in technology, infrastructure, and expansion (Brealey et al., 2022).</w:t>
      </w:r>
    </w:p>
    <w:p w14:paraId="1CF4A052" w14:textId="77777777" w:rsidR="006F4797" w:rsidRPr="006F4797" w:rsidRDefault="006F4797" w:rsidP="006F4797">
      <w:r w:rsidRPr="006F4797">
        <w:t>The payback period measures how quickly the initial investment is recovered from cash inflows. It is useful for assessing liquidity risk, as shorter payback periods reduce exposure to uncertainty. However, it ignores cash flows beyond the recovery point and does not measure overall value creation, limiting its usefulness for long-term decision-making.</w:t>
      </w:r>
    </w:p>
    <w:p w14:paraId="6FB72967" w14:textId="77777777" w:rsidR="006F4797" w:rsidRPr="006F4797" w:rsidRDefault="006F4797" w:rsidP="006F4797">
      <w:r w:rsidRPr="006F4797">
        <w:t>The accounting rate of return (ARR) evaluates average accounting profit relative to investment. While it provides insight into reported profitability, it is based on accounting figures and does not consider the time value of money, reducing its reliability as a decision-making tool (Atrill and McLaney, 2022).</w:t>
      </w:r>
    </w:p>
    <w:p w14:paraId="60BC366C" w14:textId="01915F84" w:rsidR="006F4797" w:rsidRPr="006F4797" w:rsidRDefault="006F4797" w:rsidP="006F4797">
      <w:r w:rsidRPr="006F4797">
        <w:t xml:space="preserve">Net present value (NPV) calculates the difference between the present value of future cash inflows and the initial investment using </w:t>
      </w:r>
      <w:r w:rsidR="006F6E67" w:rsidRPr="006F4797">
        <w:t>the required</w:t>
      </w:r>
      <w:r w:rsidRPr="006F4797">
        <w:t xml:space="preserve"> rate of return. It is widely regarded as the most reliable method because it directly measures value creation and aligns with shareholder wealth maximisation (Brealey et al., 2022). However, it is sensitive to discount rate assumptions, which may be difficult to estimate accurately in volatile industries.</w:t>
      </w:r>
    </w:p>
    <w:p w14:paraId="2F80BD8E" w14:textId="77777777" w:rsidR="006F4797" w:rsidRPr="006F4797" w:rsidRDefault="006F4797" w:rsidP="006F4797">
      <w:r w:rsidRPr="006F4797">
        <w:lastRenderedPageBreak/>
        <w:t>The profitability index (PI) assesses value generated per unit of investment, making it useful when capital is limited. The internal rate of return (IRR) identifies the discount rate at which NPV equals zero and provides a percentage return for comparison across projects, although it may produce conflicting rankings and can be misleading when cash flows are non-conventional.</w:t>
      </w:r>
    </w:p>
    <w:p w14:paraId="4E419EE3" w14:textId="5D786C9E" w:rsidR="00521481" w:rsidRPr="00521481" w:rsidRDefault="006F4797" w:rsidP="00521481">
      <w:r w:rsidRPr="006F4797">
        <w:t>Together, these methods provide a balanced framework for evaluating investment decisions, combining both liquidity-focused and value-based perspectives.</w:t>
      </w:r>
    </w:p>
    <w:p w14:paraId="4099D898" w14:textId="3F7C063E" w:rsidR="00400B6A" w:rsidRDefault="00521481" w:rsidP="00400B6A">
      <w:pPr>
        <w:pStyle w:val="Heading2"/>
      </w:pPr>
      <w:bookmarkStart w:id="28" w:name="_Toc227848221"/>
      <w:r>
        <w:t>6.2 Project Results</w:t>
      </w:r>
      <w:bookmarkEnd w:id="28"/>
    </w:p>
    <w:p w14:paraId="1E7E84C7" w14:textId="4094ADD3" w:rsidR="003F0EC9" w:rsidRDefault="006F4797" w:rsidP="003F0EC9">
      <w:r w:rsidRPr="006F4797">
        <w:t>The three projects were evaluated using payback period, accounting rate of return (ARR), net present value (NPV), profitability index (PI), and internal rate of return (IRR), based on an initial investment of £50 million, a discount rate of 10 per cent, and straight-line depreciation over five years.</w:t>
      </w:r>
    </w:p>
    <w:p w14:paraId="483E154B" w14:textId="77777777" w:rsidR="003F0EC9" w:rsidRPr="003F0EC9" w:rsidRDefault="003F0EC9" w:rsidP="003F0EC9"/>
    <w:tbl>
      <w:tblPr>
        <w:tblStyle w:val="TableGrid"/>
        <w:tblW w:w="5399" w:type="dxa"/>
        <w:jc w:val="center"/>
        <w:tblLook w:val="04A0" w:firstRow="1" w:lastRow="0" w:firstColumn="1" w:lastColumn="0" w:noHBand="0" w:noVBand="1"/>
      </w:tblPr>
      <w:tblGrid>
        <w:gridCol w:w="1412"/>
        <w:gridCol w:w="1329"/>
        <w:gridCol w:w="1329"/>
        <w:gridCol w:w="1329"/>
      </w:tblGrid>
      <w:tr w:rsidR="002C2003" w14:paraId="4589CCD0" w14:textId="77777777" w:rsidTr="003F0EC9">
        <w:trPr>
          <w:jc w:val="center"/>
        </w:trPr>
        <w:tc>
          <w:tcPr>
            <w:tcW w:w="1412" w:type="dxa"/>
          </w:tcPr>
          <w:p w14:paraId="52C33C11" w14:textId="25AE448F" w:rsidR="002C2003" w:rsidRPr="002C2003" w:rsidRDefault="002C2003" w:rsidP="002C2003">
            <w:pPr>
              <w:rPr>
                <w:b/>
                <w:bCs/>
              </w:rPr>
            </w:pPr>
            <w:r w:rsidRPr="002C2003">
              <w:rPr>
                <w:b/>
                <w:bCs/>
              </w:rPr>
              <w:t xml:space="preserve">Method </w:t>
            </w:r>
          </w:p>
        </w:tc>
        <w:tc>
          <w:tcPr>
            <w:tcW w:w="1329" w:type="dxa"/>
          </w:tcPr>
          <w:p w14:paraId="26E4407A" w14:textId="6064D31A" w:rsidR="002C2003" w:rsidRPr="002C2003" w:rsidRDefault="002C2003" w:rsidP="002C2003">
            <w:pPr>
              <w:rPr>
                <w:b/>
                <w:bCs/>
              </w:rPr>
            </w:pPr>
            <w:r w:rsidRPr="002C2003">
              <w:rPr>
                <w:b/>
                <w:bCs/>
              </w:rPr>
              <w:t xml:space="preserve">Project A </w:t>
            </w:r>
          </w:p>
        </w:tc>
        <w:tc>
          <w:tcPr>
            <w:tcW w:w="1329" w:type="dxa"/>
          </w:tcPr>
          <w:p w14:paraId="1D8A5C2B" w14:textId="63525D2D" w:rsidR="002C2003" w:rsidRPr="002C2003" w:rsidRDefault="002C2003" w:rsidP="002C2003">
            <w:pPr>
              <w:rPr>
                <w:b/>
                <w:bCs/>
              </w:rPr>
            </w:pPr>
            <w:r w:rsidRPr="002C2003">
              <w:rPr>
                <w:b/>
                <w:bCs/>
              </w:rPr>
              <w:t>Project B</w:t>
            </w:r>
          </w:p>
        </w:tc>
        <w:tc>
          <w:tcPr>
            <w:tcW w:w="1329" w:type="dxa"/>
          </w:tcPr>
          <w:p w14:paraId="5FFE9AE9" w14:textId="2258E869" w:rsidR="002C2003" w:rsidRPr="002C2003" w:rsidRDefault="002C2003" w:rsidP="002C2003">
            <w:pPr>
              <w:rPr>
                <w:b/>
                <w:bCs/>
              </w:rPr>
            </w:pPr>
            <w:r w:rsidRPr="002C2003">
              <w:rPr>
                <w:b/>
                <w:bCs/>
              </w:rPr>
              <w:t>Project C</w:t>
            </w:r>
          </w:p>
        </w:tc>
      </w:tr>
      <w:tr w:rsidR="002C2003" w14:paraId="2B2ED7EC" w14:textId="77777777" w:rsidTr="003F0EC9">
        <w:trPr>
          <w:jc w:val="center"/>
        </w:trPr>
        <w:tc>
          <w:tcPr>
            <w:tcW w:w="1412" w:type="dxa"/>
          </w:tcPr>
          <w:p w14:paraId="52831E2E" w14:textId="1A82F38B" w:rsidR="002C2003" w:rsidRDefault="00F73EB0" w:rsidP="002C2003">
            <w:r>
              <w:t>Payback Period</w:t>
            </w:r>
          </w:p>
        </w:tc>
        <w:tc>
          <w:tcPr>
            <w:tcW w:w="1329" w:type="dxa"/>
          </w:tcPr>
          <w:p w14:paraId="0B29A3A8" w14:textId="133690FA" w:rsidR="002C2003" w:rsidRDefault="00D96296" w:rsidP="002C2003">
            <w:r>
              <w:t>4.50 years</w:t>
            </w:r>
          </w:p>
        </w:tc>
        <w:tc>
          <w:tcPr>
            <w:tcW w:w="1329" w:type="dxa"/>
          </w:tcPr>
          <w:p w14:paraId="57780872" w14:textId="75D9A9AC" w:rsidR="002C2003" w:rsidRDefault="002F66FC" w:rsidP="002C2003">
            <w:r>
              <w:t>4.55 years</w:t>
            </w:r>
          </w:p>
        </w:tc>
        <w:tc>
          <w:tcPr>
            <w:tcW w:w="1329" w:type="dxa"/>
          </w:tcPr>
          <w:p w14:paraId="32E8E1E5" w14:textId="454324B7" w:rsidR="002C2003" w:rsidRDefault="002F66FC" w:rsidP="002C2003">
            <w:r>
              <w:t>3.60 years</w:t>
            </w:r>
          </w:p>
        </w:tc>
      </w:tr>
      <w:tr w:rsidR="002C2003" w14:paraId="39BC7387" w14:textId="77777777" w:rsidTr="003F0EC9">
        <w:trPr>
          <w:jc w:val="center"/>
        </w:trPr>
        <w:tc>
          <w:tcPr>
            <w:tcW w:w="1412" w:type="dxa"/>
          </w:tcPr>
          <w:p w14:paraId="3F1E4862" w14:textId="5F18B57C" w:rsidR="002C2003" w:rsidRDefault="000B3F62" w:rsidP="002C2003">
            <w:r>
              <w:t>ARR</w:t>
            </w:r>
          </w:p>
        </w:tc>
        <w:tc>
          <w:tcPr>
            <w:tcW w:w="1329" w:type="dxa"/>
          </w:tcPr>
          <w:p w14:paraId="07CBB4AB" w14:textId="579A1C8E" w:rsidR="002C2003" w:rsidRDefault="00551E31" w:rsidP="002C2003">
            <w:r>
              <w:t xml:space="preserve">   </w:t>
            </w:r>
            <w:r w:rsidR="0083062F">
              <w:t>1.6%</w:t>
            </w:r>
          </w:p>
        </w:tc>
        <w:tc>
          <w:tcPr>
            <w:tcW w:w="1329" w:type="dxa"/>
          </w:tcPr>
          <w:p w14:paraId="2CDEA82A" w14:textId="6729DFCE" w:rsidR="002C2003" w:rsidRDefault="007C3E4A" w:rsidP="002C2003">
            <w:r>
              <w:t xml:space="preserve">   </w:t>
            </w:r>
            <w:r w:rsidR="004008F6">
              <w:t>2.0%</w:t>
            </w:r>
          </w:p>
        </w:tc>
        <w:tc>
          <w:tcPr>
            <w:tcW w:w="1329" w:type="dxa"/>
          </w:tcPr>
          <w:p w14:paraId="74E614E4" w14:textId="66BAC5FF" w:rsidR="002C2003" w:rsidRDefault="007C3E4A" w:rsidP="002C2003">
            <w:r>
              <w:t xml:space="preserve">    </w:t>
            </w:r>
            <w:r w:rsidR="00370793">
              <w:t>6.0%</w:t>
            </w:r>
          </w:p>
        </w:tc>
      </w:tr>
      <w:tr w:rsidR="002C2003" w14:paraId="3061252B" w14:textId="77777777" w:rsidTr="003F0EC9">
        <w:trPr>
          <w:jc w:val="center"/>
        </w:trPr>
        <w:tc>
          <w:tcPr>
            <w:tcW w:w="1412" w:type="dxa"/>
          </w:tcPr>
          <w:p w14:paraId="0DA8CFE6" w14:textId="57FDF503" w:rsidR="002C2003" w:rsidRDefault="00BB0600" w:rsidP="002C2003">
            <w:r>
              <w:t>NPV (£m)</w:t>
            </w:r>
          </w:p>
        </w:tc>
        <w:tc>
          <w:tcPr>
            <w:tcW w:w="1329" w:type="dxa"/>
          </w:tcPr>
          <w:p w14:paraId="203C5378" w14:textId="112B38BD" w:rsidR="002C2003" w:rsidRDefault="00660D68" w:rsidP="002C2003">
            <w:r>
              <w:t xml:space="preserve"> </w:t>
            </w:r>
            <w:r w:rsidR="00551E31">
              <w:t xml:space="preserve">  </w:t>
            </w:r>
            <w:r w:rsidR="00A7131A">
              <w:t>-8.</w:t>
            </w:r>
            <w:r w:rsidR="00444A34">
              <w:t>68</w:t>
            </w:r>
          </w:p>
        </w:tc>
        <w:tc>
          <w:tcPr>
            <w:tcW w:w="1329" w:type="dxa"/>
          </w:tcPr>
          <w:p w14:paraId="455ADCD0" w14:textId="2DDAFB61" w:rsidR="002C2003" w:rsidRDefault="007C3E4A" w:rsidP="002C2003">
            <w:r>
              <w:t xml:space="preserve">   </w:t>
            </w:r>
            <w:r w:rsidR="0028259B">
              <w:t>-8.30</w:t>
            </w:r>
          </w:p>
        </w:tc>
        <w:tc>
          <w:tcPr>
            <w:tcW w:w="1329" w:type="dxa"/>
          </w:tcPr>
          <w:p w14:paraId="49D5F692" w14:textId="04DD0DFD" w:rsidR="002C2003" w:rsidRDefault="007C3E4A" w:rsidP="002C2003">
            <w:r>
              <w:t xml:space="preserve">   </w:t>
            </w:r>
            <w:r w:rsidR="0028259B">
              <w:t>-</w:t>
            </w:r>
            <w:r w:rsidR="00B52021">
              <w:t>1.98</w:t>
            </w:r>
          </w:p>
        </w:tc>
      </w:tr>
      <w:tr w:rsidR="002C2003" w14:paraId="60F615F6" w14:textId="77777777" w:rsidTr="003F0EC9">
        <w:trPr>
          <w:jc w:val="center"/>
        </w:trPr>
        <w:tc>
          <w:tcPr>
            <w:tcW w:w="1412" w:type="dxa"/>
          </w:tcPr>
          <w:p w14:paraId="19DBAC34" w14:textId="5FA0AC56" w:rsidR="002C2003" w:rsidRDefault="000413DB" w:rsidP="002C2003">
            <w:r>
              <w:t>PI</w:t>
            </w:r>
          </w:p>
        </w:tc>
        <w:tc>
          <w:tcPr>
            <w:tcW w:w="1329" w:type="dxa"/>
          </w:tcPr>
          <w:p w14:paraId="1B6A089B" w14:textId="569FEA22" w:rsidR="002C2003" w:rsidRDefault="00551E31" w:rsidP="002C2003">
            <w:r>
              <w:t xml:space="preserve">   </w:t>
            </w:r>
            <w:r w:rsidR="00D33CE3">
              <w:t>0.83</w:t>
            </w:r>
          </w:p>
        </w:tc>
        <w:tc>
          <w:tcPr>
            <w:tcW w:w="1329" w:type="dxa"/>
          </w:tcPr>
          <w:p w14:paraId="4DD8E13F" w14:textId="39865B7E" w:rsidR="002C2003" w:rsidRDefault="007C3E4A" w:rsidP="002C2003">
            <w:r>
              <w:t xml:space="preserve">   </w:t>
            </w:r>
            <w:r w:rsidR="001233CD">
              <w:t>0.</w:t>
            </w:r>
            <w:r w:rsidR="009A709F">
              <w:t>83</w:t>
            </w:r>
          </w:p>
        </w:tc>
        <w:tc>
          <w:tcPr>
            <w:tcW w:w="1329" w:type="dxa"/>
          </w:tcPr>
          <w:p w14:paraId="14461DE8" w14:textId="7270D5A0" w:rsidR="002C2003" w:rsidRDefault="007C3E4A" w:rsidP="002C2003">
            <w:r>
              <w:t xml:space="preserve">   </w:t>
            </w:r>
            <w:r w:rsidR="009A709F">
              <w:t>0.96</w:t>
            </w:r>
          </w:p>
        </w:tc>
      </w:tr>
      <w:tr w:rsidR="000413DB" w14:paraId="0E0526BE" w14:textId="77777777" w:rsidTr="003F0EC9">
        <w:trPr>
          <w:jc w:val="center"/>
        </w:trPr>
        <w:tc>
          <w:tcPr>
            <w:tcW w:w="1412" w:type="dxa"/>
          </w:tcPr>
          <w:p w14:paraId="0F39549C" w14:textId="4A1C0187" w:rsidR="000413DB" w:rsidRDefault="00D360B8" w:rsidP="002C2003">
            <w:r>
              <w:t>IRR</w:t>
            </w:r>
          </w:p>
        </w:tc>
        <w:tc>
          <w:tcPr>
            <w:tcW w:w="1329" w:type="dxa"/>
          </w:tcPr>
          <w:p w14:paraId="256F8D36" w14:textId="4FE5FE9B" w:rsidR="000413DB" w:rsidRDefault="00551E31" w:rsidP="002C2003">
            <w:r>
              <w:t xml:space="preserve">   </w:t>
            </w:r>
            <w:r w:rsidR="00FC25FC">
              <w:t>2.72</w:t>
            </w:r>
            <w:r>
              <w:t>%</w:t>
            </w:r>
          </w:p>
        </w:tc>
        <w:tc>
          <w:tcPr>
            <w:tcW w:w="1329" w:type="dxa"/>
          </w:tcPr>
          <w:p w14:paraId="43890E5C" w14:textId="51EE2ECD" w:rsidR="000413DB" w:rsidRDefault="007C3E4A" w:rsidP="002C2003">
            <w:r>
              <w:t xml:space="preserve">   </w:t>
            </w:r>
            <w:r w:rsidR="00130754">
              <w:t>3.26%</w:t>
            </w:r>
          </w:p>
        </w:tc>
        <w:tc>
          <w:tcPr>
            <w:tcW w:w="1329" w:type="dxa"/>
          </w:tcPr>
          <w:p w14:paraId="7BF8ACAB" w14:textId="1D01322A" w:rsidR="000413DB" w:rsidRDefault="007C3E4A" w:rsidP="003F0EC9">
            <w:pPr>
              <w:keepNext/>
            </w:pPr>
            <w:r>
              <w:t xml:space="preserve">   </w:t>
            </w:r>
            <w:r w:rsidR="003F4257">
              <w:t>8.59%</w:t>
            </w:r>
          </w:p>
        </w:tc>
      </w:tr>
    </w:tbl>
    <w:p w14:paraId="09D1C886" w14:textId="77777777" w:rsidR="003F0EC9" w:rsidRDefault="003F0EC9" w:rsidP="003F0EC9">
      <w:pPr>
        <w:pStyle w:val="Caption"/>
        <w:jc w:val="center"/>
      </w:pPr>
    </w:p>
    <w:p w14:paraId="7B833B5B" w14:textId="2171F0B1" w:rsidR="003F0EC9" w:rsidRPr="003F0EC9" w:rsidRDefault="003F0EC9" w:rsidP="003F0EC9">
      <w:pPr>
        <w:pStyle w:val="Caption"/>
        <w:jc w:val="center"/>
        <w:rPr>
          <w:noProof/>
        </w:rPr>
      </w:pPr>
      <w:bookmarkStart w:id="29" w:name="_Toc227891332"/>
      <w:r>
        <w:t xml:space="preserve">Table </w:t>
      </w:r>
      <w:r>
        <w:fldChar w:fldCharType="begin"/>
      </w:r>
      <w:r>
        <w:instrText xml:space="preserve"> SEQ Table \* ARABIC </w:instrText>
      </w:r>
      <w:r>
        <w:fldChar w:fldCharType="separate"/>
      </w:r>
      <w:r w:rsidR="00CE50F1">
        <w:rPr>
          <w:noProof/>
        </w:rPr>
        <w:t>1</w:t>
      </w:r>
      <w:r>
        <w:fldChar w:fldCharType="end"/>
      </w:r>
      <w:r w:rsidRPr="004E662C">
        <w:t xml:space="preserve"> </w:t>
      </w:r>
      <w:r>
        <w:t>(</w:t>
      </w:r>
      <w:r w:rsidRPr="004E662C">
        <w:t>Investment appraisal results for Projects A, B and C</w:t>
      </w:r>
      <w:r>
        <w:rPr>
          <w:noProof/>
        </w:rPr>
        <w:t>)</w:t>
      </w:r>
      <w:bookmarkEnd w:id="29"/>
    </w:p>
    <w:p w14:paraId="2C0C0DB2" w14:textId="77777777" w:rsidR="006F4797" w:rsidRPr="006F4797" w:rsidRDefault="006F4797" w:rsidP="006F4797">
      <w:r w:rsidRPr="006F4797">
        <w:t>Project C performs best across all measures. It has the shortest payback period (3.6 years), indicating faster recovery of the initial investment and reduced exposure to long-term risk. It also generates the highest ARR (6.0%), suggesting stronger accounting profitability compared with Projects A and B.</w:t>
      </w:r>
    </w:p>
    <w:p w14:paraId="65764280" w14:textId="77777777" w:rsidR="006F4797" w:rsidRPr="006F4797" w:rsidRDefault="006F4797" w:rsidP="006F4797">
      <w:r w:rsidRPr="006F4797">
        <w:t xml:space="preserve">The discounted cash flow results are more critical. All projects produce negative NPVs at the 10 per cent discount rate, indicating that none fully meets the required return. </w:t>
      </w:r>
      <w:r w:rsidRPr="006F4797">
        <w:lastRenderedPageBreak/>
        <w:t>However, Project C has the least negative NPV (-£1.98 million), making it the closest to value creation. This is supported by its higher PI (0.96), which shows greater value generated per unit of investment.</w:t>
      </w:r>
    </w:p>
    <w:p w14:paraId="04E2045E" w14:textId="77777777" w:rsidR="006F4797" w:rsidRPr="006F4797" w:rsidRDefault="006F4797" w:rsidP="006F4797">
      <w:r w:rsidRPr="006F4797">
        <w:t>The IRR results confirm the same ranking. Project C achieves 8.59%, compared with 3.26% for Project B and 2.72% for Project A. Although all IRRs remain below the required return, Project C consistently performs better.</w:t>
      </w:r>
    </w:p>
    <w:p w14:paraId="3BE1265A" w14:textId="12F0BFEC" w:rsidR="007475FA" w:rsidRDefault="006F4797" w:rsidP="003422F4">
      <w:r w:rsidRPr="006F4797">
        <w:t xml:space="preserve">These results establish a clear ranking: Project C is the strongest option, followed by Project B, with Project A performing least </w:t>
      </w:r>
      <w:r w:rsidRPr="006F4797">
        <w:t>favorably</w:t>
      </w:r>
      <w:r w:rsidRPr="006F4797">
        <w:t>. However, the absence of a positive NPV across all projects highlights a significant limitation from a value creation perspective.</w:t>
      </w:r>
    </w:p>
    <w:p w14:paraId="6917189B" w14:textId="478912A0" w:rsidR="00400B6A" w:rsidRDefault="007475FA" w:rsidP="00400B6A">
      <w:pPr>
        <w:pStyle w:val="Heading2"/>
      </w:pPr>
      <w:bookmarkStart w:id="30" w:name="_Toc227848223"/>
      <w:r>
        <w:t>6.3 Interpretation of Findings</w:t>
      </w:r>
      <w:bookmarkEnd w:id="30"/>
    </w:p>
    <w:p w14:paraId="50E0AB2C" w14:textId="77777777" w:rsidR="006F6E67" w:rsidRPr="006F6E67" w:rsidRDefault="006F6E67" w:rsidP="006F6E67">
      <w:r w:rsidRPr="006F6E67">
        <w:t>The investment appraisal results establish a clear ranking but also highlight a critical issue. Although Project C performs best across all methods, none of the projects achieves a positive NPV or an IRR above the 10 per cent required return. According to financial theory, projects with negative NPVs should be rejected because they reduce shareholder value (Brealey et al., 2022).</w:t>
      </w:r>
    </w:p>
    <w:p w14:paraId="56139F22" w14:textId="77777777" w:rsidR="006F6E67" w:rsidRPr="006F6E67" w:rsidRDefault="006F6E67" w:rsidP="006F6E67">
      <w:r w:rsidRPr="006F6E67">
        <w:t>However, this conclusion may be overly restrictive in practice. In high-growth and innovation-driven industries such as electric vehicles, firms may accept projects with suboptimal financial returns in the short term to secure long-term strategic advantages, including technological leadership, market expansion, and economies of scale (IEA, 2025). This suggests that investment decisions should not rely solely on financial metrics but must also consider strategic positioning and long-term value creation.</w:t>
      </w:r>
    </w:p>
    <w:p w14:paraId="49CCC79F" w14:textId="77777777" w:rsidR="006F6E67" w:rsidRPr="006F6E67" w:rsidRDefault="006F6E67" w:rsidP="006F6E67">
      <w:r w:rsidRPr="006F6E67">
        <w:t>Project C is the strongest option from a relative perspective. It has the shortest payback period, reducing exposure to long-term uncertainty, and generates the highest ARR, indicating better accounting performance. More importantly, its discounted cash flow results are closest to acceptability, with the least negative NPV and highest IRR.</w:t>
      </w:r>
    </w:p>
    <w:p w14:paraId="61A02614" w14:textId="6FAC7E45" w:rsidR="008339DD" w:rsidRDefault="006F6E67" w:rsidP="001B3CB5">
      <w:r w:rsidRPr="006F6E67">
        <w:t xml:space="preserve">From a financial management perspective, however, accepting a project that does not meet the required return carries inherent risk. Given Tesla’s existing pressure on </w:t>
      </w:r>
      <w:r w:rsidRPr="006F6E67">
        <w:lastRenderedPageBreak/>
        <w:t>profitability, high capital expenditure, and the need for disciplined capital allocation, investing in value-destroying projects could weaken long-term financial performance. Therefore, the decision requires a careful balance between strict financial discipline and strategic considerations, particularly in an industry where early investment may support future competitive advantage.</w:t>
      </w:r>
    </w:p>
    <w:p w14:paraId="3617E6E6" w14:textId="57E1BD22" w:rsidR="00400B6A" w:rsidRDefault="008339DD" w:rsidP="00400B6A">
      <w:pPr>
        <w:pStyle w:val="Heading2"/>
      </w:pPr>
      <w:bookmarkStart w:id="31" w:name="_Toc227848224"/>
      <w:r>
        <w:t>6.4 Recommended Single Project</w:t>
      </w:r>
      <w:bookmarkEnd w:id="31"/>
    </w:p>
    <w:p w14:paraId="132B8055" w14:textId="77777777" w:rsidR="006F6E67" w:rsidRPr="006F6E67" w:rsidRDefault="006F6E67" w:rsidP="006F6E67">
      <w:r w:rsidRPr="006F6E67">
        <w:t>Project C should be recommended as the strongest single project, although this recommendation must be made with caution. It outperforms Projects A and B across all appraisal methods, with the shortest payback period (3.6 years), highest ARR (6.0%), least negative NPV (-£1.98 million), highest PI (0.96), and highest IRR (8.59%). On a comparative basis, this makes it the least unattractive option.</w:t>
      </w:r>
    </w:p>
    <w:p w14:paraId="06E6FB26" w14:textId="6ED6A401" w:rsidR="006F6E67" w:rsidRPr="006F6E67" w:rsidRDefault="006F6E67" w:rsidP="006F6E67">
      <w:r w:rsidRPr="006F6E67">
        <w:t xml:space="preserve">The main advantage of Project C is its faster cash recovery and </w:t>
      </w:r>
      <w:r w:rsidRPr="006F6E67">
        <w:t>stronger</w:t>
      </w:r>
      <w:r w:rsidRPr="006F6E67">
        <w:t xml:space="preserve"> return profile. A shorter payback period reduces exposure to long-term uncertainty and improves liquidity flexibility, which is particularly important given Tesla’s ongoing capital expenditure requirements and recent pressure on profitability. In addition, its discounted cash flow results are closer to acceptability than those of the other projects, indicating a lower degree </w:t>
      </w:r>
      <w:r w:rsidRPr="006F6E67">
        <w:t>of</w:t>
      </w:r>
      <w:r w:rsidRPr="006F6E67">
        <w:t xml:space="preserve"> destruction.</w:t>
      </w:r>
    </w:p>
    <w:p w14:paraId="663D921B" w14:textId="6FDC7E30" w:rsidR="006F6E67" w:rsidRPr="006F6E67" w:rsidRDefault="006F6E67" w:rsidP="006F6E67">
      <w:r w:rsidRPr="006F6E67">
        <w:t xml:space="preserve">From a Chief Financial Officer perspective, Project C aligns more closely with the need to preserve liquidity, limit downside risk, and maintain financial flexibility while still supporting strategic investment. Its </w:t>
      </w:r>
      <w:r w:rsidRPr="006F6E67">
        <w:t>stronger</w:t>
      </w:r>
      <w:r w:rsidRPr="006F6E67">
        <w:t xml:space="preserve"> performance suggests that, if investment is unavoidable, it represents the most balanced option between financial discipline and strategic positioning.</w:t>
      </w:r>
    </w:p>
    <w:p w14:paraId="631B0394" w14:textId="77777777" w:rsidR="006F6E67" w:rsidRPr="006F6E67" w:rsidRDefault="006F6E67" w:rsidP="006F6E67">
      <w:r w:rsidRPr="006F6E67">
        <w:t xml:space="preserve">However, the recommendation cannot be made uncritically. All three projects have negative NPVs and IRRs below the required return, meaning </w:t>
      </w:r>
      <w:proofErr w:type="gramStart"/>
      <w:r w:rsidRPr="006F6E67">
        <w:t>none</w:t>
      </w:r>
      <w:proofErr w:type="gramEnd"/>
      <w:r w:rsidRPr="006F6E67">
        <w:t xml:space="preserve"> meets the financial acceptance criteria. From a strict capital budgeting perspective, the appropriate decision would be to reject all projects.</w:t>
      </w:r>
    </w:p>
    <w:p w14:paraId="1DC112A4" w14:textId="38161516" w:rsidR="00363F08" w:rsidRPr="00363F08" w:rsidRDefault="006F6E67" w:rsidP="00363F08">
      <w:r w:rsidRPr="006F6E67">
        <w:t xml:space="preserve">If a choice must be made, Project C is the most defensible option because it minimises value loss, accelerates capital recovery, and better aligns with Tesla’s current financial </w:t>
      </w:r>
      <w:r w:rsidRPr="006F6E67">
        <w:lastRenderedPageBreak/>
        <w:t>priorities. Nevertheless, this remains a second-best decision, and the preference would be to defer investment unless strategic considerations provide a compelling justification.</w:t>
      </w:r>
    </w:p>
    <w:p w14:paraId="4E01D14F" w14:textId="459E1B69" w:rsidR="00400B6A" w:rsidRDefault="00400B6A" w:rsidP="00400B6A">
      <w:pPr>
        <w:pStyle w:val="Heading2"/>
      </w:pPr>
      <w:bookmarkStart w:id="32" w:name="_Toc227848225"/>
      <w:r>
        <w:t>6.5 Capital Rationing and Best Project Combination</w:t>
      </w:r>
      <w:bookmarkEnd w:id="32"/>
    </w:p>
    <w:p w14:paraId="5D71D0BA" w14:textId="432AF953" w:rsidR="006F6E67" w:rsidRPr="006F6E67" w:rsidRDefault="006F6E67" w:rsidP="006F6E67">
      <w:r w:rsidRPr="006F6E67">
        <w:t xml:space="preserve">Capital rationing requires selecting the combination of projects that </w:t>
      </w:r>
      <w:r w:rsidRPr="006F6E67">
        <w:t>deliver</w:t>
      </w:r>
      <w:r w:rsidRPr="006F6E67">
        <w:t xml:space="preserve"> the best outcome within a fixed investment limit, reflecting constraints on financial resources or the need to prioritise capital allocation (Brealey et al., 2022). In Tesla’s case, this is particularly relevant given its high capital expenditure commitments and the need to balance investment with profitability and cash flow discipline.</w:t>
      </w:r>
    </w:p>
    <w:p w14:paraId="72615B04" w14:textId="77777777" w:rsidR="006F6E67" w:rsidRPr="006F6E67" w:rsidRDefault="006F6E67" w:rsidP="006F6E67">
      <w:r w:rsidRPr="006F6E67">
        <w:t>With a maximum budget of £100 million and each project requiring £50 million, Tesla can select two out of the three available projects. Based on earlier results, the combined NPVs are:</w:t>
      </w:r>
    </w:p>
    <w:p w14:paraId="1BED946D" w14:textId="77777777" w:rsidR="006F6E67" w:rsidRPr="006F6E67" w:rsidRDefault="006F6E67" w:rsidP="006F6E67">
      <w:pPr>
        <w:numPr>
          <w:ilvl w:val="0"/>
          <w:numId w:val="8"/>
        </w:numPr>
      </w:pPr>
      <w:r w:rsidRPr="006F6E67">
        <w:t xml:space="preserve">A + B: -£16.98 million </w:t>
      </w:r>
    </w:p>
    <w:p w14:paraId="0463E9B3" w14:textId="77777777" w:rsidR="006F6E67" w:rsidRPr="006F6E67" w:rsidRDefault="006F6E67" w:rsidP="006F6E67">
      <w:pPr>
        <w:numPr>
          <w:ilvl w:val="0"/>
          <w:numId w:val="8"/>
        </w:numPr>
      </w:pPr>
      <w:r w:rsidRPr="006F6E67">
        <w:t xml:space="preserve">A + C: -£10.66 million </w:t>
      </w:r>
    </w:p>
    <w:p w14:paraId="0809322D" w14:textId="77777777" w:rsidR="006F6E67" w:rsidRPr="006F6E67" w:rsidRDefault="006F6E67" w:rsidP="006F6E67">
      <w:pPr>
        <w:numPr>
          <w:ilvl w:val="0"/>
          <w:numId w:val="8"/>
        </w:numPr>
      </w:pPr>
      <w:r w:rsidRPr="006F6E67">
        <w:t xml:space="preserve">B + C: -£10.28 million </w:t>
      </w:r>
    </w:p>
    <w:p w14:paraId="63D69A06" w14:textId="77777777" w:rsidR="006F6E67" w:rsidRPr="006F6E67" w:rsidRDefault="006F6E67" w:rsidP="006F6E67">
      <w:r w:rsidRPr="006F6E67">
        <w:t>The combination of Projects B and C produces the least negative NPV and therefore represents the strongest option under the capital constraint. This is supported by profitability index results, as Project C has the highest PI (0.96) and should be included in any optimal combination, while Project B performs slightly better than Project A across key measures.</w:t>
      </w:r>
    </w:p>
    <w:p w14:paraId="3ADFC26E" w14:textId="77777777" w:rsidR="006F6E67" w:rsidRPr="006F6E67" w:rsidRDefault="006F6E67" w:rsidP="006F6E67">
      <w:r w:rsidRPr="006F6E67">
        <w:t>From a financial perspective, this combination also provides a more balanced risk profile. Project C offers higher growth potential and faster cash recovery, while Project B provides more stable and predictable cash inflows. This combination therefore supports both liquidity management and risk diversification, which is important in a volatile and competitive industry.</w:t>
      </w:r>
    </w:p>
    <w:p w14:paraId="3532BF2B" w14:textId="77777777" w:rsidR="006F6E67" w:rsidRPr="006F6E67" w:rsidRDefault="006F6E67" w:rsidP="006F6E67">
      <w:r w:rsidRPr="006F6E67">
        <w:t xml:space="preserve">However, the outcome must be interpreted critically. Even the best combination (B + C) produces a negative NPV, meaning it does not meet the required return and would reduce </w:t>
      </w:r>
      <w:r w:rsidRPr="006F6E67">
        <w:lastRenderedPageBreak/>
        <w:t>shareholder value. From a strict financial perspective, all project combinations should therefore be rejected.</w:t>
      </w:r>
    </w:p>
    <w:p w14:paraId="13B99E18" w14:textId="1D3136AA" w:rsidR="002B1EB2" w:rsidRDefault="006F6E67" w:rsidP="003422F4">
      <w:r w:rsidRPr="006F6E67">
        <w:t>From a CFO standpoint, if capital must be allocated, Projects B and C represent the most defensible choice because they minimise value destruction while balancing risk and return. However, if financial flexibility allows, a more disciplined approach would be to defer investment and prioritise opportunities that generate positive NPVs and stronger long-term value.</w:t>
      </w:r>
    </w:p>
    <w:p w14:paraId="36C78FAD" w14:textId="3A380F8E" w:rsidR="00400B6A" w:rsidRDefault="00400B6A" w:rsidP="00400B6A">
      <w:pPr>
        <w:pStyle w:val="Heading2"/>
      </w:pPr>
      <w:bookmarkStart w:id="33" w:name="_Toc227848226"/>
      <w:r>
        <w:t>6.6 Non-Financial Risks and Strategic Fit</w:t>
      </w:r>
      <w:bookmarkEnd w:id="33"/>
    </w:p>
    <w:p w14:paraId="0076B8B9" w14:textId="23E4E181" w:rsidR="006F6E67" w:rsidRPr="006F6E67" w:rsidRDefault="006F6E67" w:rsidP="006F6E67">
      <w:r w:rsidRPr="006F6E67">
        <w:t xml:space="preserve">Investment decisions should not rely solely on financial metrics, particularly in a global and technology-driven industry such as electric vehicles. For Tesla, non-financial </w:t>
      </w:r>
      <w:r w:rsidRPr="006F6E67">
        <w:t xml:space="preserve">risks, </w:t>
      </w:r>
      <w:r w:rsidRPr="006F6E67">
        <w:t>including regulatory uncertainty, market dynamics, and execution capability—are critical in determining whether a project is strategically viable.</w:t>
      </w:r>
    </w:p>
    <w:p w14:paraId="6599461B" w14:textId="77777777" w:rsidR="006F6E67" w:rsidRPr="006F6E67" w:rsidRDefault="006F6E67" w:rsidP="006F6E67">
      <w:r w:rsidRPr="006F6E67">
        <w:t>Regulatory and political risk is significant, as Tesla operates across multiple jurisdictions with evolving environmental policies, subsidies, and trade conditions. Changes in government incentives or regulatory frameworks could directly affect demand and project cash flows, potentially worsening the already negative financial returns.</w:t>
      </w:r>
    </w:p>
    <w:p w14:paraId="44235CCA" w14:textId="77777777" w:rsidR="006F6E67" w:rsidRPr="006F6E67" w:rsidRDefault="006F6E67" w:rsidP="006F6E67">
      <w:r w:rsidRPr="006F6E67">
        <w:t>Competitive pressure is also a key concern. The EV market continues to expand, but increased competition intensifies pricing pressure and reduces margins. Any selected project must therefore contribute to differentiation, technological advancement, or cost efficiency rather than simply generating moderate financial returns. In this context, Project C may be more attractive if it supports innovation or market positioning, but this must be clearly justified.</w:t>
      </w:r>
    </w:p>
    <w:p w14:paraId="1BAB94AA" w14:textId="77777777" w:rsidR="006F6E67" w:rsidRPr="006F6E67" w:rsidRDefault="006F6E67" w:rsidP="006F6E67">
      <w:r w:rsidRPr="006F6E67">
        <w:t>Execution and technological risk further influence project viability. Delays, cost overruns, or underperformance could significantly reduce realised value, particularly for projects that are already financially marginal. Given Tesla’s scale and complexity, effective project management is essential to avoid further erosion of returns.</w:t>
      </w:r>
    </w:p>
    <w:p w14:paraId="20730B16" w14:textId="77777777" w:rsidR="006F6E67" w:rsidRPr="006F6E67" w:rsidRDefault="006F6E67" w:rsidP="006F6E67">
      <w:r w:rsidRPr="006F6E67">
        <w:t xml:space="preserve">Customer perception and brand positioning are also important. Tesla’s reputation is closely linked to innovation and leadership in sustainable technology. Investment </w:t>
      </w:r>
      <w:r w:rsidRPr="006F6E67">
        <w:lastRenderedPageBreak/>
        <w:t>decisions must therefore reinforce this positioning rather than undermine it through poorly performing or strategically misaligned projects.</w:t>
      </w:r>
    </w:p>
    <w:p w14:paraId="1814E943" w14:textId="4C905C21" w:rsidR="00AD0290" w:rsidRDefault="006F6E67" w:rsidP="00400B6A">
      <w:r w:rsidRPr="006F6E67">
        <w:t>These factors reinforce a cautious interpretation of the financial results. While Project C remains the strongest option on a relative basis, its acceptance depends on its alignment with Tesla’s long-term strategic priorities and risk tolerance. Given that all projects fail to meet financial acceptance criteria, these non-financial risks further strengthen the argument for a disciplined approach. If strategic benefits are insufficient to justify the risk, deferring investment may be the more prudent decision.</w:t>
      </w:r>
    </w:p>
    <w:p w14:paraId="69D8B3E2" w14:textId="77777777" w:rsidR="006F6E67" w:rsidRDefault="006F6E67" w:rsidP="00400B6A"/>
    <w:p w14:paraId="42F19A74" w14:textId="70F1DA85" w:rsidR="00400B6A" w:rsidRDefault="0099397D" w:rsidP="00400B6A">
      <w:pPr>
        <w:pStyle w:val="Heading1"/>
      </w:pPr>
      <w:bookmarkStart w:id="34" w:name="_Toc227848227"/>
      <w:r>
        <w:t>7. Conclusion</w:t>
      </w:r>
      <w:bookmarkEnd w:id="34"/>
    </w:p>
    <w:p w14:paraId="69E97F7B" w14:textId="77777777" w:rsidR="00AD0290" w:rsidRPr="00AD0290" w:rsidRDefault="00AD0290" w:rsidP="00AD0290">
      <w:r w:rsidRPr="00AD0290">
        <w:t>This report evaluated Tesla’s financial position over the past five years, focusing on financial performance, working capital management, restructuring strategy, and investment appraisal. The analysis shows that Tesla remains financially resilient, supported by strong liquidity, substantial operating cash flow, and an equity-backed balance sheet (Tesla, 2024; Tesla, 2023). However, it also highlights increasing pressure on profitability, uneven efficiency, and the growing need for stronger capital discipline.</w:t>
      </w:r>
    </w:p>
    <w:p w14:paraId="3DCC9136" w14:textId="77777777" w:rsidR="00AD0290" w:rsidRPr="00AD0290" w:rsidRDefault="00AD0290" w:rsidP="00AD0290">
      <w:r w:rsidRPr="00AD0290">
        <w:t>The working capital review indicates that while liquidity is strong, its quality depends on improving receivables management, inventory control, and supplier financing. Similarly, the restructuring analysis supports a balanced strategy centred on selective refinancing, disciplined capital allocation, and targeted asset rationalisation, rather than equity injection.</w:t>
      </w:r>
    </w:p>
    <w:p w14:paraId="6BEBA44C" w14:textId="77777777" w:rsidR="00AD0290" w:rsidRPr="00AD0290" w:rsidRDefault="00AD0290" w:rsidP="00AD0290">
      <w:r w:rsidRPr="00AD0290">
        <w:t>The investment appraisal produced a clear ranking, with Project C performing best across all methods. However, all projects generated negative NPVs, indicating that none meets the required return. Project C is therefore the most defensible option only if investment is necessary; otherwise, a more disciplined approach would be to defer investment.</w:t>
      </w:r>
    </w:p>
    <w:p w14:paraId="4A0AF617" w14:textId="77777777" w:rsidR="00AD0290" w:rsidRPr="00AD0290" w:rsidRDefault="00AD0290" w:rsidP="00AD0290">
      <w:r w:rsidRPr="00AD0290">
        <w:t>Tesla should prioritise financial discipline, efficient cash conversion, and selective investment to sustain long-term value creation.</w:t>
      </w:r>
    </w:p>
    <w:p w14:paraId="4241B886" w14:textId="45911543" w:rsidR="003422F4" w:rsidRDefault="003422F4" w:rsidP="00E64B8F"/>
    <w:p w14:paraId="7688CC44" w14:textId="77777777" w:rsidR="00AD0290" w:rsidRDefault="00AD0290" w:rsidP="00E64B8F"/>
    <w:p w14:paraId="24E909C1" w14:textId="77777777" w:rsidR="00AD0290" w:rsidRDefault="00AD0290" w:rsidP="00E64B8F"/>
    <w:p w14:paraId="5FCDB455" w14:textId="77777777" w:rsidR="00AD0290" w:rsidRDefault="00AD0290" w:rsidP="00E64B8F"/>
    <w:p w14:paraId="0AD51B6E" w14:textId="77777777" w:rsidR="00AD0290" w:rsidRDefault="00AD0290" w:rsidP="00E64B8F"/>
    <w:p w14:paraId="61A1AC96" w14:textId="77777777" w:rsidR="00AD0290" w:rsidRDefault="00AD0290" w:rsidP="00E64B8F"/>
    <w:p w14:paraId="78DBCF62" w14:textId="77777777" w:rsidR="00AD0290" w:rsidRDefault="00AD0290" w:rsidP="00E64B8F"/>
    <w:p w14:paraId="71EE0556" w14:textId="77777777" w:rsidR="0075043C" w:rsidRDefault="0075043C" w:rsidP="00E64B8F"/>
    <w:p w14:paraId="2F2A0072" w14:textId="77777777" w:rsidR="0075043C" w:rsidRDefault="0075043C" w:rsidP="00E64B8F"/>
    <w:p w14:paraId="6D20282D" w14:textId="77777777" w:rsidR="0075043C" w:rsidRDefault="0075043C" w:rsidP="00E64B8F"/>
    <w:p w14:paraId="68151F41" w14:textId="77777777" w:rsidR="00AD0290" w:rsidRDefault="00AD0290" w:rsidP="00E64B8F"/>
    <w:p w14:paraId="05EDB4EE" w14:textId="77777777" w:rsidR="00AD0290" w:rsidRDefault="00AD0290" w:rsidP="00E64B8F"/>
    <w:p w14:paraId="2F09712B" w14:textId="77777777" w:rsidR="00AD0290" w:rsidRDefault="00AD0290" w:rsidP="00E64B8F"/>
    <w:p w14:paraId="342B09FF" w14:textId="77777777" w:rsidR="00AD0290" w:rsidRDefault="00AD0290" w:rsidP="00E64B8F"/>
    <w:p w14:paraId="78BA4B55" w14:textId="77777777" w:rsidR="00AD0290" w:rsidRDefault="00AD0290" w:rsidP="00E64B8F"/>
    <w:p w14:paraId="14E7B8F4" w14:textId="77777777" w:rsidR="00AD0290" w:rsidRDefault="00AD0290" w:rsidP="00E64B8F"/>
    <w:p w14:paraId="02E65DE1" w14:textId="77777777" w:rsidR="00AD0290" w:rsidRDefault="00AD0290" w:rsidP="00E64B8F"/>
    <w:p w14:paraId="40D6E8D1" w14:textId="77777777" w:rsidR="00AD0290" w:rsidRDefault="00AD0290" w:rsidP="00E64B8F"/>
    <w:p w14:paraId="1EC9FA05" w14:textId="77777777" w:rsidR="00AD0290" w:rsidRDefault="00AD0290" w:rsidP="00E64B8F"/>
    <w:p w14:paraId="72A75C54" w14:textId="77777777" w:rsidR="00AD0290" w:rsidRPr="00E64B8F" w:rsidRDefault="00AD0290" w:rsidP="00E64B8F"/>
    <w:p w14:paraId="49BF29C9" w14:textId="03BE6C9B" w:rsidR="00400B6A" w:rsidRDefault="00E64B8F" w:rsidP="00400B6A">
      <w:pPr>
        <w:pStyle w:val="Heading1"/>
      </w:pPr>
      <w:bookmarkStart w:id="35" w:name="_Toc227848228"/>
      <w:r>
        <w:lastRenderedPageBreak/>
        <w:t>References</w:t>
      </w:r>
      <w:bookmarkEnd w:id="35"/>
    </w:p>
    <w:p w14:paraId="2E6D17B6" w14:textId="77777777" w:rsidR="00320D87" w:rsidRPr="00320D87" w:rsidRDefault="00320D87" w:rsidP="00320D87">
      <w:r w:rsidRPr="00320D87">
        <w:t xml:space="preserve">Agarwal, Y. and Singh, S.P. (2022) ‘Working capital management and firm performance: Evidence from emerging markets’, </w:t>
      </w:r>
      <w:r w:rsidRPr="00320D87">
        <w:rPr>
          <w:i/>
          <w:iCs/>
        </w:rPr>
        <w:t>Journal of Risk and Financial Management</w:t>
      </w:r>
      <w:r w:rsidRPr="00320D87">
        <w:t>, 15(11), pp. 1–18.</w:t>
      </w:r>
    </w:p>
    <w:p w14:paraId="2A33666D" w14:textId="77777777" w:rsidR="00320D87" w:rsidRPr="00320D87" w:rsidRDefault="00320D87" w:rsidP="00320D87">
      <w:r w:rsidRPr="00320D87">
        <w:t xml:space="preserve">Atrill, P. and McLaney, E. (2022) </w:t>
      </w:r>
      <w:r w:rsidRPr="00320D87">
        <w:rPr>
          <w:i/>
          <w:iCs/>
        </w:rPr>
        <w:t>Financial accounting for decision makers</w:t>
      </w:r>
      <w:r w:rsidRPr="00320D87">
        <w:t>. 10th edn. Harlow: Pearson.</w:t>
      </w:r>
    </w:p>
    <w:p w14:paraId="10ED3E1D" w14:textId="77777777" w:rsidR="00320D87" w:rsidRPr="00320D87" w:rsidRDefault="00320D87" w:rsidP="00320D87">
      <w:r w:rsidRPr="00320D87">
        <w:t xml:space="preserve">Brealey, R.A., Myers, S.C., Allen, F. and Edmans, A. (2022) </w:t>
      </w:r>
      <w:r w:rsidRPr="00320D87">
        <w:rPr>
          <w:i/>
          <w:iCs/>
        </w:rPr>
        <w:t>Principles of corporate finance</w:t>
      </w:r>
      <w:r w:rsidRPr="00320D87">
        <w:t>. 14th edn. New York: McGraw-Hill.</w:t>
      </w:r>
    </w:p>
    <w:p w14:paraId="7874A231" w14:textId="77777777" w:rsidR="00320D87" w:rsidRPr="00320D87" w:rsidRDefault="00320D87" w:rsidP="00320D87">
      <w:r w:rsidRPr="00320D87">
        <w:t xml:space="preserve">Brigham, E.F. and Ehrhardt, M.C. (2023) </w:t>
      </w:r>
      <w:r w:rsidRPr="00320D87">
        <w:rPr>
          <w:i/>
          <w:iCs/>
        </w:rPr>
        <w:t>Financial management: Theory and practice</w:t>
      </w:r>
      <w:r w:rsidRPr="00320D87">
        <w:t>. 17th edn. Boston: Cengage Learning.</w:t>
      </w:r>
    </w:p>
    <w:p w14:paraId="2D7F32D4" w14:textId="77777777" w:rsidR="00320D87" w:rsidRPr="00320D87" w:rsidRDefault="00320D87" w:rsidP="00320D87">
      <w:r w:rsidRPr="00320D87">
        <w:t xml:space="preserve">Damodaran, A. (2012) </w:t>
      </w:r>
      <w:r w:rsidRPr="00320D87">
        <w:rPr>
          <w:i/>
          <w:iCs/>
        </w:rPr>
        <w:t>Investment valuation: Tools and techniques for determining the value of any asset</w:t>
      </w:r>
      <w:r w:rsidRPr="00320D87">
        <w:t>. 3rd edn. Hoboken: Wiley.</w:t>
      </w:r>
    </w:p>
    <w:p w14:paraId="03CDC0C4" w14:textId="77777777" w:rsidR="00320D87" w:rsidRPr="00320D87" w:rsidRDefault="00320D87" w:rsidP="00320D87">
      <w:r w:rsidRPr="00320D87">
        <w:t xml:space="preserve">Damodaran, A. (2015) </w:t>
      </w:r>
      <w:r w:rsidRPr="00320D87">
        <w:rPr>
          <w:i/>
          <w:iCs/>
        </w:rPr>
        <w:t>Applied corporate finance</w:t>
      </w:r>
      <w:r w:rsidRPr="00320D87">
        <w:t>. 4th edn. Hoboken: Wiley.</w:t>
      </w:r>
    </w:p>
    <w:p w14:paraId="0768D934" w14:textId="77777777" w:rsidR="00320D87" w:rsidRPr="00320D87" w:rsidRDefault="00320D87" w:rsidP="00320D87">
      <w:r w:rsidRPr="00320D87">
        <w:t xml:space="preserve">Deloof, M. (2003) ‘Does working capital management affect profitability of Belgian firms?’, </w:t>
      </w:r>
      <w:r w:rsidRPr="00320D87">
        <w:rPr>
          <w:i/>
          <w:iCs/>
        </w:rPr>
        <w:t>Journal of Business Finance &amp; Accounting</w:t>
      </w:r>
      <w:r w:rsidRPr="00320D87">
        <w:t>, 30(3–4), pp. 573–588.</w:t>
      </w:r>
    </w:p>
    <w:p w14:paraId="5C6143A1" w14:textId="77777777" w:rsidR="00320D87" w:rsidRPr="00320D87" w:rsidRDefault="00320D87" w:rsidP="00320D87">
      <w:r w:rsidRPr="00320D87">
        <w:t xml:space="preserve">Gitman, L.J., Juchau, R. and Flanagan, J. (2015) </w:t>
      </w:r>
      <w:r w:rsidRPr="00320D87">
        <w:rPr>
          <w:i/>
          <w:iCs/>
        </w:rPr>
        <w:t>Principles of managerial finance</w:t>
      </w:r>
      <w:r w:rsidRPr="00320D87">
        <w:t>. 7th edn. Melbourne: Pearson.</w:t>
      </w:r>
    </w:p>
    <w:p w14:paraId="1A6C69FB" w14:textId="77777777" w:rsidR="00320D87" w:rsidRPr="00320D87" w:rsidRDefault="00320D87" w:rsidP="00320D87">
      <w:r w:rsidRPr="00320D87">
        <w:t xml:space="preserve">Graham, J.R. and Harvey, C.R. (2001) ‘The theory and practice of corporate finance: Evidence from the field’, </w:t>
      </w:r>
      <w:r w:rsidRPr="00320D87">
        <w:rPr>
          <w:i/>
          <w:iCs/>
        </w:rPr>
        <w:t>Journal of Financial Economics</w:t>
      </w:r>
      <w:r w:rsidRPr="00320D87">
        <w:t>, 60(2–3), pp. 187–243.</w:t>
      </w:r>
    </w:p>
    <w:p w14:paraId="4C2A8AA4" w14:textId="77777777" w:rsidR="00320D87" w:rsidRPr="00320D87" w:rsidRDefault="00320D87" w:rsidP="00320D87">
      <w:r w:rsidRPr="00320D87">
        <w:t xml:space="preserve">Hillier, D., Ross, S., Westerfield, R., Jaffe, J. and Jordan, B. (2021) </w:t>
      </w:r>
      <w:r w:rsidRPr="00320D87">
        <w:rPr>
          <w:i/>
          <w:iCs/>
        </w:rPr>
        <w:t>Corporate finance</w:t>
      </w:r>
      <w:r w:rsidRPr="00320D87">
        <w:t>. 4th European edn. London: McGraw-Hill.</w:t>
      </w:r>
    </w:p>
    <w:p w14:paraId="171581DC" w14:textId="77777777" w:rsidR="00320D87" w:rsidRPr="00320D87" w:rsidRDefault="00320D87" w:rsidP="00320D87">
      <w:r w:rsidRPr="00320D87">
        <w:t xml:space="preserve">International Energy Agency (2024) </w:t>
      </w:r>
      <w:r w:rsidRPr="00320D87">
        <w:rPr>
          <w:i/>
          <w:iCs/>
        </w:rPr>
        <w:t>Global EV outlook 2024: Moving towards increased affordability</w:t>
      </w:r>
      <w:r w:rsidRPr="00320D87">
        <w:t xml:space="preserve">. Paris: IEA. Available at: </w:t>
      </w:r>
      <w:hyperlink r:id="rId9" w:tgtFrame="_new" w:history="1">
        <w:r w:rsidRPr="00320D87">
          <w:rPr>
            <w:rStyle w:val="Hyperlink"/>
          </w:rPr>
          <w:t>https://www.iea.org/reports/global-ev-outlook-2024</w:t>
        </w:r>
      </w:hyperlink>
      <w:r w:rsidRPr="00320D87">
        <w:t xml:space="preserve"> (Accessed: 7 April 2026).</w:t>
      </w:r>
    </w:p>
    <w:p w14:paraId="2F2384F4" w14:textId="77777777" w:rsidR="00320D87" w:rsidRPr="00320D87" w:rsidRDefault="00320D87" w:rsidP="00320D87">
      <w:r w:rsidRPr="00320D87">
        <w:lastRenderedPageBreak/>
        <w:t xml:space="preserve">International Energy Agency (2025) </w:t>
      </w:r>
      <w:r w:rsidRPr="00320D87">
        <w:rPr>
          <w:i/>
          <w:iCs/>
        </w:rPr>
        <w:t>Global EV outlook 2025: Expanding sales in diverse markets</w:t>
      </w:r>
      <w:r w:rsidRPr="00320D87">
        <w:t xml:space="preserve">. Paris: IEA. Available at: </w:t>
      </w:r>
      <w:hyperlink r:id="rId10" w:tgtFrame="_new" w:history="1">
        <w:r w:rsidRPr="00320D87">
          <w:rPr>
            <w:rStyle w:val="Hyperlink"/>
          </w:rPr>
          <w:t>https://www.iea.org/reports/global-ev-outlook-2025</w:t>
        </w:r>
      </w:hyperlink>
      <w:r w:rsidRPr="00320D87">
        <w:t xml:space="preserve"> (Accessed: 10 April 2026).</w:t>
      </w:r>
    </w:p>
    <w:p w14:paraId="00B048AE" w14:textId="77777777" w:rsidR="00320D87" w:rsidRPr="00320D87" w:rsidRDefault="00320D87" w:rsidP="00320D87">
      <w:r w:rsidRPr="00320D87">
        <w:t xml:space="preserve">International Monetary Fund (2024) </w:t>
      </w:r>
      <w:r w:rsidRPr="00320D87">
        <w:rPr>
          <w:i/>
          <w:iCs/>
        </w:rPr>
        <w:t>World economic outlook: Policy pivot, rising threats</w:t>
      </w:r>
      <w:r w:rsidRPr="00320D87">
        <w:t xml:space="preserve">. Washington, DC: IMF. Available at: </w:t>
      </w:r>
      <w:hyperlink r:id="rId11" w:tgtFrame="_new" w:history="1">
        <w:r w:rsidRPr="00320D87">
          <w:rPr>
            <w:rStyle w:val="Hyperlink"/>
          </w:rPr>
          <w:t>https://www.imf.org/en/Publications/WEO</w:t>
        </w:r>
      </w:hyperlink>
      <w:r w:rsidRPr="00320D87">
        <w:t xml:space="preserve"> (Accessed: 12 April 2026).</w:t>
      </w:r>
    </w:p>
    <w:p w14:paraId="05E0EBFE" w14:textId="77777777" w:rsidR="00320D87" w:rsidRPr="00320D87" w:rsidRDefault="00320D87" w:rsidP="00320D87">
      <w:r w:rsidRPr="00320D87">
        <w:t xml:space="preserve">Jensen, M.C. (1986) ‘Agency costs of free cash flow, corporate finance, and takeovers’, </w:t>
      </w:r>
      <w:r w:rsidRPr="00320D87">
        <w:rPr>
          <w:i/>
          <w:iCs/>
        </w:rPr>
        <w:t>American Economic Review</w:t>
      </w:r>
      <w:r w:rsidRPr="00320D87">
        <w:t>, 76(2), pp. 323–329.</w:t>
      </w:r>
    </w:p>
    <w:p w14:paraId="20CA2C45" w14:textId="77777777" w:rsidR="00320D87" w:rsidRPr="00320D87" w:rsidRDefault="00320D87" w:rsidP="00320D87">
      <w:r w:rsidRPr="00320D87">
        <w:t xml:space="preserve">Koller, T., Goedhart, M. and Wessels, D. (2020) </w:t>
      </w:r>
      <w:r w:rsidRPr="00320D87">
        <w:rPr>
          <w:i/>
          <w:iCs/>
        </w:rPr>
        <w:t>Valuation: Measuring and managing the value of companies</w:t>
      </w:r>
      <w:r w:rsidRPr="00320D87">
        <w:t>. 7th edn. Hoboken: Wiley.</w:t>
      </w:r>
    </w:p>
    <w:p w14:paraId="07110C80" w14:textId="77777777" w:rsidR="00320D87" w:rsidRPr="00320D87" w:rsidRDefault="00320D87" w:rsidP="00320D87">
      <w:r w:rsidRPr="00320D87">
        <w:t xml:space="preserve">Modigliani, F. and Miller, M.H. (1958) ‘The cost of capital, corporation finance and the theory of investment’, </w:t>
      </w:r>
      <w:r w:rsidRPr="00320D87">
        <w:rPr>
          <w:i/>
          <w:iCs/>
        </w:rPr>
        <w:t>American Economic Review</w:t>
      </w:r>
      <w:r w:rsidRPr="00320D87">
        <w:t>, 48(3), pp. 261–297.</w:t>
      </w:r>
    </w:p>
    <w:p w14:paraId="34192BE2" w14:textId="77777777" w:rsidR="00320D87" w:rsidRPr="00320D87" w:rsidRDefault="00320D87" w:rsidP="00320D87">
      <w:r w:rsidRPr="00320D87">
        <w:t xml:space="preserve">Myers, S.C. (1984) ‘The capital structure puzzle’, </w:t>
      </w:r>
      <w:r w:rsidRPr="00320D87">
        <w:rPr>
          <w:i/>
          <w:iCs/>
        </w:rPr>
        <w:t>Journal of Finance</w:t>
      </w:r>
      <w:r w:rsidRPr="00320D87">
        <w:t>, 39(3), pp. 575–592.</w:t>
      </w:r>
    </w:p>
    <w:p w14:paraId="44B540B9" w14:textId="77777777" w:rsidR="00320D87" w:rsidRPr="00320D87" w:rsidRDefault="00320D87" w:rsidP="00320D87">
      <w:r w:rsidRPr="00320D87">
        <w:t xml:space="preserve">Myers, S.C. and Majluf, N.S. (1984) ‘Corporate financing and investment decisions when firms have information that investors do not have’, </w:t>
      </w:r>
      <w:r w:rsidRPr="00320D87">
        <w:rPr>
          <w:i/>
          <w:iCs/>
        </w:rPr>
        <w:t>Journal of Financial Economics</w:t>
      </w:r>
      <w:r w:rsidRPr="00320D87">
        <w:t>, 13(2), pp. 187–221.</w:t>
      </w:r>
    </w:p>
    <w:p w14:paraId="7880E391" w14:textId="77777777" w:rsidR="00320D87" w:rsidRPr="00320D87" w:rsidRDefault="00320D87" w:rsidP="00320D87">
      <w:r w:rsidRPr="00320D87">
        <w:t xml:space="preserve">Organisation for Economic Co-operation and Development (2024) </w:t>
      </w:r>
      <w:r w:rsidRPr="00320D87">
        <w:rPr>
          <w:i/>
          <w:iCs/>
        </w:rPr>
        <w:t>OECD economic outlook</w:t>
      </w:r>
      <w:r w:rsidRPr="00320D87">
        <w:t xml:space="preserve">. Paris: OECD Publishing. Available at: </w:t>
      </w:r>
      <w:hyperlink r:id="rId12" w:tgtFrame="_new" w:history="1">
        <w:r w:rsidRPr="00320D87">
          <w:rPr>
            <w:rStyle w:val="Hyperlink"/>
          </w:rPr>
          <w:t>https://www.oecd.org/economic-outlook/</w:t>
        </w:r>
      </w:hyperlink>
      <w:r w:rsidRPr="00320D87">
        <w:t xml:space="preserve"> (Accessed: 14 April 2026).</w:t>
      </w:r>
    </w:p>
    <w:p w14:paraId="03A7187B" w14:textId="77777777" w:rsidR="00320D87" w:rsidRPr="00320D87" w:rsidRDefault="00320D87" w:rsidP="00320D87">
      <w:r w:rsidRPr="00320D87">
        <w:t xml:space="preserve">Pike, R., Neale, B. and Akbar, S. (2018) </w:t>
      </w:r>
      <w:r w:rsidRPr="00320D87">
        <w:rPr>
          <w:i/>
          <w:iCs/>
        </w:rPr>
        <w:t>Corporate finance and investment: Decisions and strategies</w:t>
      </w:r>
      <w:r w:rsidRPr="00320D87">
        <w:t>. 9th edn. Harlow: Pearson.</w:t>
      </w:r>
    </w:p>
    <w:p w14:paraId="3C62E241" w14:textId="77777777" w:rsidR="00320D87" w:rsidRPr="00320D87" w:rsidRDefault="00320D87" w:rsidP="00320D87">
      <w:r w:rsidRPr="00320D87">
        <w:t xml:space="preserve">Porter, M.E. (1985) </w:t>
      </w:r>
      <w:r w:rsidRPr="00320D87">
        <w:rPr>
          <w:i/>
          <w:iCs/>
        </w:rPr>
        <w:t>Competitive advantage: Creating and sustaining superior performance</w:t>
      </w:r>
      <w:r w:rsidRPr="00320D87">
        <w:t>. New York: Free Press.</w:t>
      </w:r>
    </w:p>
    <w:p w14:paraId="388E9A9A" w14:textId="77777777" w:rsidR="00320D87" w:rsidRPr="00320D87" w:rsidRDefault="00320D87" w:rsidP="00320D87">
      <w:r w:rsidRPr="00320D87">
        <w:t xml:space="preserve">Ross, S.A., Westerfield, R.W., Jaffe, J. and Jordan, B.D. (2022) </w:t>
      </w:r>
      <w:r w:rsidRPr="00320D87">
        <w:rPr>
          <w:i/>
          <w:iCs/>
        </w:rPr>
        <w:t>Corporate finance</w:t>
      </w:r>
      <w:r w:rsidRPr="00320D87">
        <w:t>. 13th edn. New York: McGraw-Hill.</w:t>
      </w:r>
    </w:p>
    <w:p w14:paraId="51CDC842" w14:textId="77777777" w:rsidR="00320D87" w:rsidRPr="00320D87" w:rsidRDefault="00320D87" w:rsidP="00320D87">
      <w:r w:rsidRPr="00320D87">
        <w:lastRenderedPageBreak/>
        <w:t xml:space="preserve">Tesla, Inc. (2020) </w:t>
      </w:r>
      <w:r w:rsidRPr="00320D87">
        <w:rPr>
          <w:i/>
          <w:iCs/>
        </w:rPr>
        <w:t>Annual report 2020</w:t>
      </w:r>
      <w:r w:rsidRPr="00320D87">
        <w:t xml:space="preserve">. Austin, TX: Tesla, Inc. Available at: </w:t>
      </w:r>
      <w:hyperlink r:id="rId13" w:tgtFrame="_new" w:history="1">
        <w:r w:rsidRPr="00320D87">
          <w:rPr>
            <w:rStyle w:val="Hyperlink"/>
          </w:rPr>
          <w:t>https://ir.tesla.com/s</w:t>
        </w:r>
        <w:r w:rsidRPr="00320D87">
          <w:rPr>
            <w:rStyle w:val="Hyperlink"/>
          </w:rPr>
          <w:t>e</w:t>
        </w:r>
        <w:r w:rsidRPr="00320D87">
          <w:rPr>
            <w:rStyle w:val="Hyperlink"/>
          </w:rPr>
          <w:t>c-filings</w:t>
        </w:r>
      </w:hyperlink>
      <w:r w:rsidRPr="00320D87">
        <w:t xml:space="preserve"> (Accessed: 4 April 2026).</w:t>
      </w:r>
    </w:p>
    <w:p w14:paraId="5E885C4C" w14:textId="77777777" w:rsidR="00320D87" w:rsidRPr="00320D87" w:rsidRDefault="00320D87" w:rsidP="00320D87">
      <w:r w:rsidRPr="00320D87">
        <w:t xml:space="preserve">Tesla, Inc. (2021) </w:t>
      </w:r>
      <w:r w:rsidRPr="00320D87">
        <w:rPr>
          <w:i/>
          <w:iCs/>
        </w:rPr>
        <w:t>Annual report 2021</w:t>
      </w:r>
      <w:r w:rsidRPr="00320D87">
        <w:t xml:space="preserve">. Austin, TX: Tesla, Inc. Available at: </w:t>
      </w:r>
      <w:hyperlink r:id="rId14" w:tgtFrame="_new" w:history="1">
        <w:r w:rsidRPr="00320D87">
          <w:rPr>
            <w:rStyle w:val="Hyperlink"/>
          </w:rPr>
          <w:t>https://ir.tesla.com/sec-filings</w:t>
        </w:r>
      </w:hyperlink>
      <w:r w:rsidRPr="00320D87">
        <w:t xml:space="preserve"> (Accessed: 4 April 2026).</w:t>
      </w:r>
    </w:p>
    <w:p w14:paraId="3049C506" w14:textId="77777777" w:rsidR="00320D87" w:rsidRPr="00320D87" w:rsidRDefault="00320D87" w:rsidP="00320D87">
      <w:r w:rsidRPr="00320D87">
        <w:t xml:space="preserve">Tesla, Inc. (2022) </w:t>
      </w:r>
      <w:r w:rsidRPr="00320D87">
        <w:rPr>
          <w:i/>
          <w:iCs/>
        </w:rPr>
        <w:t>Annual report 2022</w:t>
      </w:r>
      <w:r w:rsidRPr="00320D87">
        <w:t xml:space="preserve">. Austin, TX: Tesla, Inc. Available at: </w:t>
      </w:r>
      <w:hyperlink r:id="rId15" w:tgtFrame="_new" w:history="1">
        <w:r w:rsidRPr="00320D87">
          <w:rPr>
            <w:rStyle w:val="Hyperlink"/>
          </w:rPr>
          <w:t>https://ir.tesla.com/sec-filings</w:t>
        </w:r>
      </w:hyperlink>
      <w:r w:rsidRPr="00320D87">
        <w:t xml:space="preserve"> (Accessed: 5 April 2026).</w:t>
      </w:r>
    </w:p>
    <w:p w14:paraId="191842DC" w14:textId="77777777" w:rsidR="00320D87" w:rsidRPr="00320D87" w:rsidRDefault="00320D87" w:rsidP="00320D87">
      <w:r w:rsidRPr="00320D87">
        <w:t xml:space="preserve">Tesla, Inc. (2023) </w:t>
      </w:r>
      <w:r w:rsidRPr="00320D87">
        <w:rPr>
          <w:i/>
          <w:iCs/>
        </w:rPr>
        <w:t>Annual report 2023</w:t>
      </w:r>
      <w:r w:rsidRPr="00320D87">
        <w:t xml:space="preserve">. Austin, TX: Tesla, Inc. Available at: </w:t>
      </w:r>
      <w:hyperlink r:id="rId16" w:tgtFrame="_new" w:history="1">
        <w:r w:rsidRPr="00320D87">
          <w:rPr>
            <w:rStyle w:val="Hyperlink"/>
          </w:rPr>
          <w:t>https://ir.tesla.com/sec-filings</w:t>
        </w:r>
      </w:hyperlink>
      <w:r w:rsidRPr="00320D87">
        <w:t xml:space="preserve"> (Accessed: 5 April 2026).</w:t>
      </w:r>
    </w:p>
    <w:p w14:paraId="52C9B6EE" w14:textId="77777777" w:rsidR="00320D87" w:rsidRPr="00320D87" w:rsidRDefault="00320D87" w:rsidP="00320D87">
      <w:r w:rsidRPr="00320D87">
        <w:t xml:space="preserve">Tesla, Inc. (2024a) </w:t>
      </w:r>
      <w:r w:rsidRPr="00320D87">
        <w:rPr>
          <w:i/>
          <w:iCs/>
        </w:rPr>
        <w:t>Annual report 2024</w:t>
      </w:r>
      <w:r w:rsidRPr="00320D87">
        <w:t xml:space="preserve">. Austin, TX: Tesla, Inc. Available at: </w:t>
      </w:r>
      <w:hyperlink r:id="rId17" w:tgtFrame="_new" w:history="1">
        <w:r w:rsidRPr="00320D87">
          <w:rPr>
            <w:rStyle w:val="Hyperlink"/>
          </w:rPr>
          <w:t>https://ir.tesla.com/sec-filings</w:t>
        </w:r>
      </w:hyperlink>
      <w:r w:rsidRPr="00320D87">
        <w:t xml:space="preserve"> (Accessed: 6 April 2026).</w:t>
      </w:r>
    </w:p>
    <w:p w14:paraId="1F7BAD77" w14:textId="77777777" w:rsidR="00320D87" w:rsidRPr="00320D87" w:rsidRDefault="00320D87" w:rsidP="00320D87">
      <w:r w:rsidRPr="00320D87">
        <w:t xml:space="preserve">Tesla, Inc. (2024b) </w:t>
      </w:r>
      <w:r w:rsidRPr="00320D87">
        <w:rPr>
          <w:i/>
          <w:iCs/>
        </w:rPr>
        <w:t>Impact report 2023</w:t>
      </w:r>
      <w:r w:rsidRPr="00320D87">
        <w:t xml:space="preserve">. Austin, TX: Tesla, Inc. Available at: </w:t>
      </w:r>
      <w:hyperlink r:id="rId18" w:tgtFrame="_new" w:history="1">
        <w:r w:rsidRPr="00320D87">
          <w:rPr>
            <w:rStyle w:val="Hyperlink"/>
          </w:rPr>
          <w:t>https://www.tesla.com/impact</w:t>
        </w:r>
      </w:hyperlink>
      <w:r w:rsidRPr="00320D87">
        <w:t xml:space="preserve"> (Accessed: 8 April 2026).</w:t>
      </w:r>
    </w:p>
    <w:p w14:paraId="66BA825F" w14:textId="77777777" w:rsidR="00320D87" w:rsidRPr="00320D87" w:rsidRDefault="00320D87" w:rsidP="00320D87">
      <w:r w:rsidRPr="00320D87">
        <w:t xml:space="preserve">Tesla Investor Relations (2026) </w:t>
      </w:r>
      <w:r w:rsidRPr="00320D87">
        <w:rPr>
          <w:i/>
          <w:iCs/>
        </w:rPr>
        <w:t>SEC filings and annual reports archive</w:t>
      </w:r>
      <w:r w:rsidRPr="00320D87">
        <w:t xml:space="preserve">. Austin, TX: Tesla, Inc. Available at: </w:t>
      </w:r>
      <w:hyperlink r:id="rId19" w:tgtFrame="_new" w:history="1">
        <w:r w:rsidRPr="00320D87">
          <w:rPr>
            <w:rStyle w:val="Hyperlink"/>
          </w:rPr>
          <w:t>https://ir.tesla.com/sec-filings</w:t>
        </w:r>
      </w:hyperlink>
      <w:r w:rsidRPr="00320D87">
        <w:t xml:space="preserve"> (Accessed: 6 April 2026).</w:t>
      </w:r>
    </w:p>
    <w:p w14:paraId="1C28760B" w14:textId="77777777" w:rsidR="00320D87" w:rsidRPr="00320D87" w:rsidRDefault="00320D87" w:rsidP="00320D87">
      <w:r w:rsidRPr="00320D87">
        <w:t xml:space="preserve">Titman, S., Keown, A.J. and Martin, J.D. (2021) </w:t>
      </w:r>
      <w:r w:rsidRPr="00320D87">
        <w:rPr>
          <w:i/>
          <w:iCs/>
        </w:rPr>
        <w:t>Financial management: Principles and applications</w:t>
      </w:r>
      <w:r w:rsidRPr="00320D87">
        <w:t>. 14th edn. Harlow: Pearson.</w:t>
      </w:r>
    </w:p>
    <w:p w14:paraId="57453D51" w14:textId="77777777" w:rsidR="00320D87" w:rsidRPr="00320D87" w:rsidRDefault="00320D87" w:rsidP="00320D87">
      <w:r w:rsidRPr="00320D87">
        <w:t xml:space="preserve">Vernimmen, P., Quiry, P., Dallocchio, M., Le Fur, Y. and Salvi, A. (2022) </w:t>
      </w:r>
      <w:r w:rsidRPr="00320D87">
        <w:rPr>
          <w:i/>
          <w:iCs/>
        </w:rPr>
        <w:t>Corporate finance: Theory and practice</w:t>
      </w:r>
      <w:r w:rsidRPr="00320D87">
        <w:t>. 6th edn. Chichester: Wiley.</w:t>
      </w:r>
    </w:p>
    <w:p w14:paraId="164E248B" w14:textId="77777777" w:rsidR="00320D87" w:rsidRPr="00320D87" w:rsidRDefault="00320D87" w:rsidP="00320D87">
      <w:r w:rsidRPr="00320D87">
        <w:t xml:space="preserve">World Bank (2024) </w:t>
      </w:r>
      <w:r w:rsidRPr="00320D87">
        <w:rPr>
          <w:i/>
          <w:iCs/>
        </w:rPr>
        <w:t>Global economic prospects</w:t>
      </w:r>
      <w:r w:rsidRPr="00320D87">
        <w:t xml:space="preserve">. Washington, DC: World Bank. Available at: </w:t>
      </w:r>
      <w:hyperlink r:id="rId20" w:tgtFrame="_new" w:history="1">
        <w:r w:rsidRPr="00320D87">
          <w:rPr>
            <w:rStyle w:val="Hyperlink"/>
          </w:rPr>
          <w:t>https://www.worldbank.org/en/publication/global-economic-prospects</w:t>
        </w:r>
      </w:hyperlink>
      <w:r w:rsidRPr="00320D87">
        <w:t xml:space="preserve"> (Accessed: 16 April 2026).</w:t>
      </w:r>
    </w:p>
    <w:p w14:paraId="4EDCB359" w14:textId="77777777" w:rsidR="00320D87" w:rsidRPr="00320D87" w:rsidRDefault="00320D87" w:rsidP="00320D87">
      <w:r w:rsidRPr="00320D87">
        <w:t xml:space="preserve">World Economic Forum (2024) </w:t>
      </w:r>
      <w:r w:rsidRPr="00320D87">
        <w:rPr>
          <w:i/>
          <w:iCs/>
        </w:rPr>
        <w:t>Fostering effective energy transition 2024</w:t>
      </w:r>
      <w:r w:rsidRPr="00320D87">
        <w:t xml:space="preserve">. Geneva: World Economic Forum. Available at: </w:t>
      </w:r>
      <w:hyperlink r:id="rId21" w:tgtFrame="_new" w:history="1">
        <w:r w:rsidRPr="00320D87">
          <w:rPr>
            <w:rStyle w:val="Hyperlink"/>
          </w:rPr>
          <w:t>https://www.weforum.org/publications/</w:t>
        </w:r>
      </w:hyperlink>
      <w:r w:rsidRPr="00320D87">
        <w:t xml:space="preserve"> (Accessed: 18 April 2026).</w:t>
      </w:r>
    </w:p>
    <w:p w14:paraId="03D948C8" w14:textId="77777777" w:rsidR="00320D87" w:rsidRPr="00320D87" w:rsidRDefault="00320D87" w:rsidP="00320D87">
      <w:r w:rsidRPr="00320D87">
        <w:lastRenderedPageBreak/>
        <w:t xml:space="preserve">Zimon, G. and Tarighi, H. (2021) ‘Effects of the COVID-19 global crisis on the working capital management policy: Evidence from Poland’, </w:t>
      </w:r>
      <w:r w:rsidRPr="00320D87">
        <w:rPr>
          <w:i/>
          <w:iCs/>
        </w:rPr>
        <w:t>Journal of Risk and Financial Management</w:t>
      </w:r>
      <w:r w:rsidRPr="00320D87">
        <w:t>, 14(4), pp. 1–13.</w:t>
      </w:r>
    </w:p>
    <w:p w14:paraId="05B580EE" w14:textId="77777777" w:rsidR="00BD1452" w:rsidRDefault="00BD1452" w:rsidP="00BD1452"/>
    <w:p w14:paraId="2E48009A" w14:textId="77777777" w:rsidR="003422F4" w:rsidRDefault="003422F4" w:rsidP="00BD1452"/>
    <w:p w14:paraId="49E59597" w14:textId="77777777" w:rsidR="003422F4" w:rsidRDefault="003422F4" w:rsidP="00BD1452"/>
    <w:p w14:paraId="03C65797" w14:textId="77777777" w:rsidR="003422F4" w:rsidRDefault="003422F4" w:rsidP="00BD1452"/>
    <w:p w14:paraId="510AFC56" w14:textId="77777777" w:rsidR="003422F4" w:rsidRDefault="003422F4" w:rsidP="00BD1452"/>
    <w:p w14:paraId="1B7946D2" w14:textId="77777777" w:rsidR="003422F4" w:rsidRDefault="003422F4" w:rsidP="00BD1452"/>
    <w:p w14:paraId="0E3D13CE" w14:textId="77777777" w:rsidR="003422F4" w:rsidRDefault="003422F4" w:rsidP="00BD1452"/>
    <w:p w14:paraId="0B00DAD2" w14:textId="77777777" w:rsidR="003422F4" w:rsidRDefault="003422F4" w:rsidP="00BD1452"/>
    <w:p w14:paraId="79A36801" w14:textId="77777777" w:rsidR="003422F4" w:rsidRDefault="003422F4" w:rsidP="00BD1452"/>
    <w:p w14:paraId="35D00B39" w14:textId="77777777" w:rsidR="003422F4" w:rsidRDefault="003422F4" w:rsidP="00BD1452"/>
    <w:p w14:paraId="66EDEFBA" w14:textId="77777777" w:rsidR="003422F4" w:rsidRDefault="003422F4" w:rsidP="00BD1452"/>
    <w:p w14:paraId="2C451A41" w14:textId="77777777" w:rsidR="003422F4" w:rsidRDefault="003422F4" w:rsidP="00BD1452"/>
    <w:p w14:paraId="45591398" w14:textId="77777777" w:rsidR="003422F4" w:rsidRDefault="003422F4" w:rsidP="00BD1452"/>
    <w:p w14:paraId="7D983D48" w14:textId="77777777" w:rsidR="003422F4" w:rsidRDefault="003422F4" w:rsidP="00BD1452"/>
    <w:p w14:paraId="2C0E8469" w14:textId="77777777" w:rsidR="003422F4" w:rsidRDefault="003422F4" w:rsidP="00BD1452"/>
    <w:p w14:paraId="7B33953F" w14:textId="77777777" w:rsidR="003422F4" w:rsidRDefault="003422F4" w:rsidP="00BD1452"/>
    <w:p w14:paraId="3F455325" w14:textId="77777777" w:rsidR="003422F4" w:rsidRDefault="003422F4" w:rsidP="00BD1452"/>
    <w:p w14:paraId="736E23DA" w14:textId="77777777" w:rsidR="003422F4" w:rsidRDefault="003422F4" w:rsidP="00BD1452"/>
    <w:p w14:paraId="6CE8F219" w14:textId="77777777" w:rsidR="003422F4" w:rsidRPr="00BD1452" w:rsidRDefault="003422F4" w:rsidP="00BD1452"/>
    <w:p w14:paraId="52C120C4" w14:textId="4CA1F504" w:rsidR="006E7440" w:rsidRPr="003422F4" w:rsidRDefault="00400B6A" w:rsidP="003422F4">
      <w:pPr>
        <w:pStyle w:val="Heading1"/>
      </w:pPr>
      <w:bookmarkStart w:id="36" w:name="_Toc227848229"/>
      <w:r>
        <w:lastRenderedPageBreak/>
        <w:t>Appendices</w:t>
      </w:r>
      <w:bookmarkEnd w:id="36"/>
    </w:p>
    <w:p w14:paraId="5F01C1A2" w14:textId="7C416D8C" w:rsidR="009F13F7" w:rsidRPr="003422F4" w:rsidRDefault="006E7440" w:rsidP="009F13F7">
      <w:pPr>
        <w:rPr>
          <w:b/>
          <w:bCs/>
          <w:u w:val="single"/>
        </w:rPr>
      </w:pPr>
      <w:r w:rsidRPr="00353C10">
        <w:rPr>
          <w:b/>
          <w:bCs/>
          <w:u w:val="single"/>
        </w:rPr>
        <w:t>A: Five-Year Financial Data Table</w:t>
      </w:r>
    </w:p>
    <w:tbl>
      <w:tblPr>
        <w:tblStyle w:val="TableGrid"/>
        <w:tblW w:w="0" w:type="auto"/>
        <w:tblLook w:val="04A0" w:firstRow="1" w:lastRow="0" w:firstColumn="1" w:lastColumn="0" w:noHBand="0" w:noVBand="1"/>
      </w:tblPr>
      <w:tblGrid>
        <w:gridCol w:w="1609"/>
        <w:gridCol w:w="1546"/>
        <w:gridCol w:w="1546"/>
        <w:gridCol w:w="1549"/>
        <w:gridCol w:w="1550"/>
        <w:gridCol w:w="1550"/>
      </w:tblGrid>
      <w:tr w:rsidR="00C809B2" w14:paraId="7591E994" w14:textId="77777777" w:rsidTr="001D4AE1">
        <w:tc>
          <w:tcPr>
            <w:tcW w:w="1558" w:type="dxa"/>
          </w:tcPr>
          <w:p w14:paraId="1E510656" w14:textId="447F41BD" w:rsidR="00C809B2" w:rsidRPr="009B1BB7" w:rsidRDefault="009B1BB7" w:rsidP="009F13F7">
            <w:pPr>
              <w:rPr>
                <w:b/>
                <w:bCs/>
              </w:rPr>
            </w:pPr>
            <w:r>
              <w:rPr>
                <w:b/>
                <w:bCs/>
              </w:rPr>
              <w:t>Financial data($m)</w:t>
            </w:r>
          </w:p>
        </w:tc>
        <w:tc>
          <w:tcPr>
            <w:tcW w:w="1558" w:type="dxa"/>
          </w:tcPr>
          <w:p w14:paraId="256CE22B" w14:textId="5E6283CE" w:rsidR="00C809B2" w:rsidRPr="00626CF4" w:rsidRDefault="00626CF4" w:rsidP="009F13F7">
            <w:pPr>
              <w:rPr>
                <w:b/>
                <w:bCs/>
              </w:rPr>
            </w:pPr>
            <w:r>
              <w:rPr>
                <w:b/>
                <w:bCs/>
              </w:rPr>
              <w:t>2020</w:t>
            </w:r>
          </w:p>
        </w:tc>
        <w:tc>
          <w:tcPr>
            <w:tcW w:w="1558" w:type="dxa"/>
          </w:tcPr>
          <w:p w14:paraId="5D2D45B0" w14:textId="60E0F208" w:rsidR="00C809B2" w:rsidRPr="00E70BC0" w:rsidRDefault="00E70BC0" w:rsidP="009F13F7">
            <w:pPr>
              <w:rPr>
                <w:b/>
                <w:bCs/>
              </w:rPr>
            </w:pPr>
            <w:r>
              <w:rPr>
                <w:b/>
                <w:bCs/>
              </w:rPr>
              <w:t>2021</w:t>
            </w:r>
          </w:p>
        </w:tc>
        <w:tc>
          <w:tcPr>
            <w:tcW w:w="1558" w:type="dxa"/>
          </w:tcPr>
          <w:p w14:paraId="2CD76860" w14:textId="43D1DDBD" w:rsidR="00C809B2" w:rsidRPr="00E70BC0" w:rsidRDefault="00E70BC0" w:rsidP="009F13F7">
            <w:pPr>
              <w:rPr>
                <w:b/>
                <w:bCs/>
              </w:rPr>
            </w:pPr>
            <w:r>
              <w:rPr>
                <w:b/>
                <w:bCs/>
              </w:rPr>
              <w:t>2022</w:t>
            </w:r>
          </w:p>
        </w:tc>
        <w:tc>
          <w:tcPr>
            <w:tcW w:w="1559" w:type="dxa"/>
          </w:tcPr>
          <w:p w14:paraId="5ECBF2E1" w14:textId="62527737" w:rsidR="00C809B2" w:rsidRPr="00E70BC0" w:rsidRDefault="00E70BC0" w:rsidP="009F13F7">
            <w:pPr>
              <w:rPr>
                <w:b/>
                <w:bCs/>
              </w:rPr>
            </w:pPr>
            <w:r>
              <w:rPr>
                <w:b/>
                <w:bCs/>
              </w:rPr>
              <w:t>2023</w:t>
            </w:r>
          </w:p>
        </w:tc>
        <w:tc>
          <w:tcPr>
            <w:tcW w:w="1559" w:type="dxa"/>
          </w:tcPr>
          <w:p w14:paraId="513190EE" w14:textId="443FE656" w:rsidR="00C809B2" w:rsidRPr="007737FB" w:rsidRDefault="007737FB" w:rsidP="009F13F7">
            <w:pPr>
              <w:rPr>
                <w:b/>
                <w:bCs/>
              </w:rPr>
            </w:pPr>
            <w:r>
              <w:rPr>
                <w:b/>
                <w:bCs/>
              </w:rPr>
              <w:t>2024</w:t>
            </w:r>
          </w:p>
        </w:tc>
      </w:tr>
      <w:tr w:rsidR="00C809B2" w14:paraId="46EF0841" w14:textId="77777777" w:rsidTr="001D4AE1">
        <w:tc>
          <w:tcPr>
            <w:tcW w:w="1558" w:type="dxa"/>
          </w:tcPr>
          <w:p w14:paraId="79BABAEA" w14:textId="77CFE81A" w:rsidR="001D714C" w:rsidRDefault="001D714C" w:rsidP="009F13F7">
            <w:r>
              <w:t>Total</w:t>
            </w:r>
            <w:r w:rsidR="007654F5">
              <w:t xml:space="preserve"> </w:t>
            </w:r>
            <w:r>
              <w:t>revenues</w:t>
            </w:r>
          </w:p>
        </w:tc>
        <w:tc>
          <w:tcPr>
            <w:tcW w:w="1558" w:type="dxa"/>
          </w:tcPr>
          <w:p w14:paraId="0BA18F48" w14:textId="5BE8F862" w:rsidR="00C809B2" w:rsidRDefault="001D714C" w:rsidP="009F13F7">
            <w:r>
              <w:t>31,536</w:t>
            </w:r>
          </w:p>
        </w:tc>
        <w:tc>
          <w:tcPr>
            <w:tcW w:w="1558" w:type="dxa"/>
          </w:tcPr>
          <w:p w14:paraId="500282C4" w14:textId="097B1490" w:rsidR="00C809B2" w:rsidRDefault="001D714C" w:rsidP="009F13F7">
            <w:r>
              <w:t>53,823</w:t>
            </w:r>
          </w:p>
        </w:tc>
        <w:tc>
          <w:tcPr>
            <w:tcW w:w="1558" w:type="dxa"/>
          </w:tcPr>
          <w:p w14:paraId="0B5F693B" w14:textId="61D5411C" w:rsidR="00C809B2" w:rsidRDefault="001D714C" w:rsidP="009F13F7">
            <w:r>
              <w:t>81,462</w:t>
            </w:r>
          </w:p>
        </w:tc>
        <w:tc>
          <w:tcPr>
            <w:tcW w:w="1559" w:type="dxa"/>
          </w:tcPr>
          <w:p w14:paraId="6654AF9C" w14:textId="38CD02C3" w:rsidR="00C809B2" w:rsidRDefault="001D714C" w:rsidP="009F13F7">
            <w:r>
              <w:t>96,773</w:t>
            </w:r>
          </w:p>
        </w:tc>
        <w:tc>
          <w:tcPr>
            <w:tcW w:w="1559" w:type="dxa"/>
          </w:tcPr>
          <w:p w14:paraId="59E1CFD5" w14:textId="5DC8ABE4" w:rsidR="00C809B2" w:rsidRDefault="001D714C" w:rsidP="009F13F7">
            <w:r>
              <w:t>97,690</w:t>
            </w:r>
          </w:p>
        </w:tc>
      </w:tr>
      <w:tr w:rsidR="00C809B2" w14:paraId="3D3E5F9E" w14:textId="77777777" w:rsidTr="001D4AE1">
        <w:tc>
          <w:tcPr>
            <w:tcW w:w="1558" w:type="dxa"/>
          </w:tcPr>
          <w:p w14:paraId="5B1C7257" w14:textId="57E4E55A" w:rsidR="00F943FE" w:rsidRDefault="00F943FE" w:rsidP="009F13F7">
            <w:r>
              <w:t>Net income attributable to common stockholders</w:t>
            </w:r>
          </w:p>
        </w:tc>
        <w:tc>
          <w:tcPr>
            <w:tcW w:w="1558" w:type="dxa"/>
          </w:tcPr>
          <w:p w14:paraId="3A83DECF" w14:textId="77777777" w:rsidR="00A24684" w:rsidRDefault="00A24684" w:rsidP="009F13F7"/>
          <w:p w14:paraId="6D5B4D71" w14:textId="70077A9F" w:rsidR="00C809B2" w:rsidRDefault="00A24684" w:rsidP="009F13F7">
            <w:r>
              <w:t>721</w:t>
            </w:r>
          </w:p>
        </w:tc>
        <w:tc>
          <w:tcPr>
            <w:tcW w:w="1558" w:type="dxa"/>
          </w:tcPr>
          <w:p w14:paraId="342D69A0" w14:textId="77777777" w:rsidR="00A24684" w:rsidRDefault="00A24684" w:rsidP="009F13F7"/>
          <w:p w14:paraId="62B6E016" w14:textId="4D39ECE6" w:rsidR="00C809B2" w:rsidRDefault="00A24684" w:rsidP="009F13F7">
            <w:r>
              <w:t>5,519</w:t>
            </w:r>
          </w:p>
        </w:tc>
        <w:tc>
          <w:tcPr>
            <w:tcW w:w="1558" w:type="dxa"/>
          </w:tcPr>
          <w:p w14:paraId="4BA11B9B" w14:textId="77777777" w:rsidR="00A24684" w:rsidRDefault="00A24684" w:rsidP="009F13F7"/>
          <w:p w14:paraId="1CBF8562" w14:textId="75474EA6" w:rsidR="00C809B2" w:rsidRDefault="00A24684" w:rsidP="009F13F7">
            <w:r>
              <w:t>12,556</w:t>
            </w:r>
          </w:p>
        </w:tc>
        <w:tc>
          <w:tcPr>
            <w:tcW w:w="1559" w:type="dxa"/>
          </w:tcPr>
          <w:p w14:paraId="4CE5D432" w14:textId="77777777" w:rsidR="00A24684" w:rsidRDefault="00A24684" w:rsidP="009F13F7"/>
          <w:p w14:paraId="7A6CCED3" w14:textId="7EACF953" w:rsidR="00C809B2" w:rsidRDefault="00A24684" w:rsidP="009F13F7">
            <w:r>
              <w:t>14,997</w:t>
            </w:r>
          </w:p>
        </w:tc>
        <w:tc>
          <w:tcPr>
            <w:tcW w:w="1559" w:type="dxa"/>
          </w:tcPr>
          <w:p w14:paraId="3192175D" w14:textId="77777777" w:rsidR="00A24684" w:rsidRDefault="00A24684" w:rsidP="009F13F7"/>
          <w:p w14:paraId="3B4766C5" w14:textId="280A6359" w:rsidR="00C809B2" w:rsidRDefault="00A24684" w:rsidP="009F13F7">
            <w:r>
              <w:t>7,091</w:t>
            </w:r>
          </w:p>
        </w:tc>
      </w:tr>
      <w:tr w:rsidR="00C809B2" w14:paraId="7AD45EF9" w14:textId="77777777" w:rsidTr="001D4AE1">
        <w:tc>
          <w:tcPr>
            <w:tcW w:w="1558" w:type="dxa"/>
          </w:tcPr>
          <w:p w14:paraId="1CE71840" w14:textId="03949315" w:rsidR="00A24684" w:rsidRDefault="00A24684" w:rsidP="009F13F7">
            <w:r>
              <w:t>Total assets</w:t>
            </w:r>
          </w:p>
        </w:tc>
        <w:tc>
          <w:tcPr>
            <w:tcW w:w="1558" w:type="dxa"/>
          </w:tcPr>
          <w:p w14:paraId="689A1FA5" w14:textId="360D637B" w:rsidR="00C809B2" w:rsidRDefault="00A24684" w:rsidP="009F13F7">
            <w:r>
              <w:t>52,148</w:t>
            </w:r>
          </w:p>
        </w:tc>
        <w:tc>
          <w:tcPr>
            <w:tcW w:w="1558" w:type="dxa"/>
          </w:tcPr>
          <w:p w14:paraId="7BBCF952" w14:textId="77780CD8" w:rsidR="00C809B2" w:rsidRDefault="00A24684" w:rsidP="009F13F7">
            <w:r>
              <w:t>62,131</w:t>
            </w:r>
          </w:p>
        </w:tc>
        <w:tc>
          <w:tcPr>
            <w:tcW w:w="1558" w:type="dxa"/>
          </w:tcPr>
          <w:p w14:paraId="1BB5ACB6" w14:textId="46198917" w:rsidR="00C809B2" w:rsidRDefault="00A24684" w:rsidP="009F13F7">
            <w:r>
              <w:t>82,338</w:t>
            </w:r>
          </w:p>
        </w:tc>
        <w:tc>
          <w:tcPr>
            <w:tcW w:w="1559" w:type="dxa"/>
          </w:tcPr>
          <w:p w14:paraId="23AF8794" w14:textId="771543A4" w:rsidR="00C809B2" w:rsidRDefault="00A24684" w:rsidP="009F13F7">
            <w:r>
              <w:t>106,618</w:t>
            </w:r>
          </w:p>
        </w:tc>
        <w:tc>
          <w:tcPr>
            <w:tcW w:w="1559" w:type="dxa"/>
          </w:tcPr>
          <w:p w14:paraId="1FF0FADB" w14:textId="4C8E6723" w:rsidR="00C809B2" w:rsidRDefault="00CC0D06" w:rsidP="009F13F7">
            <w:r>
              <w:t>122,070</w:t>
            </w:r>
          </w:p>
        </w:tc>
      </w:tr>
      <w:tr w:rsidR="00C809B2" w14:paraId="7E34B211" w14:textId="77777777" w:rsidTr="001D4AE1">
        <w:tc>
          <w:tcPr>
            <w:tcW w:w="1558" w:type="dxa"/>
          </w:tcPr>
          <w:p w14:paraId="404C783C" w14:textId="3D62A7CB" w:rsidR="006F357C" w:rsidRDefault="006F357C" w:rsidP="009F13F7">
            <w:r>
              <w:t>Current assets</w:t>
            </w:r>
          </w:p>
        </w:tc>
        <w:tc>
          <w:tcPr>
            <w:tcW w:w="1558" w:type="dxa"/>
          </w:tcPr>
          <w:p w14:paraId="50AD605A" w14:textId="555FF1CA" w:rsidR="00C809B2" w:rsidRDefault="006F357C" w:rsidP="009F13F7">
            <w:r>
              <w:t>26,717</w:t>
            </w:r>
          </w:p>
        </w:tc>
        <w:tc>
          <w:tcPr>
            <w:tcW w:w="1558" w:type="dxa"/>
          </w:tcPr>
          <w:p w14:paraId="26562C45" w14:textId="27860C7F" w:rsidR="00C809B2" w:rsidRDefault="006F357C" w:rsidP="009F13F7">
            <w:r>
              <w:t>27,100</w:t>
            </w:r>
          </w:p>
        </w:tc>
        <w:tc>
          <w:tcPr>
            <w:tcW w:w="1558" w:type="dxa"/>
          </w:tcPr>
          <w:p w14:paraId="52ED2928" w14:textId="39AE6F8C" w:rsidR="00C809B2" w:rsidRDefault="006F357C" w:rsidP="009F13F7">
            <w:r>
              <w:t>40,917</w:t>
            </w:r>
          </w:p>
        </w:tc>
        <w:tc>
          <w:tcPr>
            <w:tcW w:w="1559" w:type="dxa"/>
          </w:tcPr>
          <w:p w14:paraId="6F50D86B" w14:textId="77707741" w:rsidR="00C809B2" w:rsidRDefault="006F357C" w:rsidP="009F13F7">
            <w:r>
              <w:t>49,616</w:t>
            </w:r>
          </w:p>
        </w:tc>
        <w:tc>
          <w:tcPr>
            <w:tcW w:w="1559" w:type="dxa"/>
          </w:tcPr>
          <w:p w14:paraId="0B8B6880" w14:textId="4861B66F" w:rsidR="00C809B2" w:rsidRDefault="006F357C" w:rsidP="009F13F7">
            <w:r>
              <w:t>58,360</w:t>
            </w:r>
          </w:p>
        </w:tc>
      </w:tr>
      <w:tr w:rsidR="00C809B2" w14:paraId="265338B0" w14:textId="77777777" w:rsidTr="001D4AE1">
        <w:tc>
          <w:tcPr>
            <w:tcW w:w="1558" w:type="dxa"/>
          </w:tcPr>
          <w:p w14:paraId="46A01F86" w14:textId="66941698" w:rsidR="0000217F" w:rsidRDefault="0000217F" w:rsidP="009F13F7">
            <w:r>
              <w:t>Current liabilities</w:t>
            </w:r>
          </w:p>
        </w:tc>
        <w:tc>
          <w:tcPr>
            <w:tcW w:w="1558" w:type="dxa"/>
          </w:tcPr>
          <w:p w14:paraId="07E6405C" w14:textId="787564BB" w:rsidR="00C809B2" w:rsidRDefault="0000217F" w:rsidP="009F13F7">
            <w:r>
              <w:t>14,248</w:t>
            </w:r>
          </w:p>
        </w:tc>
        <w:tc>
          <w:tcPr>
            <w:tcW w:w="1558" w:type="dxa"/>
          </w:tcPr>
          <w:p w14:paraId="273FB362" w14:textId="678239EA" w:rsidR="00C809B2" w:rsidRDefault="0000217F" w:rsidP="009F13F7">
            <w:r>
              <w:t>19,705</w:t>
            </w:r>
          </w:p>
        </w:tc>
        <w:tc>
          <w:tcPr>
            <w:tcW w:w="1558" w:type="dxa"/>
          </w:tcPr>
          <w:p w14:paraId="51D185A6" w14:textId="1C767B2C" w:rsidR="00C809B2" w:rsidRDefault="0000217F" w:rsidP="009F13F7">
            <w:r>
              <w:t>26,709</w:t>
            </w:r>
          </w:p>
        </w:tc>
        <w:tc>
          <w:tcPr>
            <w:tcW w:w="1559" w:type="dxa"/>
          </w:tcPr>
          <w:p w14:paraId="6E012358" w14:textId="052E4FFC" w:rsidR="00C809B2" w:rsidRDefault="0000217F" w:rsidP="009F13F7">
            <w:r>
              <w:t>28,748</w:t>
            </w:r>
          </w:p>
        </w:tc>
        <w:tc>
          <w:tcPr>
            <w:tcW w:w="1559" w:type="dxa"/>
          </w:tcPr>
          <w:p w14:paraId="3CB5D257" w14:textId="0D9D8E95" w:rsidR="00C809B2" w:rsidRDefault="0000217F" w:rsidP="009F13F7">
            <w:r>
              <w:t>28,821</w:t>
            </w:r>
          </w:p>
        </w:tc>
      </w:tr>
      <w:tr w:rsidR="00C809B2" w14:paraId="1FF8683A" w14:textId="77777777" w:rsidTr="001D4AE1">
        <w:tc>
          <w:tcPr>
            <w:tcW w:w="1558" w:type="dxa"/>
          </w:tcPr>
          <w:p w14:paraId="61B26CAF" w14:textId="3BA1D48F" w:rsidR="00FC44CF" w:rsidRDefault="00FC44CF" w:rsidP="009F13F7">
            <w:r>
              <w:t>Inventory</w:t>
            </w:r>
          </w:p>
        </w:tc>
        <w:tc>
          <w:tcPr>
            <w:tcW w:w="1558" w:type="dxa"/>
          </w:tcPr>
          <w:p w14:paraId="150070FC" w14:textId="2B402BBF" w:rsidR="00C809B2" w:rsidRDefault="00FC44CF" w:rsidP="009F13F7">
            <w:r>
              <w:t>4,101</w:t>
            </w:r>
          </w:p>
        </w:tc>
        <w:tc>
          <w:tcPr>
            <w:tcW w:w="1558" w:type="dxa"/>
          </w:tcPr>
          <w:p w14:paraId="4CFB2D3E" w14:textId="4DCD831C" w:rsidR="00C809B2" w:rsidRDefault="00FC44CF" w:rsidP="009F13F7">
            <w:r>
              <w:t>5,757</w:t>
            </w:r>
          </w:p>
        </w:tc>
        <w:tc>
          <w:tcPr>
            <w:tcW w:w="1558" w:type="dxa"/>
          </w:tcPr>
          <w:p w14:paraId="5B03781E" w14:textId="39E5A8C8" w:rsidR="00C809B2" w:rsidRDefault="00FC44CF" w:rsidP="009F13F7">
            <w:r>
              <w:t>12,839</w:t>
            </w:r>
          </w:p>
        </w:tc>
        <w:tc>
          <w:tcPr>
            <w:tcW w:w="1559" w:type="dxa"/>
          </w:tcPr>
          <w:p w14:paraId="2F23F383" w14:textId="50D57732" w:rsidR="00C809B2" w:rsidRDefault="00FC44CF" w:rsidP="009F13F7">
            <w:r>
              <w:t>13,626</w:t>
            </w:r>
          </w:p>
        </w:tc>
        <w:tc>
          <w:tcPr>
            <w:tcW w:w="1559" w:type="dxa"/>
          </w:tcPr>
          <w:p w14:paraId="1141AF8D" w14:textId="72C25D38" w:rsidR="00C809B2" w:rsidRDefault="00FC44CF" w:rsidP="009F13F7">
            <w:r>
              <w:t>12,017</w:t>
            </w:r>
          </w:p>
        </w:tc>
      </w:tr>
      <w:tr w:rsidR="00C809B2" w14:paraId="3341866C" w14:textId="77777777" w:rsidTr="001D4AE1">
        <w:tc>
          <w:tcPr>
            <w:tcW w:w="1558" w:type="dxa"/>
          </w:tcPr>
          <w:p w14:paraId="17C32ECC" w14:textId="2C0E6EA5" w:rsidR="00CE29D9" w:rsidRDefault="00CE29D9" w:rsidP="009F13F7">
            <w:r>
              <w:t>Accounts receivable, net</w:t>
            </w:r>
          </w:p>
        </w:tc>
        <w:tc>
          <w:tcPr>
            <w:tcW w:w="1558" w:type="dxa"/>
          </w:tcPr>
          <w:p w14:paraId="5C27CF96" w14:textId="77777777" w:rsidR="00CE29D9" w:rsidRDefault="00CE29D9" w:rsidP="009F13F7"/>
          <w:p w14:paraId="35E704A7" w14:textId="40B789A1" w:rsidR="00C809B2" w:rsidRDefault="00CE29D9" w:rsidP="009F13F7">
            <w:r>
              <w:t>1,886</w:t>
            </w:r>
          </w:p>
        </w:tc>
        <w:tc>
          <w:tcPr>
            <w:tcW w:w="1558" w:type="dxa"/>
          </w:tcPr>
          <w:p w14:paraId="66A68C19" w14:textId="77777777" w:rsidR="00CE29D9" w:rsidRDefault="00CE29D9" w:rsidP="009F13F7"/>
          <w:p w14:paraId="7AAA4B83" w14:textId="7E538F1F" w:rsidR="00C809B2" w:rsidRDefault="00CE29D9" w:rsidP="009F13F7">
            <w:r>
              <w:t>1,913</w:t>
            </w:r>
          </w:p>
        </w:tc>
        <w:tc>
          <w:tcPr>
            <w:tcW w:w="1558" w:type="dxa"/>
          </w:tcPr>
          <w:p w14:paraId="6D98DD58" w14:textId="77777777" w:rsidR="00CE29D9" w:rsidRDefault="00CE29D9" w:rsidP="009F13F7"/>
          <w:p w14:paraId="721FE06A" w14:textId="1E59943E" w:rsidR="00C809B2" w:rsidRDefault="00CE29D9" w:rsidP="009F13F7">
            <w:r>
              <w:t>2,952</w:t>
            </w:r>
          </w:p>
        </w:tc>
        <w:tc>
          <w:tcPr>
            <w:tcW w:w="1559" w:type="dxa"/>
          </w:tcPr>
          <w:p w14:paraId="2263D90B" w14:textId="77777777" w:rsidR="00CE29D9" w:rsidRDefault="00CE29D9" w:rsidP="009F13F7"/>
          <w:p w14:paraId="4BF13E10" w14:textId="1C707C78" w:rsidR="00C809B2" w:rsidRDefault="00CE29D9" w:rsidP="009F13F7">
            <w:r>
              <w:t>3,508</w:t>
            </w:r>
          </w:p>
        </w:tc>
        <w:tc>
          <w:tcPr>
            <w:tcW w:w="1559" w:type="dxa"/>
          </w:tcPr>
          <w:p w14:paraId="31B22C46" w14:textId="77777777" w:rsidR="00CE29D9" w:rsidRDefault="00CE29D9" w:rsidP="009F13F7"/>
          <w:p w14:paraId="00E6D9E3" w14:textId="6B8A3F7A" w:rsidR="00C809B2" w:rsidRDefault="00CE29D9" w:rsidP="009F13F7">
            <w:r>
              <w:t>4,418</w:t>
            </w:r>
          </w:p>
        </w:tc>
      </w:tr>
      <w:tr w:rsidR="00C809B2" w14:paraId="449CE1B0" w14:textId="77777777" w:rsidTr="001D4AE1">
        <w:tc>
          <w:tcPr>
            <w:tcW w:w="1558" w:type="dxa"/>
          </w:tcPr>
          <w:p w14:paraId="73CEB679" w14:textId="4E61ADE8" w:rsidR="00C45E5A" w:rsidRDefault="00C45E5A" w:rsidP="009F13F7">
            <w:r>
              <w:t>Cash and cash equivalents</w:t>
            </w:r>
          </w:p>
        </w:tc>
        <w:tc>
          <w:tcPr>
            <w:tcW w:w="1558" w:type="dxa"/>
          </w:tcPr>
          <w:p w14:paraId="48808352" w14:textId="77777777" w:rsidR="00C45E5A" w:rsidRDefault="00C45E5A" w:rsidP="009F13F7"/>
          <w:p w14:paraId="5C3B321C" w14:textId="14597F97" w:rsidR="00C809B2" w:rsidRDefault="00C45E5A" w:rsidP="009F13F7">
            <w:r>
              <w:t>19,384</w:t>
            </w:r>
          </w:p>
        </w:tc>
        <w:tc>
          <w:tcPr>
            <w:tcW w:w="1558" w:type="dxa"/>
          </w:tcPr>
          <w:p w14:paraId="38392E1E" w14:textId="77777777" w:rsidR="00C45E5A" w:rsidRDefault="00C45E5A" w:rsidP="009F13F7"/>
          <w:p w14:paraId="65FE3EDA" w14:textId="053AB4DD" w:rsidR="00C809B2" w:rsidRDefault="00C45E5A" w:rsidP="009F13F7">
            <w:r>
              <w:t>17,576</w:t>
            </w:r>
          </w:p>
        </w:tc>
        <w:tc>
          <w:tcPr>
            <w:tcW w:w="1558" w:type="dxa"/>
          </w:tcPr>
          <w:p w14:paraId="32DF8922" w14:textId="77777777" w:rsidR="00C45E5A" w:rsidRDefault="00C45E5A" w:rsidP="009F13F7"/>
          <w:p w14:paraId="65BE1380" w14:textId="04AB18B5" w:rsidR="00C809B2" w:rsidRDefault="00C45E5A" w:rsidP="009F13F7">
            <w:r>
              <w:t>16,253</w:t>
            </w:r>
          </w:p>
        </w:tc>
        <w:tc>
          <w:tcPr>
            <w:tcW w:w="1559" w:type="dxa"/>
          </w:tcPr>
          <w:p w14:paraId="4974D842" w14:textId="77777777" w:rsidR="00C45E5A" w:rsidRDefault="00C45E5A" w:rsidP="009F13F7"/>
          <w:p w14:paraId="47FEFB54" w14:textId="449CABBA" w:rsidR="00C809B2" w:rsidRDefault="00C45E5A" w:rsidP="009F13F7">
            <w:r>
              <w:t>16,398</w:t>
            </w:r>
          </w:p>
        </w:tc>
        <w:tc>
          <w:tcPr>
            <w:tcW w:w="1559" w:type="dxa"/>
          </w:tcPr>
          <w:p w14:paraId="6D222888" w14:textId="77777777" w:rsidR="00C45E5A" w:rsidRDefault="00C45E5A" w:rsidP="009F13F7"/>
          <w:p w14:paraId="1BFC9996" w14:textId="22994614" w:rsidR="00C809B2" w:rsidRDefault="00C45E5A" w:rsidP="009F13F7">
            <w:r>
              <w:t>16,139</w:t>
            </w:r>
          </w:p>
        </w:tc>
      </w:tr>
      <w:tr w:rsidR="00C809B2" w14:paraId="4611A64C" w14:textId="77777777" w:rsidTr="001D4AE1">
        <w:tc>
          <w:tcPr>
            <w:tcW w:w="1558" w:type="dxa"/>
          </w:tcPr>
          <w:p w14:paraId="518B00BE" w14:textId="014D2CBB" w:rsidR="00427CF5" w:rsidRDefault="00427CF5" w:rsidP="009F13F7">
            <w:r>
              <w:t>Short-term investments</w:t>
            </w:r>
          </w:p>
        </w:tc>
        <w:tc>
          <w:tcPr>
            <w:tcW w:w="1558" w:type="dxa"/>
          </w:tcPr>
          <w:p w14:paraId="5CA850C3" w14:textId="0E8F11F8" w:rsidR="00C809B2" w:rsidRDefault="00427CF5" w:rsidP="009F13F7">
            <w:r>
              <w:t>—</w:t>
            </w:r>
          </w:p>
        </w:tc>
        <w:tc>
          <w:tcPr>
            <w:tcW w:w="1558" w:type="dxa"/>
          </w:tcPr>
          <w:p w14:paraId="402F3D94" w14:textId="13B4F2C2" w:rsidR="00C809B2" w:rsidRDefault="00427CF5" w:rsidP="009F13F7">
            <w:r>
              <w:t>131</w:t>
            </w:r>
          </w:p>
        </w:tc>
        <w:tc>
          <w:tcPr>
            <w:tcW w:w="1558" w:type="dxa"/>
          </w:tcPr>
          <w:p w14:paraId="6F5A3074" w14:textId="4BBEFB3D" w:rsidR="00C809B2" w:rsidRDefault="00427CF5" w:rsidP="009F13F7">
            <w:r>
              <w:t>5,932</w:t>
            </w:r>
          </w:p>
        </w:tc>
        <w:tc>
          <w:tcPr>
            <w:tcW w:w="1559" w:type="dxa"/>
          </w:tcPr>
          <w:p w14:paraId="7201BC3D" w14:textId="15BC8F26" w:rsidR="00C809B2" w:rsidRPr="00427CF5" w:rsidRDefault="00427CF5" w:rsidP="009F13F7">
            <w:r>
              <w:t>12,696</w:t>
            </w:r>
          </w:p>
        </w:tc>
        <w:tc>
          <w:tcPr>
            <w:tcW w:w="1559" w:type="dxa"/>
          </w:tcPr>
          <w:p w14:paraId="479F51CB" w14:textId="0CEB2851" w:rsidR="00C809B2" w:rsidRDefault="00427CF5" w:rsidP="009F13F7">
            <w:r>
              <w:t>20,424</w:t>
            </w:r>
          </w:p>
        </w:tc>
      </w:tr>
      <w:tr w:rsidR="00C809B2" w14:paraId="4A755652" w14:textId="77777777" w:rsidTr="001D4AE1">
        <w:tc>
          <w:tcPr>
            <w:tcW w:w="1558" w:type="dxa"/>
          </w:tcPr>
          <w:p w14:paraId="2E258B60" w14:textId="6746DC0C" w:rsidR="00B9558D" w:rsidRDefault="00B9558D" w:rsidP="009F13F7">
            <w:r>
              <w:t>Total liabilities</w:t>
            </w:r>
          </w:p>
        </w:tc>
        <w:tc>
          <w:tcPr>
            <w:tcW w:w="1558" w:type="dxa"/>
          </w:tcPr>
          <w:p w14:paraId="7160AC93" w14:textId="53AD3C97" w:rsidR="00C809B2" w:rsidRDefault="00B9558D" w:rsidP="009F13F7">
            <w:r>
              <w:t>28,418</w:t>
            </w:r>
          </w:p>
        </w:tc>
        <w:tc>
          <w:tcPr>
            <w:tcW w:w="1558" w:type="dxa"/>
          </w:tcPr>
          <w:p w14:paraId="24C98747" w14:textId="2D04669C" w:rsidR="00C809B2" w:rsidRDefault="00B9558D" w:rsidP="009F13F7">
            <w:r>
              <w:t>30,548</w:t>
            </w:r>
          </w:p>
        </w:tc>
        <w:tc>
          <w:tcPr>
            <w:tcW w:w="1558" w:type="dxa"/>
          </w:tcPr>
          <w:p w14:paraId="62577CA4" w14:textId="5029A765" w:rsidR="00C809B2" w:rsidRDefault="00B9558D" w:rsidP="009F13F7">
            <w:r>
              <w:t>36,440</w:t>
            </w:r>
          </w:p>
        </w:tc>
        <w:tc>
          <w:tcPr>
            <w:tcW w:w="1559" w:type="dxa"/>
          </w:tcPr>
          <w:p w14:paraId="51559537" w14:textId="25ECCEFE" w:rsidR="00C809B2" w:rsidRDefault="00B9558D" w:rsidP="009F13F7">
            <w:r>
              <w:t>43,009</w:t>
            </w:r>
          </w:p>
        </w:tc>
        <w:tc>
          <w:tcPr>
            <w:tcW w:w="1559" w:type="dxa"/>
          </w:tcPr>
          <w:p w14:paraId="5B4A3F90" w14:textId="4EA60A6C" w:rsidR="00C809B2" w:rsidRDefault="00B9558D" w:rsidP="009F13F7">
            <w:r>
              <w:t>48,390</w:t>
            </w:r>
          </w:p>
        </w:tc>
      </w:tr>
      <w:tr w:rsidR="00C809B2" w14:paraId="3AA0CA81" w14:textId="77777777" w:rsidTr="001D4AE1">
        <w:tc>
          <w:tcPr>
            <w:tcW w:w="1558" w:type="dxa"/>
          </w:tcPr>
          <w:p w14:paraId="127D6DEB" w14:textId="053BE25B" w:rsidR="007846EE" w:rsidRDefault="007846EE" w:rsidP="009F13F7">
            <w:r>
              <w:t>Total stockholders’ equity</w:t>
            </w:r>
          </w:p>
        </w:tc>
        <w:tc>
          <w:tcPr>
            <w:tcW w:w="1558" w:type="dxa"/>
          </w:tcPr>
          <w:p w14:paraId="4E409353" w14:textId="77777777" w:rsidR="007846EE" w:rsidRDefault="007846EE" w:rsidP="009F13F7"/>
          <w:p w14:paraId="70EE99F3" w14:textId="65677D58" w:rsidR="00C809B2" w:rsidRDefault="007846EE" w:rsidP="009F13F7">
            <w:r>
              <w:t>22,225</w:t>
            </w:r>
          </w:p>
        </w:tc>
        <w:tc>
          <w:tcPr>
            <w:tcW w:w="1558" w:type="dxa"/>
          </w:tcPr>
          <w:p w14:paraId="020208F4" w14:textId="77777777" w:rsidR="007846EE" w:rsidRDefault="007846EE" w:rsidP="009F13F7"/>
          <w:p w14:paraId="0C94E75B" w14:textId="1E60C8BF" w:rsidR="00C809B2" w:rsidRDefault="007846EE" w:rsidP="009F13F7">
            <w:r>
              <w:t>30,189</w:t>
            </w:r>
          </w:p>
        </w:tc>
        <w:tc>
          <w:tcPr>
            <w:tcW w:w="1558" w:type="dxa"/>
          </w:tcPr>
          <w:p w14:paraId="573070D7" w14:textId="77777777" w:rsidR="007846EE" w:rsidRDefault="007846EE" w:rsidP="009F13F7"/>
          <w:p w14:paraId="477C4D13" w14:textId="231E29A5" w:rsidR="00C809B2" w:rsidRDefault="007846EE" w:rsidP="009F13F7">
            <w:r>
              <w:t>44,704</w:t>
            </w:r>
          </w:p>
        </w:tc>
        <w:tc>
          <w:tcPr>
            <w:tcW w:w="1559" w:type="dxa"/>
          </w:tcPr>
          <w:p w14:paraId="7391A9CA" w14:textId="77777777" w:rsidR="007846EE" w:rsidRDefault="007846EE" w:rsidP="009F13F7"/>
          <w:p w14:paraId="06A5A287" w14:textId="7865C709" w:rsidR="00C809B2" w:rsidRDefault="007846EE" w:rsidP="009F13F7">
            <w:r>
              <w:t>62,634</w:t>
            </w:r>
          </w:p>
        </w:tc>
        <w:tc>
          <w:tcPr>
            <w:tcW w:w="1559" w:type="dxa"/>
          </w:tcPr>
          <w:p w14:paraId="426A6331" w14:textId="77777777" w:rsidR="007846EE" w:rsidRDefault="007846EE" w:rsidP="009F13F7"/>
          <w:p w14:paraId="1B58D99B" w14:textId="362B9E73" w:rsidR="00C809B2" w:rsidRDefault="007846EE" w:rsidP="009F13F7">
            <w:r>
              <w:t>72,913</w:t>
            </w:r>
          </w:p>
        </w:tc>
      </w:tr>
      <w:tr w:rsidR="00C809B2" w14:paraId="0E0DA1D9" w14:textId="77777777" w:rsidTr="001D4AE1">
        <w:tc>
          <w:tcPr>
            <w:tcW w:w="1558" w:type="dxa"/>
          </w:tcPr>
          <w:p w14:paraId="45857D5F" w14:textId="2B1267B1" w:rsidR="00F70F60" w:rsidRDefault="00F70F60" w:rsidP="009F13F7">
            <w:r>
              <w:lastRenderedPageBreak/>
              <w:t>Current portion of debt and finance leases</w:t>
            </w:r>
          </w:p>
        </w:tc>
        <w:tc>
          <w:tcPr>
            <w:tcW w:w="1558" w:type="dxa"/>
          </w:tcPr>
          <w:p w14:paraId="0D0A84B3" w14:textId="77777777" w:rsidR="00F70F60" w:rsidRDefault="00F70F60" w:rsidP="009F13F7"/>
          <w:p w14:paraId="52FE7992" w14:textId="77777777" w:rsidR="00F70F60" w:rsidRDefault="00F70F60" w:rsidP="009F13F7"/>
          <w:p w14:paraId="2D277C6E" w14:textId="679179E7" w:rsidR="00C809B2" w:rsidRDefault="00F70F60" w:rsidP="009F13F7">
            <w:r>
              <w:t>2,132</w:t>
            </w:r>
          </w:p>
        </w:tc>
        <w:tc>
          <w:tcPr>
            <w:tcW w:w="1558" w:type="dxa"/>
          </w:tcPr>
          <w:p w14:paraId="6DA9E67F" w14:textId="77777777" w:rsidR="00F70F60" w:rsidRDefault="00F70F60" w:rsidP="009F13F7"/>
          <w:p w14:paraId="567D0341" w14:textId="77777777" w:rsidR="00F70F60" w:rsidRDefault="00F70F60" w:rsidP="009F13F7"/>
          <w:p w14:paraId="5EDD5669" w14:textId="29FC7E10" w:rsidR="00C809B2" w:rsidRDefault="00F70F60" w:rsidP="009F13F7">
            <w:r>
              <w:t>1,589</w:t>
            </w:r>
          </w:p>
        </w:tc>
        <w:tc>
          <w:tcPr>
            <w:tcW w:w="1558" w:type="dxa"/>
          </w:tcPr>
          <w:p w14:paraId="3CF60B7F" w14:textId="77777777" w:rsidR="00F70F60" w:rsidRDefault="00F70F60" w:rsidP="009F13F7"/>
          <w:p w14:paraId="65F1313A" w14:textId="77777777" w:rsidR="00F70F60" w:rsidRDefault="00F70F60" w:rsidP="009F13F7"/>
          <w:p w14:paraId="6C48DACD" w14:textId="70FA779A" w:rsidR="00C809B2" w:rsidRDefault="00F70F60" w:rsidP="009F13F7">
            <w:r>
              <w:t>1,502</w:t>
            </w:r>
          </w:p>
        </w:tc>
        <w:tc>
          <w:tcPr>
            <w:tcW w:w="1559" w:type="dxa"/>
          </w:tcPr>
          <w:p w14:paraId="5B51516A" w14:textId="77777777" w:rsidR="00F70F60" w:rsidRDefault="00F70F60" w:rsidP="009F13F7"/>
          <w:p w14:paraId="62ADB1CA" w14:textId="77777777" w:rsidR="00F70F60" w:rsidRDefault="00F70F60" w:rsidP="009F13F7"/>
          <w:p w14:paraId="41FED073" w14:textId="59AD2693" w:rsidR="00C809B2" w:rsidRDefault="00F70F60" w:rsidP="009F13F7">
            <w:r>
              <w:t>2,373</w:t>
            </w:r>
          </w:p>
        </w:tc>
        <w:tc>
          <w:tcPr>
            <w:tcW w:w="1559" w:type="dxa"/>
          </w:tcPr>
          <w:p w14:paraId="252FFAD7" w14:textId="77777777" w:rsidR="00F70F60" w:rsidRDefault="00F70F60" w:rsidP="009F13F7"/>
          <w:p w14:paraId="49BEECDC" w14:textId="77777777" w:rsidR="00F70F60" w:rsidRDefault="00F70F60" w:rsidP="009F13F7"/>
          <w:p w14:paraId="678FADDB" w14:textId="3CB6BEB5" w:rsidR="00C809B2" w:rsidRDefault="00F70F60" w:rsidP="009F13F7">
            <w:r>
              <w:t>2,456</w:t>
            </w:r>
          </w:p>
        </w:tc>
      </w:tr>
      <w:tr w:rsidR="00C809B2" w14:paraId="70F7FA8D" w14:textId="77777777" w:rsidTr="001D4AE1">
        <w:tc>
          <w:tcPr>
            <w:tcW w:w="1558" w:type="dxa"/>
          </w:tcPr>
          <w:p w14:paraId="3C06BBE7" w14:textId="36A7011F" w:rsidR="00C809B2" w:rsidRDefault="00C34C50" w:rsidP="009F13F7">
            <w:r>
              <w:t>Long-term debt and finance leases, net of current portion</w:t>
            </w:r>
          </w:p>
        </w:tc>
        <w:tc>
          <w:tcPr>
            <w:tcW w:w="1558" w:type="dxa"/>
          </w:tcPr>
          <w:p w14:paraId="7BA7342F" w14:textId="77777777" w:rsidR="00C34C50" w:rsidRDefault="00C34C50" w:rsidP="009F13F7"/>
          <w:p w14:paraId="3FA47D6B" w14:textId="77777777" w:rsidR="00C34C50" w:rsidRDefault="00C34C50" w:rsidP="009F13F7"/>
          <w:p w14:paraId="69635DFD" w14:textId="246C4917" w:rsidR="00C809B2" w:rsidRDefault="00C34C50" w:rsidP="009F13F7">
            <w:r>
              <w:t>9,556</w:t>
            </w:r>
          </w:p>
        </w:tc>
        <w:tc>
          <w:tcPr>
            <w:tcW w:w="1558" w:type="dxa"/>
          </w:tcPr>
          <w:p w14:paraId="62F08EC5" w14:textId="77777777" w:rsidR="00C34C50" w:rsidRDefault="00C34C50" w:rsidP="009F13F7"/>
          <w:p w14:paraId="000AE908" w14:textId="77777777" w:rsidR="00C34C50" w:rsidRDefault="00C34C50" w:rsidP="009F13F7"/>
          <w:p w14:paraId="2419A148" w14:textId="41A2079D" w:rsidR="00C809B2" w:rsidRDefault="00C34C50" w:rsidP="009F13F7">
            <w:r>
              <w:t>5,245</w:t>
            </w:r>
          </w:p>
        </w:tc>
        <w:tc>
          <w:tcPr>
            <w:tcW w:w="1558" w:type="dxa"/>
          </w:tcPr>
          <w:p w14:paraId="6C3867E7" w14:textId="77777777" w:rsidR="00C34C50" w:rsidRDefault="00C34C50" w:rsidP="009F13F7"/>
          <w:p w14:paraId="00513105" w14:textId="77777777" w:rsidR="00C34C50" w:rsidRDefault="00C34C50" w:rsidP="009F13F7"/>
          <w:p w14:paraId="064D0FFE" w14:textId="4AF6FCE8" w:rsidR="00C809B2" w:rsidRDefault="00C34C50" w:rsidP="009F13F7">
            <w:r>
              <w:t>1,597</w:t>
            </w:r>
          </w:p>
        </w:tc>
        <w:tc>
          <w:tcPr>
            <w:tcW w:w="1559" w:type="dxa"/>
          </w:tcPr>
          <w:p w14:paraId="2B169028" w14:textId="77777777" w:rsidR="00C34C50" w:rsidRDefault="00C34C50" w:rsidP="009F13F7"/>
          <w:p w14:paraId="29DF7820" w14:textId="77777777" w:rsidR="00C34C50" w:rsidRDefault="00C34C50" w:rsidP="009F13F7"/>
          <w:p w14:paraId="556B25AA" w14:textId="1BA52740" w:rsidR="00C809B2" w:rsidRDefault="00C34C50" w:rsidP="009F13F7">
            <w:r>
              <w:t>2,857</w:t>
            </w:r>
          </w:p>
        </w:tc>
        <w:tc>
          <w:tcPr>
            <w:tcW w:w="1559" w:type="dxa"/>
          </w:tcPr>
          <w:p w14:paraId="70C58A69" w14:textId="77777777" w:rsidR="00C34C50" w:rsidRDefault="00C34C50" w:rsidP="009F13F7"/>
          <w:p w14:paraId="107F0D4E" w14:textId="77777777" w:rsidR="00C34C50" w:rsidRDefault="00C34C50" w:rsidP="009F13F7"/>
          <w:p w14:paraId="0A90D2E9" w14:textId="655BDECB" w:rsidR="00C809B2" w:rsidRDefault="00C34C50" w:rsidP="009F13F7">
            <w:r>
              <w:t>5,757</w:t>
            </w:r>
          </w:p>
        </w:tc>
      </w:tr>
      <w:tr w:rsidR="00C809B2" w14:paraId="4D1BAB45" w14:textId="77777777" w:rsidTr="001D4AE1">
        <w:tc>
          <w:tcPr>
            <w:tcW w:w="1558" w:type="dxa"/>
          </w:tcPr>
          <w:p w14:paraId="7453DF1E" w14:textId="1498E2FE" w:rsidR="00C809B2" w:rsidRDefault="00417A72" w:rsidP="009F13F7">
            <w:r>
              <w:t>Net cash provided by operating activities</w:t>
            </w:r>
          </w:p>
        </w:tc>
        <w:tc>
          <w:tcPr>
            <w:tcW w:w="1558" w:type="dxa"/>
          </w:tcPr>
          <w:p w14:paraId="30CE6523" w14:textId="77777777" w:rsidR="00417A72" w:rsidRDefault="00417A72" w:rsidP="009F13F7"/>
          <w:p w14:paraId="50A37151" w14:textId="790AAF8D" w:rsidR="00C809B2" w:rsidRDefault="00417A72" w:rsidP="009F13F7">
            <w:r>
              <w:t>5,943</w:t>
            </w:r>
          </w:p>
        </w:tc>
        <w:tc>
          <w:tcPr>
            <w:tcW w:w="1558" w:type="dxa"/>
          </w:tcPr>
          <w:p w14:paraId="45907535" w14:textId="77777777" w:rsidR="00417A72" w:rsidRDefault="00417A72" w:rsidP="009F13F7"/>
          <w:p w14:paraId="293F0E2A" w14:textId="043D7A7B" w:rsidR="00C809B2" w:rsidRDefault="00417A72" w:rsidP="009F13F7">
            <w:r>
              <w:t>11,497</w:t>
            </w:r>
          </w:p>
        </w:tc>
        <w:tc>
          <w:tcPr>
            <w:tcW w:w="1558" w:type="dxa"/>
          </w:tcPr>
          <w:p w14:paraId="1972D08A" w14:textId="77777777" w:rsidR="00417A72" w:rsidRDefault="00417A72" w:rsidP="009F13F7"/>
          <w:p w14:paraId="730F1DA6" w14:textId="51ED58C1" w:rsidR="00C809B2" w:rsidRDefault="00417A72" w:rsidP="009F13F7">
            <w:r>
              <w:t>14,724</w:t>
            </w:r>
          </w:p>
        </w:tc>
        <w:tc>
          <w:tcPr>
            <w:tcW w:w="1559" w:type="dxa"/>
          </w:tcPr>
          <w:p w14:paraId="586B6A56" w14:textId="77777777" w:rsidR="00417A72" w:rsidRDefault="00417A72" w:rsidP="009F13F7"/>
          <w:p w14:paraId="25F15295" w14:textId="64B6EB3D" w:rsidR="00C809B2" w:rsidRDefault="00417A72" w:rsidP="009F13F7">
            <w:r>
              <w:t>13,256</w:t>
            </w:r>
          </w:p>
        </w:tc>
        <w:tc>
          <w:tcPr>
            <w:tcW w:w="1559" w:type="dxa"/>
          </w:tcPr>
          <w:p w14:paraId="15BF326A" w14:textId="77777777" w:rsidR="00417A72" w:rsidRDefault="00417A72" w:rsidP="009F13F7"/>
          <w:p w14:paraId="35F9D98C" w14:textId="2BDB43A7" w:rsidR="00C809B2" w:rsidRDefault="00417A72" w:rsidP="009F13F7">
            <w:r>
              <w:t>14,923</w:t>
            </w:r>
          </w:p>
        </w:tc>
      </w:tr>
      <w:tr w:rsidR="00C809B2" w14:paraId="54EF3F91" w14:textId="77777777" w:rsidTr="001D4AE1">
        <w:tc>
          <w:tcPr>
            <w:tcW w:w="1558" w:type="dxa"/>
          </w:tcPr>
          <w:p w14:paraId="398666FC" w14:textId="16670B22" w:rsidR="00C809B2" w:rsidRDefault="001D4AE1" w:rsidP="009F13F7">
            <w:r>
              <w:t>Net cash used in investing activities</w:t>
            </w:r>
          </w:p>
        </w:tc>
        <w:tc>
          <w:tcPr>
            <w:tcW w:w="1558" w:type="dxa"/>
          </w:tcPr>
          <w:p w14:paraId="73226051" w14:textId="77777777" w:rsidR="001D4AE1" w:rsidRDefault="001D4AE1" w:rsidP="009F13F7"/>
          <w:p w14:paraId="7429A11E" w14:textId="08D5E9C8" w:rsidR="00C809B2" w:rsidRDefault="001D4AE1" w:rsidP="009F13F7">
            <w:r>
              <w:t>(3,132)</w:t>
            </w:r>
          </w:p>
        </w:tc>
        <w:tc>
          <w:tcPr>
            <w:tcW w:w="1558" w:type="dxa"/>
          </w:tcPr>
          <w:p w14:paraId="7CC56254" w14:textId="77777777" w:rsidR="001D4AE1" w:rsidRDefault="001D4AE1" w:rsidP="009F13F7"/>
          <w:p w14:paraId="7C16F85A" w14:textId="6060CDD6" w:rsidR="00C809B2" w:rsidRDefault="001D4AE1" w:rsidP="009F13F7">
            <w:r>
              <w:t>(7,868)</w:t>
            </w:r>
          </w:p>
        </w:tc>
        <w:tc>
          <w:tcPr>
            <w:tcW w:w="1558" w:type="dxa"/>
          </w:tcPr>
          <w:p w14:paraId="0FFD1E25" w14:textId="77777777" w:rsidR="001D4AE1" w:rsidRDefault="001D4AE1" w:rsidP="009F13F7"/>
          <w:p w14:paraId="184289A9" w14:textId="3B5A3DAE" w:rsidR="00C809B2" w:rsidRDefault="001D4AE1" w:rsidP="009F13F7">
            <w:r>
              <w:t>(11,973)</w:t>
            </w:r>
          </w:p>
        </w:tc>
        <w:tc>
          <w:tcPr>
            <w:tcW w:w="1559" w:type="dxa"/>
          </w:tcPr>
          <w:p w14:paraId="773A2245" w14:textId="77777777" w:rsidR="001D4AE1" w:rsidRDefault="001D4AE1" w:rsidP="009F13F7"/>
          <w:p w14:paraId="4BA7E0B3" w14:textId="7C7A346D" w:rsidR="00C809B2" w:rsidRDefault="001D4AE1" w:rsidP="009F13F7">
            <w:r>
              <w:t>(15,584)</w:t>
            </w:r>
          </w:p>
        </w:tc>
        <w:tc>
          <w:tcPr>
            <w:tcW w:w="1559" w:type="dxa"/>
          </w:tcPr>
          <w:p w14:paraId="4DD0461C" w14:textId="77777777" w:rsidR="001D4AE1" w:rsidRDefault="001D4AE1" w:rsidP="009F13F7"/>
          <w:p w14:paraId="026417BC" w14:textId="0C41A7D5" w:rsidR="00C809B2" w:rsidRDefault="001D4AE1" w:rsidP="002A02D9">
            <w:pPr>
              <w:keepNext/>
            </w:pPr>
            <w:r>
              <w:t>(18,787)</w:t>
            </w:r>
          </w:p>
        </w:tc>
      </w:tr>
    </w:tbl>
    <w:p w14:paraId="40C47121" w14:textId="2608B457" w:rsidR="001B4F04" w:rsidRDefault="002A02D9" w:rsidP="002A02D9">
      <w:pPr>
        <w:pStyle w:val="Caption"/>
        <w:jc w:val="center"/>
      </w:pPr>
      <w:bookmarkStart w:id="37" w:name="_Toc227891333"/>
      <w:r>
        <w:t xml:space="preserve">Table </w:t>
      </w:r>
      <w:r>
        <w:fldChar w:fldCharType="begin"/>
      </w:r>
      <w:r>
        <w:instrText xml:space="preserve"> SEQ Table \* ARABIC </w:instrText>
      </w:r>
      <w:r>
        <w:fldChar w:fldCharType="separate"/>
      </w:r>
      <w:r w:rsidR="00CE50F1">
        <w:rPr>
          <w:noProof/>
        </w:rPr>
        <w:t>2</w:t>
      </w:r>
      <w:r>
        <w:fldChar w:fldCharType="end"/>
      </w:r>
      <w:r>
        <w:t xml:space="preserve"> (</w:t>
      </w:r>
      <w:r w:rsidRPr="007A68BF">
        <w:t>Five-Year Financial Data Table</w:t>
      </w:r>
      <w:r w:rsidR="00615DF5">
        <w:t>, source: Tesla Annual Report 2020-2024</w:t>
      </w:r>
      <w:r>
        <w:t>)</w:t>
      </w:r>
      <w:bookmarkEnd w:id="37"/>
    </w:p>
    <w:p w14:paraId="172AB910" w14:textId="120AAB18" w:rsidR="009F13F7" w:rsidRDefault="009F3CBA" w:rsidP="009F13F7">
      <w:r w:rsidRPr="009F3CBA">
        <w:t>Table</w:t>
      </w:r>
      <w:r>
        <w:rPr>
          <w:b/>
          <w:bCs/>
        </w:rPr>
        <w:t xml:space="preserve"> </w:t>
      </w:r>
      <w:r w:rsidR="00871B9C">
        <w:t>A presents the core figures used throughout the financial health check, working capital review, solvency discussion and cash flow analysis. These figures were taken from Tesla’s published annual reports and are intended to support the ratio tables and graphs that follow in later appendices.</w:t>
      </w:r>
    </w:p>
    <w:p w14:paraId="405599F7" w14:textId="77777777" w:rsidR="002A02D9" w:rsidRDefault="002A02D9" w:rsidP="009F13F7"/>
    <w:p w14:paraId="414904EA" w14:textId="77777777" w:rsidR="002A02D9" w:rsidRDefault="002A02D9" w:rsidP="009F13F7"/>
    <w:p w14:paraId="3FE12DC3" w14:textId="77777777" w:rsidR="002A02D9" w:rsidRDefault="002A02D9" w:rsidP="009F13F7"/>
    <w:p w14:paraId="2FA554F5" w14:textId="77777777" w:rsidR="002A02D9" w:rsidRDefault="002A02D9" w:rsidP="009F13F7"/>
    <w:p w14:paraId="503AB771" w14:textId="50093980" w:rsidR="002A02D9" w:rsidRPr="00615DF5" w:rsidRDefault="00CA3EBF">
      <w:pPr>
        <w:rPr>
          <w:b/>
          <w:bCs/>
          <w:u w:val="single"/>
        </w:rPr>
      </w:pPr>
      <w:r w:rsidRPr="00353C10">
        <w:rPr>
          <w:b/>
          <w:bCs/>
          <w:u w:val="single"/>
        </w:rPr>
        <w:lastRenderedPageBreak/>
        <w:t>B: Five-Year Ratio Table</w:t>
      </w:r>
    </w:p>
    <w:tbl>
      <w:tblPr>
        <w:tblStyle w:val="TableGrid"/>
        <w:tblW w:w="9522" w:type="dxa"/>
        <w:tblLook w:val="04A0" w:firstRow="1" w:lastRow="0" w:firstColumn="1" w:lastColumn="0" w:noHBand="0" w:noVBand="1"/>
      </w:tblPr>
      <w:tblGrid>
        <w:gridCol w:w="3185"/>
        <w:gridCol w:w="3252"/>
        <w:gridCol w:w="3085"/>
      </w:tblGrid>
      <w:tr w:rsidR="00FC4CA7" w14:paraId="109E9D83" w14:textId="77777777" w:rsidTr="00615DF5">
        <w:trPr>
          <w:trHeight w:val="404"/>
        </w:trPr>
        <w:tc>
          <w:tcPr>
            <w:tcW w:w="3185" w:type="dxa"/>
          </w:tcPr>
          <w:p w14:paraId="5B78BBD7" w14:textId="7A3E0358" w:rsidR="00FE4382" w:rsidRPr="00FE4382" w:rsidRDefault="00FE4382">
            <w:pPr>
              <w:rPr>
                <w:b/>
                <w:bCs/>
              </w:rPr>
            </w:pPr>
            <w:r>
              <w:rPr>
                <w:b/>
                <w:bCs/>
              </w:rPr>
              <w:t xml:space="preserve">      Ratio</w:t>
            </w:r>
          </w:p>
        </w:tc>
        <w:tc>
          <w:tcPr>
            <w:tcW w:w="3252" w:type="dxa"/>
          </w:tcPr>
          <w:p w14:paraId="41CB200A" w14:textId="4938402B" w:rsidR="00FC4CA7" w:rsidRPr="00FE4382" w:rsidRDefault="00FE4382">
            <w:pPr>
              <w:rPr>
                <w:b/>
                <w:bCs/>
              </w:rPr>
            </w:pPr>
            <w:r>
              <w:rPr>
                <w:b/>
                <w:bCs/>
              </w:rPr>
              <w:t xml:space="preserve">      </w:t>
            </w:r>
            <w:r w:rsidRPr="00FE4382">
              <w:rPr>
                <w:b/>
                <w:bCs/>
              </w:rPr>
              <w:t>Formula</w:t>
            </w:r>
          </w:p>
        </w:tc>
        <w:tc>
          <w:tcPr>
            <w:tcW w:w="3085" w:type="dxa"/>
          </w:tcPr>
          <w:p w14:paraId="2898FFEB" w14:textId="24AC663A" w:rsidR="00FC4CA7" w:rsidRPr="00FE4382" w:rsidRDefault="00FE4382">
            <w:pPr>
              <w:rPr>
                <w:b/>
                <w:bCs/>
              </w:rPr>
            </w:pPr>
            <w:r>
              <w:rPr>
                <w:b/>
                <w:bCs/>
              </w:rPr>
              <w:t xml:space="preserve">     </w:t>
            </w:r>
            <w:r w:rsidRPr="00FE4382">
              <w:rPr>
                <w:b/>
                <w:bCs/>
              </w:rPr>
              <w:t>Purpose</w:t>
            </w:r>
          </w:p>
        </w:tc>
      </w:tr>
      <w:tr w:rsidR="00FC4CA7" w14:paraId="65C83FFA" w14:textId="77777777" w:rsidTr="00615DF5">
        <w:trPr>
          <w:trHeight w:val="1647"/>
        </w:trPr>
        <w:tc>
          <w:tcPr>
            <w:tcW w:w="3185" w:type="dxa"/>
          </w:tcPr>
          <w:p w14:paraId="300D547A" w14:textId="55BB7358" w:rsidR="00FC4CA7" w:rsidRDefault="007736F5">
            <w:r>
              <w:t>Net profit margin</w:t>
            </w:r>
          </w:p>
        </w:tc>
        <w:tc>
          <w:tcPr>
            <w:tcW w:w="3252" w:type="dxa"/>
          </w:tcPr>
          <w:p w14:paraId="0A6E9468" w14:textId="79CF7AEB" w:rsidR="00FC4CA7" w:rsidRDefault="007736F5">
            <w:r>
              <w:t>Net income ÷</w:t>
            </w:r>
            <w:r w:rsidR="009538C9">
              <w:t xml:space="preserve"> </w:t>
            </w:r>
            <w:r>
              <w:t>Revenue × 100</w:t>
            </w:r>
          </w:p>
        </w:tc>
        <w:tc>
          <w:tcPr>
            <w:tcW w:w="3085" w:type="dxa"/>
          </w:tcPr>
          <w:p w14:paraId="4F400337" w14:textId="06CEA9D8" w:rsidR="00FC4CA7" w:rsidRDefault="005159FD">
            <w:proofErr w:type="gramStart"/>
            <w:r>
              <w:t>Measures</w:t>
            </w:r>
            <w:proofErr w:type="gramEnd"/>
            <w:r>
              <w:t xml:space="preserve"> how </w:t>
            </w:r>
            <w:proofErr w:type="gramStart"/>
            <w:r>
              <w:t>much</w:t>
            </w:r>
            <w:proofErr w:type="gramEnd"/>
            <w:r>
              <w:t xml:space="preserve"> profit is generated from sales</w:t>
            </w:r>
          </w:p>
        </w:tc>
      </w:tr>
      <w:tr w:rsidR="00FC4CA7" w14:paraId="24B9ADA5" w14:textId="77777777" w:rsidTr="00615DF5">
        <w:trPr>
          <w:trHeight w:val="1647"/>
        </w:trPr>
        <w:tc>
          <w:tcPr>
            <w:tcW w:w="3185" w:type="dxa"/>
          </w:tcPr>
          <w:p w14:paraId="52F26193" w14:textId="77777777" w:rsidR="00FC4CA7" w:rsidRDefault="00FA64D3">
            <w:r>
              <w:t>Return on assets (ROA)</w:t>
            </w:r>
          </w:p>
          <w:p w14:paraId="4E4B4258" w14:textId="77777777" w:rsidR="00FA64D3" w:rsidRDefault="00FA64D3"/>
        </w:tc>
        <w:tc>
          <w:tcPr>
            <w:tcW w:w="3252" w:type="dxa"/>
          </w:tcPr>
          <w:p w14:paraId="383D12B8" w14:textId="324B4996" w:rsidR="00FC4CA7" w:rsidRDefault="00FA64D3">
            <w:r>
              <w:t>Net income ÷ Total assets × 100</w:t>
            </w:r>
          </w:p>
        </w:tc>
        <w:tc>
          <w:tcPr>
            <w:tcW w:w="3085" w:type="dxa"/>
          </w:tcPr>
          <w:p w14:paraId="1A03F423" w14:textId="1E40C30E" w:rsidR="00FC4CA7" w:rsidRDefault="00FA64D3">
            <w:proofErr w:type="gramStart"/>
            <w:r>
              <w:t>Measures</w:t>
            </w:r>
            <w:proofErr w:type="gramEnd"/>
            <w:r>
              <w:t xml:space="preserve"> how efficiently total assets generate profit</w:t>
            </w:r>
          </w:p>
        </w:tc>
      </w:tr>
      <w:tr w:rsidR="00FC4CA7" w14:paraId="588D0D31" w14:textId="77777777" w:rsidTr="00615DF5">
        <w:trPr>
          <w:trHeight w:val="823"/>
        </w:trPr>
        <w:tc>
          <w:tcPr>
            <w:tcW w:w="3185" w:type="dxa"/>
          </w:tcPr>
          <w:p w14:paraId="531C7ACA" w14:textId="77777777" w:rsidR="00FC4CA7" w:rsidRDefault="0087756A">
            <w:r>
              <w:t>Current ratio</w:t>
            </w:r>
          </w:p>
          <w:p w14:paraId="02475EFF" w14:textId="77777777" w:rsidR="0087756A" w:rsidRDefault="0087756A"/>
        </w:tc>
        <w:tc>
          <w:tcPr>
            <w:tcW w:w="3252" w:type="dxa"/>
          </w:tcPr>
          <w:p w14:paraId="07141E21" w14:textId="1E88BC6A" w:rsidR="00FC4CA7" w:rsidRDefault="0087756A">
            <w:r>
              <w:t>Current assets ÷ Current liabilities</w:t>
            </w:r>
          </w:p>
        </w:tc>
        <w:tc>
          <w:tcPr>
            <w:tcW w:w="3085" w:type="dxa"/>
          </w:tcPr>
          <w:p w14:paraId="29D48207" w14:textId="1F98ABDC" w:rsidR="00FC4CA7" w:rsidRDefault="0087756A">
            <w:r>
              <w:t>Measures short-term liquidity</w:t>
            </w:r>
          </w:p>
        </w:tc>
      </w:tr>
      <w:tr w:rsidR="00FC4CA7" w14:paraId="26B4724B" w14:textId="77777777" w:rsidTr="00615DF5">
        <w:trPr>
          <w:trHeight w:val="2066"/>
        </w:trPr>
        <w:tc>
          <w:tcPr>
            <w:tcW w:w="3185" w:type="dxa"/>
          </w:tcPr>
          <w:p w14:paraId="7985C415" w14:textId="77777777" w:rsidR="00FC4CA7" w:rsidRDefault="00AE12EF">
            <w:r>
              <w:t>Quick ratio</w:t>
            </w:r>
          </w:p>
          <w:p w14:paraId="363FE668" w14:textId="77777777" w:rsidR="00AE12EF" w:rsidRDefault="00AE12EF"/>
        </w:tc>
        <w:tc>
          <w:tcPr>
            <w:tcW w:w="3252" w:type="dxa"/>
          </w:tcPr>
          <w:p w14:paraId="4C76FE98" w14:textId="0596639F" w:rsidR="00FC4CA7" w:rsidRDefault="00061FF1">
            <w:r>
              <w:t>(Current assets – Inventory) ÷ Current liabilities</w:t>
            </w:r>
          </w:p>
        </w:tc>
        <w:tc>
          <w:tcPr>
            <w:tcW w:w="3085" w:type="dxa"/>
          </w:tcPr>
          <w:p w14:paraId="0C11ECC1" w14:textId="1CD2AAB4" w:rsidR="00061FF1" w:rsidRDefault="00061FF1">
            <w:r>
              <w:t>Measures immediate liquidity excluding inventory</w:t>
            </w:r>
          </w:p>
        </w:tc>
      </w:tr>
      <w:tr w:rsidR="00FC4CA7" w14:paraId="092BBEC9" w14:textId="77777777" w:rsidTr="00615DF5">
        <w:trPr>
          <w:trHeight w:val="2066"/>
        </w:trPr>
        <w:tc>
          <w:tcPr>
            <w:tcW w:w="3185" w:type="dxa"/>
          </w:tcPr>
          <w:p w14:paraId="71E738D6" w14:textId="77777777" w:rsidR="00FC4CA7" w:rsidRDefault="0089272B">
            <w:r>
              <w:t>Cash ratio</w:t>
            </w:r>
          </w:p>
          <w:p w14:paraId="73917A57" w14:textId="77777777" w:rsidR="0089272B" w:rsidRDefault="0089272B"/>
        </w:tc>
        <w:tc>
          <w:tcPr>
            <w:tcW w:w="3252" w:type="dxa"/>
          </w:tcPr>
          <w:p w14:paraId="2F0F464E" w14:textId="52F8C886" w:rsidR="00FC4CA7" w:rsidRDefault="0089272B">
            <w:r>
              <w:t>(Cash + Short-term investments) ÷ Current liabilities</w:t>
            </w:r>
          </w:p>
        </w:tc>
        <w:tc>
          <w:tcPr>
            <w:tcW w:w="3085" w:type="dxa"/>
          </w:tcPr>
          <w:p w14:paraId="7808EAFC" w14:textId="0764CA91" w:rsidR="00FC4CA7" w:rsidRDefault="0089272B">
            <w:proofErr w:type="gramStart"/>
            <w:r>
              <w:t>Measures</w:t>
            </w:r>
            <w:proofErr w:type="gramEnd"/>
            <w:r>
              <w:t xml:space="preserve"> ability to cover current liabilities with the most liquid assets</w:t>
            </w:r>
          </w:p>
        </w:tc>
      </w:tr>
      <w:tr w:rsidR="00FC4CA7" w14:paraId="6932C321" w14:textId="77777777" w:rsidTr="00615DF5">
        <w:trPr>
          <w:trHeight w:val="1632"/>
        </w:trPr>
        <w:tc>
          <w:tcPr>
            <w:tcW w:w="3185" w:type="dxa"/>
          </w:tcPr>
          <w:p w14:paraId="08FD03B6" w14:textId="77777777" w:rsidR="00FC4CA7" w:rsidRDefault="001E6585">
            <w:r>
              <w:t>Asset turnover</w:t>
            </w:r>
          </w:p>
          <w:p w14:paraId="6E42D472" w14:textId="77777777" w:rsidR="001E6585" w:rsidRDefault="001E6585"/>
        </w:tc>
        <w:tc>
          <w:tcPr>
            <w:tcW w:w="3252" w:type="dxa"/>
          </w:tcPr>
          <w:p w14:paraId="14DD18CC" w14:textId="3057FB03" w:rsidR="00FC4CA7" w:rsidRDefault="001E6585">
            <w:r>
              <w:t>Revenue ÷ Total assets</w:t>
            </w:r>
          </w:p>
        </w:tc>
        <w:tc>
          <w:tcPr>
            <w:tcW w:w="3085" w:type="dxa"/>
          </w:tcPr>
          <w:p w14:paraId="010CF57F" w14:textId="75D1FF50" w:rsidR="00FC4CA7" w:rsidRDefault="001E6585">
            <w:r>
              <w:t>Measures efficiency in using assets to generate sales</w:t>
            </w:r>
          </w:p>
        </w:tc>
      </w:tr>
      <w:tr w:rsidR="00FC4CA7" w14:paraId="2F81F040" w14:textId="77777777" w:rsidTr="00615DF5">
        <w:trPr>
          <w:trHeight w:val="1227"/>
        </w:trPr>
        <w:tc>
          <w:tcPr>
            <w:tcW w:w="3185" w:type="dxa"/>
          </w:tcPr>
          <w:p w14:paraId="5520EC72" w14:textId="77777777" w:rsidR="003F4A76" w:rsidRDefault="003F4A76" w:rsidP="003F4A76">
            <w:r>
              <w:t>Debt-to-equity ratio</w:t>
            </w:r>
          </w:p>
          <w:p w14:paraId="5B74B975" w14:textId="77777777" w:rsidR="00FC4CA7" w:rsidRDefault="00FC4CA7"/>
        </w:tc>
        <w:tc>
          <w:tcPr>
            <w:tcW w:w="3252" w:type="dxa"/>
          </w:tcPr>
          <w:p w14:paraId="27FB9519" w14:textId="1C9D9C66" w:rsidR="00FC4CA7" w:rsidRDefault="00E266DA">
            <w:r>
              <w:t>Total liabilities ÷ Total equity</w:t>
            </w:r>
          </w:p>
        </w:tc>
        <w:tc>
          <w:tcPr>
            <w:tcW w:w="3085" w:type="dxa"/>
          </w:tcPr>
          <w:p w14:paraId="7993A084" w14:textId="29F482EF" w:rsidR="00FC4CA7" w:rsidRDefault="00E266DA">
            <w:r>
              <w:t>Measures the level of financial leverage</w:t>
            </w:r>
          </w:p>
        </w:tc>
      </w:tr>
      <w:tr w:rsidR="00FC4CA7" w14:paraId="55F21B68" w14:textId="77777777" w:rsidTr="00615DF5">
        <w:trPr>
          <w:trHeight w:val="1662"/>
        </w:trPr>
        <w:tc>
          <w:tcPr>
            <w:tcW w:w="3185" w:type="dxa"/>
          </w:tcPr>
          <w:p w14:paraId="76E50872" w14:textId="77777777" w:rsidR="00072960" w:rsidRDefault="00072960" w:rsidP="00072960">
            <w:r>
              <w:lastRenderedPageBreak/>
              <w:t>Debt ratio</w:t>
            </w:r>
          </w:p>
          <w:p w14:paraId="26EA8A50" w14:textId="77777777" w:rsidR="00FC4CA7" w:rsidRDefault="00FC4CA7"/>
        </w:tc>
        <w:tc>
          <w:tcPr>
            <w:tcW w:w="3252" w:type="dxa"/>
          </w:tcPr>
          <w:p w14:paraId="0EC8E858" w14:textId="07FEBBFF" w:rsidR="00FC4CA7" w:rsidRDefault="00072960">
            <w:r>
              <w:t>Total liabilities ÷ Total assets</w:t>
            </w:r>
          </w:p>
        </w:tc>
        <w:tc>
          <w:tcPr>
            <w:tcW w:w="3085" w:type="dxa"/>
          </w:tcPr>
          <w:p w14:paraId="4C86442C" w14:textId="550F19D6" w:rsidR="00FC4CA7" w:rsidRDefault="00072960">
            <w:r>
              <w:t>Measures proportion of assets financed by liabilities</w:t>
            </w:r>
          </w:p>
        </w:tc>
      </w:tr>
      <w:tr w:rsidR="00FC4CA7" w14:paraId="0AC824AC" w14:textId="77777777" w:rsidTr="00615DF5">
        <w:trPr>
          <w:trHeight w:val="2051"/>
        </w:trPr>
        <w:tc>
          <w:tcPr>
            <w:tcW w:w="3185" w:type="dxa"/>
          </w:tcPr>
          <w:p w14:paraId="475ED9C5" w14:textId="77777777" w:rsidR="00FC4CA7" w:rsidRDefault="00134E51">
            <w:r>
              <w:t>Debt and lease to equity</w:t>
            </w:r>
          </w:p>
          <w:p w14:paraId="4412534D" w14:textId="77777777" w:rsidR="00134E51" w:rsidRDefault="00134E51"/>
        </w:tc>
        <w:tc>
          <w:tcPr>
            <w:tcW w:w="3252" w:type="dxa"/>
          </w:tcPr>
          <w:p w14:paraId="0E1287BE" w14:textId="0E34F775" w:rsidR="00FC4CA7" w:rsidRDefault="001E2FCE">
            <w:r>
              <w:t>(Current debt + Long-term debt and finance leases) ÷ Equity</w:t>
            </w:r>
          </w:p>
        </w:tc>
        <w:tc>
          <w:tcPr>
            <w:tcW w:w="3085" w:type="dxa"/>
          </w:tcPr>
          <w:p w14:paraId="77EE4489" w14:textId="3EF6D602" w:rsidR="00FC4CA7" w:rsidRDefault="001E2FCE">
            <w:r>
              <w:t>Measures financing pressure from borrowing and leases</w:t>
            </w:r>
          </w:p>
        </w:tc>
      </w:tr>
      <w:tr w:rsidR="00FC4CA7" w14:paraId="4428D03A" w14:textId="77777777" w:rsidTr="00615DF5">
        <w:trPr>
          <w:trHeight w:val="1647"/>
        </w:trPr>
        <w:tc>
          <w:tcPr>
            <w:tcW w:w="3185" w:type="dxa"/>
          </w:tcPr>
          <w:p w14:paraId="02D4F603" w14:textId="77777777" w:rsidR="00FC4CA7" w:rsidRDefault="00647A10">
            <w:r>
              <w:t>Operating cash flow ratio</w:t>
            </w:r>
          </w:p>
          <w:p w14:paraId="3B33995A" w14:textId="77777777" w:rsidR="00647A10" w:rsidRDefault="00647A10"/>
        </w:tc>
        <w:tc>
          <w:tcPr>
            <w:tcW w:w="3252" w:type="dxa"/>
          </w:tcPr>
          <w:p w14:paraId="458ED462" w14:textId="09E24056" w:rsidR="00FC4CA7" w:rsidRDefault="00647A10">
            <w:r>
              <w:t>Operating cash flow ÷ Current liabilities</w:t>
            </w:r>
          </w:p>
        </w:tc>
        <w:tc>
          <w:tcPr>
            <w:tcW w:w="3085" w:type="dxa"/>
          </w:tcPr>
          <w:p w14:paraId="13768068" w14:textId="651FEE84" w:rsidR="00FC4CA7" w:rsidRDefault="00647A10">
            <w:r>
              <w:t>Measures short-term liquidity support from cash generation</w:t>
            </w:r>
          </w:p>
        </w:tc>
      </w:tr>
      <w:tr w:rsidR="00FC4CA7" w14:paraId="104868FA" w14:textId="77777777" w:rsidTr="00615DF5">
        <w:trPr>
          <w:trHeight w:val="2066"/>
        </w:trPr>
        <w:tc>
          <w:tcPr>
            <w:tcW w:w="3185" w:type="dxa"/>
          </w:tcPr>
          <w:p w14:paraId="2DBAF430" w14:textId="77777777" w:rsidR="00FC4CA7" w:rsidRDefault="008D06C1">
            <w:r>
              <w:t>Receivables days</w:t>
            </w:r>
          </w:p>
          <w:p w14:paraId="6CC90E9E" w14:textId="77777777" w:rsidR="008D06C1" w:rsidRDefault="008D06C1"/>
        </w:tc>
        <w:tc>
          <w:tcPr>
            <w:tcW w:w="3252" w:type="dxa"/>
          </w:tcPr>
          <w:p w14:paraId="7842C386" w14:textId="583DB72E" w:rsidR="00FC4CA7" w:rsidRDefault="008D06C1">
            <w:r>
              <w:t>Accounts receivable ÷ Revenue × 365</w:t>
            </w:r>
          </w:p>
        </w:tc>
        <w:tc>
          <w:tcPr>
            <w:tcW w:w="3085" w:type="dxa"/>
          </w:tcPr>
          <w:p w14:paraId="3453DCBF" w14:textId="62BA2A73" w:rsidR="00FC4CA7" w:rsidRDefault="008D06C1">
            <w:r>
              <w:t>Measures average number of days taken to collect receivables</w:t>
            </w:r>
          </w:p>
        </w:tc>
      </w:tr>
      <w:tr w:rsidR="00FC4CA7" w14:paraId="0BD35981" w14:textId="77777777" w:rsidTr="00615DF5">
        <w:trPr>
          <w:trHeight w:val="1647"/>
        </w:trPr>
        <w:tc>
          <w:tcPr>
            <w:tcW w:w="3185" w:type="dxa"/>
          </w:tcPr>
          <w:p w14:paraId="3E374986" w14:textId="77777777" w:rsidR="00E0422A" w:rsidRDefault="00E0422A" w:rsidP="00E0422A">
            <w:r>
              <w:t>Inventory days</w:t>
            </w:r>
          </w:p>
          <w:p w14:paraId="44EFED47" w14:textId="77777777" w:rsidR="00FC4CA7" w:rsidRDefault="00FC4CA7"/>
        </w:tc>
        <w:tc>
          <w:tcPr>
            <w:tcW w:w="3252" w:type="dxa"/>
          </w:tcPr>
          <w:p w14:paraId="436E87F2" w14:textId="344AB3DA" w:rsidR="00FC4CA7" w:rsidRDefault="00E0422A">
            <w:r>
              <w:t>Inventory ÷ Revenue × 365</w:t>
            </w:r>
          </w:p>
        </w:tc>
        <w:tc>
          <w:tcPr>
            <w:tcW w:w="3085" w:type="dxa"/>
          </w:tcPr>
          <w:p w14:paraId="02622FE0" w14:textId="5C4B24FE" w:rsidR="00FC4CA7" w:rsidRDefault="00E0422A" w:rsidP="00615DF5">
            <w:pPr>
              <w:keepNext/>
            </w:pPr>
            <w:r>
              <w:t>Measures average number of days inventory is held</w:t>
            </w:r>
          </w:p>
        </w:tc>
      </w:tr>
    </w:tbl>
    <w:p w14:paraId="223A658E" w14:textId="3F17AD95" w:rsidR="00615DF5" w:rsidRDefault="00615DF5" w:rsidP="00615DF5">
      <w:pPr>
        <w:pStyle w:val="Caption"/>
        <w:jc w:val="center"/>
      </w:pPr>
      <w:bookmarkStart w:id="38" w:name="_Toc227891334"/>
      <w:r>
        <w:t xml:space="preserve">Table </w:t>
      </w:r>
      <w:r>
        <w:fldChar w:fldCharType="begin"/>
      </w:r>
      <w:r>
        <w:instrText xml:space="preserve"> SEQ Table \* ARABIC </w:instrText>
      </w:r>
      <w:r>
        <w:fldChar w:fldCharType="separate"/>
      </w:r>
      <w:r w:rsidR="00CE50F1">
        <w:rPr>
          <w:noProof/>
        </w:rPr>
        <w:t>3</w:t>
      </w:r>
      <w:r>
        <w:fldChar w:fldCharType="end"/>
      </w:r>
      <w:r>
        <w:t xml:space="preserve"> (Ratio formulas Used in the analysis)</w:t>
      </w:r>
      <w:bookmarkEnd w:id="38"/>
    </w:p>
    <w:p w14:paraId="6C39D079" w14:textId="77777777" w:rsidR="00615DF5" w:rsidRDefault="00615DF5" w:rsidP="009F13F7">
      <w:pPr>
        <w:rPr>
          <w:b/>
          <w:bCs/>
        </w:rPr>
      </w:pPr>
    </w:p>
    <w:p w14:paraId="6ABEF385" w14:textId="77777777" w:rsidR="00615DF5" w:rsidRDefault="00615DF5" w:rsidP="009F13F7">
      <w:pPr>
        <w:rPr>
          <w:b/>
          <w:bCs/>
        </w:rPr>
      </w:pPr>
    </w:p>
    <w:p w14:paraId="2C00F239" w14:textId="40AC89B7" w:rsidR="00A227D7" w:rsidRDefault="00A227D7" w:rsidP="009F13F7">
      <w:pPr>
        <w:rPr>
          <w:b/>
          <w:bCs/>
        </w:rPr>
      </w:pPr>
    </w:p>
    <w:p w14:paraId="62EC5389" w14:textId="77777777" w:rsidR="00615DF5" w:rsidRDefault="00615DF5" w:rsidP="009F13F7">
      <w:pPr>
        <w:rPr>
          <w:b/>
          <w:bCs/>
        </w:rPr>
      </w:pPr>
    </w:p>
    <w:p w14:paraId="004FEE61" w14:textId="77777777" w:rsidR="00615DF5" w:rsidRPr="00754B44" w:rsidRDefault="00615DF5" w:rsidP="009F13F7">
      <w:pPr>
        <w:rPr>
          <w:b/>
          <w:bCs/>
        </w:rPr>
      </w:pPr>
    </w:p>
    <w:tbl>
      <w:tblPr>
        <w:tblStyle w:val="TableGrid"/>
        <w:tblW w:w="9396" w:type="dxa"/>
        <w:tblLook w:val="04A0" w:firstRow="1" w:lastRow="0" w:firstColumn="1" w:lastColumn="0" w:noHBand="0" w:noVBand="1"/>
      </w:tblPr>
      <w:tblGrid>
        <w:gridCol w:w="2269"/>
        <w:gridCol w:w="1378"/>
        <w:gridCol w:w="1457"/>
        <w:gridCol w:w="1457"/>
        <w:gridCol w:w="1457"/>
        <w:gridCol w:w="1378"/>
      </w:tblGrid>
      <w:tr w:rsidR="00A227D7" w14:paraId="4AB82BC0" w14:textId="77777777" w:rsidTr="00615DF5">
        <w:trPr>
          <w:trHeight w:val="407"/>
        </w:trPr>
        <w:tc>
          <w:tcPr>
            <w:tcW w:w="2269" w:type="dxa"/>
          </w:tcPr>
          <w:p w14:paraId="16552E1A" w14:textId="72ACC712" w:rsidR="00A227D7" w:rsidRDefault="00521007" w:rsidP="009F13F7">
            <w:pPr>
              <w:rPr>
                <w:b/>
                <w:bCs/>
              </w:rPr>
            </w:pPr>
            <w:r>
              <w:rPr>
                <w:b/>
                <w:bCs/>
              </w:rPr>
              <w:lastRenderedPageBreak/>
              <w:t xml:space="preserve">  </w:t>
            </w:r>
            <w:r w:rsidRPr="00521007">
              <w:rPr>
                <w:b/>
                <w:bCs/>
              </w:rPr>
              <w:t>Ratio</w:t>
            </w:r>
          </w:p>
        </w:tc>
        <w:tc>
          <w:tcPr>
            <w:tcW w:w="1378" w:type="dxa"/>
          </w:tcPr>
          <w:p w14:paraId="5CD66B8B" w14:textId="55C13B47" w:rsidR="00A227D7" w:rsidRDefault="00521007" w:rsidP="009F13F7">
            <w:pPr>
              <w:rPr>
                <w:b/>
                <w:bCs/>
              </w:rPr>
            </w:pPr>
            <w:r>
              <w:rPr>
                <w:b/>
                <w:bCs/>
              </w:rPr>
              <w:t xml:space="preserve">  2020</w:t>
            </w:r>
          </w:p>
        </w:tc>
        <w:tc>
          <w:tcPr>
            <w:tcW w:w="1457" w:type="dxa"/>
          </w:tcPr>
          <w:p w14:paraId="28E89401" w14:textId="036FF3D9" w:rsidR="00A227D7" w:rsidRDefault="00521007" w:rsidP="009F13F7">
            <w:pPr>
              <w:rPr>
                <w:b/>
                <w:bCs/>
              </w:rPr>
            </w:pPr>
            <w:r>
              <w:rPr>
                <w:b/>
                <w:bCs/>
              </w:rPr>
              <w:t xml:space="preserve">  2021</w:t>
            </w:r>
          </w:p>
        </w:tc>
        <w:tc>
          <w:tcPr>
            <w:tcW w:w="1457" w:type="dxa"/>
          </w:tcPr>
          <w:p w14:paraId="7D82C267" w14:textId="29641E77" w:rsidR="00A227D7" w:rsidRDefault="00521007" w:rsidP="009F13F7">
            <w:pPr>
              <w:rPr>
                <w:b/>
                <w:bCs/>
              </w:rPr>
            </w:pPr>
            <w:r>
              <w:rPr>
                <w:b/>
                <w:bCs/>
              </w:rPr>
              <w:t xml:space="preserve">  2022</w:t>
            </w:r>
          </w:p>
        </w:tc>
        <w:tc>
          <w:tcPr>
            <w:tcW w:w="1457" w:type="dxa"/>
          </w:tcPr>
          <w:p w14:paraId="1C68D3AB" w14:textId="7A70CF79" w:rsidR="00A227D7" w:rsidRDefault="00521007" w:rsidP="009F13F7">
            <w:pPr>
              <w:rPr>
                <w:b/>
                <w:bCs/>
              </w:rPr>
            </w:pPr>
            <w:r>
              <w:rPr>
                <w:b/>
                <w:bCs/>
              </w:rPr>
              <w:t xml:space="preserve"> 2023</w:t>
            </w:r>
          </w:p>
        </w:tc>
        <w:tc>
          <w:tcPr>
            <w:tcW w:w="1378" w:type="dxa"/>
          </w:tcPr>
          <w:p w14:paraId="7C8D1053" w14:textId="436E52F1" w:rsidR="00A227D7" w:rsidRDefault="00521007" w:rsidP="009F13F7">
            <w:pPr>
              <w:rPr>
                <w:b/>
                <w:bCs/>
              </w:rPr>
            </w:pPr>
            <w:r>
              <w:rPr>
                <w:b/>
                <w:bCs/>
              </w:rPr>
              <w:t xml:space="preserve"> 2024</w:t>
            </w:r>
          </w:p>
        </w:tc>
      </w:tr>
      <w:tr w:rsidR="00A227D7" w14:paraId="79054063" w14:textId="77777777" w:rsidTr="00615DF5">
        <w:trPr>
          <w:trHeight w:val="830"/>
        </w:trPr>
        <w:tc>
          <w:tcPr>
            <w:tcW w:w="2269" w:type="dxa"/>
          </w:tcPr>
          <w:p w14:paraId="1673384C" w14:textId="4B4A9522" w:rsidR="001C5DB5" w:rsidRPr="001C5DB5" w:rsidRDefault="001C5DB5" w:rsidP="009F13F7">
            <w:r w:rsidRPr="001C5DB5">
              <w:t>Net profit margin (%)</w:t>
            </w:r>
          </w:p>
        </w:tc>
        <w:tc>
          <w:tcPr>
            <w:tcW w:w="1378" w:type="dxa"/>
          </w:tcPr>
          <w:p w14:paraId="524A6160" w14:textId="77777777" w:rsidR="00C31D24" w:rsidRDefault="00C31D24" w:rsidP="009F13F7"/>
          <w:p w14:paraId="5D438364" w14:textId="0A867CA4" w:rsidR="00A227D7" w:rsidRPr="001C5DB5" w:rsidRDefault="001C5DB5" w:rsidP="009F13F7">
            <w:r w:rsidRPr="001C5DB5">
              <w:t>2.29</w:t>
            </w:r>
          </w:p>
        </w:tc>
        <w:tc>
          <w:tcPr>
            <w:tcW w:w="1457" w:type="dxa"/>
          </w:tcPr>
          <w:p w14:paraId="163338C7" w14:textId="77777777" w:rsidR="00C31D24" w:rsidRDefault="00C31D24" w:rsidP="009F13F7"/>
          <w:p w14:paraId="02146D9F" w14:textId="0FF71D7F" w:rsidR="00A227D7" w:rsidRPr="001C5DB5" w:rsidRDefault="001C5DB5" w:rsidP="009F13F7">
            <w:r w:rsidRPr="001C5DB5">
              <w:t>10.25</w:t>
            </w:r>
          </w:p>
        </w:tc>
        <w:tc>
          <w:tcPr>
            <w:tcW w:w="1457" w:type="dxa"/>
          </w:tcPr>
          <w:p w14:paraId="5292299F" w14:textId="77777777" w:rsidR="00C31D24" w:rsidRDefault="00C31D24" w:rsidP="009F13F7"/>
          <w:p w14:paraId="64BE1B84" w14:textId="4615EF82" w:rsidR="00A227D7" w:rsidRPr="001C5DB5" w:rsidRDefault="001C5DB5" w:rsidP="009F13F7">
            <w:r w:rsidRPr="001C5DB5">
              <w:t>15.41</w:t>
            </w:r>
          </w:p>
        </w:tc>
        <w:tc>
          <w:tcPr>
            <w:tcW w:w="1457" w:type="dxa"/>
          </w:tcPr>
          <w:p w14:paraId="3C0F5C6C" w14:textId="77777777" w:rsidR="00C31D24" w:rsidRDefault="00C31D24" w:rsidP="009F13F7"/>
          <w:p w14:paraId="6C327DFB" w14:textId="4C538B2F" w:rsidR="00A227D7" w:rsidRPr="001C5DB5" w:rsidRDefault="001C5DB5" w:rsidP="009F13F7">
            <w:r w:rsidRPr="001C5DB5">
              <w:t>15.50</w:t>
            </w:r>
          </w:p>
        </w:tc>
        <w:tc>
          <w:tcPr>
            <w:tcW w:w="1378" w:type="dxa"/>
          </w:tcPr>
          <w:p w14:paraId="64C26488" w14:textId="77777777" w:rsidR="00C31D24" w:rsidRDefault="00C31D24" w:rsidP="009F13F7"/>
          <w:p w14:paraId="6817EDA8" w14:textId="3459669D" w:rsidR="00A227D7" w:rsidRPr="001C5DB5" w:rsidRDefault="001C5DB5" w:rsidP="009F13F7">
            <w:r>
              <w:t>7.26</w:t>
            </w:r>
          </w:p>
        </w:tc>
      </w:tr>
      <w:tr w:rsidR="00A227D7" w14:paraId="4344C453" w14:textId="77777777" w:rsidTr="00615DF5">
        <w:trPr>
          <w:trHeight w:val="830"/>
        </w:trPr>
        <w:tc>
          <w:tcPr>
            <w:tcW w:w="2269" w:type="dxa"/>
          </w:tcPr>
          <w:p w14:paraId="5984078E" w14:textId="0A9BD3C4" w:rsidR="00A227D7" w:rsidRPr="00190CED" w:rsidRDefault="00190CED" w:rsidP="009F13F7">
            <w:r>
              <w:t>Return on assets (%)</w:t>
            </w:r>
          </w:p>
        </w:tc>
        <w:tc>
          <w:tcPr>
            <w:tcW w:w="1378" w:type="dxa"/>
          </w:tcPr>
          <w:p w14:paraId="39615A20" w14:textId="77777777" w:rsidR="00C31D24" w:rsidRDefault="00C31D24" w:rsidP="009F13F7"/>
          <w:p w14:paraId="3922BA83" w14:textId="66CB5357" w:rsidR="00A227D7" w:rsidRPr="00852283" w:rsidRDefault="00852283" w:rsidP="009F13F7">
            <w:r w:rsidRPr="00852283">
              <w:t>1.38</w:t>
            </w:r>
          </w:p>
        </w:tc>
        <w:tc>
          <w:tcPr>
            <w:tcW w:w="1457" w:type="dxa"/>
          </w:tcPr>
          <w:p w14:paraId="77C0F251" w14:textId="77777777" w:rsidR="00C31D24" w:rsidRDefault="00C31D24" w:rsidP="009F13F7"/>
          <w:p w14:paraId="045A0AF6" w14:textId="4259528E" w:rsidR="00A227D7" w:rsidRPr="00852283" w:rsidRDefault="00852283" w:rsidP="009F13F7">
            <w:r>
              <w:t>8.88</w:t>
            </w:r>
          </w:p>
        </w:tc>
        <w:tc>
          <w:tcPr>
            <w:tcW w:w="1457" w:type="dxa"/>
          </w:tcPr>
          <w:p w14:paraId="32BDEC66" w14:textId="77777777" w:rsidR="00C31D24" w:rsidRDefault="00C31D24" w:rsidP="009F13F7"/>
          <w:p w14:paraId="0D632AE7" w14:textId="401CFA5F" w:rsidR="00A227D7" w:rsidRPr="00852283" w:rsidRDefault="00852283" w:rsidP="009F13F7">
            <w:r>
              <w:t>15.25</w:t>
            </w:r>
          </w:p>
        </w:tc>
        <w:tc>
          <w:tcPr>
            <w:tcW w:w="1457" w:type="dxa"/>
          </w:tcPr>
          <w:p w14:paraId="417AC3A2" w14:textId="77777777" w:rsidR="00C31D24" w:rsidRDefault="00C31D24" w:rsidP="009F13F7"/>
          <w:p w14:paraId="3071A7DA" w14:textId="3B22CF62" w:rsidR="00A227D7" w:rsidRPr="00383FEA" w:rsidRDefault="00383FEA" w:rsidP="009F13F7">
            <w:r w:rsidRPr="00383FEA">
              <w:t>14.07</w:t>
            </w:r>
          </w:p>
        </w:tc>
        <w:tc>
          <w:tcPr>
            <w:tcW w:w="1378" w:type="dxa"/>
          </w:tcPr>
          <w:p w14:paraId="0408A41B" w14:textId="77777777" w:rsidR="00C31D24" w:rsidRDefault="00C31D24" w:rsidP="009F13F7"/>
          <w:p w14:paraId="1341180F" w14:textId="1DB0004F" w:rsidR="00A227D7" w:rsidRPr="00383FEA" w:rsidRDefault="00383FEA" w:rsidP="009F13F7">
            <w:r>
              <w:t>5.81</w:t>
            </w:r>
          </w:p>
        </w:tc>
      </w:tr>
      <w:tr w:rsidR="00A227D7" w14:paraId="609632A6" w14:textId="77777777" w:rsidTr="00615DF5">
        <w:trPr>
          <w:trHeight w:val="830"/>
        </w:trPr>
        <w:tc>
          <w:tcPr>
            <w:tcW w:w="2269" w:type="dxa"/>
          </w:tcPr>
          <w:p w14:paraId="402C8BEE" w14:textId="1C832C88" w:rsidR="007E2E20" w:rsidRPr="007E2E20" w:rsidRDefault="007E2E20" w:rsidP="009F13F7">
            <w:r>
              <w:t>Current ratio</w:t>
            </w:r>
          </w:p>
        </w:tc>
        <w:tc>
          <w:tcPr>
            <w:tcW w:w="1378" w:type="dxa"/>
          </w:tcPr>
          <w:p w14:paraId="0800F2E5" w14:textId="6F502A81" w:rsidR="00A227D7" w:rsidRPr="007E2E20" w:rsidRDefault="00D86B90" w:rsidP="009F13F7">
            <w:r>
              <w:t>1.87</w:t>
            </w:r>
          </w:p>
        </w:tc>
        <w:tc>
          <w:tcPr>
            <w:tcW w:w="1457" w:type="dxa"/>
          </w:tcPr>
          <w:p w14:paraId="2772EEF8" w14:textId="128E9BF3" w:rsidR="00A227D7" w:rsidRPr="00D86B90" w:rsidRDefault="00D86B90" w:rsidP="009F13F7">
            <w:r>
              <w:t>1.38</w:t>
            </w:r>
          </w:p>
        </w:tc>
        <w:tc>
          <w:tcPr>
            <w:tcW w:w="1457" w:type="dxa"/>
          </w:tcPr>
          <w:p w14:paraId="7F466746" w14:textId="1C4B1610" w:rsidR="00A227D7" w:rsidRPr="00C31D24" w:rsidRDefault="00C31D24" w:rsidP="009F13F7">
            <w:r>
              <w:t>1.53</w:t>
            </w:r>
          </w:p>
        </w:tc>
        <w:tc>
          <w:tcPr>
            <w:tcW w:w="1457" w:type="dxa"/>
          </w:tcPr>
          <w:p w14:paraId="4AF4D7B3" w14:textId="33DFCA97" w:rsidR="00A227D7" w:rsidRPr="00C31D24" w:rsidRDefault="00C31D24" w:rsidP="009F13F7">
            <w:r>
              <w:t>1.73</w:t>
            </w:r>
          </w:p>
        </w:tc>
        <w:tc>
          <w:tcPr>
            <w:tcW w:w="1378" w:type="dxa"/>
          </w:tcPr>
          <w:p w14:paraId="2E03BDD4" w14:textId="2E747681" w:rsidR="00A227D7" w:rsidRPr="00C31D24" w:rsidRDefault="00C31D24" w:rsidP="009F13F7">
            <w:r>
              <w:t>2.02</w:t>
            </w:r>
          </w:p>
        </w:tc>
      </w:tr>
      <w:tr w:rsidR="00A227D7" w14:paraId="2C9C7E22" w14:textId="77777777" w:rsidTr="00615DF5">
        <w:trPr>
          <w:trHeight w:val="407"/>
        </w:trPr>
        <w:tc>
          <w:tcPr>
            <w:tcW w:w="2269" w:type="dxa"/>
          </w:tcPr>
          <w:p w14:paraId="7D21F2D4" w14:textId="04C0F0EC" w:rsidR="00A663AA" w:rsidRPr="00A663AA" w:rsidRDefault="00A663AA" w:rsidP="009F13F7">
            <w:r w:rsidRPr="00A663AA">
              <w:t>Quick ratio</w:t>
            </w:r>
          </w:p>
        </w:tc>
        <w:tc>
          <w:tcPr>
            <w:tcW w:w="1378" w:type="dxa"/>
          </w:tcPr>
          <w:p w14:paraId="1A6D97C5" w14:textId="2F069489" w:rsidR="00A227D7" w:rsidRPr="00A663AA" w:rsidRDefault="00A663AA" w:rsidP="009F13F7">
            <w:r w:rsidRPr="00A663AA">
              <w:t>1.59</w:t>
            </w:r>
          </w:p>
        </w:tc>
        <w:tc>
          <w:tcPr>
            <w:tcW w:w="1457" w:type="dxa"/>
          </w:tcPr>
          <w:p w14:paraId="7964117E" w14:textId="5314F248" w:rsidR="00A227D7" w:rsidRPr="00A663AA" w:rsidRDefault="00A663AA" w:rsidP="009F13F7">
            <w:r>
              <w:t>1.08</w:t>
            </w:r>
          </w:p>
        </w:tc>
        <w:tc>
          <w:tcPr>
            <w:tcW w:w="1457" w:type="dxa"/>
          </w:tcPr>
          <w:p w14:paraId="0F000011" w14:textId="7B7AFC35" w:rsidR="00A227D7" w:rsidRPr="0033625E" w:rsidRDefault="0033625E" w:rsidP="009F13F7">
            <w:r w:rsidRPr="0033625E">
              <w:t>1.05</w:t>
            </w:r>
          </w:p>
        </w:tc>
        <w:tc>
          <w:tcPr>
            <w:tcW w:w="1457" w:type="dxa"/>
          </w:tcPr>
          <w:p w14:paraId="0E0F583B" w14:textId="2F83CCE8" w:rsidR="00A227D7" w:rsidRPr="0033625E" w:rsidRDefault="0033625E" w:rsidP="009F13F7">
            <w:r>
              <w:t>1.26</w:t>
            </w:r>
          </w:p>
        </w:tc>
        <w:tc>
          <w:tcPr>
            <w:tcW w:w="1378" w:type="dxa"/>
          </w:tcPr>
          <w:p w14:paraId="7DB890EB" w14:textId="306C7655" w:rsidR="00A227D7" w:rsidRPr="0033625E" w:rsidRDefault="0033625E" w:rsidP="009F13F7">
            <w:r>
              <w:t>1.61</w:t>
            </w:r>
          </w:p>
        </w:tc>
      </w:tr>
      <w:tr w:rsidR="00A227D7" w14:paraId="2E7B4D4F" w14:textId="77777777" w:rsidTr="00615DF5">
        <w:trPr>
          <w:trHeight w:val="407"/>
        </w:trPr>
        <w:tc>
          <w:tcPr>
            <w:tcW w:w="2269" w:type="dxa"/>
          </w:tcPr>
          <w:p w14:paraId="0A9FB473" w14:textId="603693A5" w:rsidR="00B9398D" w:rsidRPr="00B9398D" w:rsidRDefault="00B9398D" w:rsidP="009F13F7">
            <w:r>
              <w:t>Cash ratio</w:t>
            </w:r>
          </w:p>
        </w:tc>
        <w:tc>
          <w:tcPr>
            <w:tcW w:w="1378" w:type="dxa"/>
          </w:tcPr>
          <w:p w14:paraId="2BDA47F1" w14:textId="7AD62B43" w:rsidR="00A227D7" w:rsidRPr="009A5D7E" w:rsidRDefault="009A5D7E" w:rsidP="009F13F7">
            <w:r>
              <w:t>1.36</w:t>
            </w:r>
          </w:p>
        </w:tc>
        <w:tc>
          <w:tcPr>
            <w:tcW w:w="1457" w:type="dxa"/>
          </w:tcPr>
          <w:p w14:paraId="7006A9D0" w14:textId="2AC1806C" w:rsidR="00A227D7" w:rsidRPr="009A5D7E" w:rsidRDefault="009A5D7E" w:rsidP="009F13F7">
            <w:r>
              <w:t>0.90</w:t>
            </w:r>
          </w:p>
        </w:tc>
        <w:tc>
          <w:tcPr>
            <w:tcW w:w="1457" w:type="dxa"/>
          </w:tcPr>
          <w:p w14:paraId="4AAD726B" w14:textId="13CD6092" w:rsidR="00A227D7" w:rsidRPr="00E66AC3" w:rsidRDefault="00E66AC3" w:rsidP="009F13F7">
            <w:r>
              <w:t>0.83</w:t>
            </w:r>
          </w:p>
        </w:tc>
        <w:tc>
          <w:tcPr>
            <w:tcW w:w="1457" w:type="dxa"/>
          </w:tcPr>
          <w:p w14:paraId="7B0B5540" w14:textId="5B175ECC" w:rsidR="00A227D7" w:rsidRPr="00BC1AE4" w:rsidRDefault="00BC1AE4" w:rsidP="009F13F7">
            <w:r>
              <w:t>1.01</w:t>
            </w:r>
          </w:p>
        </w:tc>
        <w:tc>
          <w:tcPr>
            <w:tcW w:w="1378" w:type="dxa"/>
          </w:tcPr>
          <w:p w14:paraId="7CD2650B" w14:textId="4CCB8576" w:rsidR="00A227D7" w:rsidRPr="00D95439" w:rsidRDefault="00D95439" w:rsidP="009F13F7">
            <w:r>
              <w:t>1.27</w:t>
            </w:r>
          </w:p>
        </w:tc>
      </w:tr>
      <w:tr w:rsidR="00A227D7" w14:paraId="4576A7E5" w14:textId="77777777" w:rsidTr="00615DF5">
        <w:trPr>
          <w:trHeight w:val="1254"/>
        </w:trPr>
        <w:tc>
          <w:tcPr>
            <w:tcW w:w="2269" w:type="dxa"/>
          </w:tcPr>
          <w:p w14:paraId="4B51A258" w14:textId="15D06D90" w:rsidR="00302AD6" w:rsidRPr="00302AD6" w:rsidRDefault="00302AD6" w:rsidP="009F13F7">
            <w:r>
              <w:t>Asset turnover (times)</w:t>
            </w:r>
          </w:p>
        </w:tc>
        <w:tc>
          <w:tcPr>
            <w:tcW w:w="1378" w:type="dxa"/>
          </w:tcPr>
          <w:p w14:paraId="15CDF139" w14:textId="1CD04FDD" w:rsidR="00A227D7" w:rsidRPr="00143179" w:rsidRDefault="00143179" w:rsidP="009F13F7">
            <w:r>
              <w:t>0.60</w:t>
            </w:r>
          </w:p>
        </w:tc>
        <w:tc>
          <w:tcPr>
            <w:tcW w:w="1457" w:type="dxa"/>
          </w:tcPr>
          <w:p w14:paraId="18ABD6B9" w14:textId="6398A34C" w:rsidR="00A227D7" w:rsidRPr="00143179" w:rsidRDefault="00143179" w:rsidP="009F13F7">
            <w:r w:rsidRPr="00143179">
              <w:t>0.87</w:t>
            </w:r>
          </w:p>
        </w:tc>
        <w:tc>
          <w:tcPr>
            <w:tcW w:w="1457" w:type="dxa"/>
          </w:tcPr>
          <w:p w14:paraId="135947D5" w14:textId="7324397A" w:rsidR="00A227D7" w:rsidRPr="00143179" w:rsidRDefault="00143179" w:rsidP="009F13F7">
            <w:r w:rsidRPr="00143179">
              <w:t>0.99</w:t>
            </w:r>
          </w:p>
        </w:tc>
        <w:tc>
          <w:tcPr>
            <w:tcW w:w="1457" w:type="dxa"/>
          </w:tcPr>
          <w:p w14:paraId="63257AF0" w14:textId="75BE01BB" w:rsidR="00A227D7" w:rsidRPr="00143179" w:rsidRDefault="00143179" w:rsidP="009F13F7">
            <w:r w:rsidRPr="00143179">
              <w:t>0.91</w:t>
            </w:r>
          </w:p>
        </w:tc>
        <w:tc>
          <w:tcPr>
            <w:tcW w:w="1378" w:type="dxa"/>
          </w:tcPr>
          <w:p w14:paraId="2FEA2ABF" w14:textId="5DD9B6DE" w:rsidR="00A227D7" w:rsidRPr="00143179" w:rsidRDefault="00143179" w:rsidP="009F13F7">
            <w:r w:rsidRPr="00143179">
              <w:t>0.80</w:t>
            </w:r>
          </w:p>
        </w:tc>
      </w:tr>
      <w:tr w:rsidR="00A227D7" w14:paraId="7849005E" w14:textId="77777777" w:rsidTr="00615DF5">
        <w:trPr>
          <w:trHeight w:val="407"/>
        </w:trPr>
        <w:tc>
          <w:tcPr>
            <w:tcW w:w="2269" w:type="dxa"/>
          </w:tcPr>
          <w:p w14:paraId="7413D31B" w14:textId="267B0E79" w:rsidR="00542D89" w:rsidRPr="00542D89" w:rsidRDefault="00542D89" w:rsidP="009F13F7">
            <w:r>
              <w:t>Debt ratio</w:t>
            </w:r>
          </w:p>
        </w:tc>
        <w:tc>
          <w:tcPr>
            <w:tcW w:w="1378" w:type="dxa"/>
          </w:tcPr>
          <w:p w14:paraId="3796A79F" w14:textId="4359F51F" w:rsidR="00A227D7" w:rsidRPr="007F1372" w:rsidRDefault="007F1372" w:rsidP="009F13F7">
            <w:r>
              <w:t>0.54</w:t>
            </w:r>
          </w:p>
        </w:tc>
        <w:tc>
          <w:tcPr>
            <w:tcW w:w="1457" w:type="dxa"/>
          </w:tcPr>
          <w:p w14:paraId="29A95F7F" w14:textId="78724A94" w:rsidR="00A227D7" w:rsidRPr="00507753" w:rsidRDefault="000426D0" w:rsidP="009F13F7">
            <w:r>
              <w:t>0.49</w:t>
            </w:r>
          </w:p>
        </w:tc>
        <w:tc>
          <w:tcPr>
            <w:tcW w:w="1457" w:type="dxa"/>
          </w:tcPr>
          <w:p w14:paraId="61C151B8" w14:textId="5CFF3BE5" w:rsidR="00A227D7" w:rsidRPr="00507753" w:rsidRDefault="00507753" w:rsidP="009F13F7">
            <w:r w:rsidRPr="00507753">
              <w:t>0.44</w:t>
            </w:r>
          </w:p>
        </w:tc>
        <w:tc>
          <w:tcPr>
            <w:tcW w:w="1457" w:type="dxa"/>
          </w:tcPr>
          <w:p w14:paraId="5068DDBA" w14:textId="3BFD03E7" w:rsidR="00A227D7" w:rsidRPr="00F40534" w:rsidRDefault="00F40534" w:rsidP="009F13F7">
            <w:r>
              <w:t>0.40</w:t>
            </w:r>
          </w:p>
        </w:tc>
        <w:tc>
          <w:tcPr>
            <w:tcW w:w="1378" w:type="dxa"/>
          </w:tcPr>
          <w:p w14:paraId="620F1943" w14:textId="0827F4EC" w:rsidR="00A227D7" w:rsidRPr="00487C26" w:rsidRDefault="00487C26" w:rsidP="009F13F7">
            <w:r>
              <w:t>0.40</w:t>
            </w:r>
          </w:p>
        </w:tc>
      </w:tr>
      <w:tr w:rsidR="00A227D7" w14:paraId="45F912B0" w14:textId="77777777" w:rsidTr="00615DF5">
        <w:trPr>
          <w:trHeight w:val="1254"/>
        </w:trPr>
        <w:tc>
          <w:tcPr>
            <w:tcW w:w="2269" w:type="dxa"/>
          </w:tcPr>
          <w:p w14:paraId="23A01EF8" w14:textId="5CF0D313" w:rsidR="00884BC9" w:rsidRPr="00884BC9" w:rsidRDefault="00884BC9" w:rsidP="009F13F7">
            <w:r>
              <w:t>Debt and lease to equity</w:t>
            </w:r>
          </w:p>
        </w:tc>
        <w:tc>
          <w:tcPr>
            <w:tcW w:w="1378" w:type="dxa"/>
          </w:tcPr>
          <w:p w14:paraId="50D0DD7E" w14:textId="2A53F535" w:rsidR="00A227D7" w:rsidRPr="00884BC9" w:rsidRDefault="00884BC9" w:rsidP="009F13F7">
            <w:r>
              <w:t>0.53</w:t>
            </w:r>
          </w:p>
        </w:tc>
        <w:tc>
          <w:tcPr>
            <w:tcW w:w="1457" w:type="dxa"/>
          </w:tcPr>
          <w:p w14:paraId="39BE65E5" w14:textId="77777777" w:rsidR="00194C48" w:rsidRDefault="00194C48">
            <w:r>
              <w:t>0.23</w:t>
            </w:r>
          </w:p>
          <w:p w14:paraId="77CE1CF6" w14:textId="77777777" w:rsidR="00A227D7" w:rsidRPr="00194C48" w:rsidRDefault="00A227D7" w:rsidP="009F13F7"/>
        </w:tc>
        <w:tc>
          <w:tcPr>
            <w:tcW w:w="1457" w:type="dxa"/>
          </w:tcPr>
          <w:p w14:paraId="393A02AD" w14:textId="56093D8B" w:rsidR="00A227D7" w:rsidRPr="00194C48" w:rsidRDefault="00194C48" w:rsidP="009F13F7">
            <w:r w:rsidRPr="00194C48">
              <w:t>0.07</w:t>
            </w:r>
          </w:p>
        </w:tc>
        <w:tc>
          <w:tcPr>
            <w:tcW w:w="1457" w:type="dxa"/>
          </w:tcPr>
          <w:p w14:paraId="0ED3D844" w14:textId="77777777" w:rsidR="00194C48" w:rsidRDefault="00194C48">
            <w:r>
              <w:t>0.08</w:t>
            </w:r>
          </w:p>
          <w:p w14:paraId="018583B0" w14:textId="77777777" w:rsidR="00A227D7" w:rsidRDefault="00A227D7" w:rsidP="009F13F7">
            <w:pPr>
              <w:rPr>
                <w:b/>
                <w:bCs/>
              </w:rPr>
            </w:pPr>
          </w:p>
        </w:tc>
        <w:tc>
          <w:tcPr>
            <w:tcW w:w="1378" w:type="dxa"/>
          </w:tcPr>
          <w:p w14:paraId="7A19AC6F" w14:textId="2E4AB599" w:rsidR="00A227D7" w:rsidRPr="00A059E3" w:rsidRDefault="00A059E3" w:rsidP="009F13F7">
            <w:r>
              <w:t>0.11</w:t>
            </w:r>
          </w:p>
        </w:tc>
      </w:tr>
      <w:tr w:rsidR="00A227D7" w14:paraId="16057544" w14:textId="77777777" w:rsidTr="00615DF5">
        <w:trPr>
          <w:trHeight w:val="1239"/>
        </w:trPr>
        <w:tc>
          <w:tcPr>
            <w:tcW w:w="2269" w:type="dxa"/>
          </w:tcPr>
          <w:p w14:paraId="7F4ED29C" w14:textId="411C2291" w:rsidR="00AB1D7D" w:rsidRPr="00AB1D7D" w:rsidRDefault="00AB1D7D" w:rsidP="009F13F7">
            <w:r>
              <w:t>Operating cash flow ratio</w:t>
            </w:r>
          </w:p>
        </w:tc>
        <w:tc>
          <w:tcPr>
            <w:tcW w:w="1378" w:type="dxa"/>
          </w:tcPr>
          <w:p w14:paraId="0DF2A15D" w14:textId="6C45F4CB" w:rsidR="00A227D7" w:rsidRPr="00AB1D7D" w:rsidRDefault="00AB1D7D" w:rsidP="009F13F7">
            <w:r>
              <w:t>0.42</w:t>
            </w:r>
          </w:p>
        </w:tc>
        <w:tc>
          <w:tcPr>
            <w:tcW w:w="1457" w:type="dxa"/>
          </w:tcPr>
          <w:p w14:paraId="30251579" w14:textId="495A0618" w:rsidR="00A227D7" w:rsidRPr="00AB1D7D" w:rsidRDefault="00AB1D7D" w:rsidP="009F13F7">
            <w:r>
              <w:t>0.58</w:t>
            </w:r>
          </w:p>
        </w:tc>
        <w:tc>
          <w:tcPr>
            <w:tcW w:w="1457" w:type="dxa"/>
          </w:tcPr>
          <w:p w14:paraId="4258805B" w14:textId="77777777" w:rsidR="008923B0" w:rsidRDefault="008923B0">
            <w:r>
              <w:t>0.55</w:t>
            </w:r>
          </w:p>
          <w:p w14:paraId="19B58EA3" w14:textId="77777777" w:rsidR="00A227D7" w:rsidRPr="008923B0" w:rsidRDefault="00A227D7" w:rsidP="009F13F7"/>
        </w:tc>
        <w:tc>
          <w:tcPr>
            <w:tcW w:w="1457" w:type="dxa"/>
          </w:tcPr>
          <w:p w14:paraId="652DC839" w14:textId="1FBB5A93" w:rsidR="00A227D7" w:rsidRPr="008923B0" w:rsidRDefault="008923B0" w:rsidP="009F13F7">
            <w:r w:rsidRPr="008923B0">
              <w:t>0.46</w:t>
            </w:r>
          </w:p>
        </w:tc>
        <w:tc>
          <w:tcPr>
            <w:tcW w:w="1378" w:type="dxa"/>
          </w:tcPr>
          <w:p w14:paraId="286717B6" w14:textId="58A49B1C" w:rsidR="00A227D7" w:rsidRPr="007E2C4A" w:rsidRDefault="007E2C4A" w:rsidP="009F13F7">
            <w:r>
              <w:t>0.52</w:t>
            </w:r>
          </w:p>
        </w:tc>
      </w:tr>
      <w:tr w:rsidR="00A227D7" w14:paraId="482D8859" w14:textId="77777777" w:rsidTr="00615DF5">
        <w:trPr>
          <w:trHeight w:val="830"/>
        </w:trPr>
        <w:tc>
          <w:tcPr>
            <w:tcW w:w="2269" w:type="dxa"/>
          </w:tcPr>
          <w:p w14:paraId="6A706481" w14:textId="3A678457" w:rsidR="00684289" w:rsidRPr="00684289" w:rsidRDefault="00684289" w:rsidP="009F13F7">
            <w:r>
              <w:t>Receivables days</w:t>
            </w:r>
          </w:p>
        </w:tc>
        <w:tc>
          <w:tcPr>
            <w:tcW w:w="1378" w:type="dxa"/>
          </w:tcPr>
          <w:p w14:paraId="74CC888B" w14:textId="718A6E73" w:rsidR="00A227D7" w:rsidRPr="00887870" w:rsidRDefault="00887870" w:rsidP="009F13F7">
            <w:r>
              <w:t>21.83</w:t>
            </w:r>
          </w:p>
        </w:tc>
        <w:tc>
          <w:tcPr>
            <w:tcW w:w="1457" w:type="dxa"/>
          </w:tcPr>
          <w:p w14:paraId="659F3AF9" w14:textId="0E733FF8" w:rsidR="00A227D7" w:rsidRPr="00FD0421" w:rsidRDefault="00FD0421" w:rsidP="009F13F7">
            <w:r>
              <w:t>12.97</w:t>
            </w:r>
          </w:p>
        </w:tc>
        <w:tc>
          <w:tcPr>
            <w:tcW w:w="1457" w:type="dxa"/>
          </w:tcPr>
          <w:p w14:paraId="28A653AD" w14:textId="2F2A9AF3" w:rsidR="00A227D7" w:rsidRPr="00FD0421" w:rsidRDefault="00FD0421" w:rsidP="009F13F7">
            <w:r>
              <w:t>13.23</w:t>
            </w:r>
          </w:p>
        </w:tc>
        <w:tc>
          <w:tcPr>
            <w:tcW w:w="1457" w:type="dxa"/>
          </w:tcPr>
          <w:p w14:paraId="0FE4D8EF" w14:textId="51BF424C" w:rsidR="00A227D7" w:rsidRPr="00FD0421" w:rsidRDefault="00FD0421" w:rsidP="009F13F7">
            <w:r>
              <w:t>13.23</w:t>
            </w:r>
          </w:p>
        </w:tc>
        <w:tc>
          <w:tcPr>
            <w:tcW w:w="1378" w:type="dxa"/>
          </w:tcPr>
          <w:p w14:paraId="59630E6E" w14:textId="65D3B75A" w:rsidR="00A227D7" w:rsidRPr="00FD0421" w:rsidRDefault="00FD0421" w:rsidP="009F13F7">
            <w:r>
              <w:t>16.51</w:t>
            </w:r>
          </w:p>
        </w:tc>
      </w:tr>
      <w:tr w:rsidR="00A227D7" w14:paraId="3BC2A3ED" w14:textId="77777777" w:rsidTr="00615DF5">
        <w:trPr>
          <w:trHeight w:val="815"/>
        </w:trPr>
        <w:tc>
          <w:tcPr>
            <w:tcW w:w="2269" w:type="dxa"/>
          </w:tcPr>
          <w:p w14:paraId="15D497E0" w14:textId="50F21190" w:rsidR="00A227D7" w:rsidRPr="0056409B" w:rsidRDefault="0056409B" w:rsidP="009F13F7">
            <w:r>
              <w:t>Inventory days</w:t>
            </w:r>
          </w:p>
        </w:tc>
        <w:tc>
          <w:tcPr>
            <w:tcW w:w="1378" w:type="dxa"/>
          </w:tcPr>
          <w:p w14:paraId="17D3222D" w14:textId="0F983DE3" w:rsidR="00A227D7" w:rsidRPr="00FD0421" w:rsidRDefault="00FD0421" w:rsidP="009F13F7">
            <w:r>
              <w:t>47.46</w:t>
            </w:r>
          </w:p>
        </w:tc>
        <w:tc>
          <w:tcPr>
            <w:tcW w:w="1457" w:type="dxa"/>
          </w:tcPr>
          <w:p w14:paraId="19D2DBDC" w14:textId="6F3F99B0" w:rsidR="00A227D7" w:rsidRPr="00FD0421" w:rsidRDefault="00FD0421" w:rsidP="009F13F7">
            <w:r>
              <w:t>39.04</w:t>
            </w:r>
          </w:p>
        </w:tc>
        <w:tc>
          <w:tcPr>
            <w:tcW w:w="1457" w:type="dxa"/>
          </w:tcPr>
          <w:p w14:paraId="494953A6" w14:textId="4202E0A8" w:rsidR="00A227D7" w:rsidRPr="00FD0421" w:rsidRDefault="00FD0421" w:rsidP="009F13F7">
            <w:r>
              <w:t>57.53</w:t>
            </w:r>
          </w:p>
        </w:tc>
        <w:tc>
          <w:tcPr>
            <w:tcW w:w="1457" w:type="dxa"/>
          </w:tcPr>
          <w:p w14:paraId="5843891E" w14:textId="77777777" w:rsidR="008319CC" w:rsidRDefault="008319CC">
            <w:r>
              <w:t>51.39</w:t>
            </w:r>
          </w:p>
          <w:p w14:paraId="1D1AE125" w14:textId="77777777" w:rsidR="00A227D7" w:rsidRPr="008319CC" w:rsidRDefault="00A227D7" w:rsidP="009F13F7"/>
        </w:tc>
        <w:tc>
          <w:tcPr>
            <w:tcW w:w="1378" w:type="dxa"/>
          </w:tcPr>
          <w:p w14:paraId="2B3C1A1D" w14:textId="616D6C9E" w:rsidR="00A227D7" w:rsidRPr="008319CC" w:rsidRDefault="008319CC" w:rsidP="002A02D9">
            <w:pPr>
              <w:keepNext/>
            </w:pPr>
            <w:r>
              <w:t>44.90</w:t>
            </w:r>
          </w:p>
        </w:tc>
      </w:tr>
    </w:tbl>
    <w:p w14:paraId="2F0C3806" w14:textId="319E68FD" w:rsidR="009F3CBA" w:rsidRPr="00615DF5" w:rsidRDefault="002A02D9" w:rsidP="00615DF5">
      <w:pPr>
        <w:pStyle w:val="Caption"/>
        <w:jc w:val="center"/>
      </w:pPr>
      <w:bookmarkStart w:id="39" w:name="_Toc227891335"/>
      <w:r>
        <w:t xml:space="preserve">Table </w:t>
      </w:r>
      <w:r>
        <w:fldChar w:fldCharType="begin"/>
      </w:r>
      <w:r>
        <w:instrText xml:space="preserve"> SEQ Table \* ARABIC </w:instrText>
      </w:r>
      <w:r>
        <w:fldChar w:fldCharType="separate"/>
      </w:r>
      <w:r w:rsidR="00CE50F1">
        <w:rPr>
          <w:noProof/>
        </w:rPr>
        <w:t>4</w:t>
      </w:r>
      <w:r>
        <w:fldChar w:fldCharType="end"/>
      </w:r>
      <w:r>
        <w:t xml:space="preserve"> (</w:t>
      </w:r>
      <w:r w:rsidRPr="0073104C">
        <w:t>Tesla five-year ratio analysis, 2020–2024</w:t>
      </w:r>
      <w:r w:rsidR="00615DF5">
        <w:t xml:space="preserve">, </w:t>
      </w:r>
      <w:r w:rsidR="00615DF5" w:rsidRPr="00615DF5">
        <w:t>Source: Author calculations based on Tesla Annual Reports 2020–2024.</w:t>
      </w:r>
      <w:r>
        <w:t>)</w:t>
      </w:r>
      <w:bookmarkEnd w:id="39"/>
    </w:p>
    <w:p w14:paraId="5D0911CA" w14:textId="77777777" w:rsidR="003271C7" w:rsidRDefault="003271C7" w:rsidP="009F13F7"/>
    <w:p w14:paraId="4F594B97" w14:textId="77777777" w:rsidR="00615DF5" w:rsidRDefault="00615DF5" w:rsidP="009F13F7"/>
    <w:p w14:paraId="687608D6" w14:textId="77777777" w:rsidR="00615DF5" w:rsidRDefault="00615DF5" w:rsidP="009F13F7"/>
    <w:p w14:paraId="4740DD69" w14:textId="77777777" w:rsidR="00615DF5" w:rsidRDefault="00615DF5" w:rsidP="009F13F7"/>
    <w:p w14:paraId="717562CB" w14:textId="5DA7913C" w:rsidR="00615DF5" w:rsidRDefault="00615DF5" w:rsidP="009F13F7">
      <w:pPr>
        <w:rPr>
          <w:b/>
          <w:bCs/>
          <w:u w:val="single"/>
        </w:rPr>
      </w:pPr>
      <w:r w:rsidRPr="00615DF5">
        <w:rPr>
          <w:b/>
          <w:bCs/>
          <w:u w:val="single"/>
        </w:rPr>
        <w:lastRenderedPageBreak/>
        <w:t>C: Working Capital and Cash Operating Cycle Calculations</w:t>
      </w:r>
    </w:p>
    <w:p w14:paraId="6B0446A0" w14:textId="77777777" w:rsidR="00615DF5" w:rsidRDefault="00615DF5" w:rsidP="009F13F7">
      <w:pPr>
        <w:rPr>
          <w:b/>
          <w:bCs/>
          <w:u w:val="single"/>
        </w:rPr>
      </w:pPr>
    </w:p>
    <w:tbl>
      <w:tblPr>
        <w:tblW w:w="8814" w:type="dxa"/>
        <w:tblCellSpacing w:w="15" w:type="dxa"/>
        <w:tblInd w:w="-105" w:type="dxa"/>
        <w:tblBorders>
          <w:top w:val="double" w:sz="4" w:space="0" w:color="156082" w:themeColor="accent1"/>
          <w:left w:val="double" w:sz="4" w:space="0" w:color="156082" w:themeColor="accent1"/>
          <w:right w:val="double" w:sz="4" w:space="0" w:color="156082" w:themeColor="accent1"/>
          <w:insideH w:val="double" w:sz="4" w:space="0" w:color="156082" w:themeColor="accent1"/>
          <w:insideV w:val="double" w:sz="4" w:space="0" w:color="156082" w:themeColor="accent1"/>
        </w:tblBorders>
        <w:tblCellMar>
          <w:top w:w="15" w:type="dxa"/>
          <w:left w:w="15" w:type="dxa"/>
          <w:bottom w:w="15" w:type="dxa"/>
          <w:right w:w="15" w:type="dxa"/>
        </w:tblCellMar>
        <w:tblLook w:val="04A0" w:firstRow="1" w:lastRow="0" w:firstColumn="1" w:lastColumn="0" w:noHBand="0" w:noVBand="1"/>
      </w:tblPr>
      <w:tblGrid>
        <w:gridCol w:w="3301"/>
        <w:gridCol w:w="1179"/>
        <w:gridCol w:w="1179"/>
        <w:gridCol w:w="1179"/>
        <w:gridCol w:w="998"/>
        <w:gridCol w:w="978"/>
      </w:tblGrid>
      <w:tr w:rsidR="00615DF5" w:rsidRPr="00615DF5" w14:paraId="339AAFC7" w14:textId="77777777" w:rsidTr="001A2C2E">
        <w:trPr>
          <w:trHeight w:val="647"/>
          <w:tblHeader/>
          <w:tblCellSpacing w:w="15" w:type="dxa"/>
        </w:trPr>
        <w:tc>
          <w:tcPr>
            <w:tcW w:w="3255" w:type="dxa"/>
            <w:vAlign w:val="center"/>
            <w:hideMark/>
          </w:tcPr>
          <w:p w14:paraId="0701BD0B" w14:textId="77777777" w:rsidR="00615DF5" w:rsidRPr="00615DF5" w:rsidRDefault="00615DF5" w:rsidP="00615DF5">
            <w:pPr>
              <w:rPr>
                <w:b/>
                <w:bCs/>
              </w:rPr>
            </w:pPr>
            <w:r w:rsidRPr="00615DF5">
              <w:rPr>
                <w:b/>
                <w:bCs/>
              </w:rPr>
              <w:t>Ratio</w:t>
            </w:r>
          </w:p>
        </w:tc>
        <w:tc>
          <w:tcPr>
            <w:tcW w:w="0" w:type="auto"/>
            <w:vAlign w:val="center"/>
            <w:hideMark/>
          </w:tcPr>
          <w:p w14:paraId="68BDF775" w14:textId="77777777" w:rsidR="00615DF5" w:rsidRPr="00615DF5" w:rsidRDefault="00615DF5" w:rsidP="00615DF5">
            <w:pPr>
              <w:rPr>
                <w:b/>
                <w:bCs/>
              </w:rPr>
            </w:pPr>
            <w:r w:rsidRPr="00615DF5">
              <w:rPr>
                <w:b/>
                <w:bCs/>
              </w:rPr>
              <w:t>2020</w:t>
            </w:r>
          </w:p>
        </w:tc>
        <w:tc>
          <w:tcPr>
            <w:tcW w:w="0" w:type="auto"/>
            <w:vAlign w:val="center"/>
            <w:hideMark/>
          </w:tcPr>
          <w:p w14:paraId="5ACB20A3" w14:textId="77777777" w:rsidR="00615DF5" w:rsidRPr="00615DF5" w:rsidRDefault="00615DF5" w:rsidP="00615DF5">
            <w:pPr>
              <w:rPr>
                <w:b/>
                <w:bCs/>
              </w:rPr>
            </w:pPr>
            <w:r w:rsidRPr="00615DF5">
              <w:rPr>
                <w:b/>
                <w:bCs/>
              </w:rPr>
              <w:t>2021</w:t>
            </w:r>
          </w:p>
        </w:tc>
        <w:tc>
          <w:tcPr>
            <w:tcW w:w="0" w:type="auto"/>
            <w:vAlign w:val="center"/>
            <w:hideMark/>
          </w:tcPr>
          <w:p w14:paraId="3DB004F3" w14:textId="77777777" w:rsidR="00615DF5" w:rsidRPr="00615DF5" w:rsidRDefault="00615DF5" w:rsidP="00615DF5">
            <w:pPr>
              <w:rPr>
                <w:b/>
                <w:bCs/>
              </w:rPr>
            </w:pPr>
            <w:r w:rsidRPr="00615DF5">
              <w:rPr>
                <w:b/>
                <w:bCs/>
              </w:rPr>
              <w:t>2022</w:t>
            </w:r>
          </w:p>
        </w:tc>
        <w:tc>
          <w:tcPr>
            <w:tcW w:w="0" w:type="auto"/>
            <w:vAlign w:val="center"/>
            <w:hideMark/>
          </w:tcPr>
          <w:p w14:paraId="24BAC229" w14:textId="77777777" w:rsidR="00615DF5" w:rsidRPr="00615DF5" w:rsidRDefault="00615DF5" w:rsidP="00615DF5">
            <w:pPr>
              <w:rPr>
                <w:b/>
                <w:bCs/>
              </w:rPr>
            </w:pPr>
            <w:r w:rsidRPr="00615DF5">
              <w:rPr>
                <w:b/>
                <w:bCs/>
              </w:rPr>
              <w:t>2023</w:t>
            </w:r>
          </w:p>
        </w:tc>
        <w:tc>
          <w:tcPr>
            <w:tcW w:w="0" w:type="auto"/>
            <w:vAlign w:val="center"/>
            <w:hideMark/>
          </w:tcPr>
          <w:p w14:paraId="2BB7573E" w14:textId="77777777" w:rsidR="00615DF5" w:rsidRPr="00615DF5" w:rsidRDefault="00615DF5" w:rsidP="00615DF5">
            <w:pPr>
              <w:rPr>
                <w:b/>
                <w:bCs/>
              </w:rPr>
            </w:pPr>
            <w:r w:rsidRPr="00615DF5">
              <w:rPr>
                <w:b/>
                <w:bCs/>
              </w:rPr>
              <w:t>2024</w:t>
            </w:r>
          </w:p>
        </w:tc>
      </w:tr>
      <w:tr w:rsidR="00615DF5" w:rsidRPr="00615DF5" w14:paraId="6D78D2C5" w14:textId="77777777" w:rsidTr="001A2C2E">
        <w:trPr>
          <w:trHeight w:val="664"/>
          <w:tblCellSpacing w:w="15" w:type="dxa"/>
        </w:trPr>
        <w:tc>
          <w:tcPr>
            <w:tcW w:w="3255" w:type="dxa"/>
            <w:vAlign w:val="center"/>
            <w:hideMark/>
          </w:tcPr>
          <w:p w14:paraId="50563F5B" w14:textId="77777777" w:rsidR="00615DF5" w:rsidRPr="00615DF5" w:rsidRDefault="00615DF5" w:rsidP="00615DF5">
            <w:r w:rsidRPr="00615DF5">
              <w:t>Receivables days</w:t>
            </w:r>
          </w:p>
        </w:tc>
        <w:tc>
          <w:tcPr>
            <w:tcW w:w="0" w:type="auto"/>
            <w:vAlign w:val="center"/>
            <w:hideMark/>
          </w:tcPr>
          <w:p w14:paraId="17C96CA3" w14:textId="77777777" w:rsidR="00615DF5" w:rsidRPr="00615DF5" w:rsidRDefault="00615DF5" w:rsidP="00615DF5">
            <w:r w:rsidRPr="00615DF5">
              <w:t>21.83</w:t>
            </w:r>
          </w:p>
        </w:tc>
        <w:tc>
          <w:tcPr>
            <w:tcW w:w="0" w:type="auto"/>
            <w:vAlign w:val="center"/>
            <w:hideMark/>
          </w:tcPr>
          <w:p w14:paraId="2559763E" w14:textId="77777777" w:rsidR="00615DF5" w:rsidRPr="00615DF5" w:rsidRDefault="00615DF5" w:rsidP="00615DF5">
            <w:r w:rsidRPr="00615DF5">
              <w:t>12.97</w:t>
            </w:r>
          </w:p>
        </w:tc>
        <w:tc>
          <w:tcPr>
            <w:tcW w:w="0" w:type="auto"/>
            <w:vAlign w:val="center"/>
            <w:hideMark/>
          </w:tcPr>
          <w:p w14:paraId="7419F7DF" w14:textId="77777777" w:rsidR="00615DF5" w:rsidRPr="00615DF5" w:rsidRDefault="00615DF5" w:rsidP="00615DF5">
            <w:r w:rsidRPr="00615DF5">
              <w:t>13.23</w:t>
            </w:r>
          </w:p>
        </w:tc>
        <w:tc>
          <w:tcPr>
            <w:tcW w:w="0" w:type="auto"/>
            <w:vAlign w:val="center"/>
            <w:hideMark/>
          </w:tcPr>
          <w:p w14:paraId="23470D91" w14:textId="77777777" w:rsidR="00615DF5" w:rsidRPr="00615DF5" w:rsidRDefault="00615DF5" w:rsidP="00615DF5">
            <w:r w:rsidRPr="00615DF5">
              <w:t>13.23</w:t>
            </w:r>
          </w:p>
        </w:tc>
        <w:tc>
          <w:tcPr>
            <w:tcW w:w="0" w:type="auto"/>
            <w:vAlign w:val="center"/>
            <w:hideMark/>
          </w:tcPr>
          <w:p w14:paraId="77E02859" w14:textId="77777777" w:rsidR="00615DF5" w:rsidRPr="00615DF5" w:rsidRDefault="00615DF5" w:rsidP="00615DF5">
            <w:r w:rsidRPr="00615DF5">
              <w:t>16.51</w:t>
            </w:r>
          </w:p>
        </w:tc>
      </w:tr>
      <w:tr w:rsidR="00615DF5" w:rsidRPr="00615DF5" w14:paraId="0CF96BF0" w14:textId="77777777" w:rsidTr="001A2C2E">
        <w:trPr>
          <w:trHeight w:val="647"/>
          <w:tblCellSpacing w:w="15" w:type="dxa"/>
        </w:trPr>
        <w:tc>
          <w:tcPr>
            <w:tcW w:w="3255" w:type="dxa"/>
            <w:vAlign w:val="center"/>
            <w:hideMark/>
          </w:tcPr>
          <w:p w14:paraId="4F3AB3E5" w14:textId="77777777" w:rsidR="00615DF5" w:rsidRPr="00615DF5" w:rsidRDefault="00615DF5" w:rsidP="00615DF5">
            <w:r w:rsidRPr="00615DF5">
              <w:t>Inventory days</w:t>
            </w:r>
          </w:p>
        </w:tc>
        <w:tc>
          <w:tcPr>
            <w:tcW w:w="0" w:type="auto"/>
            <w:vAlign w:val="center"/>
            <w:hideMark/>
          </w:tcPr>
          <w:p w14:paraId="1A143A6D" w14:textId="77777777" w:rsidR="00615DF5" w:rsidRPr="00615DF5" w:rsidRDefault="00615DF5" w:rsidP="00615DF5">
            <w:r w:rsidRPr="00615DF5">
              <w:t>47.47</w:t>
            </w:r>
          </w:p>
        </w:tc>
        <w:tc>
          <w:tcPr>
            <w:tcW w:w="0" w:type="auto"/>
            <w:vAlign w:val="center"/>
            <w:hideMark/>
          </w:tcPr>
          <w:p w14:paraId="15122019" w14:textId="77777777" w:rsidR="00615DF5" w:rsidRPr="00615DF5" w:rsidRDefault="00615DF5" w:rsidP="00615DF5">
            <w:r w:rsidRPr="00615DF5">
              <w:t>39.04</w:t>
            </w:r>
          </w:p>
        </w:tc>
        <w:tc>
          <w:tcPr>
            <w:tcW w:w="0" w:type="auto"/>
            <w:vAlign w:val="center"/>
            <w:hideMark/>
          </w:tcPr>
          <w:p w14:paraId="736610E8" w14:textId="77777777" w:rsidR="00615DF5" w:rsidRPr="00615DF5" w:rsidRDefault="00615DF5" w:rsidP="00615DF5">
            <w:r w:rsidRPr="00615DF5">
              <w:t>57.53</w:t>
            </w:r>
          </w:p>
        </w:tc>
        <w:tc>
          <w:tcPr>
            <w:tcW w:w="0" w:type="auto"/>
            <w:vAlign w:val="center"/>
            <w:hideMark/>
          </w:tcPr>
          <w:p w14:paraId="2DA38C78" w14:textId="77777777" w:rsidR="00615DF5" w:rsidRPr="00615DF5" w:rsidRDefault="00615DF5" w:rsidP="00615DF5">
            <w:r w:rsidRPr="00615DF5">
              <w:t>51.39</w:t>
            </w:r>
          </w:p>
        </w:tc>
        <w:tc>
          <w:tcPr>
            <w:tcW w:w="0" w:type="auto"/>
            <w:vAlign w:val="center"/>
            <w:hideMark/>
          </w:tcPr>
          <w:p w14:paraId="7650988E" w14:textId="77777777" w:rsidR="00615DF5" w:rsidRPr="00615DF5" w:rsidRDefault="00615DF5" w:rsidP="00615DF5">
            <w:r w:rsidRPr="00615DF5">
              <w:t>44.90</w:t>
            </w:r>
          </w:p>
        </w:tc>
      </w:tr>
      <w:tr w:rsidR="00615DF5" w:rsidRPr="00615DF5" w14:paraId="6AC67EA9" w14:textId="77777777" w:rsidTr="001A2C2E">
        <w:trPr>
          <w:trHeight w:val="647"/>
          <w:tblCellSpacing w:w="15" w:type="dxa"/>
        </w:trPr>
        <w:tc>
          <w:tcPr>
            <w:tcW w:w="3255" w:type="dxa"/>
            <w:vAlign w:val="center"/>
            <w:hideMark/>
          </w:tcPr>
          <w:p w14:paraId="57AE7C7A" w14:textId="77777777" w:rsidR="00615DF5" w:rsidRPr="00615DF5" w:rsidRDefault="00615DF5" w:rsidP="00615DF5">
            <w:r w:rsidRPr="00615DF5">
              <w:t>Payables days</w:t>
            </w:r>
          </w:p>
        </w:tc>
        <w:tc>
          <w:tcPr>
            <w:tcW w:w="0" w:type="auto"/>
            <w:vAlign w:val="center"/>
            <w:hideMark/>
          </w:tcPr>
          <w:p w14:paraId="5BEA2731" w14:textId="77777777" w:rsidR="00615DF5" w:rsidRPr="00615DF5" w:rsidRDefault="00615DF5" w:rsidP="00615DF5">
            <w:r w:rsidRPr="00615DF5">
              <w:t>88.68</w:t>
            </w:r>
          </w:p>
        </w:tc>
        <w:tc>
          <w:tcPr>
            <w:tcW w:w="0" w:type="auto"/>
            <w:vAlign w:val="center"/>
            <w:hideMark/>
          </w:tcPr>
          <w:p w14:paraId="40EE5898" w14:textId="77777777" w:rsidR="00615DF5" w:rsidRPr="00615DF5" w:rsidRDefault="00615DF5" w:rsidP="00615DF5">
            <w:r w:rsidRPr="00615DF5">
              <w:t>90.98</w:t>
            </w:r>
          </w:p>
        </w:tc>
        <w:tc>
          <w:tcPr>
            <w:tcW w:w="0" w:type="auto"/>
            <w:vAlign w:val="center"/>
            <w:hideMark/>
          </w:tcPr>
          <w:p w14:paraId="12C9983D" w14:textId="77777777" w:rsidR="00615DF5" w:rsidRPr="00615DF5" w:rsidRDefault="00615DF5" w:rsidP="00615DF5">
            <w:r w:rsidRPr="00615DF5">
              <w:t>91.87</w:t>
            </w:r>
          </w:p>
        </w:tc>
        <w:tc>
          <w:tcPr>
            <w:tcW w:w="0" w:type="auto"/>
            <w:vAlign w:val="center"/>
            <w:hideMark/>
          </w:tcPr>
          <w:p w14:paraId="5AE2078B" w14:textId="77777777" w:rsidR="00615DF5" w:rsidRPr="00615DF5" w:rsidRDefault="00615DF5" w:rsidP="00615DF5">
            <w:r w:rsidRPr="00615DF5">
              <w:t>66.58</w:t>
            </w:r>
          </w:p>
        </w:tc>
        <w:tc>
          <w:tcPr>
            <w:tcW w:w="0" w:type="auto"/>
            <w:vAlign w:val="center"/>
            <w:hideMark/>
          </w:tcPr>
          <w:p w14:paraId="2C483FDB" w14:textId="77777777" w:rsidR="00615DF5" w:rsidRPr="00615DF5" w:rsidRDefault="00615DF5" w:rsidP="00615DF5">
            <w:r w:rsidRPr="00615DF5">
              <w:t>56.74</w:t>
            </w:r>
          </w:p>
        </w:tc>
      </w:tr>
      <w:tr w:rsidR="00615DF5" w:rsidRPr="00615DF5" w14:paraId="4695E5D0" w14:textId="77777777" w:rsidTr="001A2C2E">
        <w:trPr>
          <w:trHeight w:val="647"/>
          <w:tblCellSpacing w:w="15" w:type="dxa"/>
        </w:trPr>
        <w:tc>
          <w:tcPr>
            <w:tcW w:w="3255" w:type="dxa"/>
            <w:vAlign w:val="center"/>
            <w:hideMark/>
          </w:tcPr>
          <w:p w14:paraId="5BF60BE2" w14:textId="77777777" w:rsidR="00615DF5" w:rsidRPr="00615DF5" w:rsidRDefault="00615DF5" w:rsidP="00615DF5">
            <w:r w:rsidRPr="00615DF5">
              <w:t>Cash operating cycle</w:t>
            </w:r>
          </w:p>
        </w:tc>
        <w:tc>
          <w:tcPr>
            <w:tcW w:w="0" w:type="auto"/>
            <w:vAlign w:val="center"/>
            <w:hideMark/>
          </w:tcPr>
          <w:p w14:paraId="0932CBED" w14:textId="77777777" w:rsidR="00615DF5" w:rsidRPr="00615DF5" w:rsidRDefault="00615DF5" w:rsidP="00615DF5">
            <w:r w:rsidRPr="00615DF5">
              <w:t>(19.38)</w:t>
            </w:r>
          </w:p>
        </w:tc>
        <w:tc>
          <w:tcPr>
            <w:tcW w:w="0" w:type="auto"/>
            <w:vAlign w:val="center"/>
            <w:hideMark/>
          </w:tcPr>
          <w:p w14:paraId="7CC5E902" w14:textId="77777777" w:rsidR="00615DF5" w:rsidRPr="00615DF5" w:rsidRDefault="00615DF5" w:rsidP="00615DF5">
            <w:r w:rsidRPr="00615DF5">
              <w:t>(38.97)</w:t>
            </w:r>
          </w:p>
        </w:tc>
        <w:tc>
          <w:tcPr>
            <w:tcW w:w="0" w:type="auto"/>
            <w:vAlign w:val="center"/>
            <w:hideMark/>
          </w:tcPr>
          <w:p w14:paraId="4F88EE7B" w14:textId="77777777" w:rsidR="00615DF5" w:rsidRPr="00615DF5" w:rsidRDefault="00615DF5" w:rsidP="00615DF5">
            <w:r w:rsidRPr="00615DF5">
              <w:t>(21.12)</w:t>
            </w:r>
          </w:p>
        </w:tc>
        <w:tc>
          <w:tcPr>
            <w:tcW w:w="0" w:type="auto"/>
            <w:vAlign w:val="center"/>
            <w:hideMark/>
          </w:tcPr>
          <w:p w14:paraId="5331CF28" w14:textId="77777777" w:rsidR="00615DF5" w:rsidRPr="00615DF5" w:rsidRDefault="00615DF5" w:rsidP="00615DF5">
            <w:r w:rsidRPr="00615DF5">
              <w:t>(1.96)</w:t>
            </w:r>
          </w:p>
        </w:tc>
        <w:tc>
          <w:tcPr>
            <w:tcW w:w="0" w:type="auto"/>
            <w:vAlign w:val="center"/>
            <w:hideMark/>
          </w:tcPr>
          <w:p w14:paraId="38E50FA4" w14:textId="77777777" w:rsidR="00615DF5" w:rsidRPr="00615DF5" w:rsidRDefault="00615DF5" w:rsidP="00615DF5">
            <w:pPr>
              <w:keepNext/>
            </w:pPr>
            <w:r w:rsidRPr="00615DF5">
              <w:t>4.66</w:t>
            </w:r>
          </w:p>
        </w:tc>
      </w:tr>
    </w:tbl>
    <w:p w14:paraId="34890E69" w14:textId="2F0D67C1" w:rsidR="00615DF5" w:rsidRDefault="00615DF5" w:rsidP="00615DF5">
      <w:pPr>
        <w:pStyle w:val="Caption"/>
        <w:jc w:val="center"/>
      </w:pPr>
      <w:bookmarkStart w:id="40" w:name="_Toc227891336"/>
      <w:r>
        <w:t xml:space="preserve">Table </w:t>
      </w:r>
      <w:r>
        <w:fldChar w:fldCharType="begin"/>
      </w:r>
      <w:r>
        <w:instrText xml:space="preserve"> SEQ Table \* ARABIC </w:instrText>
      </w:r>
      <w:r>
        <w:fldChar w:fldCharType="separate"/>
      </w:r>
      <w:r w:rsidR="00CE50F1">
        <w:rPr>
          <w:noProof/>
        </w:rPr>
        <w:t>5</w:t>
      </w:r>
      <w:r>
        <w:fldChar w:fldCharType="end"/>
      </w:r>
      <w:r>
        <w:t xml:space="preserve"> (</w:t>
      </w:r>
      <w:r w:rsidRPr="008D1AA9">
        <w:t>Author calculations based on Tesla Annual Reports 2020–2024.</w:t>
      </w:r>
      <w:r>
        <w:t>)</w:t>
      </w:r>
      <w:bookmarkEnd w:id="40"/>
    </w:p>
    <w:p w14:paraId="58E27143" w14:textId="77777777" w:rsidR="00615DF5" w:rsidRDefault="00615DF5" w:rsidP="00615DF5"/>
    <w:p w14:paraId="61D2D77B" w14:textId="70A50822" w:rsidR="00615DF5" w:rsidRPr="00615DF5" w:rsidRDefault="00615DF5" w:rsidP="00615DF5">
      <w:pPr>
        <w:rPr>
          <w:b/>
          <w:bCs/>
        </w:rPr>
      </w:pPr>
      <w:r w:rsidRPr="00615DF5">
        <w:rPr>
          <w:b/>
          <w:bCs/>
        </w:rPr>
        <w:t>Formula used:</w:t>
      </w:r>
    </w:p>
    <w:p w14:paraId="7CEC40E5" w14:textId="0635FBC3" w:rsidR="00615DF5" w:rsidRDefault="00615DF5" w:rsidP="00615DF5">
      <w:r>
        <w:t>Cash operating cycle = Inventory days + Receivables days – Payables days</w:t>
      </w:r>
    </w:p>
    <w:p w14:paraId="442189A4" w14:textId="6008219C" w:rsidR="00615DF5" w:rsidRPr="00615DF5" w:rsidRDefault="00615DF5" w:rsidP="00615DF5">
      <w:pPr>
        <w:rPr>
          <w:b/>
          <w:bCs/>
        </w:rPr>
      </w:pPr>
      <w:r w:rsidRPr="00615DF5">
        <w:rPr>
          <w:b/>
          <w:bCs/>
        </w:rPr>
        <w:t>2024 example calculations:</w:t>
      </w:r>
    </w:p>
    <w:p w14:paraId="7FB009C5" w14:textId="378B2E4E" w:rsidR="00615DF5" w:rsidRDefault="00615DF5" w:rsidP="00615DF5">
      <w:r>
        <w:t>Receivables days = 4,418 ÷ 97,690 × 365 = 16.51 days</w:t>
      </w:r>
      <w:r w:rsidR="001A2C2E">
        <w:t xml:space="preserve"> </w:t>
      </w:r>
    </w:p>
    <w:p w14:paraId="36C9A9AA" w14:textId="5DE68B49" w:rsidR="00615DF5" w:rsidRDefault="00615DF5" w:rsidP="00615DF5">
      <w:r>
        <w:t>Inventory days = 12,017 ÷ 97,690 × 365 = 44.90 days</w:t>
      </w:r>
    </w:p>
    <w:p w14:paraId="235D4FB3" w14:textId="707A5D36" w:rsidR="00615DF5" w:rsidRDefault="00615DF5" w:rsidP="00615DF5">
      <w:r>
        <w:t>Payables days = 12,474 ÷ 80,240 × 365 = 56.74 days</w:t>
      </w:r>
    </w:p>
    <w:p w14:paraId="1F011D0C" w14:textId="4DC744BE" w:rsidR="00615DF5" w:rsidRDefault="00615DF5" w:rsidP="00615DF5">
      <w:r>
        <w:t>Cash operating cycle = 44.90 + 16.51 – 56.74 = 4.66 days</w:t>
      </w:r>
    </w:p>
    <w:p w14:paraId="1C88AF36" w14:textId="77777777" w:rsidR="00615DF5" w:rsidRDefault="00615DF5" w:rsidP="00615DF5"/>
    <w:p w14:paraId="5BAF22AD" w14:textId="77777777" w:rsidR="00615DF5" w:rsidRDefault="00615DF5" w:rsidP="00615DF5"/>
    <w:p w14:paraId="60792EE4" w14:textId="77777777" w:rsidR="00615DF5" w:rsidRDefault="00615DF5" w:rsidP="00615DF5"/>
    <w:p w14:paraId="0223F34D" w14:textId="77777777" w:rsidR="00615DF5" w:rsidRDefault="00615DF5" w:rsidP="00615DF5"/>
    <w:p w14:paraId="6BF3917B" w14:textId="303A63DD" w:rsidR="00615DF5" w:rsidRDefault="00615DF5" w:rsidP="00615DF5">
      <w:pPr>
        <w:rPr>
          <w:b/>
          <w:bCs/>
          <w:u w:val="single"/>
        </w:rPr>
      </w:pPr>
      <w:r w:rsidRPr="00615DF5">
        <w:rPr>
          <w:b/>
          <w:bCs/>
          <w:u w:val="single"/>
        </w:rPr>
        <w:lastRenderedPageBreak/>
        <w:t>D: Investment Appraisal Calculations</w:t>
      </w:r>
    </w:p>
    <w:tbl>
      <w:tblPr>
        <w:tblW w:w="9669" w:type="dxa"/>
        <w:tblCellSpacing w:w="15" w:type="dxa"/>
        <w:tblBorders>
          <w:top w:val="double" w:sz="4" w:space="0" w:color="156082" w:themeColor="accent1"/>
          <w:left w:val="double" w:sz="4" w:space="0" w:color="156082" w:themeColor="accent1"/>
          <w:bottom w:val="double" w:sz="4" w:space="0" w:color="156082" w:themeColor="accent1"/>
          <w:right w:val="double" w:sz="4" w:space="0" w:color="156082" w:themeColor="accent1"/>
          <w:insideH w:val="double" w:sz="4" w:space="0" w:color="156082" w:themeColor="accent1"/>
          <w:insideV w:val="double" w:sz="4" w:space="0" w:color="156082" w:themeColor="accent1"/>
        </w:tblBorders>
        <w:tblCellMar>
          <w:top w:w="15" w:type="dxa"/>
          <w:left w:w="15" w:type="dxa"/>
          <w:bottom w:w="15" w:type="dxa"/>
          <w:right w:w="15" w:type="dxa"/>
        </w:tblCellMar>
        <w:tblLook w:val="04A0" w:firstRow="1" w:lastRow="0" w:firstColumn="1" w:lastColumn="0" w:noHBand="0" w:noVBand="1"/>
      </w:tblPr>
      <w:tblGrid>
        <w:gridCol w:w="2593"/>
        <w:gridCol w:w="2337"/>
        <w:gridCol w:w="2362"/>
        <w:gridCol w:w="2377"/>
      </w:tblGrid>
      <w:tr w:rsidR="00615DF5" w:rsidRPr="00615DF5" w14:paraId="4A593B70" w14:textId="77777777" w:rsidTr="00615DF5">
        <w:trPr>
          <w:trHeight w:val="696"/>
          <w:tblHeader/>
          <w:tblCellSpacing w:w="15" w:type="dxa"/>
        </w:trPr>
        <w:tc>
          <w:tcPr>
            <w:tcW w:w="0" w:type="auto"/>
            <w:vAlign w:val="center"/>
            <w:hideMark/>
          </w:tcPr>
          <w:p w14:paraId="749B1202" w14:textId="77777777" w:rsidR="00615DF5" w:rsidRPr="00615DF5" w:rsidRDefault="00615DF5" w:rsidP="00615DF5">
            <w:pPr>
              <w:rPr>
                <w:b/>
                <w:bCs/>
              </w:rPr>
            </w:pPr>
            <w:r w:rsidRPr="00615DF5">
              <w:rPr>
                <w:b/>
                <w:bCs/>
              </w:rPr>
              <w:t>Year</w:t>
            </w:r>
          </w:p>
        </w:tc>
        <w:tc>
          <w:tcPr>
            <w:tcW w:w="0" w:type="auto"/>
            <w:vAlign w:val="center"/>
            <w:hideMark/>
          </w:tcPr>
          <w:p w14:paraId="7C0ED248" w14:textId="77777777" w:rsidR="00615DF5" w:rsidRPr="00615DF5" w:rsidRDefault="00615DF5" w:rsidP="00615DF5">
            <w:pPr>
              <w:rPr>
                <w:b/>
                <w:bCs/>
              </w:rPr>
            </w:pPr>
            <w:r w:rsidRPr="00615DF5">
              <w:rPr>
                <w:b/>
                <w:bCs/>
              </w:rPr>
              <w:t>Project A (£m)</w:t>
            </w:r>
          </w:p>
        </w:tc>
        <w:tc>
          <w:tcPr>
            <w:tcW w:w="0" w:type="auto"/>
            <w:vAlign w:val="center"/>
            <w:hideMark/>
          </w:tcPr>
          <w:p w14:paraId="5FA60239" w14:textId="77777777" w:rsidR="00615DF5" w:rsidRPr="00615DF5" w:rsidRDefault="00615DF5" w:rsidP="00615DF5">
            <w:pPr>
              <w:rPr>
                <w:b/>
                <w:bCs/>
              </w:rPr>
            </w:pPr>
            <w:r w:rsidRPr="00615DF5">
              <w:rPr>
                <w:b/>
                <w:bCs/>
              </w:rPr>
              <w:t>Project B (£m)</w:t>
            </w:r>
          </w:p>
        </w:tc>
        <w:tc>
          <w:tcPr>
            <w:tcW w:w="0" w:type="auto"/>
            <w:vAlign w:val="center"/>
            <w:hideMark/>
          </w:tcPr>
          <w:p w14:paraId="7EB03E76" w14:textId="77777777" w:rsidR="00615DF5" w:rsidRPr="00615DF5" w:rsidRDefault="00615DF5" w:rsidP="00615DF5">
            <w:pPr>
              <w:rPr>
                <w:b/>
                <w:bCs/>
              </w:rPr>
            </w:pPr>
            <w:r w:rsidRPr="00615DF5">
              <w:rPr>
                <w:b/>
                <w:bCs/>
              </w:rPr>
              <w:t>Project C (£m)</w:t>
            </w:r>
          </w:p>
        </w:tc>
      </w:tr>
      <w:tr w:rsidR="00615DF5" w:rsidRPr="00615DF5" w14:paraId="631B85B7" w14:textId="77777777" w:rsidTr="00615DF5">
        <w:trPr>
          <w:trHeight w:val="714"/>
          <w:tblCellSpacing w:w="15" w:type="dxa"/>
        </w:trPr>
        <w:tc>
          <w:tcPr>
            <w:tcW w:w="0" w:type="auto"/>
            <w:vAlign w:val="center"/>
            <w:hideMark/>
          </w:tcPr>
          <w:p w14:paraId="5C4A1A38" w14:textId="77777777" w:rsidR="00615DF5" w:rsidRPr="00615DF5" w:rsidRDefault="00615DF5" w:rsidP="00615DF5">
            <w:r w:rsidRPr="00615DF5">
              <w:t>Initial investment</w:t>
            </w:r>
          </w:p>
        </w:tc>
        <w:tc>
          <w:tcPr>
            <w:tcW w:w="0" w:type="auto"/>
            <w:vAlign w:val="center"/>
            <w:hideMark/>
          </w:tcPr>
          <w:p w14:paraId="21DCAAB7" w14:textId="77777777" w:rsidR="00615DF5" w:rsidRPr="00615DF5" w:rsidRDefault="00615DF5" w:rsidP="00615DF5">
            <w:r w:rsidRPr="00615DF5">
              <w:t>(50)</w:t>
            </w:r>
          </w:p>
        </w:tc>
        <w:tc>
          <w:tcPr>
            <w:tcW w:w="0" w:type="auto"/>
            <w:vAlign w:val="center"/>
            <w:hideMark/>
          </w:tcPr>
          <w:p w14:paraId="298DF630" w14:textId="77777777" w:rsidR="00615DF5" w:rsidRPr="00615DF5" w:rsidRDefault="00615DF5" w:rsidP="00615DF5">
            <w:r w:rsidRPr="00615DF5">
              <w:t>(50)</w:t>
            </w:r>
          </w:p>
        </w:tc>
        <w:tc>
          <w:tcPr>
            <w:tcW w:w="0" w:type="auto"/>
            <w:vAlign w:val="center"/>
            <w:hideMark/>
          </w:tcPr>
          <w:p w14:paraId="462A62C2" w14:textId="77777777" w:rsidR="00615DF5" w:rsidRPr="00615DF5" w:rsidRDefault="00615DF5" w:rsidP="00615DF5">
            <w:r w:rsidRPr="00615DF5">
              <w:t>(50)</w:t>
            </w:r>
          </w:p>
        </w:tc>
      </w:tr>
      <w:tr w:rsidR="00615DF5" w:rsidRPr="00615DF5" w14:paraId="6D56B2BD" w14:textId="77777777" w:rsidTr="00615DF5">
        <w:trPr>
          <w:trHeight w:val="696"/>
          <w:tblCellSpacing w:w="15" w:type="dxa"/>
        </w:trPr>
        <w:tc>
          <w:tcPr>
            <w:tcW w:w="0" w:type="auto"/>
            <w:vAlign w:val="center"/>
            <w:hideMark/>
          </w:tcPr>
          <w:p w14:paraId="31E5A422" w14:textId="77777777" w:rsidR="00615DF5" w:rsidRPr="00615DF5" w:rsidRDefault="00615DF5" w:rsidP="00615DF5">
            <w:r w:rsidRPr="00615DF5">
              <w:t>1</w:t>
            </w:r>
          </w:p>
        </w:tc>
        <w:tc>
          <w:tcPr>
            <w:tcW w:w="0" w:type="auto"/>
            <w:vAlign w:val="center"/>
            <w:hideMark/>
          </w:tcPr>
          <w:p w14:paraId="51D68058" w14:textId="77777777" w:rsidR="00615DF5" w:rsidRPr="00615DF5" w:rsidRDefault="00615DF5" w:rsidP="00615DF5">
            <w:r w:rsidRPr="00615DF5">
              <w:t>10</w:t>
            </w:r>
          </w:p>
        </w:tc>
        <w:tc>
          <w:tcPr>
            <w:tcW w:w="0" w:type="auto"/>
            <w:vAlign w:val="center"/>
            <w:hideMark/>
          </w:tcPr>
          <w:p w14:paraId="2D06A190" w14:textId="77777777" w:rsidR="00615DF5" w:rsidRPr="00615DF5" w:rsidRDefault="00615DF5" w:rsidP="00615DF5">
            <w:r w:rsidRPr="00615DF5">
              <w:t>11</w:t>
            </w:r>
          </w:p>
        </w:tc>
        <w:tc>
          <w:tcPr>
            <w:tcW w:w="0" w:type="auto"/>
            <w:vAlign w:val="center"/>
            <w:hideMark/>
          </w:tcPr>
          <w:p w14:paraId="7270D2DF" w14:textId="77777777" w:rsidR="00615DF5" w:rsidRPr="00615DF5" w:rsidRDefault="00615DF5" w:rsidP="00615DF5">
            <w:r w:rsidRPr="00615DF5">
              <w:t>5</w:t>
            </w:r>
          </w:p>
        </w:tc>
      </w:tr>
      <w:tr w:rsidR="00615DF5" w:rsidRPr="00615DF5" w14:paraId="21777BF4" w14:textId="77777777" w:rsidTr="00615DF5">
        <w:trPr>
          <w:trHeight w:val="696"/>
          <w:tblCellSpacing w:w="15" w:type="dxa"/>
        </w:trPr>
        <w:tc>
          <w:tcPr>
            <w:tcW w:w="0" w:type="auto"/>
            <w:vAlign w:val="center"/>
            <w:hideMark/>
          </w:tcPr>
          <w:p w14:paraId="3213F512" w14:textId="77777777" w:rsidR="00615DF5" w:rsidRPr="00615DF5" w:rsidRDefault="00615DF5" w:rsidP="00615DF5">
            <w:r w:rsidRPr="00615DF5">
              <w:t>2</w:t>
            </w:r>
          </w:p>
        </w:tc>
        <w:tc>
          <w:tcPr>
            <w:tcW w:w="0" w:type="auto"/>
            <w:vAlign w:val="center"/>
            <w:hideMark/>
          </w:tcPr>
          <w:p w14:paraId="42AD897B" w14:textId="77777777" w:rsidR="00615DF5" w:rsidRPr="00615DF5" w:rsidRDefault="00615DF5" w:rsidP="00615DF5">
            <w:r w:rsidRPr="00615DF5">
              <w:t>12</w:t>
            </w:r>
          </w:p>
        </w:tc>
        <w:tc>
          <w:tcPr>
            <w:tcW w:w="0" w:type="auto"/>
            <w:vAlign w:val="center"/>
            <w:hideMark/>
          </w:tcPr>
          <w:p w14:paraId="16801AA3" w14:textId="77777777" w:rsidR="00615DF5" w:rsidRPr="00615DF5" w:rsidRDefault="00615DF5" w:rsidP="00615DF5">
            <w:r w:rsidRPr="00615DF5">
              <w:t>11</w:t>
            </w:r>
          </w:p>
        </w:tc>
        <w:tc>
          <w:tcPr>
            <w:tcW w:w="0" w:type="auto"/>
            <w:vAlign w:val="center"/>
            <w:hideMark/>
          </w:tcPr>
          <w:p w14:paraId="4B8AA8B8" w14:textId="77777777" w:rsidR="00615DF5" w:rsidRPr="00615DF5" w:rsidRDefault="00615DF5" w:rsidP="00615DF5">
            <w:r w:rsidRPr="00615DF5">
              <w:t>10</w:t>
            </w:r>
          </w:p>
        </w:tc>
      </w:tr>
      <w:tr w:rsidR="00615DF5" w:rsidRPr="00615DF5" w14:paraId="1BE1ACE0" w14:textId="77777777" w:rsidTr="00615DF5">
        <w:trPr>
          <w:trHeight w:val="696"/>
          <w:tblCellSpacing w:w="15" w:type="dxa"/>
        </w:trPr>
        <w:tc>
          <w:tcPr>
            <w:tcW w:w="0" w:type="auto"/>
            <w:vAlign w:val="center"/>
            <w:hideMark/>
          </w:tcPr>
          <w:p w14:paraId="7FDB02B3" w14:textId="77777777" w:rsidR="00615DF5" w:rsidRPr="00615DF5" w:rsidRDefault="00615DF5" w:rsidP="00615DF5">
            <w:r w:rsidRPr="00615DF5">
              <w:t>3</w:t>
            </w:r>
          </w:p>
        </w:tc>
        <w:tc>
          <w:tcPr>
            <w:tcW w:w="0" w:type="auto"/>
            <w:vAlign w:val="center"/>
            <w:hideMark/>
          </w:tcPr>
          <w:p w14:paraId="10037CAC" w14:textId="77777777" w:rsidR="00615DF5" w:rsidRPr="00615DF5" w:rsidRDefault="00615DF5" w:rsidP="00615DF5">
            <w:r w:rsidRPr="00615DF5">
              <w:t>14</w:t>
            </w:r>
          </w:p>
        </w:tc>
        <w:tc>
          <w:tcPr>
            <w:tcW w:w="0" w:type="auto"/>
            <w:vAlign w:val="center"/>
            <w:hideMark/>
          </w:tcPr>
          <w:p w14:paraId="70D29ED5" w14:textId="77777777" w:rsidR="00615DF5" w:rsidRPr="00615DF5" w:rsidRDefault="00615DF5" w:rsidP="00615DF5">
            <w:r w:rsidRPr="00615DF5">
              <w:t>11</w:t>
            </w:r>
          </w:p>
        </w:tc>
        <w:tc>
          <w:tcPr>
            <w:tcW w:w="0" w:type="auto"/>
            <w:vAlign w:val="center"/>
            <w:hideMark/>
          </w:tcPr>
          <w:p w14:paraId="5B24551A" w14:textId="77777777" w:rsidR="00615DF5" w:rsidRPr="00615DF5" w:rsidRDefault="00615DF5" w:rsidP="00615DF5">
            <w:r w:rsidRPr="00615DF5">
              <w:t>20</w:t>
            </w:r>
          </w:p>
        </w:tc>
      </w:tr>
      <w:tr w:rsidR="00615DF5" w:rsidRPr="00615DF5" w14:paraId="5CACDCDE" w14:textId="77777777" w:rsidTr="00615DF5">
        <w:trPr>
          <w:trHeight w:val="714"/>
          <w:tblCellSpacing w:w="15" w:type="dxa"/>
        </w:trPr>
        <w:tc>
          <w:tcPr>
            <w:tcW w:w="0" w:type="auto"/>
            <w:vAlign w:val="center"/>
            <w:hideMark/>
          </w:tcPr>
          <w:p w14:paraId="3BB1CC77" w14:textId="77777777" w:rsidR="00615DF5" w:rsidRPr="00615DF5" w:rsidRDefault="00615DF5" w:rsidP="00615DF5">
            <w:r w:rsidRPr="00615DF5">
              <w:t>4</w:t>
            </w:r>
          </w:p>
        </w:tc>
        <w:tc>
          <w:tcPr>
            <w:tcW w:w="0" w:type="auto"/>
            <w:vAlign w:val="center"/>
            <w:hideMark/>
          </w:tcPr>
          <w:p w14:paraId="2EFDC8D3" w14:textId="77777777" w:rsidR="00615DF5" w:rsidRPr="00615DF5" w:rsidRDefault="00615DF5" w:rsidP="00615DF5">
            <w:r w:rsidRPr="00615DF5">
              <w:t>10</w:t>
            </w:r>
          </w:p>
        </w:tc>
        <w:tc>
          <w:tcPr>
            <w:tcW w:w="0" w:type="auto"/>
            <w:vAlign w:val="center"/>
            <w:hideMark/>
          </w:tcPr>
          <w:p w14:paraId="590E0717" w14:textId="77777777" w:rsidR="00615DF5" w:rsidRPr="00615DF5" w:rsidRDefault="00615DF5" w:rsidP="00615DF5">
            <w:r w:rsidRPr="00615DF5">
              <w:t>11</w:t>
            </w:r>
          </w:p>
        </w:tc>
        <w:tc>
          <w:tcPr>
            <w:tcW w:w="0" w:type="auto"/>
            <w:vAlign w:val="center"/>
            <w:hideMark/>
          </w:tcPr>
          <w:p w14:paraId="0A32DF4A" w14:textId="77777777" w:rsidR="00615DF5" w:rsidRPr="00615DF5" w:rsidRDefault="00615DF5" w:rsidP="00615DF5">
            <w:r w:rsidRPr="00615DF5">
              <w:t>25</w:t>
            </w:r>
          </w:p>
        </w:tc>
      </w:tr>
      <w:tr w:rsidR="00615DF5" w:rsidRPr="00615DF5" w14:paraId="0B5DBCD0" w14:textId="77777777" w:rsidTr="00615DF5">
        <w:trPr>
          <w:trHeight w:val="696"/>
          <w:tblCellSpacing w:w="15" w:type="dxa"/>
        </w:trPr>
        <w:tc>
          <w:tcPr>
            <w:tcW w:w="0" w:type="auto"/>
            <w:vAlign w:val="center"/>
            <w:hideMark/>
          </w:tcPr>
          <w:p w14:paraId="6EA21952" w14:textId="77777777" w:rsidR="00615DF5" w:rsidRPr="00615DF5" w:rsidRDefault="00615DF5" w:rsidP="00615DF5">
            <w:r w:rsidRPr="00615DF5">
              <w:t>5</w:t>
            </w:r>
          </w:p>
        </w:tc>
        <w:tc>
          <w:tcPr>
            <w:tcW w:w="0" w:type="auto"/>
            <w:vAlign w:val="center"/>
            <w:hideMark/>
          </w:tcPr>
          <w:p w14:paraId="5BB25579" w14:textId="77777777" w:rsidR="00615DF5" w:rsidRPr="00615DF5" w:rsidRDefault="00615DF5" w:rsidP="00615DF5">
            <w:r w:rsidRPr="00615DF5">
              <w:t>8</w:t>
            </w:r>
          </w:p>
        </w:tc>
        <w:tc>
          <w:tcPr>
            <w:tcW w:w="0" w:type="auto"/>
            <w:vAlign w:val="center"/>
            <w:hideMark/>
          </w:tcPr>
          <w:p w14:paraId="6385F85E" w14:textId="77777777" w:rsidR="00615DF5" w:rsidRPr="00615DF5" w:rsidRDefault="00615DF5" w:rsidP="00615DF5">
            <w:r w:rsidRPr="00615DF5">
              <w:t>11</w:t>
            </w:r>
          </w:p>
        </w:tc>
        <w:tc>
          <w:tcPr>
            <w:tcW w:w="0" w:type="auto"/>
            <w:vAlign w:val="center"/>
            <w:hideMark/>
          </w:tcPr>
          <w:p w14:paraId="25962031" w14:textId="77777777" w:rsidR="00615DF5" w:rsidRPr="00615DF5" w:rsidRDefault="00615DF5" w:rsidP="00615DF5">
            <w:pPr>
              <w:keepNext/>
            </w:pPr>
            <w:r w:rsidRPr="00615DF5">
              <w:t>5</w:t>
            </w:r>
          </w:p>
        </w:tc>
      </w:tr>
    </w:tbl>
    <w:p w14:paraId="7EFED386" w14:textId="477941B1" w:rsidR="00615DF5" w:rsidRDefault="00615DF5" w:rsidP="00615DF5">
      <w:pPr>
        <w:pStyle w:val="Caption"/>
        <w:jc w:val="center"/>
      </w:pPr>
      <w:bookmarkStart w:id="41" w:name="_Toc227891337"/>
      <w:r>
        <w:t xml:space="preserve">Table </w:t>
      </w:r>
      <w:r>
        <w:fldChar w:fldCharType="begin"/>
      </w:r>
      <w:r>
        <w:instrText xml:space="preserve"> SEQ Table \* ARABIC </w:instrText>
      </w:r>
      <w:r>
        <w:fldChar w:fldCharType="separate"/>
      </w:r>
      <w:r w:rsidR="00CE50F1">
        <w:rPr>
          <w:noProof/>
        </w:rPr>
        <w:t>6</w:t>
      </w:r>
      <w:r>
        <w:fldChar w:fldCharType="end"/>
      </w:r>
      <w:r>
        <w:t xml:space="preserve"> (</w:t>
      </w:r>
      <w:r w:rsidRPr="00705B74">
        <w:t>Project cash flow data</w:t>
      </w:r>
      <w:r>
        <w:t>)</w:t>
      </w:r>
      <w:bookmarkEnd w:id="41"/>
    </w:p>
    <w:p w14:paraId="42F0A8D2" w14:textId="77777777" w:rsidR="00615DF5" w:rsidRDefault="00615DF5" w:rsidP="00615DF5"/>
    <w:p w14:paraId="7015A155" w14:textId="77777777" w:rsidR="00615DF5" w:rsidRDefault="00615DF5" w:rsidP="00615DF5"/>
    <w:p w14:paraId="5D950645" w14:textId="77777777" w:rsidR="00615DF5" w:rsidRDefault="00615DF5" w:rsidP="00615DF5"/>
    <w:p w14:paraId="6092B4C4" w14:textId="77777777" w:rsidR="00615DF5" w:rsidRDefault="00615DF5" w:rsidP="00615DF5"/>
    <w:p w14:paraId="2E754392" w14:textId="77777777" w:rsidR="00615DF5" w:rsidRDefault="00615DF5" w:rsidP="00615DF5"/>
    <w:p w14:paraId="26E8424F" w14:textId="77777777" w:rsidR="00615DF5" w:rsidRDefault="00615DF5" w:rsidP="00615DF5"/>
    <w:p w14:paraId="5F918A57" w14:textId="77777777" w:rsidR="00615DF5" w:rsidRDefault="00615DF5" w:rsidP="00615DF5"/>
    <w:p w14:paraId="3DD1B2EA" w14:textId="77777777" w:rsidR="00615DF5" w:rsidRDefault="00615DF5" w:rsidP="00615DF5"/>
    <w:tbl>
      <w:tblPr>
        <w:tblW w:w="0" w:type="auto"/>
        <w:tblCellSpacing w:w="15" w:type="dxa"/>
        <w:tblBorders>
          <w:top w:val="double" w:sz="4" w:space="0" w:color="156082" w:themeColor="accent1"/>
          <w:left w:val="double" w:sz="4" w:space="0" w:color="156082" w:themeColor="accent1"/>
          <w:bottom w:val="double" w:sz="4" w:space="0" w:color="156082" w:themeColor="accent1"/>
          <w:right w:val="double" w:sz="4" w:space="0" w:color="156082" w:themeColor="accent1"/>
          <w:insideH w:val="double" w:sz="4" w:space="0" w:color="156082" w:themeColor="accent1"/>
          <w:insideV w:val="double" w:sz="4" w:space="0" w:color="156082" w:themeColor="accent1"/>
        </w:tblBorders>
        <w:tblCellMar>
          <w:top w:w="15" w:type="dxa"/>
          <w:left w:w="15" w:type="dxa"/>
          <w:bottom w:w="15" w:type="dxa"/>
          <w:right w:w="15" w:type="dxa"/>
        </w:tblCellMar>
        <w:tblLook w:val="04A0" w:firstRow="1" w:lastRow="0" w:firstColumn="1" w:lastColumn="0" w:noHBand="0" w:noVBand="1"/>
      </w:tblPr>
      <w:tblGrid>
        <w:gridCol w:w="643"/>
        <w:gridCol w:w="2880"/>
        <w:gridCol w:w="2896"/>
        <w:gridCol w:w="2911"/>
      </w:tblGrid>
      <w:tr w:rsidR="00615DF5" w:rsidRPr="00615DF5" w14:paraId="6B21C52C" w14:textId="77777777" w:rsidTr="00615DF5">
        <w:trPr>
          <w:tblHeader/>
          <w:tblCellSpacing w:w="15" w:type="dxa"/>
        </w:trPr>
        <w:tc>
          <w:tcPr>
            <w:tcW w:w="0" w:type="auto"/>
            <w:vAlign w:val="center"/>
            <w:hideMark/>
          </w:tcPr>
          <w:p w14:paraId="5F44F292" w14:textId="77777777" w:rsidR="00615DF5" w:rsidRPr="00615DF5" w:rsidRDefault="00615DF5" w:rsidP="00615DF5">
            <w:pPr>
              <w:rPr>
                <w:b/>
                <w:bCs/>
              </w:rPr>
            </w:pPr>
            <w:r w:rsidRPr="00615DF5">
              <w:rPr>
                <w:b/>
                <w:bCs/>
              </w:rPr>
              <w:lastRenderedPageBreak/>
              <w:t>Year</w:t>
            </w:r>
          </w:p>
        </w:tc>
        <w:tc>
          <w:tcPr>
            <w:tcW w:w="0" w:type="auto"/>
            <w:vAlign w:val="center"/>
            <w:hideMark/>
          </w:tcPr>
          <w:p w14:paraId="731AA267" w14:textId="77777777" w:rsidR="00615DF5" w:rsidRPr="00615DF5" w:rsidRDefault="00615DF5" w:rsidP="00615DF5">
            <w:pPr>
              <w:rPr>
                <w:b/>
                <w:bCs/>
              </w:rPr>
            </w:pPr>
            <w:r w:rsidRPr="00615DF5">
              <w:rPr>
                <w:b/>
                <w:bCs/>
              </w:rPr>
              <w:t>Project A cumulative (£m)</w:t>
            </w:r>
          </w:p>
        </w:tc>
        <w:tc>
          <w:tcPr>
            <w:tcW w:w="0" w:type="auto"/>
            <w:vAlign w:val="center"/>
            <w:hideMark/>
          </w:tcPr>
          <w:p w14:paraId="5FD541AD" w14:textId="77777777" w:rsidR="00615DF5" w:rsidRPr="00615DF5" w:rsidRDefault="00615DF5" w:rsidP="00615DF5">
            <w:pPr>
              <w:rPr>
                <w:b/>
                <w:bCs/>
              </w:rPr>
            </w:pPr>
            <w:r w:rsidRPr="00615DF5">
              <w:rPr>
                <w:b/>
                <w:bCs/>
              </w:rPr>
              <w:t>Project B cumulative (£m)</w:t>
            </w:r>
          </w:p>
        </w:tc>
        <w:tc>
          <w:tcPr>
            <w:tcW w:w="0" w:type="auto"/>
            <w:vAlign w:val="center"/>
            <w:hideMark/>
          </w:tcPr>
          <w:p w14:paraId="13457838" w14:textId="77777777" w:rsidR="00615DF5" w:rsidRPr="00615DF5" w:rsidRDefault="00615DF5" w:rsidP="00615DF5">
            <w:pPr>
              <w:rPr>
                <w:b/>
                <w:bCs/>
              </w:rPr>
            </w:pPr>
            <w:r w:rsidRPr="00615DF5">
              <w:rPr>
                <w:b/>
                <w:bCs/>
              </w:rPr>
              <w:t>Project C cumulative (£m)</w:t>
            </w:r>
          </w:p>
        </w:tc>
      </w:tr>
      <w:tr w:rsidR="00615DF5" w:rsidRPr="00615DF5" w14:paraId="388ABEF5" w14:textId="77777777" w:rsidTr="00615DF5">
        <w:trPr>
          <w:tblCellSpacing w:w="15" w:type="dxa"/>
        </w:trPr>
        <w:tc>
          <w:tcPr>
            <w:tcW w:w="0" w:type="auto"/>
            <w:vAlign w:val="center"/>
            <w:hideMark/>
          </w:tcPr>
          <w:p w14:paraId="0996181B" w14:textId="77777777" w:rsidR="00615DF5" w:rsidRPr="00615DF5" w:rsidRDefault="00615DF5" w:rsidP="00615DF5">
            <w:r w:rsidRPr="00615DF5">
              <w:t>0</w:t>
            </w:r>
          </w:p>
        </w:tc>
        <w:tc>
          <w:tcPr>
            <w:tcW w:w="0" w:type="auto"/>
            <w:vAlign w:val="center"/>
            <w:hideMark/>
          </w:tcPr>
          <w:p w14:paraId="5E2785AB" w14:textId="77777777" w:rsidR="00615DF5" w:rsidRPr="00615DF5" w:rsidRDefault="00615DF5" w:rsidP="00615DF5">
            <w:r w:rsidRPr="00615DF5">
              <w:t>(50)</w:t>
            </w:r>
          </w:p>
        </w:tc>
        <w:tc>
          <w:tcPr>
            <w:tcW w:w="0" w:type="auto"/>
            <w:vAlign w:val="center"/>
            <w:hideMark/>
          </w:tcPr>
          <w:p w14:paraId="2D3FE45D" w14:textId="77777777" w:rsidR="00615DF5" w:rsidRPr="00615DF5" w:rsidRDefault="00615DF5" w:rsidP="00615DF5">
            <w:r w:rsidRPr="00615DF5">
              <w:t>(50)</w:t>
            </w:r>
          </w:p>
        </w:tc>
        <w:tc>
          <w:tcPr>
            <w:tcW w:w="0" w:type="auto"/>
            <w:vAlign w:val="center"/>
            <w:hideMark/>
          </w:tcPr>
          <w:p w14:paraId="07288534" w14:textId="77777777" w:rsidR="00615DF5" w:rsidRPr="00615DF5" w:rsidRDefault="00615DF5" w:rsidP="00615DF5">
            <w:r w:rsidRPr="00615DF5">
              <w:t>(50)</w:t>
            </w:r>
          </w:p>
        </w:tc>
      </w:tr>
      <w:tr w:rsidR="00615DF5" w:rsidRPr="00615DF5" w14:paraId="06929A64" w14:textId="77777777" w:rsidTr="00615DF5">
        <w:trPr>
          <w:tblCellSpacing w:w="15" w:type="dxa"/>
        </w:trPr>
        <w:tc>
          <w:tcPr>
            <w:tcW w:w="0" w:type="auto"/>
            <w:vAlign w:val="center"/>
            <w:hideMark/>
          </w:tcPr>
          <w:p w14:paraId="3DCC9725" w14:textId="77777777" w:rsidR="00615DF5" w:rsidRPr="00615DF5" w:rsidRDefault="00615DF5" w:rsidP="00615DF5">
            <w:r w:rsidRPr="00615DF5">
              <w:t>1</w:t>
            </w:r>
          </w:p>
        </w:tc>
        <w:tc>
          <w:tcPr>
            <w:tcW w:w="0" w:type="auto"/>
            <w:vAlign w:val="center"/>
            <w:hideMark/>
          </w:tcPr>
          <w:p w14:paraId="6CCF2D9F" w14:textId="77777777" w:rsidR="00615DF5" w:rsidRPr="00615DF5" w:rsidRDefault="00615DF5" w:rsidP="00615DF5">
            <w:r w:rsidRPr="00615DF5">
              <w:t>(40)</w:t>
            </w:r>
          </w:p>
        </w:tc>
        <w:tc>
          <w:tcPr>
            <w:tcW w:w="0" w:type="auto"/>
            <w:vAlign w:val="center"/>
            <w:hideMark/>
          </w:tcPr>
          <w:p w14:paraId="63161C07" w14:textId="77777777" w:rsidR="00615DF5" w:rsidRPr="00615DF5" w:rsidRDefault="00615DF5" w:rsidP="00615DF5">
            <w:r w:rsidRPr="00615DF5">
              <w:t>(39)</w:t>
            </w:r>
          </w:p>
        </w:tc>
        <w:tc>
          <w:tcPr>
            <w:tcW w:w="0" w:type="auto"/>
            <w:vAlign w:val="center"/>
            <w:hideMark/>
          </w:tcPr>
          <w:p w14:paraId="623E2EB4" w14:textId="77777777" w:rsidR="00615DF5" w:rsidRPr="00615DF5" w:rsidRDefault="00615DF5" w:rsidP="00615DF5">
            <w:r w:rsidRPr="00615DF5">
              <w:t>(45)</w:t>
            </w:r>
          </w:p>
        </w:tc>
      </w:tr>
      <w:tr w:rsidR="00615DF5" w:rsidRPr="00615DF5" w14:paraId="14602E34" w14:textId="77777777" w:rsidTr="00615DF5">
        <w:trPr>
          <w:tblCellSpacing w:w="15" w:type="dxa"/>
        </w:trPr>
        <w:tc>
          <w:tcPr>
            <w:tcW w:w="0" w:type="auto"/>
            <w:vAlign w:val="center"/>
            <w:hideMark/>
          </w:tcPr>
          <w:p w14:paraId="4139B07D" w14:textId="77777777" w:rsidR="00615DF5" w:rsidRPr="00615DF5" w:rsidRDefault="00615DF5" w:rsidP="00615DF5">
            <w:r w:rsidRPr="00615DF5">
              <w:t>2</w:t>
            </w:r>
          </w:p>
        </w:tc>
        <w:tc>
          <w:tcPr>
            <w:tcW w:w="0" w:type="auto"/>
            <w:vAlign w:val="center"/>
            <w:hideMark/>
          </w:tcPr>
          <w:p w14:paraId="5D349429" w14:textId="77777777" w:rsidR="00615DF5" w:rsidRPr="00615DF5" w:rsidRDefault="00615DF5" w:rsidP="00615DF5">
            <w:r w:rsidRPr="00615DF5">
              <w:t>(28)</w:t>
            </w:r>
          </w:p>
        </w:tc>
        <w:tc>
          <w:tcPr>
            <w:tcW w:w="0" w:type="auto"/>
            <w:vAlign w:val="center"/>
            <w:hideMark/>
          </w:tcPr>
          <w:p w14:paraId="4524C030" w14:textId="77777777" w:rsidR="00615DF5" w:rsidRPr="00615DF5" w:rsidRDefault="00615DF5" w:rsidP="00615DF5">
            <w:r w:rsidRPr="00615DF5">
              <w:t>(28)</w:t>
            </w:r>
          </w:p>
        </w:tc>
        <w:tc>
          <w:tcPr>
            <w:tcW w:w="0" w:type="auto"/>
            <w:vAlign w:val="center"/>
            <w:hideMark/>
          </w:tcPr>
          <w:p w14:paraId="2DEDBC5E" w14:textId="77777777" w:rsidR="00615DF5" w:rsidRPr="00615DF5" w:rsidRDefault="00615DF5" w:rsidP="00615DF5">
            <w:r w:rsidRPr="00615DF5">
              <w:t>(35)</w:t>
            </w:r>
          </w:p>
        </w:tc>
      </w:tr>
      <w:tr w:rsidR="00615DF5" w:rsidRPr="00615DF5" w14:paraId="5FF73371" w14:textId="77777777" w:rsidTr="00615DF5">
        <w:trPr>
          <w:tblCellSpacing w:w="15" w:type="dxa"/>
        </w:trPr>
        <w:tc>
          <w:tcPr>
            <w:tcW w:w="0" w:type="auto"/>
            <w:vAlign w:val="center"/>
            <w:hideMark/>
          </w:tcPr>
          <w:p w14:paraId="48D94261" w14:textId="77777777" w:rsidR="00615DF5" w:rsidRPr="00615DF5" w:rsidRDefault="00615DF5" w:rsidP="00615DF5">
            <w:r w:rsidRPr="00615DF5">
              <w:t>3</w:t>
            </w:r>
          </w:p>
        </w:tc>
        <w:tc>
          <w:tcPr>
            <w:tcW w:w="0" w:type="auto"/>
            <w:vAlign w:val="center"/>
            <w:hideMark/>
          </w:tcPr>
          <w:p w14:paraId="51D453A3" w14:textId="77777777" w:rsidR="00615DF5" w:rsidRPr="00615DF5" w:rsidRDefault="00615DF5" w:rsidP="00615DF5">
            <w:r w:rsidRPr="00615DF5">
              <w:t>(14)</w:t>
            </w:r>
          </w:p>
        </w:tc>
        <w:tc>
          <w:tcPr>
            <w:tcW w:w="0" w:type="auto"/>
            <w:vAlign w:val="center"/>
            <w:hideMark/>
          </w:tcPr>
          <w:p w14:paraId="59996A3B" w14:textId="77777777" w:rsidR="00615DF5" w:rsidRPr="00615DF5" w:rsidRDefault="00615DF5" w:rsidP="00615DF5">
            <w:r w:rsidRPr="00615DF5">
              <w:t>(17)</w:t>
            </w:r>
          </w:p>
        </w:tc>
        <w:tc>
          <w:tcPr>
            <w:tcW w:w="0" w:type="auto"/>
            <w:vAlign w:val="center"/>
            <w:hideMark/>
          </w:tcPr>
          <w:p w14:paraId="6D8D475A" w14:textId="77777777" w:rsidR="00615DF5" w:rsidRPr="00615DF5" w:rsidRDefault="00615DF5" w:rsidP="00615DF5">
            <w:r w:rsidRPr="00615DF5">
              <w:t>(15)</w:t>
            </w:r>
          </w:p>
        </w:tc>
      </w:tr>
      <w:tr w:rsidR="00615DF5" w:rsidRPr="00615DF5" w14:paraId="6A9EC236" w14:textId="77777777" w:rsidTr="00615DF5">
        <w:trPr>
          <w:tblCellSpacing w:w="15" w:type="dxa"/>
        </w:trPr>
        <w:tc>
          <w:tcPr>
            <w:tcW w:w="0" w:type="auto"/>
            <w:vAlign w:val="center"/>
            <w:hideMark/>
          </w:tcPr>
          <w:p w14:paraId="297D57AF" w14:textId="77777777" w:rsidR="00615DF5" w:rsidRPr="00615DF5" w:rsidRDefault="00615DF5" w:rsidP="00615DF5">
            <w:r w:rsidRPr="00615DF5">
              <w:t>4</w:t>
            </w:r>
          </w:p>
        </w:tc>
        <w:tc>
          <w:tcPr>
            <w:tcW w:w="0" w:type="auto"/>
            <w:vAlign w:val="center"/>
            <w:hideMark/>
          </w:tcPr>
          <w:p w14:paraId="4899A20D" w14:textId="77777777" w:rsidR="00615DF5" w:rsidRPr="00615DF5" w:rsidRDefault="00615DF5" w:rsidP="00615DF5">
            <w:r w:rsidRPr="00615DF5">
              <w:t>(4)</w:t>
            </w:r>
          </w:p>
        </w:tc>
        <w:tc>
          <w:tcPr>
            <w:tcW w:w="0" w:type="auto"/>
            <w:vAlign w:val="center"/>
            <w:hideMark/>
          </w:tcPr>
          <w:p w14:paraId="48EA9F85" w14:textId="77777777" w:rsidR="00615DF5" w:rsidRPr="00615DF5" w:rsidRDefault="00615DF5" w:rsidP="00615DF5">
            <w:r w:rsidRPr="00615DF5">
              <w:t>(6)</w:t>
            </w:r>
          </w:p>
        </w:tc>
        <w:tc>
          <w:tcPr>
            <w:tcW w:w="0" w:type="auto"/>
            <w:vAlign w:val="center"/>
            <w:hideMark/>
          </w:tcPr>
          <w:p w14:paraId="6BF68023" w14:textId="77777777" w:rsidR="00615DF5" w:rsidRPr="00615DF5" w:rsidRDefault="00615DF5" w:rsidP="00615DF5">
            <w:r w:rsidRPr="00615DF5">
              <w:t>10</w:t>
            </w:r>
          </w:p>
        </w:tc>
      </w:tr>
      <w:tr w:rsidR="00615DF5" w:rsidRPr="00615DF5" w14:paraId="0D759FD2" w14:textId="77777777" w:rsidTr="00615DF5">
        <w:trPr>
          <w:tblCellSpacing w:w="15" w:type="dxa"/>
        </w:trPr>
        <w:tc>
          <w:tcPr>
            <w:tcW w:w="0" w:type="auto"/>
            <w:vAlign w:val="center"/>
            <w:hideMark/>
          </w:tcPr>
          <w:p w14:paraId="678D896D" w14:textId="77777777" w:rsidR="00615DF5" w:rsidRPr="00615DF5" w:rsidRDefault="00615DF5" w:rsidP="00615DF5">
            <w:r w:rsidRPr="00615DF5">
              <w:t>5</w:t>
            </w:r>
          </w:p>
        </w:tc>
        <w:tc>
          <w:tcPr>
            <w:tcW w:w="0" w:type="auto"/>
            <w:vAlign w:val="center"/>
            <w:hideMark/>
          </w:tcPr>
          <w:p w14:paraId="3BDE0572" w14:textId="77777777" w:rsidR="00615DF5" w:rsidRPr="00615DF5" w:rsidRDefault="00615DF5" w:rsidP="00615DF5">
            <w:r w:rsidRPr="00615DF5">
              <w:t>4</w:t>
            </w:r>
          </w:p>
        </w:tc>
        <w:tc>
          <w:tcPr>
            <w:tcW w:w="0" w:type="auto"/>
            <w:vAlign w:val="center"/>
            <w:hideMark/>
          </w:tcPr>
          <w:p w14:paraId="4F83C100" w14:textId="77777777" w:rsidR="00615DF5" w:rsidRPr="00615DF5" w:rsidRDefault="00615DF5" w:rsidP="00615DF5">
            <w:r w:rsidRPr="00615DF5">
              <w:t>5</w:t>
            </w:r>
          </w:p>
        </w:tc>
        <w:tc>
          <w:tcPr>
            <w:tcW w:w="0" w:type="auto"/>
            <w:vAlign w:val="center"/>
            <w:hideMark/>
          </w:tcPr>
          <w:p w14:paraId="0C900DFF" w14:textId="77777777" w:rsidR="00615DF5" w:rsidRPr="00615DF5" w:rsidRDefault="00615DF5" w:rsidP="00CE50F1">
            <w:pPr>
              <w:keepNext/>
            </w:pPr>
            <w:r w:rsidRPr="00615DF5">
              <w:t>15</w:t>
            </w:r>
          </w:p>
        </w:tc>
      </w:tr>
    </w:tbl>
    <w:p w14:paraId="1EBE5368" w14:textId="78076754" w:rsidR="00615DF5" w:rsidRDefault="00CE50F1" w:rsidP="00CE50F1">
      <w:pPr>
        <w:pStyle w:val="Caption"/>
        <w:jc w:val="center"/>
      </w:pPr>
      <w:bookmarkStart w:id="42" w:name="_Toc227891338"/>
      <w:r>
        <w:t xml:space="preserve">Table </w:t>
      </w:r>
      <w:r>
        <w:fldChar w:fldCharType="begin"/>
      </w:r>
      <w:r>
        <w:instrText xml:space="preserve"> SEQ Table \* ARABIC </w:instrText>
      </w:r>
      <w:r>
        <w:fldChar w:fldCharType="separate"/>
      </w:r>
      <w:r>
        <w:rPr>
          <w:noProof/>
        </w:rPr>
        <w:t>7</w:t>
      </w:r>
      <w:r>
        <w:fldChar w:fldCharType="end"/>
      </w:r>
      <w:r>
        <w:t xml:space="preserve"> (</w:t>
      </w:r>
      <w:r w:rsidRPr="000D5F77">
        <w:t>Payback period calculations</w:t>
      </w:r>
      <w:r>
        <w:t>)</w:t>
      </w:r>
      <w:bookmarkEnd w:id="42"/>
    </w:p>
    <w:p w14:paraId="321FEFFC" w14:textId="77777777" w:rsidR="00CE50F1" w:rsidRDefault="00CE50F1" w:rsidP="00CE50F1"/>
    <w:p w14:paraId="2D745642" w14:textId="0D2D172A" w:rsidR="00CE50F1" w:rsidRPr="00CE50F1" w:rsidRDefault="00CE50F1" w:rsidP="00CE50F1">
      <w:pPr>
        <w:rPr>
          <w:b/>
          <w:bCs/>
        </w:rPr>
      </w:pPr>
      <w:r w:rsidRPr="00CE50F1">
        <w:rPr>
          <w:b/>
          <w:bCs/>
        </w:rPr>
        <w:t>Payback results:</w:t>
      </w:r>
    </w:p>
    <w:p w14:paraId="631DF31F" w14:textId="77777777" w:rsidR="00CE50F1" w:rsidRDefault="00CE50F1" w:rsidP="00CE50F1">
      <w:r>
        <w:t>Project A = 4 years + 4 ÷ 8 = 4.50 years</w:t>
      </w:r>
    </w:p>
    <w:p w14:paraId="0F04E19A" w14:textId="77777777" w:rsidR="00CE50F1" w:rsidRDefault="00CE50F1" w:rsidP="00CE50F1">
      <w:r>
        <w:t>Project B = 4 years + 6 ÷ 11 = 4.55 years</w:t>
      </w:r>
    </w:p>
    <w:p w14:paraId="3E248537" w14:textId="494F95A8" w:rsidR="00CE50F1" w:rsidRDefault="00CE50F1" w:rsidP="00CE50F1">
      <w:r>
        <w:t>Project C = 3 years + 15 ÷ 25 = 3.60 years</w:t>
      </w:r>
    </w:p>
    <w:p w14:paraId="5894BDE3" w14:textId="77777777" w:rsidR="00CE50F1" w:rsidRDefault="00CE50F1" w:rsidP="00CE50F1"/>
    <w:p w14:paraId="42C861D3" w14:textId="77777777" w:rsidR="00CE50F1" w:rsidRDefault="00CE50F1" w:rsidP="00CE50F1"/>
    <w:p w14:paraId="51DD5662" w14:textId="77777777" w:rsidR="00CE50F1" w:rsidRDefault="00CE50F1" w:rsidP="00CE50F1"/>
    <w:p w14:paraId="672D8404" w14:textId="77777777" w:rsidR="00CE50F1" w:rsidRDefault="00CE50F1" w:rsidP="00CE50F1"/>
    <w:p w14:paraId="0D0B970F" w14:textId="77777777" w:rsidR="00CE50F1" w:rsidRDefault="00CE50F1" w:rsidP="00CE50F1"/>
    <w:p w14:paraId="1FB6D0E6" w14:textId="77777777" w:rsidR="00CE50F1" w:rsidRDefault="00CE50F1" w:rsidP="00CE50F1"/>
    <w:p w14:paraId="0AABC812" w14:textId="77777777" w:rsidR="00CE50F1" w:rsidRDefault="00CE50F1" w:rsidP="00CE50F1"/>
    <w:p w14:paraId="5DD38970" w14:textId="174C740B" w:rsidR="00CE50F1" w:rsidRPr="00CE50F1" w:rsidRDefault="00CE50F1" w:rsidP="00CE50F1">
      <w:pPr>
        <w:rPr>
          <w:b/>
          <w:bCs/>
        </w:rPr>
      </w:pPr>
      <w:r w:rsidRPr="00CE50F1">
        <w:rPr>
          <w:b/>
          <w:bCs/>
        </w:rPr>
        <w:lastRenderedPageBreak/>
        <w:t>Accounting rate of return calculations</w:t>
      </w:r>
    </w:p>
    <w:p w14:paraId="259D11BD" w14:textId="1C320EC9" w:rsidR="00CE50F1" w:rsidRPr="00CE50F1" w:rsidRDefault="00CE50F1" w:rsidP="00CE50F1">
      <w:r w:rsidRPr="00CE50F1">
        <w:t>Straight-line depreciation per year = £50m ÷ 5 = £10m per year</w:t>
      </w:r>
    </w:p>
    <w:tbl>
      <w:tblPr>
        <w:tblW w:w="8420" w:type="dxa"/>
        <w:tblCellSpacing w:w="15" w:type="dxa"/>
        <w:tblBorders>
          <w:top w:val="double" w:sz="4" w:space="0" w:color="156082" w:themeColor="accent1"/>
          <w:left w:val="double" w:sz="4" w:space="0" w:color="156082" w:themeColor="accent1"/>
          <w:bottom w:val="double" w:sz="4" w:space="0" w:color="156082" w:themeColor="accent1"/>
          <w:right w:val="double" w:sz="4" w:space="0" w:color="156082" w:themeColor="accent1"/>
          <w:insideH w:val="double" w:sz="4" w:space="0" w:color="156082" w:themeColor="accent1"/>
          <w:insideV w:val="double" w:sz="4" w:space="0" w:color="156082" w:themeColor="accent1"/>
        </w:tblBorders>
        <w:tblCellMar>
          <w:top w:w="15" w:type="dxa"/>
          <w:left w:w="15" w:type="dxa"/>
          <w:bottom w:w="15" w:type="dxa"/>
          <w:right w:w="15" w:type="dxa"/>
        </w:tblCellMar>
        <w:tblLook w:val="04A0" w:firstRow="1" w:lastRow="0" w:firstColumn="1" w:lastColumn="0" w:noHBand="0" w:noVBand="1"/>
      </w:tblPr>
      <w:tblGrid>
        <w:gridCol w:w="3988"/>
        <w:gridCol w:w="1465"/>
        <w:gridCol w:w="1476"/>
        <w:gridCol w:w="1491"/>
      </w:tblGrid>
      <w:tr w:rsidR="00CE50F1" w:rsidRPr="00CE50F1" w14:paraId="754FE6F8" w14:textId="77777777" w:rsidTr="00CE50F1">
        <w:trPr>
          <w:trHeight w:val="1139"/>
          <w:tblHeader/>
          <w:tblCellSpacing w:w="15" w:type="dxa"/>
        </w:trPr>
        <w:tc>
          <w:tcPr>
            <w:tcW w:w="0" w:type="auto"/>
            <w:vAlign w:val="center"/>
            <w:hideMark/>
          </w:tcPr>
          <w:p w14:paraId="78DBE9AD" w14:textId="77777777" w:rsidR="00CE50F1" w:rsidRPr="00CE50F1" w:rsidRDefault="00CE50F1" w:rsidP="00CE50F1">
            <w:pPr>
              <w:rPr>
                <w:b/>
                <w:bCs/>
              </w:rPr>
            </w:pPr>
            <w:r w:rsidRPr="00CE50F1">
              <w:rPr>
                <w:b/>
                <w:bCs/>
              </w:rPr>
              <w:t>Item</w:t>
            </w:r>
          </w:p>
        </w:tc>
        <w:tc>
          <w:tcPr>
            <w:tcW w:w="0" w:type="auto"/>
            <w:vAlign w:val="center"/>
            <w:hideMark/>
          </w:tcPr>
          <w:p w14:paraId="27A09D97" w14:textId="77777777" w:rsidR="00CE50F1" w:rsidRPr="00CE50F1" w:rsidRDefault="00CE50F1" w:rsidP="00CE50F1">
            <w:pPr>
              <w:rPr>
                <w:b/>
                <w:bCs/>
              </w:rPr>
            </w:pPr>
            <w:r w:rsidRPr="00CE50F1">
              <w:rPr>
                <w:b/>
                <w:bCs/>
              </w:rPr>
              <w:t>Project A</w:t>
            </w:r>
          </w:p>
        </w:tc>
        <w:tc>
          <w:tcPr>
            <w:tcW w:w="0" w:type="auto"/>
            <w:vAlign w:val="center"/>
            <w:hideMark/>
          </w:tcPr>
          <w:p w14:paraId="57CA7A8D" w14:textId="77777777" w:rsidR="00CE50F1" w:rsidRPr="00CE50F1" w:rsidRDefault="00CE50F1" w:rsidP="00CE50F1">
            <w:pPr>
              <w:rPr>
                <w:b/>
                <w:bCs/>
              </w:rPr>
            </w:pPr>
            <w:r w:rsidRPr="00CE50F1">
              <w:rPr>
                <w:b/>
                <w:bCs/>
              </w:rPr>
              <w:t>Project B</w:t>
            </w:r>
          </w:p>
        </w:tc>
        <w:tc>
          <w:tcPr>
            <w:tcW w:w="0" w:type="auto"/>
            <w:vAlign w:val="center"/>
            <w:hideMark/>
          </w:tcPr>
          <w:p w14:paraId="0DCC651E" w14:textId="77777777" w:rsidR="00CE50F1" w:rsidRPr="00CE50F1" w:rsidRDefault="00CE50F1" w:rsidP="00CE50F1">
            <w:pPr>
              <w:rPr>
                <w:b/>
                <w:bCs/>
              </w:rPr>
            </w:pPr>
            <w:r w:rsidRPr="00CE50F1">
              <w:rPr>
                <w:b/>
                <w:bCs/>
              </w:rPr>
              <w:t>Project C</w:t>
            </w:r>
          </w:p>
        </w:tc>
      </w:tr>
      <w:tr w:rsidR="00CE50F1" w:rsidRPr="00CE50F1" w14:paraId="285120CC" w14:textId="77777777" w:rsidTr="00CE50F1">
        <w:trPr>
          <w:trHeight w:val="1169"/>
          <w:tblCellSpacing w:w="15" w:type="dxa"/>
        </w:trPr>
        <w:tc>
          <w:tcPr>
            <w:tcW w:w="0" w:type="auto"/>
            <w:vAlign w:val="center"/>
            <w:hideMark/>
          </w:tcPr>
          <w:p w14:paraId="155CA558" w14:textId="77777777" w:rsidR="00CE50F1" w:rsidRPr="00CE50F1" w:rsidRDefault="00CE50F1" w:rsidP="00CE50F1">
            <w:r w:rsidRPr="00CE50F1">
              <w:t>Total cash inflows (£m)</w:t>
            </w:r>
          </w:p>
        </w:tc>
        <w:tc>
          <w:tcPr>
            <w:tcW w:w="0" w:type="auto"/>
            <w:vAlign w:val="center"/>
            <w:hideMark/>
          </w:tcPr>
          <w:p w14:paraId="1E3FCE27" w14:textId="77777777" w:rsidR="00CE50F1" w:rsidRPr="00CE50F1" w:rsidRDefault="00CE50F1" w:rsidP="00CE50F1">
            <w:r w:rsidRPr="00CE50F1">
              <w:t>54</w:t>
            </w:r>
          </w:p>
        </w:tc>
        <w:tc>
          <w:tcPr>
            <w:tcW w:w="0" w:type="auto"/>
            <w:vAlign w:val="center"/>
            <w:hideMark/>
          </w:tcPr>
          <w:p w14:paraId="10D475F4" w14:textId="77777777" w:rsidR="00CE50F1" w:rsidRPr="00CE50F1" w:rsidRDefault="00CE50F1" w:rsidP="00CE50F1">
            <w:r w:rsidRPr="00CE50F1">
              <w:t>55</w:t>
            </w:r>
          </w:p>
        </w:tc>
        <w:tc>
          <w:tcPr>
            <w:tcW w:w="0" w:type="auto"/>
            <w:vAlign w:val="center"/>
            <w:hideMark/>
          </w:tcPr>
          <w:p w14:paraId="41BDC591" w14:textId="77777777" w:rsidR="00CE50F1" w:rsidRPr="00CE50F1" w:rsidRDefault="00CE50F1" w:rsidP="00CE50F1">
            <w:r w:rsidRPr="00CE50F1">
              <w:t>65</w:t>
            </w:r>
          </w:p>
        </w:tc>
      </w:tr>
      <w:tr w:rsidR="00CE50F1" w:rsidRPr="00CE50F1" w14:paraId="7A962919" w14:textId="77777777" w:rsidTr="00CE50F1">
        <w:trPr>
          <w:trHeight w:val="1139"/>
          <w:tblCellSpacing w:w="15" w:type="dxa"/>
        </w:trPr>
        <w:tc>
          <w:tcPr>
            <w:tcW w:w="0" w:type="auto"/>
            <w:vAlign w:val="center"/>
            <w:hideMark/>
          </w:tcPr>
          <w:p w14:paraId="4B63F2C6" w14:textId="77777777" w:rsidR="00CE50F1" w:rsidRPr="00CE50F1" w:rsidRDefault="00CE50F1" w:rsidP="00CE50F1">
            <w:r w:rsidRPr="00CE50F1">
              <w:t>Less: total depreciation (£m)</w:t>
            </w:r>
          </w:p>
        </w:tc>
        <w:tc>
          <w:tcPr>
            <w:tcW w:w="0" w:type="auto"/>
            <w:vAlign w:val="center"/>
            <w:hideMark/>
          </w:tcPr>
          <w:p w14:paraId="54656667" w14:textId="77777777" w:rsidR="00CE50F1" w:rsidRPr="00CE50F1" w:rsidRDefault="00CE50F1" w:rsidP="00CE50F1">
            <w:r w:rsidRPr="00CE50F1">
              <w:t>50</w:t>
            </w:r>
          </w:p>
        </w:tc>
        <w:tc>
          <w:tcPr>
            <w:tcW w:w="0" w:type="auto"/>
            <w:vAlign w:val="center"/>
            <w:hideMark/>
          </w:tcPr>
          <w:p w14:paraId="51165A67" w14:textId="77777777" w:rsidR="00CE50F1" w:rsidRPr="00CE50F1" w:rsidRDefault="00CE50F1" w:rsidP="00CE50F1">
            <w:r w:rsidRPr="00CE50F1">
              <w:t>50</w:t>
            </w:r>
          </w:p>
        </w:tc>
        <w:tc>
          <w:tcPr>
            <w:tcW w:w="0" w:type="auto"/>
            <w:vAlign w:val="center"/>
            <w:hideMark/>
          </w:tcPr>
          <w:p w14:paraId="61970B37" w14:textId="77777777" w:rsidR="00CE50F1" w:rsidRPr="00CE50F1" w:rsidRDefault="00CE50F1" w:rsidP="00CE50F1">
            <w:r w:rsidRPr="00CE50F1">
              <w:t>50</w:t>
            </w:r>
          </w:p>
        </w:tc>
      </w:tr>
      <w:tr w:rsidR="00CE50F1" w:rsidRPr="00CE50F1" w14:paraId="5E241CE3" w14:textId="77777777" w:rsidTr="00CE50F1">
        <w:trPr>
          <w:trHeight w:val="1139"/>
          <w:tblCellSpacing w:w="15" w:type="dxa"/>
        </w:trPr>
        <w:tc>
          <w:tcPr>
            <w:tcW w:w="0" w:type="auto"/>
            <w:vAlign w:val="center"/>
            <w:hideMark/>
          </w:tcPr>
          <w:p w14:paraId="6DB3A867" w14:textId="77777777" w:rsidR="00CE50F1" w:rsidRPr="00CE50F1" w:rsidRDefault="00CE50F1" w:rsidP="00CE50F1">
            <w:r w:rsidRPr="00CE50F1">
              <w:t>Total accounting profit (£m)</w:t>
            </w:r>
          </w:p>
        </w:tc>
        <w:tc>
          <w:tcPr>
            <w:tcW w:w="0" w:type="auto"/>
            <w:vAlign w:val="center"/>
            <w:hideMark/>
          </w:tcPr>
          <w:p w14:paraId="20506F3B" w14:textId="77777777" w:rsidR="00CE50F1" w:rsidRPr="00CE50F1" w:rsidRDefault="00CE50F1" w:rsidP="00CE50F1">
            <w:r w:rsidRPr="00CE50F1">
              <w:t>4</w:t>
            </w:r>
          </w:p>
        </w:tc>
        <w:tc>
          <w:tcPr>
            <w:tcW w:w="0" w:type="auto"/>
            <w:vAlign w:val="center"/>
            <w:hideMark/>
          </w:tcPr>
          <w:p w14:paraId="48C7EEFE" w14:textId="77777777" w:rsidR="00CE50F1" w:rsidRPr="00CE50F1" w:rsidRDefault="00CE50F1" w:rsidP="00CE50F1">
            <w:r w:rsidRPr="00CE50F1">
              <w:t>5</w:t>
            </w:r>
          </w:p>
        </w:tc>
        <w:tc>
          <w:tcPr>
            <w:tcW w:w="0" w:type="auto"/>
            <w:vAlign w:val="center"/>
            <w:hideMark/>
          </w:tcPr>
          <w:p w14:paraId="392867D5" w14:textId="77777777" w:rsidR="00CE50F1" w:rsidRPr="00CE50F1" w:rsidRDefault="00CE50F1" w:rsidP="00CE50F1">
            <w:r w:rsidRPr="00CE50F1">
              <w:t>15</w:t>
            </w:r>
          </w:p>
        </w:tc>
      </w:tr>
      <w:tr w:rsidR="00CE50F1" w:rsidRPr="00CE50F1" w14:paraId="1F464B10" w14:textId="77777777" w:rsidTr="00CE50F1">
        <w:trPr>
          <w:trHeight w:val="1169"/>
          <w:tblCellSpacing w:w="15" w:type="dxa"/>
        </w:trPr>
        <w:tc>
          <w:tcPr>
            <w:tcW w:w="0" w:type="auto"/>
            <w:vAlign w:val="center"/>
            <w:hideMark/>
          </w:tcPr>
          <w:p w14:paraId="2A750762" w14:textId="77777777" w:rsidR="00CE50F1" w:rsidRPr="00CE50F1" w:rsidRDefault="00CE50F1" w:rsidP="00CE50F1">
            <w:r w:rsidRPr="00CE50F1">
              <w:t>Average annual profit (£m)</w:t>
            </w:r>
          </w:p>
        </w:tc>
        <w:tc>
          <w:tcPr>
            <w:tcW w:w="0" w:type="auto"/>
            <w:vAlign w:val="center"/>
            <w:hideMark/>
          </w:tcPr>
          <w:p w14:paraId="66A9090D" w14:textId="77777777" w:rsidR="00CE50F1" w:rsidRPr="00CE50F1" w:rsidRDefault="00CE50F1" w:rsidP="00CE50F1">
            <w:r w:rsidRPr="00CE50F1">
              <w:t>0.8</w:t>
            </w:r>
          </w:p>
        </w:tc>
        <w:tc>
          <w:tcPr>
            <w:tcW w:w="0" w:type="auto"/>
            <w:vAlign w:val="center"/>
            <w:hideMark/>
          </w:tcPr>
          <w:p w14:paraId="7DCD1860" w14:textId="77777777" w:rsidR="00CE50F1" w:rsidRPr="00CE50F1" w:rsidRDefault="00CE50F1" w:rsidP="00CE50F1">
            <w:r w:rsidRPr="00CE50F1">
              <w:t>1.0</w:t>
            </w:r>
          </w:p>
        </w:tc>
        <w:tc>
          <w:tcPr>
            <w:tcW w:w="0" w:type="auto"/>
            <w:vAlign w:val="center"/>
            <w:hideMark/>
          </w:tcPr>
          <w:p w14:paraId="402D2737" w14:textId="77777777" w:rsidR="00CE50F1" w:rsidRPr="00CE50F1" w:rsidRDefault="00CE50F1" w:rsidP="00CE50F1">
            <w:r w:rsidRPr="00CE50F1">
              <w:t>3.0</w:t>
            </w:r>
          </w:p>
        </w:tc>
      </w:tr>
      <w:tr w:rsidR="00CE50F1" w:rsidRPr="00CE50F1" w14:paraId="4326C921" w14:textId="77777777" w:rsidTr="00CE50F1">
        <w:trPr>
          <w:trHeight w:val="1139"/>
          <w:tblCellSpacing w:w="15" w:type="dxa"/>
        </w:trPr>
        <w:tc>
          <w:tcPr>
            <w:tcW w:w="0" w:type="auto"/>
            <w:vAlign w:val="center"/>
            <w:hideMark/>
          </w:tcPr>
          <w:p w14:paraId="66BA75BC" w14:textId="77777777" w:rsidR="00CE50F1" w:rsidRPr="00CE50F1" w:rsidRDefault="00CE50F1" w:rsidP="00CE50F1">
            <w:r w:rsidRPr="00CE50F1">
              <w:t>Initial investment (£m)</w:t>
            </w:r>
          </w:p>
        </w:tc>
        <w:tc>
          <w:tcPr>
            <w:tcW w:w="0" w:type="auto"/>
            <w:vAlign w:val="center"/>
            <w:hideMark/>
          </w:tcPr>
          <w:p w14:paraId="1A438DBB" w14:textId="77777777" w:rsidR="00CE50F1" w:rsidRPr="00CE50F1" w:rsidRDefault="00CE50F1" w:rsidP="00CE50F1">
            <w:r w:rsidRPr="00CE50F1">
              <w:t>50</w:t>
            </w:r>
          </w:p>
        </w:tc>
        <w:tc>
          <w:tcPr>
            <w:tcW w:w="0" w:type="auto"/>
            <w:vAlign w:val="center"/>
            <w:hideMark/>
          </w:tcPr>
          <w:p w14:paraId="2CA11002" w14:textId="77777777" w:rsidR="00CE50F1" w:rsidRPr="00CE50F1" w:rsidRDefault="00CE50F1" w:rsidP="00CE50F1">
            <w:r w:rsidRPr="00CE50F1">
              <w:t>50</w:t>
            </w:r>
          </w:p>
        </w:tc>
        <w:tc>
          <w:tcPr>
            <w:tcW w:w="0" w:type="auto"/>
            <w:vAlign w:val="center"/>
            <w:hideMark/>
          </w:tcPr>
          <w:p w14:paraId="39EFE4BC" w14:textId="77777777" w:rsidR="00CE50F1" w:rsidRPr="00CE50F1" w:rsidRDefault="00CE50F1" w:rsidP="00CE50F1">
            <w:r w:rsidRPr="00CE50F1">
              <w:t>50</w:t>
            </w:r>
          </w:p>
        </w:tc>
      </w:tr>
      <w:tr w:rsidR="00CE50F1" w:rsidRPr="00CE50F1" w14:paraId="04A247A7" w14:textId="77777777" w:rsidTr="00CE50F1">
        <w:trPr>
          <w:trHeight w:val="1139"/>
          <w:tblCellSpacing w:w="15" w:type="dxa"/>
        </w:trPr>
        <w:tc>
          <w:tcPr>
            <w:tcW w:w="0" w:type="auto"/>
            <w:vAlign w:val="center"/>
            <w:hideMark/>
          </w:tcPr>
          <w:p w14:paraId="41FEBFBE" w14:textId="77777777" w:rsidR="00CE50F1" w:rsidRPr="00CE50F1" w:rsidRDefault="00CE50F1" w:rsidP="00CE50F1">
            <w:r w:rsidRPr="00CE50F1">
              <w:t>ARR</w:t>
            </w:r>
          </w:p>
        </w:tc>
        <w:tc>
          <w:tcPr>
            <w:tcW w:w="0" w:type="auto"/>
            <w:vAlign w:val="center"/>
            <w:hideMark/>
          </w:tcPr>
          <w:p w14:paraId="650EC42C" w14:textId="77777777" w:rsidR="00CE50F1" w:rsidRPr="00CE50F1" w:rsidRDefault="00CE50F1" w:rsidP="00CE50F1">
            <w:r w:rsidRPr="00CE50F1">
              <w:t>1.6%</w:t>
            </w:r>
          </w:p>
        </w:tc>
        <w:tc>
          <w:tcPr>
            <w:tcW w:w="0" w:type="auto"/>
            <w:vAlign w:val="center"/>
            <w:hideMark/>
          </w:tcPr>
          <w:p w14:paraId="0288B843" w14:textId="77777777" w:rsidR="00CE50F1" w:rsidRPr="00CE50F1" w:rsidRDefault="00CE50F1" w:rsidP="00CE50F1">
            <w:r w:rsidRPr="00CE50F1">
              <w:t>2.0%</w:t>
            </w:r>
          </w:p>
        </w:tc>
        <w:tc>
          <w:tcPr>
            <w:tcW w:w="0" w:type="auto"/>
            <w:vAlign w:val="center"/>
            <w:hideMark/>
          </w:tcPr>
          <w:p w14:paraId="52118182" w14:textId="77777777" w:rsidR="00CE50F1" w:rsidRPr="00CE50F1" w:rsidRDefault="00CE50F1" w:rsidP="00CE50F1">
            <w:pPr>
              <w:keepNext/>
            </w:pPr>
            <w:r w:rsidRPr="00CE50F1">
              <w:t>6.0%</w:t>
            </w:r>
          </w:p>
        </w:tc>
      </w:tr>
    </w:tbl>
    <w:p w14:paraId="515E763F" w14:textId="6BFA14FA" w:rsidR="00CE50F1" w:rsidRDefault="00CE50F1" w:rsidP="00CE50F1">
      <w:pPr>
        <w:pStyle w:val="Caption"/>
        <w:jc w:val="center"/>
      </w:pPr>
      <w:bookmarkStart w:id="43" w:name="_Toc227891339"/>
      <w:r>
        <w:t xml:space="preserve">Table </w:t>
      </w:r>
      <w:r>
        <w:fldChar w:fldCharType="begin"/>
      </w:r>
      <w:r>
        <w:instrText xml:space="preserve"> SEQ Table \* ARABIC </w:instrText>
      </w:r>
      <w:r>
        <w:fldChar w:fldCharType="separate"/>
      </w:r>
      <w:r>
        <w:rPr>
          <w:noProof/>
        </w:rPr>
        <w:t>8</w:t>
      </w:r>
      <w:r>
        <w:fldChar w:fldCharType="end"/>
      </w:r>
      <w:r>
        <w:t xml:space="preserve"> (</w:t>
      </w:r>
      <w:r w:rsidRPr="00591939">
        <w:t>Accounting rate of return calculations</w:t>
      </w:r>
      <w:r>
        <w:t>)</w:t>
      </w:r>
      <w:bookmarkEnd w:id="43"/>
    </w:p>
    <w:p w14:paraId="51A02698" w14:textId="77777777" w:rsidR="00CE50F1" w:rsidRDefault="00CE50F1" w:rsidP="00CE50F1"/>
    <w:p w14:paraId="6E75DB53" w14:textId="77777777" w:rsidR="00CE50F1" w:rsidRDefault="00CE50F1" w:rsidP="00CE50F1"/>
    <w:p w14:paraId="5A5E6CC1" w14:textId="77777777" w:rsidR="00CE50F1" w:rsidRDefault="00CE50F1" w:rsidP="00CE50F1"/>
    <w:p w14:paraId="6DC4F96B" w14:textId="77777777" w:rsidR="00CE50F1" w:rsidRDefault="00CE50F1" w:rsidP="00CE50F1"/>
    <w:tbl>
      <w:tblPr>
        <w:tblW w:w="9999" w:type="dxa"/>
        <w:tblCellSpacing w:w="15" w:type="dxa"/>
        <w:tblBorders>
          <w:top w:val="double" w:sz="4" w:space="0" w:color="156082" w:themeColor="accent1"/>
          <w:left w:val="double" w:sz="4" w:space="0" w:color="156082" w:themeColor="accent1"/>
          <w:bottom w:val="double" w:sz="4" w:space="0" w:color="156082" w:themeColor="accent1"/>
          <w:right w:val="double" w:sz="4" w:space="0" w:color="156082" w:themeColor="accent1"/>
          <w:insideH w:val="double" w:sz="4" w:space="0" w:color="156082" w:themeColor="accent1"/>
          <w:insideV w:val="double" w:sz="4" w:space="0" w:color="156082" w:themeColor="accent1"/>
        </w:tblBorders>
        <w:tblCellMar>
          <w:top w:w="15" w:type="dxa"/>
          <w:left w:w="15" w:type="dxa"/>
          <w:bottom w:w="15" w:type="dxa"/>
          <w:right w:w="15" w:type="dxa"/>
        </w:tblCellMar>
        <w:tblLook w:val="04A0" w:firstRow="1" w:lastRow="0" w:firstColumn="1" w:lastColumn="0" w:noHBand="0" w:noVBand="1"/>
      </w:tblPr>
      <w:tblGrid>
        <w:gridCol w:w="2496"/>
        <w:gridCol w:w="2014"/>
        <w:gridCol w:w="2987"/>
        <w:gridCol w:w="2502"/>
      </w:tblGrid>
      <w:tr w:rsidR="00CE50F1" w:rsidRPr="00CE50F1" w14:paraId="1F279241" w14:textId="77777777" w:rsidTr="00CE50F1">
        <w:trPr>
          <w:trHeight w:val="592"/>
          <w:tblHeader/>
          <w:tblCellSpacing w:w="15" w:type="dxa"/>
        </w:trPr>
        <w:tc>
          <w:tcPr>
            <w:tcW w:w="0" w:type="auto"/>
            <w:vAlign w:val="center"/>
            <w:hideMark/>
          </w:tcPr>
          <w:p w14:paraId="1B7D8CDB" w14:textId="3A9F5C04" w:rsidR="00CE50F1" w:rsidRPr="00CE50F1" w:rsidRDefault="00CE50F1" w:rsidP="00CE50F1">
            <w:pPr>
              <w:rPr>
                <w:b/>
                <w:bCs/>
              </w:rPr>
            </w:pPr>
            <w:r>
              <w:rPr>
                <w:b/>
                <w:bCs/>
              </w:rPr>
              <w:lastRenderedPageBreak/>
              <w:t>Y</w:t>
            </w:r>
            <w:r w:rsidRPr="00CE50F1">
              <w:rPr>
                <w:b/>
                <w:bCs/>
              </w:rPr>
              <w:t>ear</w:t>
            </w:r>
          </w:p>
        </w:tc>
        <w:tc>
          <w:tcPr>
            <w:tcW w:w="0" w:type="auto"/>
            <w:vAlign w:val="center"/>
            <w:hideMark/>
          </w:tcPr>
          <w:p w14:paraId="3A917C29" w14:textId="77777777" w:rsidR="00CE50F1" w:rsidRPr="00CE50F1" w:rsidRDefault="00CE50F1" w:rsidP="00CE50F1">
            <w:pPr>
              <w:rPr>
                <w:b/>
                <w:bCs/>
              </w:rPr>
            </w:pPr>
            <w:r w:rsidRPr="00CE50F1">
              <w:rPr>
                <w:b/>
                <w:bCs/>
              </w:rPr>
              <w:t>Cash flow (£m)</w:t>
            </w:r>
          </w:p>
        </w:tc>
        <w:tc>
          <w:tcPr>
            <w:tcW w:w="0" w:type="auto"/>
            <w:vAlign w:val="center"/>
            <w:hideMark/>
          </w:tcPr>
          <w:p w14:paraId="7A54F91F" w14:textId="77777777" w:rsidR="00CE50F1" w:rsidRPr="00CE50F1" w:rsidRDefault="00CE50F1" w:rsidP="00CE50F1">
            <w:pPr>
              <w:rPr>
                <w:b/>
                <w:bCs/>
              </w:rPr>
            </w:pPr>
            <w:r w:rsidRPr="00CE50F1">
              <w:rPr>
                <w:b/>
                <w:bCs/>
              </w:rPr>
              <w:t>Discount factor at 10%</w:t>
            </w:r>
          </w:p>
        </w:tc>
        <w:tc>
          <w:tcPr>
            <w:tcW w:w="0" w:type="auto"/>
            <w:vAlign w:val="center"/>
            <w:hideMark/>
          </w:tcPr>
          <w:p w14:paraId="28E61E5D" w14:textId="77777777" w:rsidR="00CE50F1" w:rsidRPr="00CE50F1" w:rsidRDefault="00CE50F1" w:rsidP="00CE50F1">
            <w:pPr>
              <w:rPr>
                <w:b/>
                <w:bCs/>
              </w:rPr>
            </w:pPr>
            <w:r w:rsidRPr="00CE50F1">
              <w:rPr>
                <w:b/>
                <w:bCs/>
              </w:rPr>
              <w:t>Present value (£m)</w:t>
            </w:r>
          </w:p>
        </w:tc>
      </w:tr>
      <w:tr w:rsidR="00CE50F1" w:rsidRPr="00CE50F1" w14:paraId="7C3C98CD" w14:textId="77777777" w:rsidTr="00CE50F1">
        <w:trPr>
          <w:trHeight w:val="608"/>
          <w:tblCellSpacing w:w="15" w:type="dxa"/>
        </w:trPr>
        <w:tc>
          <w:tcPr>
            <w:tcW w:w="0" w:type="auto"/>
            <w:vAlign w:val="center"/>
            <w:hideMark/>
          </w:tcPr>
          <w:p w14:paraId="4C22917E" w14:textId="77777777" w:rsidR="00CE50F1" w:rsidRPr="00CE50F1" w:rsidRDefault="00CE50F1" w:rsidP="00CE50F1">
            <w:r w:rsidRPr="00CE50F1">
              <w:t>0</w:t>
            </w:r>
          </w:p>
        </w:tc>
        <w:tc>
          <w:tcPr>
            <w:tcW w:w="0" w:type="auto"/>
            <w:vAlign w:val="center"/>
            <w:hideMark/>
          </w:tcPr>
          <w:p w14:paraId="65346C5B" w14:textId="77777777" w:rsidR="00CE50F1" w:rsidRPr="00CE50F1" w:rsidRDefault="00CE50F1" w:rsidP="00CE50F1">
            <w:r w:rsidRPr="00CE50F1">
              <w:t>(50)</w:t>
            </w:r>
          </w:p>
        </w:tc>
        <w:tc>
          <w:tcPr>
            <w:tcW w:w="0" w:type="auto"/>
            <w:vAlign w:val="center"/>
            <w:hideMark/>
          </w:tcPr>
          <w:p w14:paraId="272DDA3E" w14:textId="77777777" w:rsidR="00CE50F1" w:rsidRPr="00CE50F1" w:rsidRDefault="00CE50F1" w:rsidP="00CE50F1">
            <w:r w:rsidRPr="00CE50F1">
              <w:t>1.0000</w:t>
            </w:r>
          </w:p>
        </w:tc>
        <w:tc>
          <w:tcPr>
            <w:tcW w:w="0" w:type="auto"/>
            <w:vAlign w:val="center"/>
            <w:hideMark/>
          </w:tcPr>
          <w:p w14:paraId="251A47AE" w14:textId="77777777" w:rsidR="00CE50F1" w:rsidRPr="00CE50F1" w:rsidRDefault="00CE50F1" w:rsidP="00CE50F1">
            <w:r w:rsidRPr="00CE50F1">
              <w:t>(50.00)</w:t>
            </w:r>
          </w:p>
        </w:tc>
      </w:tr>
      <w:tr w:rsidR="00CE50F1" w:rsidRPr="00CE50F1" w14:paraId="734B3941" w14:textId="77777777" w:rsidTr="00CE50F1">
        <w:trPr>
          <w:trHeight w:val="592"/>
          <w:tblCellSpacing w:w="15" w:type="dxa"/>
        </w:trPr>
        <w:tc>
          <w:tcPr>
            <w:tcW w:w="0" w:type="auto"/>
            <w:vAlign w:val="center"/>
            <w:hideMark/>
          </w:tcPr>
          <w:p w14:paraId="3BBEF253" w14:textId="77777777" w:rsidR="00CE50F1" w:rsidRPr="00CE50F1" w:rsidRDefault="00CE50F1" w:rsidP="00CE50F1">
            <w:r w:rsidRPr="00CE50F1">
              <w:t>1</w:t>
            </w:r>
          </w:p>
        </w:tc>
        <w:tc>
          <w:tcPr>
            <w:tcW w:w="0" w:type="auto"/>
            <w:vAlign w:val="center"/>
            <w:hideMark/>
          </w:tcPr>
          <w:p w14:paraId="27632BC0" w14:textId="77777777" w:rsidR="00CE50F1" w:rsidRPr="00CE50F1" w:rsidRDefault="00CE50F1" w:rsidP="00CE50F1">
            <w:r w:rsidRPr="00CE50F1">
              <w:t>10</w:t>
            </w:r>
          </w:p>
        </w:tc>
        <w:tc>
          <w:tcPr>
            <w:tcW w:w="0" w:type="auto"/>
            <w:vAlign w:val="center"/>
            <w:hideMark/>
          </w:tcPr>
          <w:p w14:paraId="2292372C" w14:textId="77777777" w:rsidR="00CE50F1" w:rsidRPr="00CE50F1" w:rsidRDefault="00CE50F1" w:rsidP="00CE50F1">
            <w:r w:rsidRPr="00CE50F1">
              <w:t>0.9091</w:t>
            </w:r>
          </w:p>
        </w:tc>
        <w:tc>
          <w:tcPr>
            <w:tcW w:w="0" w:type="auto"/>
            <w:vAlign w:val="center"/>
            <w:hideMark/>
          </w:tcPr>
          <w:p w14:paraId="5E5B6554" w14:textId="77777777" w:rsidR="00CE50F1" w:rsidRPr="00CE50F1" w:rsidRDefault="00CE50F1" w:rsidP="00CE50F1">
            <w:r w:rsidRPr="00CE50F1">
              <w:t>9.09</w:t>
            </w:r>
          </w:p>
        </w:tc>
      </w:tr>
      <w:tr w:rsidR="00CE50F1" w:rsidRPr="00CE50F1" w14:paraId="47FC599C" w14:textId="77777777" w:rsidTr="00CE50F1">
        <w:trPr>
          <w:trHeight w:val="592"/>
          <w:tblCellSpacing w:w="15" w:type="dxa"/>
        </w:trPr>
        <w:tc>
          <w:tcPr>
            <w:tcW w:w="0" w:type="auto"/>
            <w:vAlign w:val="center"/>
            <w:hideMark/>
          </w:tcPr>
          <w:p w14:paraId="27E0687A" w14:textId="77777777" w:rsidR="00CE50F1" w:rsidRPr="00CE50F1" w:rsidRDefault="00CE50F1" w:rsidP="00CE50F1">
            <w:r w:rsidRPr="00CE50F1">
              <w:t>2</w:t>
            </w:r>
          </w:p>
        </w:tc>
        <w:tc>
          <w:tcPr>
            <w:tcW w:w="0" w:type="auto"/>
            <w:vAlign w:val="center"/>
            <w:hideMark/>
          </w:tcPr>
          <w:p w14:paraId="6714DF84" w14:textId="77777777" w:rsidR="00CE50F1" w:rsidRPr="00CE50F1" w:rsidRDefault="00CE50F1" w:rsidP="00CE50F1">
            <w:r w:rsidRPr="00CE50F1">
              <w:t>12</w:t>
            </w:r>
          </w:p>
        </w:tc>
        <w:tc>
          <w:tcPr>
            <w:tcW w:w="0" w:type="auto"/>
            <w:vAlign w:val="center"/>
            <w:hideMark/>
          </w:tcPr>
          <w:p w14:paraId="26CFCAEF" w14:textId="77777777" w:rsidR="00CE50F1" w:rsidRPr="00CE50F1" w:rsidRDefault="00CE50F1" w:rsidP="00CE50F1">
            <w:r w:rsidRPr="00CE50F1">
              <w:t>0.8264</w:t>
            </w:r>
          </w:p>
        </w:tc>
        <w:tc>
          <w:tcPr>
            <w:tcW w:w="0" w:type="auto"/>
            <w:vAlign w:val="center"/>
            <w:hideMark/>
          </w:tcPr>
          <w:p w14:paraId="0CA8EF98" w14:textId="77777777" w:rsidR="00CE50F1" w:rsidRPr="00CE50F1" w:rsidRDefault="00CE50F1" w:rsidP="00CE50F1">
            <w:r w:rsidRPr="00CE50F1">
              <w:t>9.92</w:t>
            </w:r>
          </w:p>
        </w:tc>
      </w:tr>
      <w:tr w:rsidR="00CE50F1" w:rsidRPr="00CE50F1" w14:paraId="437E28EB" w14:textId="77777777" w:rsidTr="00CE50F1">
        <w:trPr>
          <w:trHeight w:val="592"/>
          <w:tblCellSpacing w:w="15" w:type="dxa"/>
        </w:trPr>
        <w:tc>
          <w:tcPr>
            <w:tcW w:w="0" w:type="auto"/>
            <w:vAlign w:val="center"/>
            <w:hideMark/>
          </w:tcPr>
          <w:p w14:paraId="370682C6" w14:textId="77777777" w:rsidR="00CE50F1" w:rsidRPr="00CE50F1" w:rsidRDefault="00CE50F1" w:rsidP="00CE50F1">
            <w:r w:rsidRPr="00CE50F1">
              <w:t>3</w:t>
            </w:r>
          </w:p>
        </w:tc>
        <w:tc>
          <w:tcPr>
            <w:tcW w:w="0" w:type="auto"/>
            <w:vAlign w:val="center"/>
            <w:hideMark/>
          </w:tcPr>
          <w:p w14:paraId="0FD3BC40" w14:textId="77777777" w:rsidR="00CE50F1" w:rsidRPr="00CE50F1" w:rsidRDefault="00CE50F1" w:rsidP="00CE50F1">
            <w:r w:rsidRPr="00CE50F1">
              <w:t>14</w:t>
            </w:r>
          </w:p>
        </w:tc>
        <w:tc>
          <w:tcPr>
            <w:tcW w:w="0" w:type="auto"/>
            <w:vAlign w:val="center"/>
            <w:hideMark/>
          </w:tcPr>
          <w:p w14:paraId="48E9A051" w14:textId="77777777" w:rsidR="00CE50F1" w:rsidRPr="00CE50F1" w:rsidRDefault="00CE50F1" w:rsidP="00CE50F1">
            <w:r w:rsidRPr="00CE50F1">
              <w:t>0.7513</w:t>
            </w:r>
          </w:p>
        </w:tc>
        <w:tc>
          <w:tcPr>
            <w:tcW w:w="0" w:type="auto"/>
            <w:vAlign w:val="center"/>
            <w:hideMark/>
          </w:tcPr>
          <w:p w14:paraId="45B81EB0" w14:textId="77777777" w:rsidR="00CE50F1" w:rsidRPr="00CE50F1" w:rsidRDefault="00CE50F1" w:rsidP="00CE50F1">
            <w:r w:rsidRPr="00CE50F1">
              <w:t>10.52</w:t>
            </w:r>
          </w:p>
        </w:tc>
      </w:tr>
      <w:tr w:rsidR="00CE50F1" w:rsidRPr="00CE50F1" w14:paraId="197366D3" w14:textId="77777777" w:rsidTr="00CE50F1">
        <w:trPr>
          <w:trHeight w:val="608"/>
          <w:tblCellSpacing w:w="15" w:type="dxa"/>
        </w:trPr>
        <w:tc>
          <w:tcPr>
            <w:tcW w:w="0" w:type="auto"/>
            <w:vAlign w:val="center"/>
            <w:hideMark/>
          </w:tcPr>
          <w:p w14:paraId="59F49730" w14:textId="77777777" w:rsidR="00CE50F1" w:rsidRPr="00CE50F1" w:rsidRDefault="00CE50F1" w:rsidP="00CE50F1">
            <w:r w:rsidRPr="00CE50F1">
              <w:t>4</w:t>
            </w:r>
          </w:p>
        </w:tc>
        <w:tc>
          <w:tcPr>
            <w:tcW w:w="0" w:type="auto"/>
            <w:vAlign w:val="center"/>
            <w:hideMark/>
          </w:tcPr>
          <w:p w14:paraId="1758E1C9" w14:textId="77777777" w:rsidR="00CE50F1" w:rsidRPr="00CE50F1" w:rsidRDefault="00CE50F1" w:rsidP="00CE50F1">
            <w:r w:rsidRPr="00CE50F1">
              <w:t>10</w:t>
            </w:r>
          </w:p>
        </w:tc>
        <w:tc>
          <w:tcPr>
            <w:tcW w:w="0" w:type="auto"/>
            <w:vAlign w:val="center"/>
            <w:hideMark/>
          </w:tcPr>
          <w:p w14:paraId="47DA8B39" w14:textId="77777777" w:rsidR="00CE50F1" w:rsidRPr="00CE50F1" w:rsidRDefault="00CE50F1" w:rsidP="00CE50F1">
            <w:r w:rsidRPr="00CE50F1">
              <w:t>0.6830</w:t>
            </w:r>
          </w:p>
        </w:tc>
        <w:tc>
          <w:tcPr>
            <w:tcW w:w="0" w:type="auto"/>
            <w:vAlign w:val="center"/>
            <w:hideMark/>
          </w:tcPr>
          <w:p w14:paraId="261BF42F" w14:textId="77777777" w:rsidR="00CE50F1" w:rsidRPr="00CE50F1" w:rsidRDefault="00CE50F1" w:rsidP="00CE50F1">
            <w:r w:rsidRPr="00CE50F1">
              <w:t>6.83</w:t>
            </w:r>
          </w:p>
        </w:tc>
      </w:tr>
      <w:tr w:rsidR="00CE50F1" w:rsidRPr="00CE50F1" w14:paraId="6DB576FC" w14:textId="77777777" w:rsidTr="00CE50F1">
        <w:trPr>
          <w:trHeight w:val="592"/>
          <w:tblCellSpacing w:w="15" w:type="dxa"/>
        </w:trPr>
        <w:tc>
          <w:tcPr>
            <w:tcW w:w="0" w:type="auto"/>
            <w:vAlign w:val="center"/>
            <w:hideMark/>
          </w:tcPr>
          <w:p w14:paraId="7B3C6585" w14:textId="77777777" w:rsidR="00CE50F1" w:rsidRPr="00CE50F1" w:rsidRDefault="00CE50F1" w:rsidP="00CE50F1">
            <w:r w:rsidRPr="00CE50F1">
              <w:t>5</w:t>
            </w:r>
          </w:p>
        </w:tc>
        <w:tc>
          <w:tcPr>
            <w:tcW w:w="0" w:type="auto"/>
            <w:vAlign w:val="center"/>
            <w:hideMark/>
          </w:tcPr>
          <w:p w14:paraId="570F9A59" w14:textId="77777777" w:rsidR="00CE50F1" w:rsidRPr="00CE50F1" w:rsidRDefault="00CE50F1" w:rsidP="00CE50F1">
            <w:r w:rsidRPr="00CE50F1">
              <w:t>8</w:t>
            </w:r>
          </w:p>
        </w:tc>
        <w:tc>
          <w:tcPr>
            <w:tcW w:w="0" w:type="auto"/>
            <w:vAlign w:val="center"/>
            <w:hideMark/>
          </w:tcPr>
          <w:p w14:paraId="0CA12C11" w14:textId="77777777" w:rsidR="00CE50F1" w:rsidRPr="00CE50F1" w:rsidRDefault="00CE50F1" w:rsidP="00CE50F1">
            <w:r w:rsidRPr="00CE50F1">
              <w:t>0.6209</w:t>
            </w:r>
          </w:p>
        </w:tc>
        <w:tc>
          <w:tcPr>
            <w:tcW w:w="0" w:type="auto"/>
            <w:vAlign w:val="center"/>
            <w:hideMark/>
          </w:tcPr>
          <w:p w14:paraId="1E243296" w14:textId="77777777" w:rsidR="00CE50F1" w:rsidRPr="00CE50F1" w:rsidRDefault="00CE50F1" w:rsidP="00CE50F1">
            <w:r w:rsidRPr="00CE50F1">
              <w:t>4.97</w:t>
            </w:r>
          </w:p>
        </w:tc>
      </w:tr>
      <w:tr w:rsidR="00CE50F1" w:rsidRPr="00CE50F1" w14:paraId="72C8B8DD" w14:textId="77777777" w:rsidTr="00CE50F1">
        <w:trPr>
          <w:trHeight w:val="592"/>
          <w:tblCellSpacing w:w="15" w:type="dxa"/>
        </w:trPr>
        <w:tc>
          <w:tcPr>
            <w:tcW w:w="0" w:type="auto"/>
            <w:vAlign w:val="center"/>
            <w:hideMark/>
          </w:tcPr>
          <w:p w14:paraId="65A2A139" w14:textId="77777777" w:rsidR="00CE50F1" w:rsidRPr="00CE50F1" w:rsidRDefault="00CE50F1" w:rsidP="00CE50F1">
            <w:r w:rsidRPr="00CE50F1">
              <w:rPr>
                <w:b/>
                <w:bCs/>
              </w:rPr>
              <w:t>Total PV of inflows</w:t>
            </w:r>
          </w:p>
        </w:tc>
        <w:tc>
          <w:tcPr>
            <w:tcW w:w="0" w:type="auto"/>
            <w:vAlign w:val="center"/>
            <w:hideMark/>
          </w:tcPr>
          <w:p w14:paraId="2B0FF554" w14:textId="77777777" w:rsidR="00CE50F1" w:rsidRPr="00CE50F1" w:rsidRDefault="00CE50F1" w:rsidP="00CE50F1"/>
        </w:tc>
        <w:tc>
          <w:tcPr>
            <w:tcW w:w="0" w:type="auto"/>
            <w:vAlign w:val="center"/>
            <w:hideMark/>
          </w:tcPr>
          <w:p w14:paraId="1E436764" w14:textId="77777777" w:rsidR="00CE50F1" w:rsidRPr="00CE50F1" w:rsidRDefault="00CE50F1" w:rsidP="00CE50F1"/>
        </w:tc>
        <w:tc>
          <w:tcPr>
            <w:tcW w:w="0" w:type="auto"/>
            <w:vAlign w:val="center"/>
            <w:hideMark/>
          </w:tcPr>
          <w:p w14:paraId="1AE232EF" w14:textId="77777777" w:rsidR="00CE50F1" w:rsidRPr="00CE50F1" w:rsidRDefault="00CE50F1" w:rsidP="00CE50F1">
            <w:r w:rsidRPr="00CE50F1">
              <w:rPr>
                <w:b/>
                <w:bCs/>
              </w:rPr>
              <w:t>41.32</w:t>
            </w:r>
          </w:p>
        </w:tc>
      </w:tr>
      <w:tr w:rsidR="00CE50F1" w:rsidRPr="00CE50F1" w14:paraId="6A1B0860" w14:textId="77777777" w:rsidTr="00CE50F1">
        <w:trPr>
          <w:trHeight w:val="592"/>
          <w:tblCellSpacing w:w="15" w:type="dxa"/>
        </w:trPr>
        <w:tc>
          <w:tcPr>
            <w:tcW w:w="0" w:type="auto"/>
            <w:vAlign w:val="center"/>
            <w:hideMark/>
          </w:tcPr>
          <w:p w14:paraId="1968DF6A" w14:textId="77777777" w:rsidR="00CE50F1" w:rsidRPr="00CE50F1" w:rsidRDefault="00CE50F1" w:rsidP="00CE50F1">
            <w:r w:rsidRPr="00CE50F1">
              <w:rPr>
                <w:b/>
                <w:bCs/>
              </w:rPr>
              <w:t>NPV</w:t>
            </w:r>
          </w:p>
        </w:tc>
        <w:tc>
          <w:tcPr>
            <w:tcW w:w="0" w:type="auto"/>
            <w:vAlign w:val="center"/>
            <w:hideMark/>
          </w:tcPr>
          <w:p w14:paraId="674F92FD" w14:textId="77777777" w:rsidR="00CE50F1" w:rsidRPr="00CE50F1" w:rsidRDefault="00CE50F1" w:rsidP="00CE50F1"/>
        </w:tc>
        <w:tc>
          <w:tcPr>
            <w:tcW w:w="0" w:type="auto"/>
            <w:vAlign w:val="center"/>
            <w:hideMark/>
          </w:tcPr>
          <w:p w14:paraId="72C6D790" w14:textId="77777777" w:rsidR="00CE50F1" w:rsidRPr="00CE50F1" w:rsidRDefault="00CE50F1" w:rsidP="00CE50F1"/>
        </w:tc>
        <w:tc>
          <w:tcPr>
            <w:tcW w:w="0" w:type="auto"/>
            <w:vAlign w:val="center"/>
            <w:hideMark/>
          </w:tcPr>
          <w:p w14:paraId="51489F7B" w14:textId="77777777" w:rsidR="00CE50F1" w:rsidRPr="00CE50F1" w:rsidRDefault="00CE50F1" w:rsidP="00CE50F1">
            <w:pPr>
              <w:keepNext/>
            </w:pPr>
            <w:r w:rsidRPr="00CE50F1">
              <w:rPr>
                <w:b/>
                <w:bCs/>
              </w:rPr>
              <w:t>(8.68)</w:t>
            </w:r>
          </w:p>
        </w:tc>
      </w:tr>
    </w:tbl>
    <w:p w14:paraId="23A590B9" w14:textId="26D584B2" w:rsidR="00CE50F1" w:rsidRDefault="00CE50F1" w:rsidP="00CE50F1">
      <w:pPr>
        <w:pStyle w:val="Caption"/>
        <w:jc w:val="center"/>
      </w:pPr>
      <w:bookmarkStart w:id="44" w:name="_Toc227891340"/>
      <w:r>
        <w:t xml:space="preserve">Table </w:t>
      </w:r>
      <w:r>
        <w:fldChar w:fldCharType="begin"/>
      </w:r>
      <w:r>
        <w:instrText xml:space="preserve"> SEQ Table \* ARABIC </w:instrText>
      </w:r>
      <w:r>
        <w:fldChar w:fldCharType="separate"/>
      </w:r>
      <w:r>
        <w:rPr>
          <w:noProof/>
        </w:rPr>
        <w:t>9</w:t>
      </w:r>
      <w:r>
        <w:fldChar w:fldCharType="end"/>
      </w:r>
      <w:r>
        <w:t xml:space="preserve"> (</w:t>
      </w:r>
      <w:r w:rsidRPr="00615866">
        <w:t>Net present value calculation: Project A</w:t>
      </w:r>
      <w:r>
        <w:t>)</w:t>
      </w:r>
      <w:bookmarkEnd w:id="44"/>
    </w:p>
    <w:p w14:paraId="717457C7" w14:textId="77777777" w:rsidR="00CE50F1" w:rsidRDefault="00CE50F1" w:rsidP="00CE50F1"/>
    <w:tbl>
      <w:tblPr>
        <w:tblW w:w="0" w:type="auto"/>
        <w:tblCellSpacing w:w="15" w:type="dxa"/>
        <w:tblBorders>
          <w:top w:val="double" w:sz="4" w:space="0" w:color="156082" w:themeColor="accent1"/>
          <w:left w:val="double" w:sz="4" w:space="0" w:color="156082" w:themeColor="accent1"/>
          <w:bottom w:val="double" w:sz="4" w:space="0" w:color="156082" w:themeColor="accent1"/>
          <w:right w:val="double" w:sz="4" w:space="0" w:color="156082" w:themeColor="accent1"/>
          <w:insideH w:val="double" w:sz="4" w:space="0" w:color="156082" w:themeColor="accent1"/>
          <w:insideV w:val="double" w:sz="4" w:space="0" w:color="156082" w:themeColor="accent1"/>
        </w:tblBorders>
        <w:tblCellMar>
          <w:top w:w="15" w:type="dxa"/>
          <w:left w:w="15" w:type="dxa"/>
          <w:bottom w:w="15" w:type="dxa"/>
          <w:right w:w="15" w:type="dxa"/>
        </w:tblCellMar>
        <w:tblLook w:val="04A0" w:firstRow="1" w:lastRow="0" w:firstColumn="1" w:lastColumn="0" w:noHBand="0" w:noVBand="1"/>
      </w:tblPr>
      <w:tblGrid>
        <w:gridCol w:w="2264"/>
        <w:gridCol w:w="1827"/>
        <w:gridCol w:w="2708"/>
        <w:gridCol w:w="2270"/>
      </w:tblGrid>
      <w:tr w:rsidR="00CE50F1" w:rsidRPr="00CE50F1" w14:paraId="26626C18" w14:textId="77777777" w:rsidTr="00CE50F1">
        <w:trPr>
          <w:tblHeader/>
          <w:tblCellSpacing w:w="15" w:type="dxa"/>
        </w:trPr>
        <w:tc>
          <w:tcPr>
            <w:tcW w:w="0" w:type="auto"/>
            <w:vAlign w:val="center"/>
            <w:hideMark/>
          </w:tcPr>
          <w:p w14:paraId="1ED975CC" w14:textId="77777777" w:rsidR="00CE50F1" w:rsidRPr="00CE50F1" w:rsidRDefault="00CE50F1" w:rsidP="00CE50F1">
            <w:pPr>
              <w:rPr>
                <w:b/>
                <w:bCs/>
              </w:rPr>
            </w:pPr>
            <w:r w:rsidRPr="00CE50F1">
              <w:rPr>
                <w:b/>
                <w:bCs/>
              </w:rPr>
              <w:t>Year</w:t>
            </w:r>
          </w:p>
        </w:tc>
        <w:tc>
          <w:tcPr>
            <w:tcW w:w="0" w:type="auto"/>
            <w:vAlign w:val="center"/>
            <w:hideMark/>
          </w:tcPr>
          <w:p w14:paraId="1788E4A3" w14:textId="77777777" w:rsidR="00CE50F1" w:rsidRPr="00CE50F1" w:rsidRDefault="00CE50F1" w:rsidP="00CE50F1">
            <w:pPr>
              <w:rPr>
                <w:b/>
                <w:bCs/>
              </w:rPr>
            </w:pPr>
            <w:r w:rsidRPr="00CE50F1">
              <w:rPr>
                <w:b/>
                <w:bCs/>
              </w:rPr>
              <w:t>Cash flow (£m)</w:t>
            </w:r>
          </w:p>
        </w:tc>
        <w:tc>
          <w:tcPr>
            <w:tcW w:w="0" w:type="auto"/>
            <w:vAlign w:val="center"/>
            <w:hideMark/>
          </w:tcPr>
          <w:p w14:paraId="79B7F1CD" w14:textId="77777777" w:rsidR="00CE50F1" w:rsidRPr="00CE50F1" w:rsidRDefault="00CE50F1" w:rsidP="00CE50F1">
            <w:pPr>
              <w:rPr>
                <w:b/>
                <w:bCs/>
              </w:rPr>
            </w:pPr>
            <w:r w:rsidRPr="00CE50F1">
              <w:rPr>
                <w:b/>
                <w:bCs/>
              </w:rPr>
              <w:t>Discount factor at 10%</w:t>
            </w:r>
          </w:p>
        </w:tc>
        <w:tc>
          <w:tcPr>
            <w:tcW w:w="0" w:type="auto"/>
            <w:vAlign w:val="center"/>
            <w:hideMark/>
          </w:tcPr>
          <w:p w14:paraId="20C450F4" w14:textId="77777777" w:rsidR="00CE50F1" w:rsidRPr="00CE50F1" w:rsidRDefault="00CE50F1" w:rsidP="00CE50F1">
            <w:pPr>
              <w:rPr>
                <w:b/>
                <w:bCs/>
              </w:rPr>
            </w:pPr>
            <w:r w:rsidRPr="00CE50F1">
              <w:rPr>
                <w:b/>
                <w:bCs/>
              </w:rPr>
              <w:t>Present value (£m)</w:t>
            </w:r>
          </w:p>
        </w:tc>
      </w:tr>
      <w:tr w:rsidR="00CE50F1" w:rsidRPr="00CE50F1" w14:paraId="66617ED6" w14:textId="77777777" w:rsidTr="00CE50F1">
        <w:trPr>
          <w:tblCellSpacing w:w="15" w:type="dxa"/>
        </w:trPr>
        <w:tc>
          <w:tcPr>
            <w:tcW w:w="0" w:type="auto"/>
            <w:vAlign w:val="center"/>
            <w:hideMark/>
          </w:tcPr>
          <w:p w14:paraId="28D9AB30" w14:textId="77777777" w:rsidR="00CE50F1" w:rsidRPr="00CE50F1" w:rsidRDefault="00CE50F1" w:rsidP="00CE50F1">
            <w:r w:rsidRPr="00CE50F1">
              <w:t>0</w:t>
            </w:r>
          </w:p>
        </w:tc>
        <w:tc>
          <w:tcPr>
            <w:tcW w:w="0" w:type="auto"/>
            <w:vAlign w:val="center"/>
            <w:hideMark/>
          </w:tcPr>
          <w:p w14:paraId="41891B71" w14:textId="77777777" w:rsidR="00CE50F1" w:rsidRPr="00CE50F1" w:rsidRDefault="00CE50F1" w:rsidP="00CE50F1">
            <w:r w:rsidRPr="00CE50F1">
              <w:t>(50)</w:t>
            </w:r>
          </w:p>
        </w:tc>
        <w:tc>
          <w:tcPr>
            <w:tcW w:w="0" w:type="auto"/>
            <w:vAlign w:val="center"/>
            <w:hideMark/>
          </w:tcPr>
          <w:p w14:paraId="43EE9112" w14:textId="77777777" w:rsidR="00CE50F1" w:rsidRPr="00CE50F1" w:rsidRDefault="00CE50F1" w:rsidP="00CE50F1">
            <w:r w:rsidRPr="00CE50F1">
              <w:t>1.0000</w:t>
            </w:r>
          </w:p>
        </w:tc>
        <w:tc>
          <w:tcPr>
            <w:tcW w:w="0" w:type="auto"/>
            <w:vAlign w:val="center"/>
            <w:hideMark/>
          </w:tcPr>
          <w:p w14:paraId="32404345" w14:textId="77777777" w:rsidR="00CE50F1" w:rsidRPr="00CE50F1" w:rsidRDefault="00CE50F1" w:rsidP="00CE50F1">
            <w:r w:rsidRPr="00CE50F1">
              <w:t>(50.00)</w:t>
            </w:r>
          </w:p>
        </w:tc>
      </w:tr>
      <w:tr w:rsidR="00CE50F1" w:rsidRPr="00CE50F1" w14:paraId="54CF871B" w14:textId="77777777" w:rsidTr="00CE50F1">
        <w:trPr>
          <w:tblCellSpacing w:w="15" w:type="dxa"/>
        </w:trPr>
        <w:tc>
          <w:tcPr>
            <w:tcW w:w="0" w:type="auto"/>
            <w:vAlign w:val="center"/>
            <w:hideMark/>
          </w:tcPr>
          <w:p w14:paraId="454BD09A" w14:textId="77777777" w:rsidR="00CE50F1" w:rsidRPr="00CE50F1" w:rsidRDefault="00CE50F1" w:rsidP="00CE50F1">
            <w:r w:rsidRPr="00CE50F1">
              <w:t>1</w:t>
            </w:r>
          </w:p>
        </w:tc>
        <w:tc>
          <w:tcPr>
            <w:tcW w:w="0" w:type="auto"/>
            <w:vAlign w:val="center"/>
            <w:hideMark/>
          </w:tcPr>
          <w:p w14:paraId="088E7D43" w14:textId="77777777" w:rsidR="00CE50F1" w:rsidRPr="00CE50F1" w:rsidRDefault="00CE50F1" w:rsidP="00CE50F1">
            <w:r w:rsidRPr="00CE50F1">
              <w:t>11</w:t>
            </w:r>
          </w:p>
        </w:tc>
        <w:tc>
          <w:tcPr>
            <w:tcW w:w="0" w:type="auto"/>
            <w:vAlign w:val="center"/>
            <w:hideMark/>
          </w:tcPr>
          <w:p w14:paraId="5D683A98" w14:textId="77777777" w:rsidR="00CE50F1" w:rsidRPr="00CE50F1" w:rsidRDefault="00CE50F1" w:rsidP="00CE50F1">
            <w:r w:rsidRPr="00CE50F1">
              <w:t>0.9091</w:t>
            </w:r>
          </w:p>
        </w:tc>
        <w:tc>
          <w:tcPr>
            <w:tcW w:w="0" w:type="auto"/>
            <w:vAlign w:val="center"/>
            <w:hideMark/>
          </w:tcPr>
          <w:p w14:paraId="029CCF76" w14:textId="77777777" w:rsidR="00CE50F1" w:rsidRPr="00CE50F1" w:rsidRDefault="00CE50F1" w:rsidP="00CE50F1">
            <w:r w:rsidRPr="00CE50F1">
              <w:t>10.00</w:t>
            </w:r>
          </w:p>
        </w:tc>
      </w:tr>
      <w:tr w:rsidR="00CE50F1" w:rsidRPr="00CE50F1" w14:paraId="65A73D71" w14:textId="77777777" w:rsidTr="00CE50F1">
        <w:trPr>
          <w:tblCellSpacing w:w="15" w:type="dxa"/>
        </w:trPr>
        <w:tc>
          <w:tcPr>
            <w:tcW w:w="0" w:type="auto"/>
            <w:vAlign w:val="center"/>
            <w:hideMark/>
          </w:tcPr>
          <w:p w14:paraId="387EFB37" w14:textId="77777777" w:rsidR="00CE50F1" w:rsidRPr="00CE50F1" w:rsidRDefault="00CE50F1" w:rsidP="00CE50F1">
            <w:r w:rsidRPr="00CE50F1">
              <w:t>2</w:t>
            </w:r>
          </w:p>
        </w:tc>
        <w:tc>
          <w:tcPr>
            <w:tcW w:w="0" w:type="auto"/>
            <w:vAlign w:val="center"/>
            <w:hideMark/>
          </w:tcPr>
          <w:p w14:paraId="7A7846BE" w14:textId="77777777" w:rsidR="00CE50F1" w:rsidRPr="00CE50F1" w:rsidRDefault="00CE50F1" w:rsidP="00CE50F1">
            <w:r w:rsidRPr="00CE50F1">
              <w:t>11</w:t>
            </w:r>
          </w:p>
        </w:tc>
        <w:tc>
          <w:tcPr>
            <w:tcW w:w="0" w:type="auto"/>
            <w:vAlign w:val="center"/>
            <w:hideMark/>
          </w:tcPr>
          <w:p w14:paraId="733ED816" w14:textId="77777777" w:rsidR="00CE50F1" w:rsidRPr="00CE50F1" w:rsidRDefault="00CE50F1" w:rsidP="00CE50F1">
            <w:r w:rsidRPr="00CE50F1">
              <w:t>0.8264</w:t>
            </w:r>
          </w:p>
        </w:tc>
        <w:tc>
          <w:tcPr>
            <w:tcW w:w="0" w:type="auto"/>
            <w:vAlign w:val="center"/>
            <w:hideMark/>
          </w:tcPr>
          <w:p w14:paraId="4CF4C7F1" w14:textId="77777777" w:rsidR="00CE50F1" w:rsidRPr="00CE50F1" w:rsidRDefault="00CE50F1" w:rsidP="00CE50F1">
            <w:r w:rsidRPr="00CE50F1">
              <w:t>9.09</w:t>
            </w:r>
          </w:p>
        </w:tc>
      </w:tr>
      <w:tr w:rsidR="00CE50F1" w:rsidRPr="00CE50F1" w14:paraId="27909BC2" w14:textId="77777777" w:rsidTr="00CE50F1">
        <w:trPr>
          <w:tblCellSpacing w:w="15" w:type="dxa"/>
        </w:trPr>
        <w:tc>
          <w:tcPr>
            <w:tcW w:w="0" w:type="auto"/>
            <w:vAlign w:val="center"/>
            <w:hideMark/>
          </w:tcPr>
          <w:p w14:paraId="5BED1089" w14:textId="77777777" w:rsidR="00CE50F1" w:rsidRPr="00CE50F1" w:rsidRDefault="00CE50F1" w:rsidP="00CE50F1">
            <w:r w:rsidRPr="00CE50F1">
              <w:t>3</w:t>
            </w:r>
          </w:p>
        </w:tc>
        <w:tc>
          <w:tcPr>
            <w:tcW w:w="0" w:type="auto"/>
            <w:vAlign w:val="center"/>
            <w:hideMark/>
          </w:tcPr>
          <w:p w14:paraId="30A0349B" w14:textId="77777777" w:rsidR="00CE50F1" w:rsidRPr="00CE50F1" w:rsidRDefault="00CE50F1" w:rsidP="00CE50F1">
            <w:r w:rsidRPr="00CE50F1">
              <w:t>11</w:t>
            </w:r>
          </w:p>
        </w:tc>
        <w:tc>
          <w:tcPr>
            <w:tcW w:w="0" w:type="auto"/>
            <w:vAlign w:val="center"/>
            <w:hideMark/>
          </w:tcPr>
          <w:p w14:paraId="0D0EFA2D" w14:textId="77777777" w:rsidR="00CE50F1" w:rsidRPr="00CE50F1" w:rsidRDefault="00CE50F1" w:rsidP="00CE50F1">
            <w:r w:rsidRPr="00CE50F1">
              <w:t>0.7513</w:t>
            </w:r>
          </w:p>
        </w:tc>
        <w:tc>
          <w:tcPr>
            <w:tcW w:w="0" w:type="auto"/>
            <w:vAlign w:val="center"/>
            <w:hideMark/>
          </w:tcPr>
          <w:p w14:paraId="12A037FD" w14:textId="77777777" w:rsidR="00CE50F1" w:rsidRPr="00CE50F1" w:rsidRDefault="00CE50F1" w:rsidP="00CE50F1">
            <w:r w:rsidRPr="00CE50F1">
              <w:t>8.26</w:t>
            </w:r>
          </w:p>
        </w:tc>
      </w:tr>
      <w:tr w:rsidR="00CE50F1" w:rsidRPr="00CE50F1" w14:paraId="7AF2533A" w14:textId="77777777" w:rsidTr="00CE50F1">
        <w:trPr>
          <w:tblCellSpacing w:w="15" w:type="dxa"/>
        </w:trPr>
        <w:tc>
          <w:tcPr>
            <w:tcW w:w="0" w:type="auto"/>
            <w:vAlign w:val="center"/>
            <w:hideMark/>
          </w:tcPr>
          <w:p w14:paraId="71B439D0" w14:textId="77777777" w:rsidR="00CE50F1" w:rsidRPr="00CE50F1" w:rsidRDefault="00CE50F1" w:rsidP="00CE50F1">
            <w:r w:rsidRPr="00CE50F1">
              <w:t>4</w:t>
            </w:r>
          </w:p>
        </w:tc>
        <w:tc>
          <w:tcPr>
            <w:tcW w:w="0" w:type="auto"/>
            <w:vAlign w:val="center"/>
            <w:hideMark/>
          </w:tcPr>
          <w:p w14:paraId="2A1AE6B0" w14:textId="77777777" w:rsidR="00CE50F1" w:rsidRPr="00CE50F1" w:rsidRDefault="00CE50F1" w:rsidP="00CE50F1">
            <w:r w:rsidRPr="00CE50F1">
              <w:t>11</w:t>
            </w:r>
          </w:p>
        </w:tc>
        <w:tc>
          <w:tcPr>
            <w:tcW w:w="0" w:type="auto"/>
            <w:vAlign w:val="center"/>
            <w:hideMark/>
          </w:tcPr>
          <w:p w14:paraId="6510A6CE" w14:textId="77777777" w:rsidR="00CE50F1" w:rsidRPr="00CE50F1" w:rsidRDefault="00CE50F1" w:rsidP="00CE50F1">
            <w:r w:rsidRPr="00CE50F1">
              <w:t>0.6830</w:t>
            </w:r>
          </w:p>
        </w:tc>
        <w:tc>
          <w:tcPr>
            <w:tcW w:w="0" w:type="auto"/>
            <w:vAlign w:val="center"/>
            <w:hideMark/>
          </w:tcPr>
          <w:p w14:paraId="4ADC27DE" w14:textId="77777777" w:rsidR="00CE50F1" w:rsidRPr="00CE50F1" w:rsidRDefault="00CE50F1" w:rsidP="00CE50F1">
            <w:r w:rsidRPr="00CE50F1">
              <w:t>7.51</w:t>
            </w:r>
          </w:p>
        </w:tc>
      </w:tr>
      <w:tr w:rsidR="00CE50F1" w:rsidRPr="00CE50F1" w14:paraId="1185C391" w14:textId="77777777" w:rsidTr="00CE50F1">
        <w:trPr>
          <w:tblCellSpacing w:w="15" w:type="dxa"/>
        </w:trPr>
        <w:tc>
          <w:tcPr>
            <w:tcW w:w="0" w:type="auto"/>
            <w:vAlign w:val="center"/>
            <w:hideMark/>
          </w:tcPr>
          <w:p w14:paraId="3D6FC145" w14:textId="77777777" w:rsidR="00CE50F1" w:rsidRPr="00CE50F1" w:rsidRDefault="00CE50F1" w:rsidP="00CE50F1">
            <w:r w:rsidRPr="00CE50F1">
              <w:t>5</w:t>
            </w:r>
          </w:p>
        </w:tc>
        <w:tc>
          <w:tcPr>
            <w:tcW w:w="0" w:type="auto"/>
            <w:vAlign w:val="center"/>
            <w:hideMark/>
          </w:tcPr>
          <w:p w14:paraId="03564ECF" w14:textId="77777777" w:rsidR="00CE50F1" w:rsidRPr="00CE50F1" w:rsidRDefault="00CE50F1" w:rsidP="00CE50F1">
            <w:r w:rsidRPr="00CE50F1">
              <w:t>11</w:t>
            </w:r>
          </w:p>
        </w:tc>
        <w:tc>
          <w:tcPr>
            <w:tcW w:w="0" w:type="auto"/>
            <w:vAlign w:val="center"/>
            <w:hideMark/>
          </w:tcPr>
          <w:p w14:paraId="211A0D67" w14:textId="77777777" w:rsidR="00CE50F1" w:rsidRPr="00CE50F1" w:rsidRDefault="00CE50F1" w:rsidP="00CE50F1">
            <w:r w:rsidRPr="00CE50F1">
              <w:t>0.6209</w:t>
            </w:r>
          </w:p>
        </w:tc>
        <w:tc>
          <w:tcPr>
            <w:tcW w:w="0" w:type="auto"/>
            <w:vAlign w:val="center"/>
            <w:hideMark/>
          </w:tcPr>
          <w:p w14:paraId="7F80F6B7" w14:textId="77777777" w:rsidR="00CE50F1" w:rsidRPr="00CE50F1" w:rsidRDefault="00CE50F1" w:rsidP="00CE50F1">
            <w:r w:rsidRPr="00CE50F1">
              <w:t>6.83</w:t>
            </w:r>
          </w:p>
        </w:tc>
      </w:tr>
      <w:tr w:rsidR="00CE50F1" w:rsidRPr="00CE50F1" w14:paraId="2B1048E8" w14:textId="77777777" w:rsidTr="00CE50F1">
        <w:trPr>
          <w:tblCellSpacing w:w="15" w:type="dxa"/>
        </w:trPr>
        <w:tc>
          <w:tcPr>
            <w:tcW w:w="0" w:type="auto"/>
            <w:vAlign w:val="center"/>
            <w:hideMark/>
          </w:tcPr>
          <w:p w14:paraId="53AC5988" w14:textId="77777777" w:rsidR="00CE50F1" w:rsidRPr="00CE50F1" w:rsidRDefault="00CE50F1" w:rsidP="00CE50F1">
            <w:r w:rsidRPr="00CE50F1">
              <w:rPr>
                <w:b/>
                <w:bCs/>
              </w:rPr>
              <w:lastRenderedPageBreak/>
              <w:t>Total PV of inflows</w:t>
            </w:r>
          </w:p>
        </w:tc>
        <w:tc>
          <w:tcPr>
            <w:tcW w:w="0" w:type="auto"/>
            <w:vAlign w:val="center"/>
            <w:hideMark/>
          </w:tcPr>
          <w:p w14:paraId="15F397AB" w14:textId="77777777" w:rsidR="00CE50F1" w:rsidRPr="00CE50F1" w:rsidRDefault="00CE50F1" w:rsidP="00CE50F1"/>
        </w:tc>
        <w:tc>
          <w:tcPr>
            <w:tcW w:w="0" w:type="auto"/>
            <w:vAlign w:val="center"/>
            <w:hideMark/>
          </w:tcPr>
          <w:p w14:paraId="3D0E25C1" w14:textId="77777777" w:rsidR="00CE50F1" w:rsidRPr="00CE50F1" w:rsidRDefault="00CE50F1" w:rsidP="00CE50F1"/>
        </w:tc>
        <w:tc>
          <w:tcPr>
            <w:tcW w:w="0" w:type="auto"/>
            <w:vAlign w:val="center"/>
            <w:hideMark/>
          </w:tcPr>
          <w:p w14:paraId="62CB4483" w14:textId="77777777" w:rsidR="00CE50F1" w:rsidRPr="00CE50F1" w:rsidRDefault="00CE50F1" w:rsidP="00CE50F1">
            <w:r w:rsidRPr="00CE50F1">
              <w:rPr>
                <w:b/>
                <w:bCs/>
              </w:rPr>
              <w:t>41.70</w:t>
            </w:r>
          </w:p>
        </w:tc>
      </w:tr>
      <w:tr w:rsidR="00CE50F1" w:rsidRPr="00CE50F1" w14:paraId="70C1821A" w14:textId="77777777" w:rsidTr="00CE50F1">
        <w:trPr>
          <w:tblCellSpacing w:w="15" w:type="dxa"/>
        </w:trPr>
        <w:tc>
          <w:tcPr>
            <w:tcW w:w="0" w:type="auto"/>
            <w:vAlign w:val="center"/>
            <w:hideMark/>
          </w:tcPr>
          <w:p w14:paraId="2AC9B4AA" w14:textId="77777777" w:rsidR="00CE50F1" w:rsidRPr="00CE50F1" w:rsidRDefault="00CE50F1" w:rsidP="00CE50F1">
            <w:r w:rsidRPr="00CE50F1">
              <w:rPr>
                <w:b/>
                <w:bCs/>
              </w:rPr>
              <w:t>NPV</w:t>
            </w:r>
          </w:p>
        </w:tc>
        <w:tc>
          <w:tcPr>
            <w:tcW w:w="0" w:type="auto"/>
            <w:vAlign w:val="center"/>
            <w:hideMark/>
          </w:tcPr>
          <w:p w14:paraId="1724A312" w14:textId="77777777" w:rsidR="00CE50F1" w:rsidRPr="00CE50F1" w:rsidRDefault="00CE50F1" w:rsidP="00CE50F1"/>
        </w:tc>
        <w:tc>
          <w:tcPr>
            <w:tcW w:w="0" w:type="auto"/>
            <w:vAlign w:val="center"/>
            <w:hideMark/>
          </w:tcPr>
          <w:p w14:paraId="73909DB0" w14:textId="77777777" w:rsidR="00CE50F1" w:rsidRPr="00CE50F1" w:rsidRDefault="00CE50F1" w:rsidP="00CE50F1"/>
        </w:tc>
        <w:tc>
          <w:tcPr>
            <w:tcW w:w="0" w:type="auto"/>
            <w:vAlign w:val="center"/>
            <w:hideMark/>
          </w:tcPr>
          <w:p w14:paraId="0DFE52F7" w14:textId="77777777" w:rsidR="00CE50F1" w:rsidRPr="00CE50F1" w:rsidRDefault="00CE50F1" w:rsidP="00CE50F1">
            <w:pPr>
              <w:keepNext/>
            </w:pPr>
            <w:r w:rsidRPr="00CE50F1">
              <w:rPr>
                <w:b/>
                <w:bCs/>
              </w:rPr>
              <w:t>(8.30)</w:t>
            </w:r>
          </w:p>
        </w:tc>
      </w:tr>
    </w:tbl>
    <w:p w14:paraId="36A6F04C" w14:textId="6684A407" w:rsidR="00CE50F1" w:rsidRDefault="00CE50F1" w:rsidP="00CE50F1">
      <w:pPr>
        <w:pStyle w:val="Caption"/>
        <w:jc w:val="center"/>
      </w:pPr>
      <w:bookmarkStart w:id="45" w:name="_Toc227891341"/>
      <w:r>
        <w:t xml:space="preserve">Table </w:t>
      </w:r>
      <w:r>
        <w:fldChar w:fldCharType="begin"/>
      </w:r>
      <w:r>
        <w:instrText xml:space="preserve"> SEQ Table \* ARABIC </w:instrText>
      </w:r>
      <w:r>
        <w:fldChar w:fldCharType="separate"/>
      </w:r>
      <w:r>
        <w:rPr>
          <w:noProof/>
        </w:rPr>
        <w:t>10</w:t>
      </w:r>
      <w:r>
        <w:fldChar w:fldCharType="end"/>
      </w:r>
      <w:r>
        <w:t xml:space="preserve"> (</w:t>
      </w:r>
      <w:r w:rsidRPr="004A4A4A">
        <w:t>Net present value calculation: Project B</w:t>
      </w:r>
      <w:r>
        <w:t>)</w:t>
      </w:r>
      <w:bookmarkEnd w:id="45"/>
    </w:p>
    <w:p w14:paraId="44532585" w14:textId="77777777" w:rsidR="00CE50F1" w:rsidRDefault="00CE50F1" w:rsidP="00CE50F1"/>
    <w:tbl>
      <w:tblPr>
        <w:tblW w:w="0" w:type="auto"/>
        <w:tblCellSpacing w:w="15" w:type="dxa"/>
        <w:tblBorders>
          <w:top w:val="double" w:sz="4" w:space="0" w:color="156082" w:themeColor="accent1"/>
          <w:left w:val="double" w:sz="4" w:space="0" w:color="156082" w:themeColor="accent1"/>
          <w:bottom w:val="double" w:sz="4" w:space="0" w:color="156082" w:themeColor="accent1"/>
          <w:right w:val="double" w:sz="4" w:space="0" w:color="156082" w:themeColor="accent1"/>
          <w:insideH w:val="double" w:sz="4" w:space="0" w:color="156082" w:themeColor="accent1"/>
          <w:insideV w:val="double" w:sz="4" w:space="0" w:color="156082" w:themeColor="accent1"/>
        </w:tblBorders>
        <w:tblCellMar>
          <w:top w:w="15" w:type="dxa"/>
          <w:left w:w="15" w:type="dxa"/>
          <w:bottom w:w="15" w:type="dxa"/>
          <w:right w:w="15" w:type="dxa"/>
        </w:tblCellMar>
        <w:tblLook w:val="04A0" w:firstRow="1" w:lastRow="0" w:firstColumn="1" w:lastColumn="0" w:noHBand="0" w:noVBand="1"/>
      </w:tblPr>
      <w:tblGrid>
        <w:gridCol w:w="2264"/>
        <w:gridCol w:w="1827"/>
        <w:gridCol w:w="2708"/>
        <w:gridCol w:w="2270"/>
      </w:tblGrid>
      <w:tr w:rsidR="00CE50F1" w:rsidRPr="00CE50F1" w14:paraId="0D926CEF" w14:textId="77777777" w:rsidTr="00CE50F1">
        <w:trPr>
          <w:tblHeader/>
          <w:tblCellSpacing w:w="15" w:type="dxa"/>
        </w:trPr>
        <w:tc>
          <w:tcPr>
            <w:tcW w:w="0" w:type="auto"/>
            <w:vAlign w:val="center"/>
            <w:hideMark/>
          </w:tcPr>
          <w:p w14:paraId="177F9B86" w14:textId="77777777" w:rsidR="00CE50F1" w:rsidRPr="00CE50F1" w:rsidRDefault="00CE50F1" w:rsidP="00CE50F1">
            <w:pPr>
              <w:rPr>
                <w:b/>
                <w:bCs/>
              </w:rPr>
            </w:pPr>
            <w:r w:rsidRPr="00CE50F1">
              <w:rPr>
                <w:b/>
                <w:bCs/>
              </w:rPr>
              <w:t>Year</w:t>
            </w:r>
          </w:p>
        </w:tc>
        <w:tc>
          <w:tcPr>
            <w:tcW w:w="0" w:type="auto"/>
            <w:vAlign w:val="center"/>
            <w:hideMark/>
          </w:tcPr>
          <w:p w14:paraId="157E1057" w14:textId="77777777" w:rsidR="00CE50F1" w:rsidRPr="00CE50F1" w:rsidRDefault="00CE50F1" w:rsidP="00CE50F1">
            <w:pPr>
              <w:rPr>
                <w:b/>
                <w:bCs/>
              </w:rPr>
            </w:pPr>
            <w:r w:rsidRPr="00CE50F1">
              <w:rPr>
                <w:b/>
                <w:bCs/>
              </w:rPr>
              <w:t>Cash flow (£m)</w:t>
            </w:r>
          </w:p>
        </w:tc>
        <w:tc>
          <w:tcPr>
            <w:tcW w:w="0" w:type="auto"/>
            <w:vAlign w:val="center"/>
            <w:hideMark/>
          </w:tcPr>
          <w:p w14:paraId="204596F9" w14:textId="77777777" w:rsidR="00CE50F1" w:rsidRPr="00CE50F1" w:rsidRDefault="00CE50F1" w:rsidP="00CE50F1">
            <w:pPr>
              <w:rPr>
                <w:b/>
                <w:bCs/>
              </w:rPr>
            </w:pPr>
            <w:r w:rsidRPr="00CE50F1">
              <w:rPr>
                <w:b/>
                <w:bCs/>
              </w:rPr>
              <w:t>Discount factor at 10%</w:t>
            </w:r>
          </w:p>
        </w:tc>
        <w:tc>
          <w:tcPr>
            <w:tcW w:w="0" w:type="auto"/>
            <w:vAlign w:val="center"/>
            <w:hideMark/>
          </w:tcPr>
          <w:p w14:paraId="28BD9F3B" w14:textId="77777777" w:rsidR="00CE50F1" w:rsidRPr="00CE50F1" w:rsidRDefault="00CE50F1" w:rsidP="00CE50F1">
            <w:pPr>
              <w:rPr>
                <w:b/>
                <w:bCs/>
              </w:rPr>
            </w:pPr>
            <w:r w:rsidRPr="00CE50F1">
              <w:rPr>
                <w:b/>
                <w:bCs/>
              </w:rPr>
              <w:t>Present value (£m)</w:t>
            </w:r>
          </w:p>
        </w:tc>
      </w:tr>
      <w:tr w:rsidR="00CE50F1" w:rsidRPr="00CE50F1" w14:paraId="11C364FB" w14:textId="77777777" w:rsidTr="00CE50F1">
        <w:trPr>
          <w:tblCellSpacing w:w="15" w:type="dxa"/>
        </w:trPr>
        <w:tc>
          <w:tcPr>
            <w:tcW w:w="0" w:type="auto"/>
            <w:vAlign w:val="center"/>
            <w:hideMark/>
          </w:tcPr>
          <w:p w14:paraId="4569BFC7" w14:textId="77777777" w:rsidR="00CE50F1" w:rsidRPr="00CE50F1" w:rsidRDefault="00CE50F1" w:rsidP="00CE50F1">
            <w:r w:rsidRPr="00CE50F1">
              <w:t>0</w:t>
            </w:r>
          </w:p>
        </w:tc>
        <w:tc>
          <w:tcPr>
            <w:tcW w:w="0" w:type="auto"/>
            <w:vAlign w:val="center"/>
            <w:hideMark/>
          </w:tcPr>
          <w:p w14:paraId="04EEFC8E" w14:textId="77777777" w:rsidR="00CE50F1" w:rsidRPr="00CE50F1" w:rsidRDefault="00CE50F1" w:rsidP="00CE50F1">
            <w:r w:rsidRPr="00CE50F1">
              <w:t>(50)</w:t>
            </w:r>
          </w:p>
        </w:tc>
        <w:tc>
          <w:tcPr>
            <w:tcW w:w="0" w:type="auto"/>
            <w:vAlign w:val="center"/>
            <w:hideMark/>
          </w:tcPr>
          <w:p w14:paraId="5F5B7D18" w14:textId="77777777" w:rsidR="00CE50F1" w:rsidRPr="00CE50F1" w:rsidRDefault="00CE50F1" w:rsidP="00CE50F1">
            <w:r w:rsidRPr="00CE50F1">
              <w:t>1.0000</w:t>
            </w:r>
          </w:p>
        </w:tc>
        <w:tc>
          <w:tcPr>
            <w:tcW w:w="0" w:type="auto"/>
            <w:vAlign w:val="center"/>
            <w:hideMark/>
          </w:tcPr>
          <w:p w14:paraId="53DAF3AF" w14:textId="77777777" w:rsidR="00CE50F1" w:rsidRPr="00CE50F1" w:rsidRDefault="00CE50F1" w:rsidP="00CE50F1">
            <w:r w:rsidRPr="00CE50F1">
              <w:t>(50.00)</w:t>
            </w:r>
          </w:p>
        </w:tc>
      </w:tr>
      <w:tr w:rsidR="00CE50F1" w:rsidRPr="00CE50F1" w14:paraId="03FB5AF3" w14:textId="77777777" w:rsidTr="00CE50F1">
        <w:trPr>
          <w:tblCellSpacing w:w="15" w:type="dxa"/>
        </w:trPr>
        <w:tc>
          <w:tcPr>
            <w:tcW w:w="0" w:type="auto"/>
            <w:vAlign w:val="center"/>
            <w:hideMark/>
          </w:tcPr>
          <w:p w14:paraId="1005B3F3" w14:textId="77777777" w:rsidR="00CE50F1" w:rsidRPr="00CE50F1" w:rsidRDefault="00CE50F1" w:rsidP="00CE50F1">
            <w:r w:rsidRPr="00CE50F1">
              <w:t>1</w:t>
            </w:r>
          </w:p>
        </w:tc>
        <w:tc>
          <w:tcPr>
            <w:tcW w:w="0" w:type="auto"/>
            <w:vAlign w:val="center"/>
            <w:hideMark/>
          </w:tcPr>
          <w:p w14:paraId="45D51EAF" w14:textId="77777777" w:rsidR="00CE50F1" w:rsidRPr="00CE50F1" w:rsidRDefault="00CE50F1" w:rsidP="00CE50F1">
            <w:r w:rsidRPr="00CE50F1">
              <w:t>5</w:t>
            </w:r>
          </w:p>
        </w:tc>
        <w:tc>
          <w:tcPr>
            <w:tcW w:w="0" w:type="auto"/>
            <w:vAlign w:val="center"/>
            <w:hideMark/>
          </w:tcPr>
          <w:p w14:paraId="1C06FC43" w14:textId="77777777" w:rsidR="00CE50F1" w:rsidRPr="00CE50F1" w:rsidRDefault="00CE50F1" w:rsidP="00CE50F1">
            <w:r w:rsidRPr="00CE50F1">
              <w:t>0.9091</w:t>
            </w:r>
          </w:p>
        </w:tc>
        <w:tc>
          <w:tcPr>
            <w:tcW w:w="0" w:type="auto"/>
            <w:vAlign w:val="center"/>
            <w:hideMark/>
          </w:tcPr>
          <w:p w14:paraId="53086444" w14:textId="77777777" w:rsidR="00CE50F1" w:rsidRPr="00CE50F1" w:rsidRDefault="00CE50F1" w:rsidP="00CE50F1">
            <w:r w:rsidRPr="00CE50F1">
              <w:t>4.55</w:t>
            </w:r>
          </w:p>
        </w:tc>
      </w:tr>
      <w:tr w:rsidR="00CE50F1" w:rsidRPr="00CE50F1" w14:paraId="20CE042E" w14:textId="77777777" w:rsidTr="00CE50F1">
        <w:trPr>
          <w:tblCellSpacing w:w="15" w:type="dxa"/>
        </w:trPr>
        <w:tc>
          <w:tcPr>
            <w:tcW w:w="0" w:type="auto"/>
            <w:vAlign w:val="center"/>
            <w:hideMark/>
          </w:tcPr>
          <w:p w14:paraId="5CDCD260" w14:textId="77777777" w:rsidR="00CE50F1" w:rsidRPr="00CE50F1" w:rsidRDefault="00CE50F1" w:rsidP="00CE50F1">
            <w:r w:rsidRPr="00CE50F1">
              <w:t>2</w:t>
            </w:r>
          </w:p>
        </w:tc>
        <w:tc>
          <w:tcPr>
            <w:tcW w:w="0" w:type="auto"/>
            <w:vAlign w:val="center"/>
            <w:hideMark/>
          </w:tcPr>
          <w:p w14:paraId="1E7F8C43" w14:textId="77777777" w:rsidR="00CE50F1" w:rsidRPr="00CE50F1" w:rsidRDefault="00CE50F1" w:rsidP="00CE50F1">
            <w:r w:rsidRPr="00CE50F1">
              <w:t>10</w:t>
            </w:r>
          </w:p>
        </w:tc>
        <w:tc>
          <w:tcPr>
            <w:tcW w:w="0" w:type="auto"/>
            <w:vAlign w:val="center"/>
            <w:hideMark/>
          </w:tcPr>
          <w:p w14:paraId="1E34A296" w14:textId="77777777" w:rsidR="00CE50F1" w:rsidRPr="00CE50F1" w:rsidRDefault="00CE50F1" w:rsidP="00CE50F1">
            <w:r w:rsidRPr="00CE50F1">
              <w:t>0.8264</w:t>
            </w:r>
          </w:p>
        </w:tc>
        <w:tc>
          <w:tcPr>
            <w:tcW w:w="0" w:type="auto"/>
            <w:vAlign w:val="center"/>
            <w:hideMark/>
          </w:tcPr>
          <w:p w14:paraId="644E0977" w14:textId="77777777" w:rsidR="00CE50F1" w:rsidRPr="00CE50F1" w:rsidRDefault="00CE50F1" w:rsidP="00CE50F1">
            <w:r w:rsidRPr="00CE50F1">
              <w:t>8.26</w:t>
            </w:r>
          </w:p>
        </w:tc>
      </w:tr>
      <w:tr w:rsidR="00CE50F1" w:rsidRPr="00CE50F1" w14:paraId="3F62528E" w14:textId="77777777" w:rsidTr="00CE50F1">
        <w:trPr>
          <w:tblCellSpacing w:w="15" w:type="dxa"/>
        </w:trPr>
        <w:tc>
          <w:tcPr>
            <w:tcW w:w="0" w:type="auto"/>
            <w:vAlign w:val="center"/>
            <w:hideMark/>
          </w:tcPr>
          <w:p w14:paraId="1A832C69" w14:textId="77777777" w:rsidR="00CE50F1" w:rsidRPr="00CE50F1" w:rsidRDefault="00CE50F1" w:rsidP="00CE50F1">
            <w:r w:rsidRPr="00CE50F1">
              <w:t>3</w:t>
            </w:r>
          </w:p>
        </w:tc>
        <w:tc>
          <w:tcPr>
            <w:tcW w:w="0" w:type="auto"/>
            <w:vAlign w:val="center"/>
            <w:hideMark/>
          </w:tcPr>
          <w:p w14:paraId="354B6780" w14:textId="77777777" w:rsidR="00CE50F1" w:rsidRPr="00CE50F1" w:rsidRDefault="00CE50F1" w:rsidP="00CE50F1">
            <w:r w:rsidRPr="00CE50F1">
              <w:t>20</w:t>
            </w:r>
          </w:p>
        </w:tc>
        <w:tc>
          <w:tcPr>
            <w:tcW w:w="0" w:type="auto"/>
            <w:vAlign w:val="center"/>
            <w:hideMark/>
          </w:tcPr>
          <w:p w14:paraId="28CE6B8C" w14:textId="77777777" w:rsidR="00CE50F1" w:rsidRPr="00CE50F1" w:rsidRDefault="00CE50F1" w:rsidP="00CE50F1">
            <w:r w:rsidRPr="00CE50F1">
              <w:t>0.7513</w:t>
            </w:r>
          </w:p>
        </w:tc>
        <w:tc>
          <w:tcPr>
            <w:tcW w:w="0" w:type="auto"/>
            <w:vAlign w:val="center"/>
            <w:hideMark/>
          </w:tcPr>
          <w:p w14:paraId="1200AFBB" w14:textId="77777777" w:rsidR="00CE50F1" w:rsidRPr="00CE50F1" w:rsidRDefault="00CE50F1" w:rsidP="00CE50F1">
            <w:r w:rsidRPr="00CE50F1">
              <w:t>15.03</w:t>
            </w:r>
          </w:p>
        </w:tc>
      </w:tr>
      <w:tr w:rsidR="00CE50F1" w:rsidRPr="00CE50F1" w14:paraId="04993C8B" w14:textId="77777777" w:rsidTr="00CE50F1">
        <w:trPr>
          <w:tblCellSpacing w:w="15" w:type="dxa"/>
        </w:trPr>
        <w:tc>
          <w:tcPr>
            <w:tcW w:w="0" w:type="auto"/>
            <w:vAlign w:val="center"/>
            <w:hideMark/>
          </w:tcPr>
          <w:p w14:paraId="3A05DF36" w14:textId="77777777" w:rsidR="00CE50F1" w:rsidRPr="00CE50F1" w:rsidRDefault="00CE50F1" w:rsidP="00CE50F1">
            <w:r w:rsidRPr="00CE50F1">
              <w:t>4</w:t>
            </w:r>
          </w:p>
        </w:tc>
        <w:tc>
          <w:tcPr>
            <w:tcW w:w="0" w:type="auto"/>
            <w:vAlign w:val="center"/>
            <w:hideMark/>
          </w:tcPr>
          <w:p w14:paraId="0E50FB5A" w14:textId="77777777" w:rsidR="00CE50F1" w:rsidRPr="00CE50F1" w:rsidRDefault="00CE50F1" w:rsidP="00CE50F1">
            <w:r w:rsidRPr="00CE50F1">
              <w:t>25</w:t>
            </w:r>
          </w:p>
        </w:tc>
        <w:tc>
          <w:tcPr>
            <w:tcW w:w="0" w:type="auto"/>
            <w:vAlign w:val="center"/>
            <w:hideMark/>
          </w:tcPr>
          <w:p w14:paraId="53C77247" w14:textId="77777777" w:rsidR="00CE50F1" w:rsidRPr="00CE50F1" w:rsidRDefault="00CE50F1" w:rsidP="00CE50F1">
            <w:r w:rsidRPr="00CE50F1">
              <w:t>0.6830</w:t>
            </w:r>
          </w:p>
        </w:tc>
        <w:tc>
          <w:tcPr>
            <w:tcW w:w="0" w:type="auto"/>
            <w:vAlign w:val="center"/>
            <w:hideMark/>
          </w:tcPr>
          <w:p w14:paraId="2577EBAE" w14:textId="77777777" w:rsidR="00CE50F1" w:rsidRPr="00CE50F1" w:rsidRDefault="00CE50F1" w:rsidP="00CE50F1">
            <w:r w:rsidRPr="00CE50F1">
              <w:t>17.08</w:t>
            </w:r>
          </w:p>
        </w:tc>
      </w:tr>
      <w:tr w:rsidR="00CE50F1" w:rsidRPr="00CE50F1" w14:paraId="2649AF47" w14:textId="77777777" w:rsidTr="00CE50F1">
        <w:trPr>
          <w:tblCellSpacing w:w="15" w:type="dxa"/>
        </w:trPr>
        <w:tc>
          <w:tcPr>
            <w:tcW w:w="0" w:type="auto"/>
            <w:vAlign w:val="center"/>
            <w:hideMark/>
          </w:tcPr>
          <w:p w14:paraId="05B45B2B" w14:textId="77777777" w:rsidR="00CE50F1" w:rsidRPr="00CE50F1" w:rsidRDefault="00CE50F1" w:rsidP="00CE50F1">
            <w:r w:rsidRPr="00CE50F1">
              <w:t>5</w:t>
            </w:r>
          </w:p>
        </w:tc>
        <w:tc>
          <w:tcPr>
            <w:tcW w:w="0" w:type="auto"/>
            <w:vAlign w:val="center"/>
            <w:hideMark/>
          </w:tcPr>
          <w:p w14:paraId="731A3CB6" w14:textId="77777777" w:rsidR="00CE50F1" w:rsidRPr="00CE50F1" w:rsidRDefault="00CE50F1" w:rsidP="00CE50F1">
            <w:r w:rsidRPr="00CE50F1">
              <w:t>5</w:t>
            </w:r>
          </w:p>
        </w:tc>
        <w:tc>
          <w:tcPr>
            <w:tcW w:w="0" w:type="auto"/>
            <w:vAlign w:val="center"/>
            <w:hideMark/>
          </w:tcPr>
          <w:p w14:paraId="509805E1" w14:textId="77777777" w:rsidR="00CE50F1" w:rsidRPr="00CE50F1" w:rsidRDefault="00CE50F1" w:rsidP="00CE50F1">
            <w:r w:rsidRPr="00CE50F1">
              <w:t>0.6209</w:t>
            </w:r>
          </w:p>
        </w:tc>
        <w:tc>
          <w:tcPr>
            <w:tcW w:w="0" w:type="auto"/>
            <w:vAlign w:val="center"/>
            <w:hideMark/>
          </w:tcPr>
          <w:p w14:paraId="73267B00" w14:textId="77777777" w:rsidR="00CE50F1" w:rsidRPr="00CE50F1" w:rsidRDefault="00CE50F1" w:rsidP="00CE50F1">
            <w:r w:rsidRPr="00CE50F1">
              <w:t>3.10</w:t>
            </w:r>
          </w:p>
        </w:tc>
      </w:tr>
      <w:tr w:rsidR="00CE50F1" w:rsidRPr="00CE50F1" w14:paraId="5A8B4EB4" w14:textId="77777777" w:rsidTr="00CE50F1">
        <w:trPr>
          <w:tblCellSpacing w:w="15" w:type="dxa"/>
        </w:trPr>
        <w:tc>
          <w:tcPr>
            <w:tcW w:w="0" w:type="auto"/>
            <w:vAlign w:val="center"/>
            <w:hideMark/>
          </w:tcPr>
          <w:p w14:paraId="73D60F6E" w14:textId="77777777" w:rsidR="00CE50F1" w:rsidRPr="00CE50F1" w:rsidRDefault="00CE50F1" w:rsidP="00CE50F1">
            <w:r w:rsidRPr="00CE50F1">
              <w:rPr>
                <w:b/>
                <w:bCs/>
              </w:rPr>
              <w:t>Total PV of inflows</w:t>
            </w:r>
          </w:p>
        </w:tc>
        <w:tc>
          <w:tcPr>
            <w:tcW w:w="0" w:type="auto"/>
            <w:vAlign w:val="center"/>
            <w:hideMark/>
          </w:tcPr>
          <w:p w14:paraId="761AEA97" w14:textId="77777777" w:rsidR="00CE50F1" w:rsidRPr="00CE50F1" w:rsidRDefault="00CE50F1" w:rsidP="00CE50F1"/>
        </w:tc>
        <w:tc>
          <w:tcPr>
            <w:tcW w:w="0" w:type="auto"/>
            <w:vAlign w:val="center"/>
            <w:hideMark/>
          </w:tcPr>
          <w:p w14:paraId="01A697F9" w14:textId="77777777" w:rsidR="00CE50F1" w:rsidRPr="00CE50F1" w:rsidRDefault="00CE50F1" w:rsidP="00CE50F1"/>
        </w:tc>
        <w:tc>
          <w:tcPr>
            <w:tcW w:w="0" w:type="auto"/>
            <w:vAlign w:val="center"/>
            <w:hideMark/>
          </w:tcPr>
          <w:p w14:paraId="6F20DB55" w14:textId="77777777" w:rsidR="00CE50F1" w:rsidRPr="00CE50F1" w:rsidRDefault="00CE50F1" w:rsidP="00CE50F1">
            <w:r w:rsidRPr="00CE50F1">
              <w:rPr>
                <w:b/>
                <w:bCs/>
              </w:rPr>
              <w:t>48.02</w:t>
            </w:r>
          </w:p>
        </w:tc>
      </w:tr>
      <w:tr w:rsidR="00CE50F1" w:rsidRPr="00CE50F1" w14:paraId="6A3384FF" w14:textId="77777777" w:rsidTr="00CE50F1">
        <w:trPr>
          <w:tblCellSpacing w:w="15" w:type="dxa"/>
        </w:trPr>
        <w:tc>
          <w:tcPr>
            <w:tcW w:w="0" w:type="auto"/>
            <w:vAlign w:val="center"/>
            <w:hideMark/>
          </w:tcPr>
          <w:p w14:paraId="2D573A51" w14:textId="77777777" w:rsidR="00CE50F1" w:rsidRPr="00CE50F1" w:rsidRDefault="00CE50F1" w:rsidP="00CE50F1">
            <w:r w:rsidRPr="00CE50F1">
              <w:rPr>
                <w:b/>
                <w:bCs/>
              </w:rPr>
              <w:t>NPV</w:t>
            </w:r>
          </w:p>
        </w:tc>
        <w:tc>
          <w:tcPr>
            <w:tcW w:w="0" w:type="auto"/>
            <w:vAlign w:val="center"/>
            <w:hideMark/>
          </w:tcPr>
          <w:p w14:paraId="0664F09F" w14:textId="77777777" w:rsidR="00CE50F1" w:rsidRPr="00CE50F1" w:rsidRDefault="00CE50F1" w:rsidP="00CE50F1"/>
        </w:tc>
        <w:tc>
          <w:tcPr>
            <w:tcW w:w="0" w:type="auto"/>
            <w:vAlign w:val="center"/>
            <w:hideMark/>
          </w:tcPr>
          <w:p w14:paraId="696FCA44" w14:textId="77777777" w:rsidR="00CE50F1" w:rsidRPr="00CE50F1" w:rsidRDefault="00CE50F1" w:rsidP="00CE50F1"/>
        </w:tc>
        <w:tc>
          <w:tcPr>
            <w:tcW w:w="0" w:type="auto"/>
            <w:vAlign w:val="center"/>
            <w:hideMark/>
          </w:tcPr>
          <w:p w14:paraId="00AF8FFD" w14:textId="77777777" w:rsidR="00CE50F1" w:rsidRPr="00CE50F1" w:rsidRDefault="00CE50F1" w:rsidP="00CE50F1">
            <w:pPr>
              <w:keepNext/>
            </w:pPr>
            <w:r w:rsidRPr="00CE50F1">
              <w:rPr>
                <w:b/>
                <w:bCs/>
              </w:rPr>
              <w:t>(1.98)</w:t>
            </w:r>
          </w:p>
        </w:tc>
      </w:tr>
    </w:tbl>
    <w:p w14:paraId="762D863C" w14:textId="56393058" w:rsidR="00CE50F1" w:rsidRDefault="00CE50F1" w:rsidP="00CE50F1">
      <w:pPr>
        <w:pStyle w:val="Caption"/>
        <w:jc w:val="center"/>
      </w:pPr>
      <w:bookmarkStart w:id="46" w:name="_Toc227891342"/>
      <w:r>
        <w:t xml:space="preserve">Table </w:t>
      </w:r>
      <w:r>
        <w:fldChar w:fldCharType="begin"/>
      </w:r>
      <w:r>
        <w:instrText xml:space="preserve"> SEQ Table \* ARABIC </w:instrText>
      </w:r>
      <w:r>
        <w:fldChar w:fldCharType="separate"/>
      </w:r>
      <w:r>
        <w:rPr>
          <w:noProof/>
        </w:rPr>
        <w:t>11</w:t>
      </w:r>
      <w:r>
        <w:fldChar w:fldCharType="end"/>
      </w:r>
      <w:r>
        <w:t xml:space="preserve"> (</w:t>
      </w:r>
      <w:r w:rsidRPr="00EE3BC1">
        <w:t>Net present value calculation: Project C</w:t>
      </w:r>
      <w:r>
        <w:t>)</w:t>
      </w:r>
      <w:bookmarkEnd w:id="46"/>
    </w:p>
    <w:p w14:paraId="2DAD5CAE" w14:textId="77777777" w:rsidR="00CE50F1" w:rsidRDefault="00CE50F1" w:rsidP="00CE50F1"/>
    <w:tbl>
      <w:tblPr>
        <w:tblW w:w="8897" w:type="dxa"/>
        <w:tblCellSpacing w:w="15" w:type="dxa"/>
        <w:tblBorders>
          <w:top w:val="double" w:sz="4" w:space="0" w:color="156082" w:themeColor="accent1"/>
          <w:left w:val="double" w:sz="4" w:space="0" w:color="156082" w:themeColor="accent1"/>
          <w:bottom w:val="double" w:sz="4" w:space="0" w:color="156082" w:themeColor="accent1"/>
          <w:right w:val="double" w:sz="4" w:space="0" w:color="156082" w:themeColor="accent1"/>
          <w:insideH w:val="double" w:sz="4" w:space="0" w:color="156082" w:themeColor="accent1"/>
          <w:insideV w:val="double" w:sz="4" w:space="0" w:color="156082" w:themeColor="accent1"/>
        </w:tblBorders>
        <w:tblCellMar>
          <w:top w:w="15" w:type="dxa"/>
          <w:left w:w="15" w:type="dxa"/>
          <w:bottom w:w="15" w:type="dxa"/>
          <w:right w:w="15" w:type="dxa"/>
        </w:tblCellMar>
        <w:tblLook w:val="04A0" w:firstRow="1" w:lastRow="0" w:firstColumn="1" w:lastColumn="0" w:noHBand="0" w:noVBand="1"/>
      </w:tblPr>
      <w:tblGrid>
        <w:gridCol w:w="1381"/>
        <w:gridCol w:w="3494"/>
        <w:gridCol w:w="3285"/>
        <w:gridCol w:w="737"/>
      </w:tblGrid>
      <w:tr w:rsidR="00CE50F1" w:rsidRPr="00CE50F1" w14:paraId="3E493A74" w14:textId="77777777" w:rsidTr="00CE50F1">
        <w:trPr>
          <w:trHeight w:val="1181"/>
          <w:tblHeader/>
          <w:tblCellSpacing w:w="15" w:type="dxa"/>
        </w:trPr>
        <w:tc>
          <w:tcPr>
            <w:tcW w:w="0" w:type="auto"/>
            <w:vAlign w:val="center"/>
            <w:hideMark/>
          </w:tcPr>
          <w:p w14:paraId="7189BC89" w14:textId="77777777" w:rsidR="00CE50F1" w:rsidRPr="00CE50F1" w:rsidRDefault="00CE50F1" w:rsidP="00CE50F1">
            <w:pPr>
              <w:rPr>
                <w:b/>
                <w:bCs/>
              </w:rPr>
            </w:pPr>
            <w:r w:rsidRPr="00CE50F1">
              <w:rPr>
                <w:b/>
                <w:bCs/>
              </w:rPr>
              <w:lastRenderedPageBreak/>
              <w:t>Project</w:t>
            </w:r>
          </w:p>
        </w:tc>
        <w:tc>
          <w:tcPr>
            <w:tcW w:w="0" w:type="auto"/>
            <w:vAlign w:val="center"/>
            <w:hideMark/>
          </w:tcPr>
          <w:p w14:paraId="4C12D997" w14:textId="77777777" w:rsidR="00CE50F1" w:rsidRPr="00CE50F1" w:rsidRDefault="00CE50F1" w:rsidP="00CE50F1">
            <w:pPr>
              <w:rPr>
                <w:b/>
                <w:bCs/>
              </w:rPr>
            </w:pPr>
            <w:r w:rsidRPr="00CE50F1">
              <w:rPr>
                <w:b/>
                <w:bCs/>
              </w:rPr>
              <w:t>Total PV of inflows (£m)</w:t>
            </w:r>
          </w:p>
        </w:tc>
        <w:tc>
          <w:tcPr>
            <w:tcW w:w="0" w:type="auto"/>
            <w:vAlign w:val="center"/>
            <w:hideMark/>
          </w:tcPr>
          <w:p w14:paraId="0A325F95" w14:textId="77777777" w:rsidR="00CE50F1" w:rsidRPr="00CE50F1" w:rsidRDefault="00CE50F1" w:rsidP="00CE50F1">
            <w:pPr>
              <w:rPr>
                <w:b/>
                <w:bCs/>
              </w:rPr>
            </w:pPr>
            <w:r w:rsidRPr="00CE50F1">
              <w:rPr>
                <w:b/>
                <w:bCs/>
              </w:rPr>
              <w:t>Initial investment (£m)</w:t>
            </w:r>
          </w:p>
        </w:tc>
        <w:tc>
          <w:tcPr>
            <w:tcW w:w="0" w:type="auto"/>
            <w:vAlign w:val="center"/>
            <w:hideMark/>
          </w:tcPr>
          <w:p w14:paraId="498995EB" w14:textId="77777777" w:rsidR="00CE50F1" w:rsidRPr="00CE50F1" w:rsidRDefault="00CE50F1" w:rsidP="00CE50F1">
            <w:pPr>
              <w:rPr>
                <w:b/>
                <w:bCs/>
              </w:rPr>
            </w:pPr>
            <w:r w:rsidRPr="00CE50F1">
              <w:rPr>
                <w:b/>
                <w:bCs/>
              </w:rPr>
              <w:t>PI</w:t>
            </w:r>
          </w:p>
        </w:tc>
      </w:tr>
      <w:tr w:rsidR="00CE50F1" w:rsidRPr="00CE50F1" w14:paraId="3AA3D8B5" w14:textId="77777777" w:rsidTr="00CE50F1">
        <w:trPr>
          <w:trHeight w:val="1212"/>
          <w:tblCellSpacing w:w="15" w:type="dxa"/>
        </w:trPr>
        <w:tc>
          <w:tcPr>
            <w:tcW w:w="0" w:type="auto"/>
            <w:vAlign w:val="center"/>
            <w:hideMark/>
          </w:tcPr>
          <w:p w14:paraId="1A544511" w14:textId="77777777" w:rsidR="00CE50F1" w:rsidRPr="00CE50F1" w:rsidRDefault="00CE50F1" w:rsidP="00CE50F1">
            <w:r w:rsidRPr="00CE50F1">
              <w:t>Project A</w:t>
            </w:r>
          </w:p>
        </w:tc>
        <w:tc>
          <w:tcPr>
            <w:tcW w:w="0" w:type="auto"/>
            <w:vAlign w:val="center"/>
            <w:hideMark/>
          </w:tcPr>
          <w:p w14:paraId="2DEA573F" w14:textId="77777777" w:rsidR="00CE50F1" w:rsidRPr="00CE50F1" w:rsidRDefault="00CE50F1" w:rsidP="00CE50F1">
            <w:r w:rsidRPr="00CE50F1">
              <w:t>41.32</w:t>
            </w:r>
          </w:p>
        </w:tc>
        <w:tc>
          <w:tcPr>
            <w:tcW w:w="0" w:type="auto"/>
            <w:vAlign w:val="center"/>
            <w:hideMark/>
          </w:tcPr>
          <w:p w14:paraId="1221DCF6" w14:textId="77777777" w:rsidR="00CE50F1" w:rsidRPr="00CE50F1" w:rsidRDefault="00CE50F1" w:rsidP="00CE50F1">
            <w:r w:rsidRPr="00CE50F1">
              <w:t>50</w:t>
            </w:r>
          </w:p>
        </w:tc>
        <w:tc>
          <w:tcPr>
            <w:tcW w:w="0" w:type="auto"/>
            <w:vAlign w:val="center"/>
            <w:hideMark/>
          </w:tcPr>
          <w:p w14:paraId="38269160" w14:textId="77777777" w:rsidR="00CE50F1" w:rsidRPr="00CE50F1" w:rsidRDefault="00CE50F1" w:rsidP="00CE50F1">
            <w:r w:rsidRPr="00CE50F1">
              <w:t>0.83</w:t>
            </w:r>
          </w:p>
        </w:tc>
      </w:tr>
      <w:tr w:rsidR="00CE50F1" w:rsidRPr="00CE50F1" w14:paraId="257263AA" w14:textId="77777777" w:rsidTr="00CE50F1">
        <w:trPr>
          <w:trHeight w:val="1181"/>
          <w:tblCellSpacing w:w="15" w:type="dxa"/>
        </w:trPr>
        <w:tc>
          <w:tcPr>
            <w:tcW w:w="0" w:type="auto"/>
            <w:vAlign w:val="center"/>
            <w:hideMark/>
          </w:tcPr>
          <w:p w14:paraId="3ABD6083" w14:textId="77777777" w:rsidR="00CE50F1" w:rsidRPr="00CE50F1" w:rsidRDefault="00CE50F1" w:rsidP="00CE50F1">
            <w:r w:rsidRPr="00CE50F1">
              <w:t>Project B</w:t>
            </w:r>
          </w:p>
        </w:tc>
        <w:tc>
          <w:tcPr>
            <w:tcW w:w="0" w:type="auto"/>
            <w:vAlign w:val="center"/>
            <w:hideMark/>
          </w:tcPr>
          <w:p w14:paraId="0E2C4361" w14:textId="77777777" w:rsidR="00CE50F1" w:rsidRPr="00CE50F1" w:rsidRDefault="00CE50F1" w:rsidP="00CE50F1">
            <w:r w:rsidRPr="00CE50F1">
              <w:t>41.70</w:t>
            </w:r>
          </w:p>
        </w:tc>
        <w:tc>
          <w:tcPr>
            <w:tcW w:w="0" w:type="auto"/>
            <w:vAlign w:val="center"/>
            <w:hideMark/>
          </w:tcPr>
          <w:p w14:paraId="5321A625" w14:textId="77777777" w:rsidR="00CE50F1" w:rsidRPr="00CE50F1" w:rsidRDefault="00CE50F1" w:rsidP="00CE50F1">
            <w:r w:rsidRPr="00CE50F1">
              <w:t>50</w:t>
            </w:r>
          </w:p>
        </w:tc>
        <w:tc>
          <w:tcPr>
            <w:tcW w:w="0" w:type="auto"/>
            <w:vAlign w:val="center"/>
            <w:hideMark/>
          </w:tcPr>
          <w:p w14:paraId="4CEFC556" w14:textId="77777777" w:rsidR="00CE50F1" w:rsidRPr="00CE50F1" w:rsidRDefault="00CE50F1" w:rsidP="00CE50F1">
            <w:r w:rsidRPr="00CE50F1">
              <w:t>0.83</w:t>
            </w:r>
          </w:p>
        </w:tc>
      </w:tr>
      <w:tr w:rsidR="00CE50F1" w:rsidRPr="00CE50F1" w14:paraId="53D6EF93" w14:textId="77777777" w:rsidTr="00CE50F1">
        <w:trPr>
          <w:trHeight w:val="1181"/>
          <w:tblCellSpacing w:w="15" w:type="dxa"/>
        </w:trPr>
        <w:tc>
          <w:tcPr>
            <w:tcW w:w="0" w:type="auto"/>
            <w:vAlign w:val="center"/>
            <w:hideMark/>
          </w:tcPr>
          <w:p w14:paraId="3066280E" w14:textId="77777777" w:rsidR="00CE50F1" w:rsidRPr="00CE50F1" w:rsidRDefault="00CE50F1" w:rsidP="00CE50F1">
            <w:r w:rsidRPr="00CE50F1">
              <w:t>Project C</w:t>
            </w:r>
          </w:p>
        </w:tc>
        <w:tc>
          <w:tcPr>
            <w:tcW w:w="0" w:type="auto"/>
            <w:vAlign w:val="center"/>
            <w:hideMark/>
          </w:tcPr>
          <w:p w14:paraId="5A1B7CDF" w14:textId="77777777" w:rsidR="00CE50F1" w:rsidRPr="00CE50F1" w:rsidRDefault="00CE50F1" w:rsidP="00CE50F1">
            <w:r w:rsidRPr="00CE50F1">
              <w:t>48.02</w:t>
            </w:r>
          </w:p>
        </w:tc>
        <w:tc>
          <w:tcPr>
            <w:tcW w:w="0" w:type="auto"/>
            <w:vAlign w:val="center"/>
            <w:hideMark/>
          </w:tcPr>
          <w:p w14:paraId="6B926468" w14:textId="77777777" w:rsidR="00CE50F1" w:rsidRPr="00CE50F1" w:rsidRDefault="00CE50F1" w:rsidP="00CE50F1">
            <w:r w:rsidRPr="00CE50F1">
              <w:t>50</w:t>
            </w:r>
          </w:p>
        </w:tc>
        <w:tc>
          <w:tcPr>
            <w:tcW w:w="0" w:type="auto"/>
            <w:vAlign w:val="center"/>
            <w:hideMark/>
          </w:tcPr>
          <w:p w14:paraId="6A22CB1C" w14:textId="77777777" w:rsidR="00CE50F1" w:rsidRPr="00CE50F1" w:rsidRDefault="00CE50F1" w:rsidP="00CE50F1">
            <w:pPr>
              <w:keepNext/>
            </w:pPr>
            <w:r w:rsidRPr="00CE50F1">
              <w:t>0.96</w:t>
            </w:r>
          </w:p>
        </w:tc>
      </w:tr>
    </w:tbl>
    <w:p w14:paraId="5109E491" w14:textId="7D0F65EE" w:rsidR="00CE50F1" w:rsidRDefault="00CE50F1" w:rsidP="00CE50F1">
      <w:pPr>
        <w:pStyle w:val="Caption"/>
        <w:jc w:val="center"/>
      </w:pPr>
      <w:bookmarkStart w:id="47" w:name="_Toc227891343"/>
      <w:r>
        <w:t xml:space="preserve">Table </w:t>
      </w:r>
      <w:r>
        <w:fldChar w:fldCharType="begin"/>
      </w:r>
      <w:r>
        <w:instrText xml:space="preserve"> SEQ Table \* ARABIC </w:instrText>
      </w:r>
      <w:r>
        <w:fldChar w:fldCharType="separate"/>
      </w:r>
      <w:r>
        <w:rPr>
          <w:noProof/>
        </w:rPr>
        <w:t>12</w:t>
      </w:r>
      <w:r>
        <w:fldChar w:fldCharType="end"/>
      </w:r>
      <w:r>
        <w:t xml:space="preserve"> (</w:t>
      </w:r>
      <w:r w:rsidRPr="00356CB9">
        <w:t>Profitability index calculations</w:t>
      </w:r>
      <w:r>
        <w:t>)</w:t>
      </w:r>
      <w:bookmarkEnd w:id="47"/>
    </w:p>
    <w:p w14:paraId="77B1C4A6" w14:textId="77777777" w:rsidR="00CE50F1" w:rsidRDefault="00CE50F1" w:rsidP="00CE50F1">
      <w:r w:rsidRPr="00CE50F1">
        <w:t>Formula: Profitability Index = Present value of future cash inflows ÷ Initial investment</w:t>
      </w:r>
    </w:p>
    <w:p w14:paraId="3D01CA75" w14:textId="77777777" w:rsidR="00CE50F1" w:rsidRDefault="00CE50F1" w:rsidP="00CE50F1"/>
    <w:tbl>
      <w:tblPr>
        <w:tblW w:w="3619" w:type="dxa"/>
        <w:tblCellSpacing w:w="15" w:type="dxa"/>
        <w:tblBorders>
          <w:top w:val="double" w:sz="4" w:space="0" w:color="156082" w:themeColor="accent1"/>
          <w:left w:val="double" w:sz="4" w:space="0" w:color="156082" w:themeColor="accent1"/>
          <w:bottom w:val="double" w:sz="4" w:space="0" w:color="156082" w:themeColor="accent1"/>
          <w:right w:val="double" w:sz="4" w:space="0" w:color="156082" w:themeColor="accent1"/>
          <w:insideH w:val="double" w:sz="4" w:space="0" w:color="156082" w:themeColor="accent1"/>
          <w:insideV w:val="double" w:sz="4" w:space="0" w:color="156082" w:themeColor="accent1"/>
        </w:tblBorders>
        <w:tblCellMar>
          <w:top w:w="15" w:type="dxa"/>
          <w:left w:w="15" w:type="dxa"/>
          <w:bottom w:w="15" w:type="dxa"/>
          <w:right w:w="15" w:type="dxa"/>
        </w:tblCellMar>
        <w:tblLook w:val="04A0" w:firstRow="1" w:lastRow="0" w:firstColumn="1" w:lastColumn="0" w:noHBand="0" w:noVBand="1"/>
      </w:tblPr>
      <w:tblGrid>
        <w:gridCol w:w="2102"/>
        <w:gridCol w:w="1517"/>
      </w:tblGrid>
      <w:tr w:rsidR="00CE50F1" w:rsidRPr="00CE50F1" w14:paraId="7EE9E4E2" w14:textId="77777777" w:rsidTr="00CE50F1">
        <w:trPr>
          <w:trHeight w:val="586"/>
          <w:tblHeader/>
          <w:tblCellSpacing w:w="15" w:type="dxa"/>
        </w:trPr>
        <w:tc>
          <w:tcPr>
            <w:tcW w:w="0" w:type="auto"/>
            <w:vAlign w:val="center"/>
            <w:hideMark/>
          </w:tcPr>
          <w:p w14:paraId="28DBE0E4" w14:textId="77777777" w:rsidR="00CE50F1" w:rsidRPr="00CE50F1" w:rsidRDefault="00CE50F1" w:rsidP="00CE50F1">
            <w:pPr>
              <w:rPr>
                <w:b/>
                <w:bCs/>
              </w:rPr>
            </w:pPr>
            <w:r w:rsidRPr="00CE50F1">
              <w:rPr>
                <w:b/>
                <w:bCs/>
              </w:rPr>
              <w:t>Project</w:t>
            </w:r>
          </w:p>
        </w:tc>
        <w:tc>
          <w:tcPr>
            <w:tcW w:w="0" w:type="auto"/>
            <w:vAlign w:val="center"/>
            <w:hideMark/>
          </w:tcPr>
          <w:p w14:paraId="164F6532" w14:textId="77777777" w:rsidR="00CE50F1" w:rsidRPr="00CE50F1" w:rsidRDefault="00CE50F1" w:rsidP="00CE50F1">
            <w:pPr>
              <w:rPr>
                <w:b/>
                <w:bCs/>
              </w:rPr>
            </w:pPr>
            <w:r w:rsidRPr="00CE50F1">
              <w:rPr>
                <w:b/>
                <w:bCs/>
              </w:rPr>
              <w:t>IRR</w:t>
            </w:r>
          </w:p>
        </w:tc>
      </w:tr>
      <w:tr w:rsidR="00CE50F1" w:rsidRPr="00CE50F1" w14:paraId="69EC2EF5" w14:textId="77777777" w:rsidTr="00CE50F1">
        <w:trPr>
          <w:trHeight w:val="602"/>
          <w:tblCellSpacing w:w="15" w:type="dxa"/>
        </w:trPr>
        <w:tc>
          <w:tcPr>
            <w:tcW w:w="0" w:type="auto"/>
            <w:vAlign w:val="center"/>
            <w:hideMark/>
          </w:tcPr>
          <w:p w14:paraId="6DFEBB5E" w14:textId="77777777" w:rsidR="00CE50F1" w:rsidRPr="00CE50F1" w:rsidRDefault="00CE50F1" w:rsidP="00CE50F1">
            <w:r w:rsidRPr="00CE50F1">
              <w:t>Project A</w:t>
            </w:r>
          </w:p>
        </w:tc>
        <w:tc>
          <w:tcPr>
            <w:tcW w:w="0" w:type="auto"/>
            <w:vAlign w:val="center"/>
            <w:hideMark/>
          </w:tcPr>
          <w:p w14:paraId="6066FC5C" w14:textId="77777777" w:rsidR="00CE50F1" w:rsidRPr="00CE50F1" w:rsidRDefault="00CE50F1" w:rsidP="00CE50F1">
            <w:r w:rsidRPr="00CE50F1">
              <w:t>2.72%</w:t>
            </w:r>
          </w:p>
        </w:tc>
      </w:tr>
      <w:tr w:rsidR="00CE50F1" w:rsidRPr="00CE50F1" w14:paraId="77BE3F18" w14:textId="77777777" w:rsidTr="00CE50F1">
        <w:trPr>
          <w:trHeight w:val="586"/>
          <w:tblCellSpacing w:w="15" w:type="dxa"/>
        </w:trPr>
        <w:tc>
          <w:tcPr>
            <w:tcW w:w="0" w:type="auto"/>
            <w:vAlign w:val="center"/>
            <w:hideMark/>
          </w:tcPr>
          <w:p w14:paraId="24D26F88" w14:textId="77777777" w:rsidR="00CE50F1" w:rsidRPr="00CE50F1" w:rsidRDefault="00CE50F1" w:rsidP="00CE50F1">
            <w:r w:rsidRPr="00CE50F1">
              <w:t>Project B</w:t>
            </w:r>
          </w:p>
        </w:tc>
        <w:tc>
          <w:tcPr>
            <w:tcW w:w="0" w:type="auto"/>
            <w:vAlign w:val="center"/>
            <w:hideMark/>
          </w:tcPr>
          <w:p w14:paraId="380D77EB" w14:textId="77777777" w:rsidR="00CE50F1" w:rsidRPr="00CE50F1" w:rsidRDefault="00CE50F1" w:rsidP="00CE50F1">
            <w:r w:rsidRPr="00CE50F1">
              <w:t>3.26%</w:t>
            </w:r>
          </w:p>
        </w:tc>
      </w:tr>
      <w:tr w:rsidR="00CE50F1" w:rsidRPr="00CE50F1" w14:paraId="6FC8F50A" w14:textId="77777777" w:rsidTr="00CE50F1">
        <w:trPr>
          <w:trHeight w:val="586"/>
          <w:tblCellSpacing w:w="15" w:type="dxa"/>
        </w:trPr>
        <w:tc>
          <w:tcPr>
            <w:tcW w:w="0" w:type="auto"/>
            <w:vAlign w:val="center"/>
            <w:hideMark/>
          </w:tcPr>
          <w:p w14:paraId="58877BEB" w14:textId="77777777" w:rsidR="00CE50F1" w:rsidRPr="00CE50F1" w:rsidRDefault="00CE50F1" w:rsidP="00CE50F1">
            <w:r w:rsidRPr="00CE50F1">
              <w:t>Project C</w:t>
            </w:r>
          </w:p>
        </w:tc>
        <w:tc>
          <w:tcPr>
            <w:tcW w:w="0" w:type="auto"/>
            <w:vAlign w:val="center"/>
            <w:hideMark/>
          </w:tcPr>
          <w:p w14:paraId="60A9DE7B" w14:textId="77777777" w:rsidR="00CE50F1" w:rsidRPr="00CE50F1" w:rsidRDefault="00CE50F1" w:rsidP="00CE50F1">
            <w:pPr>
              <w:keepNext/>
            </w:pPr>
            <w:r w:rsidRPr="00CE50F1">
              <w:t>8.59%</w:t>
            </w:r>
          </w:p>
        </w:tc>
      </w:tr>
    </w:tbl>
    <w:p w14:paraId="3B4B57DD" w14:textId="192B73A6" w:rsidR="00CE50F1" w:rsidRDefault="00CE50F1" w:rsidP="00CE50F1">
      <w:pPr>
        <w:pStyle w:val="Caption"/>
      </w:pPr>
      <w:bookmarkStart w:id="48" w:name="_Toc227891344"/>
      <w:r>
        <w:t xml:space="preserve">Table </w:t>
      </w:r>
      <w:r>
        <w:fldChar w:fldCharType="begin"/>
      </w:r>
      <w:r>
        <w:instrText xml:space="preserve"> SEQ Table \* ARABIC </w:instrText>
      </w:r>
      <w:r>
        <w:fldChar w:fldCharType="separate"/>
      </w:r>
      <w:r>
        <w:rPr>
          <w:noProof/>
        </w:rPr>
        <w:t>13</w:t>
      </w:r>
      <w:r>
        <w:fldChar w:fldCharType="end"/>
      </w:r>
      <w:r>
        <w:t xml:space="preserve"> (</w:t>
      </w:r>
      <w:r w:rsidRPr="002A6B66">
        <w:t>Internal rate of return results</w:t>
      </w:r>
      <w:r>
        <w:t>)</w:t>
      </w:r>
      <w:bookmarkEnd w:id="48"/>
    </w:p>
    <w:p w14:paraId="0B6D711B" w14:textId="77777777" w:rsidR="00CE50F1" w:rsidRPr="00CE50F1" w:rsidRDefault="00CE50F1" w:rsidP="00CE50F1">
      <w:r w:rsidRPr="00CE50F1">
        <w:rPr>
          <w:i/>
          <w:iCs/>
        </w:rPr>
        <w:t>Note: IRR values were calculated using Excel.</w:t>
      </w:r>
    </w:p>
    <w:p w14:paraId="67EB421C" w14:textId="77777777" w:rsidR="00CE50F1" w:rsidRPr="00CE50F1" w:rsidRDefault="00CE50F1" w:rsidP="00CE50F1"/>
    <w:tbl>
      <w:tblPr>
        <w:tblW w:w="8305" w:type="dxa"/>
        <w:tblCellSpacing w:w="15" w:type="dxa"/>
        <w:tblBorders>
          <w:top w:val="double" w:sz="4" w:space="0" w:color="156082" w:themeColor="accent1"/>
          <w:left w:val="double" w:sz="4" w:space="0" w:color="156082" w:themeColor="accent1"/>
          <w:bottom w:val="double" w:sz="4" w:space="0" w:color="156082" w:themeColor="accent1"/>
          <w:right w:val="double" w:sz="4" w:space="0" w:color="156082" w:themeColor="accent1"/>
          <w:insideH w:val="double" w:sz="4" w:space="0" w:color="156082" w:themeColor="accent1"/>
          <w:insideV w:val="double" w:sz="4" w:space="0" w:color="156082" w:themeColor="accent1"/>
        </w:tblBorders>
        <w:tblCellMar>
          <w:top w:w="15" w:type="dxa"/>
          <w:left w:w="15" w:type="dxa"/>
          <w:bottom w:w="15" w:type="dxa"/>
          <w:right w:w="15" w:type="dxa"/>
        </w:tblCellMar>
        <w:tblLook w:val="04A0" w:firstRow="1" w:lastRow="0" w:firstColumn="1" w:lastColumn="0" w:noHBand="0" w:noVBand="1"/>
      </w:tblPr>
      <w:tblGrid>
        <w:gridCol w:w="2692"/>
        <w:gridCol w:w="1866"/>
        <w:gridCol w:w="1866"/>
        <w:gridCol w:w="1881"/>
      </w:tblGrid>
      <w:tr w:rsidR="00CE50F1" w:rsidRPr="00CE50F1" w14:paraId="4FB607D5" w14:textId="77777777" w:rsidTr="00CE50F1">
        <w:trPr>
          <w:trHeight w:val="576"/>
          <w:tblHeader/>
          <w:tblCellSpacing w:w="15" w:type="dxa"/>
        </w:trPr>
        <w:tc>
          <w:tcPr>
            <w:tcW w:w="0" w:type="auto"/>
            <w:vAlign w:val="center"/>
            <w:hideMark/>
          </w:tcPr>
          <w:p w14:paraId="06FE13F2" w14:textId="77777777" w:rsidR="00CE50F1" w:rsidRPr="00CE50F1" w:rsidRDefault="00CE50F1" w:rsidP="00CE50F1">
            <w:pPr>
              <w:rPr>
                <w:b/>
                <w:bCs/>
              </w:rPr>
            </w:pPr>
            <w:r w:rsidRPr="00CE50F1">
              <w:rPr>
                <w:b/>
                <w:bCs/>
              </w:rPr>
              <w:lastRenderedPageBreak/>
              <w:t>Method</w:t>
            </w:r>
          </w:p>
        </w:tc>
        <w:tc>
          <w:tcPr>
            <w:tcW w:w="0" w:type="auto"/>
            <w:vAlign w:val="center"/>
            <w:hideMark/>
          </w:tcPr>
          <w:p w14:paraId="5C4FE5E2" w14:textId="77777777" w:rsidR="00CE50F1" w:rsidRPr="00CE50F1" w:rsidRDefault="00CE50F1" w:rsidP="00CE50F1">
            <w:pPr>
              <w:rPr>
                <w:b/>
                <w:bCs/>
              </w:rPr>
            </w:pPr>
            <w:r w:rsidRPr="00CE50F1">
              <w:rPr>
                <w:b/>
                <w:bCs/>
              </w:rPr>
              <w:t>Project A</w:t>
            </w:r>
          </w:p>
        </w:tc>
        <w:tc>
          <w:tcPr>
            <w:tcW w:w="0" w:type="auto"/>
            <w:vAlign w:val="center"/>
            <w:hideMark/>
          </w:tcPr>
          <w:p w14:paraId="0032E712" w14:textId="77777777" w:rsidR="00CE50F1" w:rsidRPr="00CE50F1" w:rsidRDefault="00CE50F1" w:rsidP="00CE50F1">
            <w:pPr>
              <w:rPr>
                <w:b/>
                <w:bCs/>
              </w:rPr>
            </w:pPr>
            <w:r w:rsidRPr="00CE50F1">
              <w:rPr>
                <w:b/>
                <w:bCs/>
              </w:rPr>
              <w:t>Project B</w:t>
            </w:r>
          </w:p>
        </w:tc>
        <w:tc>
          <w:tcPr>
            <w:tcW w:w="0" w:type="auto"/>
            <w:vAlign w:val="center"/>
            <w:hideMark/>
          </w:tcPr>
          <w:p w14:paraId="3BD75A75" w14:textId="77777777" w:rsidR="00CE50F1" w:rsidRPr="00CE50F1" w:rsidRDefault="00CE50F1" w:rsidP="00CE50F1">
            <w:pPr>
              <w:rPr>
                <w:b/>
                <w:bCs/>
              </w:rPr>
            </w:pPr>
            <w:r w:rsidRPr="00CE50F1">
              <w:rPr>
                <w:b/>
                <w:bCs/>
              </w:rPr>
              <w:t>Project C</w:t>
            </w:r>
          </w:p>
        </w:tc>
      </w:tr>
      <w:tr w:rsidR="00CE50F1" w:rsidRPr="00CE50F1" w14:paraId="49994BF2" w14:textId="77777777" w:rsidTr="00CE50F1">
        <w:trPr>
          <w:trHeight w:val="591"/>
          <w:tblCellSpacing w:w="15" w:type="dxa"/>
        </w:trPr>
        <w:tc>
          <w:tcPr>
            <w:tcW w:w="0" w:type="auto"/>
            <w:vAlign w:val="center"/>
            <w:hideMark/>
          </w:tcPr>
          <w:p w14:paraId="155749A1" w14:textId="77777777" w:rsidR="00CE50F1" w:rsidRPr="00CE50F1" w:rsidRDefault="00CE50F1" w:rsidP="00CE50F1">
            <w:r w:rsidRPr="00CE50F1">
              <w:t>Payback period</w:t>
            </w:r>
          </w:p>
        </w:tc>
        <w:tc>
          <w:tcPr>
            <w:tcW w:w="0" w:type="auto"/>
            <w:vAlign w:val="center"/>
            <w:hideMark/>
          </w:tcPr>
          <w:p w14:paraId="50B05165" w14:textId="77777777" w:rsidR="00CE50F1" w:rsidRPr="00CE50F1" w:rsidRDefault="00CE50F1" w:rsidP="00CE50F1">
            <w:r w:rsidRPr="00CE50F1">
              <w:t>4.50 years</w:t>
            </w:r>
          </w:p>
        </w:tc>
        <w:tc>
          <w:tcPr>
            <w:tcW w:w="0" w:type="auto"/>
            <w:vAlign w:val="center"/>
            <w:hideMark/>
          </w:tcPr>
          <w:p w14:paraId="172F7A78" w14:textId="77777777" w:rsidR="00CE50F1" w:rsidRPr="00CE50F1" w:rsidRDefault="00CE50F1" w:rsidP="00CE50F1">
            <w:r w:rsidRPr="00CE50F1">
              <w:t>4.55 years</w:t>
            </w:r>
          </w:p>
        </w:tc>
        <w:tc>
          <w:tcPr>
            <w:tcW w:w="0" w:type="auto"/>
            <w:vAlign w:val="center"/>
            <w:hideMark/>
          </w:tcPr>
          <w:p w14:paraId="1379FADA" w14:textId="77777777" w:rsidR="00CE50F1" w:rsidRPr="00CE50F1" w:rsidRDefault="00CE50F1" w:rsidP="00CE50F1">
            <w:r w:rsidRPr="00CE50F1">
              <w:t>3.60 years</w:t>
            </w:r>
          </w:p>
        </w:tc>
      </w:tr>
      <w:tr w:rsidR="00CE50F1" w:rsidRPr="00CE50F1" w14:paraId="323B762F" w14:textId="77777777" w:rsidTr="00CE50F1">
        <w:trPr>
          <w:trHeight w:val="576"/>
          <w:tblCellSpacing w:w="15" w:type="dxa"/>
        </w:trPr>
        <w:tc>
          <w:tcPr>
            <w:tcW w:w="0" w:type="auto"/>
            <w:vAlign w:val="center"/>
            <w:hideMark/>
          </w:tcPr>
          <w:p w14:paraId="19035916" w14:textId="77777777" w:rsidR="00CE50F1" w:rsidRPr="00CE50F1" w:rsidRDefault="00CE50F1" w:rsidP="00CE50F1">
            <w:r w:rsidRPr="00CE50F1">
              <w:t>ARR</w:t>
            </w:r>
          </w:p>
        </w:tc>
        <w:tc>
          <w:tcPr>
            <w:tcW w:w="0" w:type="auto"/>
            <w:vAlign w:val="center"/>
            <w:hideMark/>
          </w:tcPr>
          <w:p w14:paraId="307D5020" w14:textId="77777777" w:rsidR="00CE50F1" w:rsidRPr="00CE50F1" w:rsidRDefault="00CE50F1" w:rsidP="00CE50F1">
            <w:r w:rsidRPr="00CE50F1">
              <w:t>1.6%</w:t>
            </w:r>
          </w:p>
        </w:tc>
        <w:tc>
          <w:tcPr>
            <w:tcW w:w="0" w:type="auto"/>
            <w:vAlign w:val="center"/>
            <w:hideMark/>
          </w:tcPr>
          <w:p w14:paraId="527798C4" w14:textId="77777777" w:rsidR="00CE50F1" w:rsidRPr="00CE50F1" w:rsidRDefault="00CE50F1" w:rsidP="00CE50F1">
            <w:r w:rsidRPr="00CE50F1">
              <w:t>2.0%</w:t>
            </w:r>
          </w:p>
        </w:tc>
        <w:tc>
          <w:tcPr>
            <w:tcW w:w="0" w:type="auto"/>
            <w:vAlign w:val="center"/>
            <w:hideMark/>
          </w:tcPr>
          <w:p w14:paraId="512C796F" w14:textId="77777777" w:rsidR="00CE50F1" w:rsidRPr="00CE50F1" w:rsidRDefault="00CE50F1" w:rsidP="00CE50F1">
            <w:r w:rsidRPr="00CE50F1">
              <w:t>6.0%</w:t>
            </w:r>
          </w:p>
        </w:tc>
      </w:tr>
      <w:tr w:rsidR="00CE50F1" w:rsidRPr="00CE50F1" w14:paraId="0CCE139F" w14:textId="77777777" w:rsidTr="00CE50F1">
        <w:trPr>
          <w:trHeight w:val="576"/>
          <w:tblCellSpacing w:w="15" w:type="dxa"/>
        </w:trPr>
        <w:tc>
          <w:tcPr>
            <w:tcW w:w="0" w:type="auto"/>
            <w:vAlign w:val="center"/>
            <w:hideMark/>
          </w:tcPr>
          <w:p w14:paraId="2E31C144" w14:textId="77777777" w:rsidR="00CE50F1" w:rsidRPr="00CE50F1" w:rsidRDefault="00CE50F1" w:rsidP="00CE50F1">
            <w:r w:rsidRPr="00CE50F1">
              <w:t>NPV (£m)</w:t>
            </w:r>
          </w:p>
        </w:tc>
        <w:tc>
          <w:tcPr>
            <w:tcW w:w="0" w:type="auto"/>
            <w:vAlign w:val="center"/>
            <w:hideMark/>
          </w:tcPr>
          <w:p w14:paraId="45D01F86" w14:textId="77777777" w:rsidR="00CE50F1" w:rsidRPr="00CE50F1" w:rsidRDefault="00CE50F1" w:rsidP="00CE50F1">
            <w:r w:rsidRPr="00CE50F1">
              <w:t>(8.68)</w:t>
            </w:r>
          </w:p>
        </w:tc>
        <w:tc>
          <w:tcPr>
            <w:tcW w:w="0" w:type="auto"/>
            <w:vAlign w:val="center"/>
            <w:hideMark/>
          </w:tcPr>
          <w:p w14:paraId="5C563F01" w14:textId="77777777" w:rsidR="00CE50F1" w:rsidRPr="00CE50F1" w:rsidRDefault="00CE50F1" w:rsidP="00CE50F1">
            <w:r w:rsidRPr="00CE50F1">
              <w:t>(8.30)</w:t>
            </w:r>
          </w:p>
        </w:tc>
        <w:tc>
          <w:tcPr>
            <w:tcW w:w="0" w:type="auto"/>
            <w:vAlign w:val="center"/>
            <w:hideMark/>
          </w:tcPr>
          <w:p w14:paraId="73BBF5B5" w14:textId="77777777" w:rsidR="00CE50F1" w:rsidRPr="00CE50F1" w:rsidRDefault="00CE50F1" w:rsidP="00CE50F1">
            <w:r w:rsidRPr="00CE50F1">
              <w:t>(1.98)</w:t>
            </w:r>
          </w:p>
        </w:tc>
      </w:tr>
      <w:tr w:rsidR="00CE50F1" w:rsidRPr="00CE50F1" w14:paraId="6370B5D7" w14:textId="77777777" w:rsidTr="00CE50F1">
        <w:trPr>
          <w:trHeight w:val="576"/>
          <w:tblCellSpacing w:w="15" w:type="dxa"/>
        </w:trPr>
        <w:tc>
          <w:tcPr>
            <w:tcW w:w="0" w:type="auto"/>
            <w:vAlign w:val="center"/>
            <w:hideMark/>
          </w:tcPr>
          <w:p w14:paraId="58D37FC5" w14:textId="77777777" w:rsidR="00CE50F1" w:rsidRPr="00CE50F1" w:rsidRDefault="00CE50F1" w:rsidP="00CE50F1">
            <w:r w:rsidRPr="00CE50F1">
              <w:t>PI</w:t>
            </w:r>
          </w:p>
        </w:tc>
        <w:tc>
          <w:tcPr>
            <w:tcW w:w="0" w:type="auto"/>
            <w:vAlign w:val="center"/>
            <w:hideMark/>
          </w:tcPr>
          <w:p w14:paraId="44D98D92" w14:textId="77777777" w:rsidR="00CE50F1" w:rsidRPr="00CE50F1" w:rsidRDefault="00CE50F1" w:rsidP="00CE50F1">
            <w:r w:rsidRPr="00CE50F1">
              <w:t>0.83</w:t>
            </w:r>
          </w:p>
        </w:tc>
        <w:tc>
          <w:tcPr>
            <w:tcW w:w="0" w:type="auto"/>
            <w:vAlign w:val="center"/>
            <w:hideMark/>
          </w:tcPr>
          <w:p w14:paraId="6918EE2E" w14:textId="77777777" w:rsidR="00CE50F1" w:rsidRPr="00CE50F1" w:rsidRDefault="00CE50F1" w:rsidP="00CE50F1">
            <w:r w:rsidRPr="00CE50F1">
              <w:t>0.83</w:t>
            </w:r>
          </w:p>
        </w:tc>
        <w:tc>
          <w:tcPr>
            <w:tcW w:w="0" w:type="auto"/>
            <w:vAlign w:val="center"/>
            <w:hideMark/>
          </w:tcPr>
          <w:p w14:paraId="7C765A3C" w14:textId="77777777" w:rsidR="00CE50F1" w:rsidRPr="00CE50F1" w:rsidRDefault="00CE50F1" w:rsidP="00CE50F1">
            <w:r w:rsidRPr="00CE50F1">
              <w:t>0.96</w:t>
            </w:r>
          </w:p>
        </w:tc>
      </w:tr>
      <w:tr w:rsidR="00CE50F1" w:rsidRPr="00CE50F1" w14:paraId="63B81F13" w14:textId="77777777" w:rsidTr="00CE50F1">
        <w:trPr>
          <w:trHeight w:val="591"/>
          <w:tblCellSpacing w:w="15" w:type="dxa"/>
        </w:trPr>
        <w:tc>
          <w:tcPr>
            <w:tcW w:w="0" w:type="auto"/>
            <w:vAlign w:val="center"/>
            <w:hideMark/>
          </w:tcPr>
          <w:p w14:paraId="75FCF7A8" w14:textId="77777777" w:rsidR="00CE50F1" w:rsidRPr="00CE50F1" w:rsidRDefault="00CE50F1" w:rsidP="00CE50F1">
            <w:r w:rsidRPr="00CE50F1">
              <w:t>IRR</w:t>
            </w:r>
          </w:p>
        </w:tc>
        <w:tc>
          <w:tcPr>
            <w:tcW w:w="0" w:type="auto"/>
            <w:vAlign w:val="center"/>
            <w:hideMark/>
          </w:tcPr>
          <w:p w14:paraId="04B5E038" w14:textId="77777777" w:rsidR="00CE50F1" w:rsidRPr="00CE50F1" w:rsidRDefault="00CE50F1" w:rsidP="00CE50F1">
            <w:r w:rsidRPr="00CE50F1">
              <w:t>2.72%</w:t>
            </w:r>
          </w:p>
        </w:tc>
        <w:tc>
          <w:tcPr>
            <w:tcW w:w="0" w:type="auto"/>
            <w:vAlign w:val="center"/>
            <w:hideMark/>
          </w:tcPr>
          <w:p w14:paraId="5067854E" w14:textId="77777777" w:rsidR="00CE50F1" w:rsidRPr="00CE50F1" w:rsidRDefault="00CE50F1" w:rsidP="00CE50F1">
            <w:r w:rsidRPr="00CE50F1">
              <w:t>3.26%</w:t>
            </w:r>
          </w:p>
        </w:tc>
        <w:tc>
          <w:tcPr>
            <w:tcW w:w="0" w:type="auto"/>
            <w:vAlign w:val="center"/>
            <w:hideMark/>
          </w:tcPr>
          <w:p w14:paraId="2E71EDAF" w14:textId="77777777" w:rsidR="00CE50F1" w:rsidRPr="00CE50F1" w:rsidRDefault="00CE50F1" w:rsidP="00CE50F1">
            <w:pPr>
              <w:keepNext/>
            </w:pPr>
            <w:r w:rsidRPr="00CE50F1">
              <w:t>8.59%</w:t>
            </w:r>
          </w:p>
        </w:tc>
      </w:tr>
    </w:tbl>
    <w:p w14:paraId="3CBDA128" w14:textId="4CE7611E" w:rsidR="00CE50F1" w:rsidRDefault="00CE50F1" w:rsidP="00CE50F1">
      <w:pPr>
        <w:pStyle w:val="Caption"/>
        <w:jc w:val="center"/>
      </w:pPr>
      <w:bookmarkStart w:id="49" w:name="_Toc227891345"/>
      <w:r>
        <w:t xml:space="preserve">Table </w:t>
      </w:r>
      <w:r>
        <w:fldChar w:fldCharType="begin"/>
      </w:r>
      <w:r>
        <w:instrText xml:space="preserve"> SEQ Table \* ARABIC </w:instrText>
      </w:r>
      <w:r>
        <w:fldChar w:fldCharType="separate"/>
      </w:r>
      <w:r>
        <w:rPr>
          <w:noProof/>
        </w:rPr>
        <w:t>14</w:t>
      </w:r>
      <w:r>
        <w:fldChar w:fldCharType="end"/>
      </w:r>
      <w:r>
        <w:t xml:space="preserve"> (</w:t>
      </w:r>
      <w:r w:rsidRPr="00A96681">
        <w:t>Investment appraisal summary</w:t>
      </w:r>
      <w:r>
        <w:t>)</w:t>
      </w:r>
      <w:bookmarkEnd w:id="49"/>
    </w:p>
    <w:p w14:paraId="402BA5AD" w14:textId="77777777" w:rsidR="00CE50F1" w:rsidRDefault="00CE50F1" w:rsidP="00CE50F1"/>
    <w:p w14:paraId="70BF20B5" w14:textId="4F5323FB" w:rsidR="00CE50F1" w:rsidRDefault="00CE50F1" w:rsidP="00CE50F1">
      <w:pPr>
        <w:rPr>
          <w:b/>
          <w:bCs/>
          <w:u w:val="single"/>
        </w:rPr>
      </w:pPr>
      <w:r w:rsidRPr="00CE50F1">
        <w:rPr>
          <w:b/>
          <w:bCs/>
          <w:u w:val="single"/>
        </w:rPr>
        <w:t>E: Capital Rationing Calculations</w:t>
      </w:r>
    </w:p>
    <w:tbl>
      <w:tblPr>
        <w:tblW w:w="10141" w:type="dxa"/>
        <w:tblCellSpacing w:w="15" w:type="dxa"/>
        <w:tblBorders>
          <w:top w:val="double" w:sz="4" w:space="0" w:color="156082" w:themeColor="accent1"/>
          <w:left w:val="double" w:sz="4" w:space="0" w:color="156082" w:themeColor="accent1"/>
          <w:bottom w:val="double" w:sz="4" w:space="0" w:color="156082" w:themeColor="accent1"/>
          <w:right w:val="double" w:sz="4" w:space="0" w:color="156082" w:themeColor="accent1"/>
          <w:insideH w:val="double" w:sz="4" w:space="0" w:color="156082" w:themeColor="accent1"/>
          <w:insideV w:val="double" w:sz="4" w:space="0" w:color="156082" w:themeColor="accent1"/>
        </w:tblBorders>
        <w:tblCellMar>
          <w:top w:w="15" w:type="dxa"/>
          <w:left w:w="15" w:type="dxa"/>
          <w:bottom w:w="15" w:type="dxa"/>
          <w:right w:w="15" w:type="dxa"/>
        </w:tblCellMar>
        <w:tblLook w:val="04A0" w:firstRow="1" w:lastRow="0" w:firstColumn="1" w:lastColumn="0" w:noHBand="0" w:noVBand="1"/>
      </w:tblPr>
      <w:tblGrid>
        <w:gridCol w:w="3315"/>
        <w:gridCol w:w="3512"/>
        <w:gridCol w:w="3314"/>
      </w:tblGrid>
      <w:tr w:rsidR="00CE50F1" w:rsidRPr="00CE50F1" w14:paraId="0ABAF466" w14:textId="77777777" w:rsidTr="00CE50F1">
        <w:trPr>
          <w:trHeight w:val="580"/>
          <w:tblHeader/>
          <w:tblCellSpacing w:w="15" w:type="dxa"/>
        </w:trPr>
        <w:tc>
          <w:tcPr>
            <w:tcW w:w="0" w:type="auto"/>
            <w:vAlign w:val="center"/>
            <w:hideMark/>
          </w:tcPr>
          <w:p w14:paraId="60808ABA" w14:textId="77777777" w:rsidR="00CE50F1" w:rsidRPr="00CE50F1" w:rsidRDefault="00CE50F1" w:rsidP="00CE50F1">
            <w:pPr>
              <w:rPr>
                <w:b/>
                <w:bCs/>
              </w:rPr>
            </w:pPr>
            <w:r w:rsidRPr="00CE50F1">
              <w:rPr>
                <w:b/>
                <w:bCs/>
              </w:rPr>
              <w:t>Project combination</w:t>
            </w:r>
          </w:p>
        </w:tc>
        <w:tc>
          <w:tcPr>
            <w:tcW w:w="0" w:type="auto"/>
            <w:vAlign w:val="center"/>
            <w:hideMark/>
          </w:tcPr>
          <w:p w14:paraId="3E56DEC8" w14:textId="77777777" w:rsidR="00CE50F1" w:rsidRPr="00CE50F1" w:rsidRDefault="00CE50F1" w:rsidP="00CE50F1">
            <w:pPr>
              <w:rPr>
                <w:b/>
                <w:bCs/>
              </w:rPr>
            </w:pPr>
            <w:r w:rsidRPr="00CE50F1">
              <w:rPr>
                <w:b/>
                <w:bCs/>
              </w:rPr>
              <w:t>Total investment (£m)</w:t>
            </w:r>
          </w:p>
        </w:tc>
        <w:tc>
          <w:tcPr>
            <w:tcW w:w="0" w:type="auto"/>
            <w:vAlign w:val="center"/>
            <w:hideMark/>
          </w:tcPr>
          <w:p w14:paraId="25AD7700" w14:textId="77777777" w:rsidR="00CE50F1" w:rsidRPr="00CE50F1" w:rsidRDefault="00CE50F1" w:rsidP="00CE50F1">
            <w:pPr>
              <w:rPr>
                <w:b/>
                <w:bCs/>
              </w:rPr>
            </w:pPr>
            <w:r w:rsidRPr="00CE50F1">
              <w:rPr>
                <w:b/>
                <w:bCs/>
              </w:rPr>
              <w:t>Combined NPV (£m)</w:t>
            </w:r>
          </w:p>
        </w:tc>
      </w:tr>
      <w:tr w:rsidR="00CE50F1" w:rsidRPr="00CE50F1" w14:paraId="20C68C74" w14:textId="77777777" w:rsidTr="00CE50F1">
        <w:trPr>
          <w:trHeight w:val="595"/>
          <w:tblCellSpacing w:w="15" w:type="dxa"/>
        </w:trPr>
        <w:tc>
          <w:tcPr>
            <w:tcW w:w="0" w:type="auto"/>
            <w:vAlign w:val="center"/>
            <w:hideMark/>
          </w:tcPr>
          <w:p w14:paraId="413EA5C7" w14:textId="77777777" w:rsidR="00CE50F1" w:rsidRPr="00CE50F1" w:rsidRDefault="00CE50F1" w:rsidP="00CE50F1">
            <w:r w:rsidRPr="00CE50F1">
              <w:t>Project A + Project B</w:t>
            </w:r>
          </w:p>
        </w:tc>
        <w:tc>
          <w:tcPr>
            <w:tcW w:w="0" w:type="auto"/>
            <w:vAlign w:val="center"/>
            <w:hideMark/>
          </w:tcPr>
          <w:p w14:paraId="1B6A8A07" w14:textId="77777777" w:rsidR="00CE50F1" w:rsidRPr="00CE50F1" w:rsidRDefault="00CE50F1" w:rsidP="00CE50F1">
            <w:r w:rsidRPr="00CE50F1">
              <w:t>100</w:t>
            </w:r>
          </w:p>
        </w:tc>
        <w:tc>
          <w:tcPr>
            <w:tcW w:w="0" w:type="auto"/>
            <w:vAlign w:val="center"/>
            <w:hideMark/>
          </w:tcPr>
          <w:p w14:paraId="613DF400" w14:textId="77777777" w:rsidR="00CE50F1" w:rsidRPr="00CE50F1" w:rsidRDefault="00CE50F1" w:rsidP="00CE50F1">
            <w:r w:rsidRPr="00CE50F1">
              <w:t>(16.98)</w:t>
            </w:r>
          </w:p>
        </w:tc>
      </w:tr>
      <w:tr w:rsidR="00CE50F1" w:rsidRPr="00CE50F1" w14:paraId="19E6992F" w14:textId="77777777" w:rsidTr="00CE50F1">
        <w:trPr>
          <w:trHeight w:val="580"/>
          <w:tblCellSpacing w:w="15" w:type="dxa"/>
        </w:trPr>
        <w:tc>
          <w:tcPr>
            <w:tcW w:w="0" w:type="auto"/>
            <w:vAlign w:val="center"/>
            <w:hideMark/>
          </w:tcPr>
          <w:p w14:paraId="7C06F98E" w14:textId="77777777" w:rsidR="00CE50F1" w:rsidRPr="00CE50F1" w:rsidRDefault="00CE50F1" w:rsidP="00CE50F1">
            <w:r w:rsidRPr="00CE50F1">
              <w:t>Project A + Project C</w:t>
            </w:r>
          </w:p>
        </w:tc>
        <w:tc>
          <w:tcPr>
            <w:tcW w:w="0" w:type="auto"/>
            <w:vAlign w:val="center"/>
            <w:hideMark/>
          </w:tcPr>
          <w:p w14:paraId="32A0BE5D" w14:textId="77777777" w:rsidR="00CE50F1" w:rsidRPr="00CE50F1" w:rsidRDefault="00CE50F1" w:rsidP="00CE50F1">
            <w:r w:rsidRPr="00CE50F1">
              <w:t>100</w:t>
            </w:r>
          </w:p>
        </w:tc>
        <w:tc>
          <w:tcPr>
            <w:tcW w:w="0" w:type="auto"/>
            <w:vAlign w:val="center"/>
            <w:hideMark/>
          </w:tcPr>
          <w:p w14:paraId="5BB3C056" w14:textId="77777777" w:rsidR="00CE50F1" w:rsidRPr="00CE50F1" w:rsidRDefault="00CE50F1" w:rsidP="00CE50F1">
            <w:r w:rsidRPr="00CE50F1">
              <w:t>(10.66)</w:t>
            </w:r>
          </w:p>
        </w:tc>
      </w:tr>
      <w:tr w:rsidR="00CE50F1" w:rsidRPr="00CE50F1" w14:paraId="5C8F5B37" w14:textId="77777777" w:rsidTr="00CE50F1">
        <w:trPr>
          <w:trHeight w:val="580"/>
          <w:tblCellSpacing w:w="15" w:type="dxa"/>
        </w:trPr>
        <w:tc>
          <w:tcPr>
            <w:tcW w:w="0" w:type="auto"/>
            <w:vAlign w:val="center"/>
            <w:hideMark/>
          </w:tcPr>
          <w:p w14:paraId="3E8F4FCE" w14:textId="77777777" w:rsidR="00CE50F1" w:rsidRPr="00CE50F1" w:rsidRDefault="00CE50F1" w:rsidP="00CE50F1">
            <w:r w:rsidRPr="00CE50F1">
              <w:t>Project B + Project C</w:t>
            </w:r>
          </w:p>
        </w:tc>
        <w:tc>
          <w:tcPr>
            <w:tcW w:w="0" w:type="auto"/>
            <w:vAlign w:val="center"/>
            <w:hideMark/>
          </w:tcPr>
          <w:p w14:paraId="1AF5605D" w14:textId="77777777" w:rsidR="00CE50F1" w:rsidRPr="00CE50F1" w:rsidRDefault="00CE50F1" w:rsidP="00CE50F1">
            <w:r w:rsidRPr="00CE50F1">
              <w:t>100</w:t>
            </w:r>
          </w:p>
        </w:tc>
        <w:tc>
          <w:tcPr>
            <w:tcW w:w="0" w:type="auto"/>
            <w:vAlign w:val="center"/>
            <w:hideMark/>
          </w:tcPr>
          <w:p w14:paraId="527E910C" w14:textId="77777777" w:rsidR="00CE50F1" w:rsidRPr="00CE50F1" w:rsidRDefault="00CE50F1" w:rsidP="00CE50F1">
            <w:pPr>
              <w:keepNext/>
            </w:pPr>
            <w:r w:rsidRPr="00CE50F1">
              <w:t>(10.28)</w:t>
            </w:r>
          </w:p>
        </w:tc>
      </w:tr>
    </w:tbl>
    <w:p w14:paraId="0EAD035C" w14:textId="27FEAB18" w:rsidR="00CE50F1" w:rsidRDefault="00CE50F1" w:rsidP="00CE50F1">
      <w:pPr>
        <w:pStyle w:val="Caption"/>
        <w:jc w:val="center"/>
      </w:pPr>
      <w:bookmarkStart w:id="50" w:name="_Toc227891346"/>
      <w:r>
        <w:t xml:space="preserve">Table </w:t>
      </w:r>
      <w:r>
        <w:fldChar w:fldCharType="begin"/>
      </w:r>
      <w:r>
        <w:instrText xml:space="preserve"> SEQ Table \* ARABIC </w:instrText>
      </w:r>
      <w:r>
        <w:fldChar w:fldCharType="separate"/>
      </w:r>
      <w:r>
        <w:rPr>
          <w:noProof/>
        </w:rPr>
        <w:t>15</w:t>
      </w:r>
      <w:r>
        <w:fldChar w:fldCharType="end"/>
      </w:r>
      <w:r>
        <w:t xml:space="preserve"> (</w:t>
      </w:r>
      <w:r w:rsidRPr="003861E3">
        <w:t>Capital rationing combinations</w:t>
      </w:r>
      <w:r>
        <w:t>)</w:t>
      </w:r>
      <w:bookmarkEnd w:id="50"/>
    </w:p>
    <w:p w14:paraId="02AB2F5E" w14:textId="77777777" w:rsidR="00CE50F1" w:rsidRPr="00CE50F1" w:rsidRDefault="00CE50F1" w:rsidP="00CE50F1">
      <w:r w:rsidRPr="00CE50F1">
        <w:rPr>
          <w:i/>
          <w:iCs/>
        </w:rPr>
        <w:t>Note: Project B + Project C produces the least negative combined NPV and is therefore the strongest available combination if the full £100 million budget must be invested.</w:t>
      </w:r>
    </w:p>
    <w:p w14:paraId="52B5FD62" w14:textId="77777777" w:rsidR="00CE50F1" w:rsidRPr="00CE50F1" w:rsidRDefault="00CE50F1" w:rsidP="00CE50F1"/>
    <w:sectPr w:rsidR="00CE50F1" w:rsidRPr="00CE50F1" w:rsidSect="00251E77">
      <w:headerReference w:type="default" r:id="rId22"/>
      <w:footerReference w:type="default" r:id="rId23"/>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57E62D" w14:textId="77777777" w:rsidR="00DB2A08" w:rsidRDefault="00DB2A08" w:rsidP="00740351">
      <w:pPr>
        <w:spacing w:after="0" w:line="240" w:lineRule="auto"/>
      </w:pPr>
      <w:r>
        <w:separator/>
      </w:r>
    </w:p>
  </w:endnote>
  <w:endnote w:type="continuationSeparator" w:id="0">
    <w:p w14:paraId="00AE06F8" w14:textId="77777777" w:rsidR="00DB2A08" w:rsidRDefault="00DB2A08" w:rsidP="007403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hruti">
    <w:panose1 w:val="020B0502040204020203"/>
    <w:charset w:val="00"/>
    <w:family w:val="swiss"/>
    <w:pitch w:val="variable"/>
    <w:sig w:usb0="0004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1898601"/>
      <w:docPartObj>
        <w:docPartGallery w:val="Page Numbers (Bottom of Page)"/>
        <w:docPartUnique/>
      </w:docPartObj>
    </w:sdtPr>
    <w:sdtEndPr>
      <w:rPr>
        <w:noProof/>
      </w:rPr>
    </w:sdtEndPr>
    <w:sdtContent>
      <w:p w14:paraId="46711240" w14:textId="77777777" w:rsidR="002B0A64" w:rsidRDefault="002B0A64">
        <w:pPr>
          <w:pStyle w:val="Footer"/>
        </w:pPr>
      </w:p>
      <w:p w14:paraId="6CE632F7" w14:textId="77777777" w:rsidR="002B0A64" w:rsidRDefault="002B0A64">
        <w:pPr>
          <w:pStyle w:val="Footer"/>
        </w:pPr>
      </w:p>
      <w:p w14:paraId="285BE8B2" w14:textId="641DF8FF" w:rsidR="00740351" w:rsidRDefault="00740351">
        <w:pPr>
          <w:pStyle w:val="Footer"/>
        </w:pPr>
        <w:r>
          <w:fldChar w:fldCharType="begin"/>
        </w:r>
        <w:r>
          <w:instrText xml:space="preserve"> PAGE   \* MERGEFORMAT </w:instrText>
        </w:r>
        <w:r>
          <w:fldChar w:fldCharType="separate"/>
        </w:r>
        <w:r>
          <w:rPr>
            <w:noProof/>
          </w:rPr>
          <w:t>2</w:t>
        </w:r>
        <w:r>
          <w:rPr>
            <w:noProof/>
          </w:rPr>
          <w:fldChar w:fldCharType="end"/>
        </w:r>
      </w:p>
    </w:sdtContent>
  </w:sdt>
  <w:p w14:paraId="278568A7" w14:textId="77777777" w:rsidR="00740351" w:rsidRDefault="007403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13B2E4" w14:textId="77777777" w:rsidR="00DB2A08" w:rsidRDefault="00DB2A08" w:rsidP="00740351">
      <w:pPr>
        <w:spacing w:after="0" w:line="240" w:lineRule="auto"/>
      </w:pPr>
      <w:r>
        <w:separator/>
      </w:r>
    </w:p>
  </w:footnote>
  <w:footnote w:type="continuationSeparator" w:id="0">
    <w:p w14:paraId="1AC874EE" w14:textId="77777777" w:rsidR="00DB2A08" w:rsidRDefault="00DB2A08" w:rsidP="007403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AB0E23" w14:textId="0169E47B" w:rsidR="003422F4" w:rsidRPr="003F0EC9" w:rsidRDefault="003F0EC9" w:rsidP="003F0EC9">
    <w:pPr>
      <w:pStyle w:val="Header"/>
    </w:pPr>
    <w:r w:rsidRPr="003F0EC9">
      <w:t>Tesla Financial Performance and Management Report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319D2"/>
    <w:multiLevelType w:val="hybridMultilevel"/>
    <w:tmpl w:val="AC5A9D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745A66"/>
    <w:multiLevelType w:val="multilevel"/>
    <w:tmpl w:val="9558F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EE4E33"/>
    <w:multiLevelType w:val="multilevel"/>
    <w:tmpl w:val="961AE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F1C6F3F"/>
    <w:multiLevelType w:val="hybridMultilevel"/>
    <w:tmpl w:val="30D8327E"/>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 w15:restartNumberingAfterBreak="0">
    <w:nsid w:val="32E1106E"/>
    <w:multiLevelType w:val="hybridMultilevel"/>
    <w:tmpl w:val="E3A4AF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8695EB3"/>
    <w:multiLevelType w:val="multilevel"/>
    <w:tmpl w:val="8AA43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FA97360"/>
    <w:multiLevelType w:val="multilevel"/>
    <w:tmpl w:val="E402B3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9CC73AD"/>
    <w:multiLevelType w:val="hybridMultilevel"/>
    <w:tmpl w:val="E02C72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80270303">
    <w:abstractNumId w:val="2"/>
  </w:num>
  <w:num w:numId="2" w16cid:durableId="830175389">
    <w:abstractNumId w:val="6"/>
  </w:num>
  <w:num w:numId="3" w16cid:durableId="435253551">
    <w:abstractNumId w:val="0"/>
  </w:num>
  <w:num w:numId="4" w16cid:durableId="1761172985">
    <w:abstractNumId w:val="7"/>
  </w:num>
  <w:num w:numId="5" w16cid:durableId="1482697925">
    <w:abstractNumId w:val="4"/>
  </w:num>
  <w:num w:numId="6" w16cid:durableId="1513882905">
    <w:abstractNumId w:val="3"/>
  </w:num>
  <w:num w:numId="7" w16cid:durableId="2033875143">
    <w:abstractNumId w:val="5"/>
  </w:num>
  <w:num w:numId="8" w16cid:durableId="9977267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5FD3"/>
    <w:rsid w:val="0000217F"/>
    <w:rsid w:val="00002854"/>
    <w:rsid w:val="0000651E"/>
    <w:rsid w:val="00007958"/>
    <w:rsid w:val="0001036D"/>
    <w:rsid w:val="00025FD3"/>
    <w:rsid w:val="000265D3"/>
    <w:rsid w:val="00035AB8"/>
    <w:rsid w:val="000413DB"/>
    <w:rsid w:val="000426D0"/>
    <w:rsid w:val="00045FBD"/>
    <w:rsid w:val="000516A5"/>
    <w:rsid w:val="000569D1"/>
    <w:rsid w:val="00061BFD"/>
    <w:rsid w:val="00061FF1"/>
    <w:rsid w:val="00062A66"/>
    <w:rsid w:val="00063CB0"/>
    <w:rsid w:val="0007070D"/>
    <w:rsid w:val="00071E7F"/>
    <w:rsid w:val="00072960"/>
    <w:rsid w:val="000732EF"/>
    <w:rsid w:val="00085D36"/>
    <w:rsid w:val="000A2A39"/>
    <w:rsid w:val="000A569F"/>
    <w:rsid w:val="000B345E"/>
    <w:rsid w:val="000B3F62"/>
    <w:rsid w:val="000C29DE"/>
    <w:rsid w:val="000C33DF"/>
    <w:rsid w:val="000D2868"/>
    <w:rsid w:val="000D49EB"/>
    <w:rsid w:val="000D5814"/>
    <w:rsid w:val="000E1782"/>
    <w:rsid w:val="000F28AE"/>
    <w:rsid w:val="000F4AE9"/>
    <w:rsid w:val="000F6153"/>
    <w:rsid w:val="00101FBC"/>
    <w:rsid w:val="001020DC"/>
    <w:rsid w:val="00105879"/>
    <w:rsid w:val="001060DE"/>
    <w:rsid w:val="00111E2E"/>
    <w:rsid w:val="00114CAC"/>
    <w:rsid w:val="00117C4B"/>
    <w:rsid w:val="00120FAA"/>
    <w:rsid w:val="001233CD"/>
    <w:rsid w:val="001241ED"/>
    <w:rsid w:val="00130754"/>
    <w:rsid w:val="00134E51"/>
    <w:rsid w:val="00143179"/>
    <w:rsid w:val="00147B6D"/>
    <w:rsid w:val="00153730"/>
    <w:rsid w:val="0015405D"/>
    <w:rsid w:val="00156EC5"/>
    <w:rsid w:val="00162C5F"/>
    <w:rsid w:val="001706B2"/>
    <w:rsid w:val="00171949"/>
    <w:rsid w:val="00173C4D"/>
    <w:rsid w:val="00173D0F"/>
    <w:rsid w:val="00183618"/>
    <w:rsid w:val="00184627"/>
    <w:rsid w:val="00190CED"/>
    <w:rsid w:val="00190D93"/>
    <w:rsid w:val="00194C48"/>
    <w:rsid w:val="001A2C2E"/>
    <w:rsid w:val="001A7209"/>
    <w:rsid w:val="001B3CB5"/>
    <w:rsid w:val="001B4F04"/>
    <w:rsid w:val="001C5DB5"/>
    <w:rsid w:val="001C6F12"/>
    <w:rsid w:val="001D00F0"/>
    <w:rsid w:val="001D0870"/>
    <w:rsid w:val="001D4008"/>
    <w:rsid w:val="001D4AE1"/>
    <w:rsid w:val="001D53A0"/>
    <w:rsid w:val="001D5EFC"/>
    <w:rsid w:val="001D714C"/>
    <w:rsid w:val="001E0908"/>
    <w:rsid w:val="001E2FCE"/>
    <w:rsid w:val="001E6585"/>
    <w:rsid w:val="001E6BD0"/>
    <w:rsid w:val="002026F9"/>
    <w:rsid w:val="0020315F"/>
    <w:rsid w:val="00204EDE"/>
    <w:rsid w:val="00211E21"/>
    <w:rsid w:val="0021287D"/>
    <w:rsid w:val="00220BD7"/>
    <w:rsid w:val="00223D15"/>
    <w:rsid w:val="00226178"/>
    <w:rsid w:val="00231606"/>
    <w:rsid w:val="00232432"/>
    <w:rsid w:val="00233388"/>
    <w:rsid w:val="0023786E"/>
    <w:rsid w:val="00245185"/>
    <w:rsid w:val="00246855"/>
    <w:rsid w:val="002471E4"/>
    <w:rsid w:val="00251E77"/>
    <w:rsid w:val="00253C71"/>
    <w:rsid w:val="002625B4"/>
    <w:rsid w:val="002631DB"/>
    <w:rsid w:val="00263F42"/>
    <w:rsid w:val="002707B0"/>
    <w:rsid w:val="002724B9"/>
    <w:rsid w:val="0028259B"/>
    <w:rsid w:val="002A01EE"/>
    <w:rsid w:val="002A02D9"/>
    <w:rsid w:val="002A754D"/>
    <w:rsid w:val="002B0A64"/>
    <w:rsid w:val="002B1EB2"/>
    <w:rsid w:val="002C2003"/>
    <w:rsid w:val="002C393F"/>
    <w:rsid w:val="002D4C6E"/>
    <w:rsid w:val="002D6237"/>
    <w:rsid w:val="002D793E"/>
    <w:rsid w:val="002E2C6C"/>
    <w:rsid w:val="002E61AA"/>
    <w:rsid w:val="002E6DA2"/>
    <w:rsid w:val="002E7C0A"/>
    <w:rsid w:val="002F18AC"/>
    <w:rsid w:val="002F27E6"/>
    <w:rsid w:val="002F5291"/>
    <w:rsid w:val="002F5635"/>
    <w:rsid w:val="002F66FC"/>
    <w:rsid w:val="0030037D"/>
    <w:rsid w:val="0030105F"/>
    <w:rsid w:val="00302AD6"/>
    <w:rsid w:val="00315322"/>
    <w:rsid w:val="00320D87"/>
    <w:rsid w:val="003211A0"/>
    <w:rsid w:val="00323F4F"/>
    <w:rsid w:val="003246DA"/>
    <w:rsid w:val="003271C7"/>
    <w:rsid w:val="00334D86"/>
    <w:rsid w:val="0033625E"/>
    <w:rsid w:val="003402A7"/>
    <w:rsid w:val="003422F4"/>
    <w:rsid w:val="00353795"/>
    <w:rsid w:val="00353C10"/>
    <w:rsid w:val="00357C1F"/>
    <w:rsid w:val="00360592"/>
    <w:rsid w:val="00363F08"/>
    <w:rsid w:val="00370793"/>
    <w:rsid w:val="00372B28"/>
    <w:rsid w:val="00372E1F"/>
    <w:rsid w:val="00374DD6"/>
    <w:rsid w:val="003838B5"/>
    <w:rsid w:val="00383FEA"/>
    <w:rsid w:val="00390655"/>
    <w:rsid w:val="00397BE0"/>
    <w:rsid w:val="003A24F6"/>
    <w:rsid w:val="003B66C6"/>
    <w:rsid w:val="003C36EA"/>
    <w:rsid w:val="003D51C9"/>
    <w:rsid w:val="003E175F"/>
    <w:rsid w:val="003E19BC"/>
    <w:rsid w:val="003F060D"/>
    <w:rsid w:val="003F0EC9"/>
    <w:rsid w:val="003F4257"/>
    <w:rsid w:val="003F4A76"/>
    <w:rsid w:val="003F5A82"/>
    <w:rsid w:val="004008F6"/>
    <w:rsid w:val="00400B6A"/>
    <w:rsid w:val="00404492"/>
    <w:rsid w:val="00404618"/>
    <w:rsid w:val="004112E7"/>
    <w:rsid w:val="00417A72"/>
    <w:rsid w:val="00425495"/>
    <w:rsid w:val="004265CA"/>
    <w:rsid w:val="00427CF5"/>
    <w:rsid w:val="00427E7E"/>
    <w:rsid w:val="0043041F"/>
    <w:rsid w:val="00432FC5"/>
    <w:rsid w:val="00435913"/>
    <w:rsid w:val="00435950"/>
    <w:rsid w:val="00440EA4"/>
    <w:rsid w:val="00444A34"/>
    <w:rsid w:val="0044501C"/>
    <w:rsid w:val="00445796"/>
    <w:rsid w:val="004473A3"/>
    <w:rsid w:val="00451E53"/>
    <w:rsid w:val="00453828"/>
    <w:rsid w:val="004569A9"/>
    <w:rsid w:val="00460E62"/>
    <w:rsid w:val="0046129A"/>
    <w:rsid w:val="00461B80"/>
    <w:rsid w:val="00466106"/>
    <w:rsid w:val="004733C3"/>
    <w:rsid w:val="00473D64"/>
    <w:rsid w:val="00483617"/>
    <w:rsid w:val="00487C26"/>
    <w:rsid w:val="004A01BC"/>
    <w:rsid w:val="004B488C"/>
    <w:rsid w:val="004C00A3"/>
    <w:rsid w:val="004C4E63"/>
    <w:rsid w:val="004C5B59"/>
    <w:rsid w:val="004D1046"/>
    <w:rsid w:val="004D5FF6"/>
    <w:rsid w:val="004E004A"/>
    <w:rsid w:val="004E0C1B"/>
    <w:rsid w:val="004E5618"/>
    <w:rsid w:val="004F20E0"/>
    <w:rsid w:val="004F6F2F"/>
    <w:rsid w:val="00500267"/>
    <w:rsid w:val="005007DD"/>
    <w:rsid w:val="00502C8D"/>
    <w:rsid w:val="00504B36"/>
    <w:rsid w:val="00507753"/>
    <w:rsid w:val="00510357"/>
    <w:rsid w:val="00514CF4"/>
    <w:rsid w:val="005159FD"/>
    <w:rsid w:val="005172E8"/>
    <w:rsid w:val="00521007"/>
    <w:rsid w:val="00521481"/>
    <w:rsid w:val="00523293"/>
    <w:rsid w:val="00531568"/>
    <w:rsid w:val="00537DDA"/>
    <w:rsid w:val="00541F17"/>
    <w:rsid w:val="00542CD9"/>
    <w:rsid w:val="00542D89"/>
    <w:rsid w:val="00551E31"/>
    <w:rsid w:val="005612A1"/>
    <w:rsid w:val="0056409B"/>
    <w:rsid w:val="0059469E"/>
    <w:rsid w:val="005A5EA7"/>
    <w:rsid w:val="005B2C3E"/>
    <w:rsid w:val="005B2C58"/>
    <w:rsid w:val="005B48AE"/>
    <w:rsid w:val="005C431F"/>
    <w:rsid w:val="005C667C"/>
    <w:rsid w:val="005C7D7D"/>
    <w:rsid w:val="005D3E7E"/>
    <w:rsid w:val="005D59A3"/>
    <w:rsid w:val="005D6550"/>
    <w:rsid w:val="005E5AB3"/>
    <w:rsid w:val="005E64E4"/>
    <w:rsid w:val="005F59EA"/>
    <w:rsid w:val="005F59F8"/>
    <w:rsid w:val="006018AC"/>
    <w:rsid w:val="00614B0F"/>
    <w:rsid w:val="00615DF5"/>
    <w:rsid w:val="006166E0"/>
    <w:rsid w:val="00620435"/>
    <w:rsid w:val="00624A45"/>
    <w:rsid w:val="0062690A"/>
    <w:rsid w:val="00626CF4"/>
    <w:rsid w:val="006277F5"/>
    <w:rsid w:val="006316E9"/>
    <w:rsid w:val="00640F2C"/>
    <w:rsid w:val="00641DB1"/>
    <w:rsid w:val="0064311B"/>
    <w:rsid w:val="00646157"/>
    <w:rsid w:val="00646833"/>
    <w:rsid w:val="006469EB"/>
    <w:rsid w:val="00647A10"/>
    <w:rsid w:val="006505BD"/>
    <w:rsid w:val="00650A47"/>
    <w:rsid w:val="00656259"/>
    <w:rsid w:val="00660D68"/>
    <w:rsid w:val="00661299"/>
    <w:rsid w:val="00661DA2"/>
    <w:rsid w:val="006772D0"/>
    <w:rsid w:val="00677C63"/>
    <w:rsid w:val="00682A1C"/>
    <w:rsid w:val="00684289"/>
    <w:rsid w:val="0069349F"/>
    <w:rsid w:val="00697B74"/>
    <w:rsid w:val="006A3945"/>
    <w:rsid w:val="006B65B8"/>
    <w:rsid w:val="006C3BD8"/>
    <w:rsid w:val="006C5DD8"/>
    <w:rsid w:val="006C6CCE"/>
    <w:rsid w:val="006D10D0"/>
    <w:rsid w:val="006D26B6"/>
    <w:rsid w:val="006D5FD6"/>
    <w:rsid w:val="006E7440"/>
    <w:rsid w:val="006F1504"/>
    <w:rsid w:val="006F357C"/>
    <w:rsid w:val="006F4797"/>
    <w:rsid w:val="006F6E67"/>
    <w:rsid w:val="00702D94"/>
    <w:rsid w:val="00704947"/>
    <w:rsid w:val="0070669B"/>
    <w:rsid w:val="00710F10"/>
    <w:rsid w:val="00713FE2"/>
    <w:rsid w:val="00723702"/>
    <w:rsid w:val="0072377A"/>
    <w:rsid w:val="00732B42"/>
    <w:rsid w:val="00734045"/>
    <w:rsid w:val="00737DD8"/>
    <w:rsid w:val="00740351"/>
    <w:rsid w:val="007450C8"/>
    <w:rsid w:val="007475FA"/>
    <w:rsid w:val="0075043C"/>
    <w:rsid w:val="00754B44"/>
    <w:rsid w:val="007637D3"/>
    <w:rsid w:val="007654F5"/>
    <w:rsid w:val="007675BE"/>
    <w:rsid w:val="007736F5"/>
    <w:rsid w:val="007737FB"/>
    <w:rsid w:val="007779B3"/>
    <w:rsid w:val="007846EE"/>
    <w:rsid w:val="0078564E"/>
    <w:rsid w:val="00786BF6"/>
    <w:rsid w:val="00791FA2"/>
    <w:rsid w:val="00792829"/>
    <w:rsid w:val="007974A6"/>
    <w:rsid w:val="007B29C6"/>
    <w:rsid w:val="007B2D47"/>
    <w:rsid w:val="007C1977"/>
    <w:rsid w:val="007C3E4A"/>
    <w:rsid w:val="007D0160"/>
    <w:rsid w:val="007D5B4F"/>
    <w:rsid w:val="007E2C4A"/>
    <w:rsid w:val="007E2E20"/>
    <w:rsid w:val="007E65B1"/>
    <w:rsid w:val="007E770D"/>
    <w:rsid w:val="007F1372"/>
    <w:rsid w:val="007F246F"/>
    <w:rsid w:val="00801990"/>
    <w:rsid w:val="00801F45"/>
    <w:rsid w:val="00810C2F"/>
    <w:rsid w:val="0082552D"/>
    <w:rsid w:val="00826CD0"/>
    <w:rsid w:val="0083062F"/>
    <w:rsid w:val="008319CC"/>
    <w:rsid w:val="00832997"/>
    <w:rsid w:val="008339DD"/>
    <w:rsid w:val="00835505"/>
    <w:rsid w:val="0083686A"/>
    <w:rsid w:val="008422A2"/>
    <w:rsid w:val="00843512"/>
    <w:rsid w:val="008504A3"/>
    <w:rsid w:val="008514A0"/>
    <w:rsid w:val="00852283"/>
    <w:rsid w:val="008552C2"/>
    <w:rsid w:val="00855E9F"/>
    <w:rsid w:val="008579F8"/>
    <w:rsid w:val="008616ED"/>
    <w:rsid w:val="008616F0"/>
    <w:rsid w:val="008717F1"/>
    <w:rsid w:val="00871B9C"/>
    <w:rsid w:val="00873A3B"/>
    <w:rsid w:val="0087756A"/>
    <w:rsid w:val="008776A8"/>
    <w:rsid w:val="00877CB3"/>
    <w:rsid w:val="00884BC9"/>
    <w:rsid w:val="00887870"/>
    <w:rsid w:val="00887C24"/>
    <w:rsid w:val="0089015E"/>
    <w:rsid w:val="008909A2"/>
    <w:rsid w:val="008923B0"/>
    <w:rsid w:val="0089272B"/>
    <w:rsid w:val="008928DD"/>
    <w:rsid w:val="00893CA3"/>
    <w:rsid w:val="008B5068"/>
    <w:rsid w:val="008B61B8"/>
    <w:rsid w:val="008C3199"/>
    <w:rsid w:val="008D06C1"/>
    <w:rsid w:val="008D11C2"/>
    <w:rsid w:val="008D5347"/>
    <w:rsid w:val="008D7311"/>
    <w:rsid w:val="008E1852"/>
    <w:rsid w:val="008E34EC"/>
    <w:rsid w:val="008E5E15"/>
    <w:rsid w:val="008F282F"/>
    <w:rsid w:val="008F468A"/>
    <w:rsid w:val="008F5DC7"/>
    <w:rsid w:val="00900429"/>
    <w:rsid w:val="009028B6"/>
    <w:rsid w:val="00903024"/>
    <w:rsid w:val="00913B3D"/>
    <w:rsid w:val="009143F2"/>
    <w:rsid w:val="00914887"/>
    <w:rsid w:val="00915635"/>
    <w:rsid w:val="009173E3"/>
    <w:rsid w:val="00920EC2"/>
    <w:rsid w:val="009258CB"/>
    <w:rsid w:val="00932373"/>
    <w:rsid w:val="00934D5B"/>
    <w:rsid w:val="009535A0"/>
    <w:rsid w:val="009538C9"/>
    <w:rsid w:val="009570C8"/>
    <w:rsid w:val="00957246"/>
    <w:rsid w:val="00967EDF"/>
    <w:rsid w:val="0097190A"/>
    <w:rsid w:val="0097514F"/>
    <w:rsid w:val="009811BD"/>
    <w:rsid w:val="00991396"/>
    <w:rsid w:val="0099397D"/>
    <w:rsid w:val="00994AB6"/>
    <w:rsid w:val="00994D50"/>
    <w:rsid w:val="00995C1A"/>
    <w:rsid w:val="009960B2"/>
    <w:rsid w:val="00997975"/>
    <w:rsid w:val="009A5D7E"/>
    <w:rsid w:val="009A709F"/>
    <w:rsid w:val="009B1BB7"/>
    <w:rsid w:val="009B1EA3"/>
    <w:rsid w:val="009B6B2E"/>
    <w:rsid w:val="009B6E5F"/>
    <w:rsid w:val="009B7DD5"/>
    <w:rsid w:val="009D21D4"/>
    <w:rsid w:val="009D727C"/>
    <w:rsid w:val="009E6826"/>
    <w:rsid w:val="009E6A3F"/>
    <w:rsid w:val="009E6EE7"/>
    <w:rsid w:val="009F02DC"/>
    <w:rsid w:val="009F05C2"/>
    <w:rsid w:val="009F13F7"/>
    <w:rsid w:val="009F1470"/>
    <w:rsid w:val="009F3CBA"/>
    <w:rsid w:val="009F3D6D"/>
    <w:rsid w:val="009F6C0C"/>
    <w:rsid w:val="00A05711"/>
    <w:rsid w:val="00A059E3"/>
    <w:rsid w:val="00A06421"/>
    <w:rsid w:val="00A07416"/>
    <w:rsid w:val="00A146A8"/>
    <w:rsid w:val="00A14ADF"/>
    <w:rsid w:val="00A227D7"/>
    <w:rsid w:val="00A24684"/>
    <w:rsid w:val="00A361D7"/>
    <w:rsid w:val="00A41E9F"/>
    <w:rsid w:val="00A45100"/>
    <w:rsid w:val="00A50752"/>
    <w:rsid w:val="00A61FE2"/>
    <w:rsid w:val="00A629A1"/>
    <w:rsid w:val="00A663AA"/>
    <w:rsid w:val="00A663F3"/>
    <w:rsid w:val="00A710D4"/>
    <w:rsid w:val="00A7131A"/>
    <w:rsid w:val="00A73B4D"/>
    <w:rsid w:val="00A85E21"/>
    <w:rsid w:val="00A97356"/>
    <w:rsid w:val="00AA0C64"/>
    <w:rsid w:val="00AB1D7D"/>
    <w:rsid w:val="00AC2A7D"/>
    <w:rsid w:val="00AC5CC1"/>
    <w:rsid w:val="00AC72B7"/>
    <w:rsid w:val="00AD0290"/>
    <w:rsid w:val="00AD0787"/>
    <w:rsid w:val="00AD7D2E"/>
    <w:rsid w:val="00AE12EF"/>
    <w:rsid w:val="00AE3052"/>
    <w:rsid w:val="00AE5CD0"/>
    <w:rsid w:val="00AF32C5"/>
    <w:rsid w:val="00B03248"/>
    <w:rsid w:val="00B034AB"/>
    <w:rsid w:val="00B1728B"/>
    <w:rsid w:val="00B21806"/>
    <w:rsid w:val="00B26A5B"/>
    <w:rsid w:val="00B30936"/>
    <w:rsid w:val="00B47B55"/>
    <w:rsid w:val="00B52021"/>
    <w:rsid w:val="00B545A4"/>
    <w:rsid w:val="00B61663"/>
    <w:rsid w:val="00B6252E"/>
    <w:rsid w:val="00B6444A"/>
    <w:rsid w:val="00B73526"/>
    <w:rsid w:val="00B80ADF"/>
    <w:rsid w:val="00B82386"/>
    <w:rsid w:val="00B82D93"/>
    <w:rsid w:val="00B878E2"/>
    <w:rsid w:val="00B9398D"/>
    <w:rsid w:val="00B943EA"/>
    <w:rsid w:val="00B9558D"/>
    <w:rsid w:val="00B9645D"/>
    <w:rsid w:val="00BA166C"/>
    <w:rsid w:val="00BB0600"/>
    <w:rsid w:val="00BB55AB"/>
    <w:rsid w:val="00BB5720"/>
    <w:rsid w:val="00BB6E4A"/>
    <w:rsid w:val="00BC1AE4"/>
    <w:rsid w:val="00BC2A50"/>
    <w:rsid w:val="00BC684E"/>
    <w:rsid w:val="00BD1452"/>
    <w:rsid w:val="00BD5BFF"/>
    <w:rsid w:val="00BE1809"/>
    <w:rsid w:val="00BE36E5"/>
    <w:rsid w:val="00BE47B5"/>
    <w:rsid w:val="00C012DA"/>
    <w:rsid w:val="00C0660C"/>
    <w:rsid w:val="00C1438B"/>
    <w:rsid w:val="00C15747"/>
    <w:rsid w:val="00C206E7"/>
    <w:rsid w:val="00C20AF4"/>
    <w:rsid w:val="00C31D24"/>
    <w:rsid w:val="00C34C50"/>
    <w:rsid w:val="00C34D1E"/>
    <w:rsid w:val="00C42F30"/>
    <w:rsid w:val="00C45E5A"/>
    <w:rsid w:val="00C4736D"/>
    <w:rsid w:val="00C51901"/>
    <w:rsid w:val="00C5198D"/>
    <w:rsid w:val="00C54D3C"/>
    <w:rsid w:val="00C61910"/>
    <w:rsid w:val="00C638CA"/>
    <w:rsid w:val="00C708F5"/>
    <w:rsid w:val="00C73334"/>
    <w:rsid w:val="00C75BAF"/>
    <w:rsid w:val="00C75E74"/>
    <w:rsid w:val="00C761DD"/>
    <w:rsid w:val="00C809B2"/>
    <w:rsid w:val="00C84E69"/>
    <w:rsid w:val="00C90569"/>
    <w:rsid w:val="00CA3EBF"/>
    <w:rsid w:val="00CA7CB8"/>
    <w:rsid w:val="00CA7CDC"/>
    <w:rsid w:val="00CC0D06"/>
    <w:rsid w:val="00CD1634"/>
    <w:rsid w:val="00CD52F0"/>
    <w:rsid w:val="00CE16C1"/>
    <w:rsid w:val="00CE29D9"/>
    <w:rsid w:val="00CE3B3C"/>
    <w:rsid w:val="00CE50F1"/>
    <w:rsid w:val="00CF1C2A"/>
    <w:rsid w:val="00D001AF"/>
    <w:rsid w:val="00D0103E"/>
    <w:rsid w:val="00D02ED4"/>
    <w:rsid w:val="00D260D0"/>
    <w:rsid w:val="00D30750"/>
    <w:rsid w:val="00D31BA1"/>
    <w:rsid w:val="00D33CE3"/>
    <w:rsid w:val="00D360B8"/>
    <w:rsid w:val="00D412A0"/>
    <w:rsid w:val="00D465DD"/>
    <w:rsid w:val="00D635F0"/>
    <w:rsid w:val="00D65BBB"/>
    <w:rsid w:val="00D671C6"/>
    <w:rsid w:val="00D72E85"/>
    <w:rsid w:val="00D76ED7"/>
    <w:rsid w:val="00D809DA"/>
    <w:rsid w:val="00D85F47"/>
    <w:rsid w:val="00D86B90"/>
    <w:rsid w:val="00D91366"/>
    <w:rsid w:val="00D95439"/>
    <w:rsid w:val="00D958B2"/>
    <w:rsid w:val="00D96296"/>
    <w:rsid w:val="00DA1CF2"/>
    <w:rsid w:val="00DA25DD"/>
    <w:rsid w:val="00DA347A"/>
    <w:rsid w:val="00DB16BE"/>
    <w:rsid w:val="00DB2A08"/>
    <w:rsid w:val="00DC0543"/>
    <w:rsid w:val="00DC33CB"/>
    <w:rsid w:val="00DC63B6"/>
    <w:rsid w:val="00DC7256"/>
    <w:rsid w:val="00DD32BF"/>
    <w:rsid w:val="00DD33DE"/>
    <w:rsid w:val="00DD4FBD"/>
    <w:rsid w:val="00DD7609"/>
    <w:rsid w:val="00DE0FF6"/>
    <w:rsid w:val="00DE6D46"/>
    <w:rsid w:val="00DF6D2E"/>
    <w:rsid w:val="00DF706A"/>
    <w:rsid w:val="00DF75D2"/>
    <w:rsid w:val="00E0422A"/>
    <w:rsid w:val="00E07DBB"/>
    <w:rsid w:val="00E11FC5"/>
    <w:rsid w:val="00E266DA"/>
    <w:rsid w:val="00E328F9"/>
    <w:rsid w:val="00E375E3"/>
    <w:rsid w:val="00E4487E"/>
    <w:rsid w:val="00E5227D"/>
    <w:rsid w:val="00E55D39"/>
    <w:rsid w:val="00E55F0C"/>
    <w:rsid w:val="00E64B8F"/>
    <w:rsid w:val="00E66AC3"/>
    <w:rsid w:val="00E70BC0"/>
    <w:rsid w:val="00E7125F"/>
    <w:rsid w:val="00E77530"/>
    <w:rsid w:val="00E77A22"/>
    <w:rsid w:val="00E91BCC"/>
    <w:rsid w:val="00EA1BE6"/>
    <w:rsid w:val="00EA385B"/>
    <w:rsid w:val="00EA6F85"/>
    <w:rsid w:val="00EA7346"/>
    <w:rsid w:val="00EB341B"/>
    <w:rsid w:val="00EB4582"/>
    <w:rsid w:val="00EC246A"/>
    <w:rsid w:val="00EC7DA1"/>
    <w:rsid w:val="00ED0905"/>
    <w:rsid w:val="00ED1E3C"/>
    <w:rsid w:val="00ED7179"/>
    <w:rsid w:val="00ED7E70"/>
    <w:rsid w:val="00EE0C75"/>
    <w:rsid w:val="00EE2231"/>
    <w:rsid w:val="00EE2F51"/>
    <w:rsid w:val="00EE74BE"/>
    <w:rsid w:val="00EF0FA0"/>
    <w:rsid w:val="00F01DAF"/>
    <w:rsid w:val="00F044C5"/>
    <w:rsid w:val="00F053CA"/>
    <w:rsid w:val="00F104C1"/>
    <w:rsid w:val="00F153E5"/>
    <w:rsid w:val="00F27C0F"/>
    <w:rsid w:val="00F32F33"/>
    <w:rsid w:val="00F40534"/>
    <w:rsid w:val="00F5588A"/>
    <w:rsid w:val="00F607C2"/>
    <w:rsid w:val="00F60C3E"/>
    <w:rsid w:val="00F67872"/>
    <w:rsid w:val="00F67952"/>
    <w:rsid w:val="00F70F60"/>
    <w:rsid w:val="00F716AF"/>
    <w:rsid w:val="00F73EB0"/>
    <w:rsid w:val="00F80D28"/>
    <w:rsid w:val="00F82D3F"/>
    <w:rsid w:val="00F85286"/>
    <w:rsid w:val="00F943FE"/>
    <w:rsid w:val="00FA041D"/>
    <w:rsid w:val="00FA2057"/>
    <w:rsid w:val="00FA46CB"/>
    <w:rsid w:val="00FA64D3"/>
    <w:rsid w:val="00FB3B88"/>
    <w:rsid w:val="00FB52DC"/>
    <w:rsid w:val="00FC25FC"/>
    <w:rsid w:val="00FC44CF"/>
    <w:rsid w:val="00FC4CA7"/>
    <w:rsid w:val="00FD0421"/>
    <w:rsid w:val="00FE0DDF"/>
    <w:rsid w:val="00FE2B2E"/>
    <w:rsid w:val="00FE4382"/>
    <w:rsid w:val="03882E18"/>
    <w:rsid w:val="12912244"/>
    <w:rsid w:val="158D43B7"/>
    <w:rsid w:val="207D58F3"/>
    <w:rsid w:val="3FE440BE"/>
    <w:rsid w:val="6161AD98"/>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8BED91"/>
  <w15:chartTrackingRefBased/>
  <w15:docId w15:val="{0A185FCA-5FB7-4886-8AB3-2D47C0588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gu-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0EC9"/>
    <w:pPr>
      <w:spacing w:line="360" w:lineRule="auto"/>
      <w:jc w:val="both"/>
    </w:pPr>
    <w:rPr>
      <w:rFonts w:ascii="Arial" w:hAnsi="Arial"/>
    </w:rPr>
  </w:style>
  <w:style w:type="paragraph" w:styleId="Heading1">
    <w:name w:val="heading 1"/>
    <w:basedOn w:val="Normal"/>
    <w:next w:val="Normal"/>
    <w:link w:val="Heading1Char"/>
    <w:uiPriority w:val="9"/>
    <w:qFormat/>
    <w:rsid w:val="00AC72B7"/>
    <w:pPr>
      <w:keepNext/>
      <w:keepLines/>
      <w:spacing w:before="360" w:after="80"/>
      <w:outlineLvl w:val="0"/>
    </w:pPr>
    <w:rPr>
      <w:rFonts w:eastAsiaTheme="majorEastAsia" w:cstheme="majorBidi"/>
      <w:b/>
      <w:color w:val="000000" w:themeColor="text1"/>
      <w:sz w:val="28"/>
      <w:szCs w:val="40"/>
    </w:rPr>
  </w:style>
  <w:style w:type="paragraph" w:styleId="Heading2">
    <w:name w:val="heading 2"/>
    <w:basedOn w:val="Normal"/>
    <w:next w:val="Normal"/>
    <w:link w:val="Heading2Char"/>
    <w:uiPriority w:val="9"/>
    <w:unhideWhenUsed/>
    <w:qFormat/>
    <w:rsid w:val="00251E77"/>
    <w:pPr>
      <w:keepNext/>
      <w:keepLines/>
      <w:spacing w:before="160" w:after="80"/>
      <w:outlineLvl w:val="1"/>
    </w:pPr>
    <w:rPr>
      <w:rFonts w:eastAsiaTheme="majorEastAsia" w:cstheme="majorBidi"/>
      <w:b/>
      <w:color w:val="000000" w:themeColor="text1"/>
      <w:szCs w:val="32"/>
    </w:rPr>
  </w:style>
  <w:style w:type="paragraph" w:styleId="Heading3">
    <w:name w:val="heading 3"/>
    <w:basedOn w:val="Normal"/>
    <w:next w:val="Normal"/>
    <w:link w:val="Heading3Char"/>
    <w:uiPriority w:val="9"/>
    <w:unhideWhenUsed/>
    <w:qFormat/>
    <w:rsid w:val="00AC72B7"/>
    <w:pPr>
      <w:keepNext/>
      <w:keepLines/>
      <w:spacing w:before="160" w:after="80"/>
      <w:outlineLvl w:val="2"/>
    </w:pPr>
    <w:rPr>
      <w:rFonts w:eastAsiaTheme="majorEastAsia" w:cstheme="majorBidi"/>
      <w:b/>
      <w:color w:val="000000" w:themeColor="text1"/>
      <w:szCs w:val="28"/>
    </w:rPr>
  </w:style>
  <w:style w:type="paragraph" w:styleId="Heading4">
    <w:name w:val="heading 4"/>
    <w:basedOn w:val="Normal"/>
    <w:next w:val="Normal"/>
    <w:link w:val="Heading4Char"/>
    <w:uiPriority w:val="9"/>
    <w:semiHidden/>
    <w:unhideWhenUsed/>
    <w:qFormat/>
    <w:rsid w:val="00025FD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5FD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5FD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5FD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5FD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5FD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72B7"/>
    <w:rPr>
      <w:rFonts w:ascii="Arial" w:eastAsiaTheme="majorEastAsia" w:hAnsi="Arial" w:cstheme="majorBidi"/>
      <w:b/>
      <w:color w:val="000000" w:themeColor="text1"/>
      <w:sz w:val="28"/>
      <w:szCs w:val="40"/>
    </w:rPr>
  </w:style>
  <w:style w:type="character" w:customStyle="1" w:styleId="Heading2Char">
    <w:name w:val="Heading 2 Char"/>
    <w:basedOn w:val="DefaultParagraphFont"/>
    <w:link w:val="Heading2"/>
    <w:uiPriority w:val="9"/>
    <w:rsid w:val="00251E77"/>
    <w:rPr>
      <w:rFonts w:ascii="Arial" w:eastAsiaTheme="majorEastAsia" w:hAnsi="Arial" w:cstheme="majorBidi"/>
      <w:b/>
      <w:color w:val="000000" w:themeColor="text1"/>
      <w:szCs w:val="32"/>
    </w:rPr>
  </w:style>
  <w:style w:type="character" w:customStyle="1" w:styleId="Heading3Char">
    <w:name w:val="Heading 3 Char"/>
    <w:basedOn w:val="DefaultParagraphFont"/>
    <w:link w:val="Heading3"/>
    <w:uiPriority w:val="9"/>
    <w:rsid w:val="00AC72B7"/>
    <w:rPr>
      <w:rFonts w:ascii="Arial" w:eastAsiaTheme="majorEastAsia" w:hAnsi="Arial" w:cstheme="majorBidi"/>
      <w:b/>
      <w:color w:val="000000" w:themeColor="text1"/>
      <w:szCs w:val="28"/>
    </w:rPr>
  </w:style>
  <w:style w:type="character" w:customStyle="1" w:styleId="Heading4Char">
    <w:name w:val="Heading 4 Char"/>
    <w:basedOn w:val="DefaultParagraphFont"/>
    <w:link w:val="Heading4"/>
    <w:uiPriority w:val="9"/>
    <w:semiHidden/>
    <w:rsid w:val="00025FD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5FD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5FD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5FD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5FD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5FD3"/>
    <w:rPr>
      <w:rFonts w:eastAsiaTheme="majorEastAsia" w:cstheme="majorBidi"/>
      <w:color w:val="272727" w:themeColor="text1" w:themeTint="D8"/>
    </w:rPr>
  </w:style>
  <w:style w:type="paragraph" w:styleId="Title">
    <w:name w:val="Title"/>
    <w:basedOn w:val="Normal"/>
    <w:next w:val="Normal"/>
    <w:link w:val="TitleChar"/>
    <w:uiPriority w:val="10"/>
    <w:qFormat/>
    <w:rsid w:val="00740351"/>
    <w:pPr>
      <w:spacing w:after="8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740351"/>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025FD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5FD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5FD3"/>
    <w:pPr>
      <w:spacing w:before="160"/>
      <w:jc w:val="center"/>
    </w:pPr>
    <w:rPr>
      <w:i/>
      <w:iCs/>
      <w:color w:val="404040" w:themeColor="text1" w:themeTint="BF"/>
    </w:rPr>
  </w:style>
  <w:style w:type="character" w:customStyle="1" w:styleId="QuoteChar">
    <w:name w:val="Quote Char"/>
    <w:basedOn w:val="DefaultParagraphFont"/>
    <w:link w:val="Quote"/>
    <w:uiPriority w:val="29"/>
    <w:rsid w:val="00025FD3"/>
    <w:rPr>
      <w:i/>
      <w:iCs/>
      <w:color w:val="404040" w:themeColor="text1" w:themeTint="BF"/>
    </w:rPr>
  </w:style>
  <w:style w:type="paragraph" w:styleId="ListParagraph">
    <w:name w:val="List Paragraph"/>
    <w:basedOn w:val="Normal"/>
    <w:uiPriority w:val="34"/>
    <w:qFormat/>
    <w:rsid w:val="00025FD3"/>
    <w:pPr>
      <w:ind w:left="720"/>
      <w:contextualSpacing/>
    </w:pPr>
  </w:style>
  <w:style w:type="character" w:styleId="IntenseEmphasis">
    <w:name w:val="Intense Emphasis"/>
    <w:basedOn w:val="DefaultParagraphFont"/>
    <w:uiPriority w:val="21"/>
    <w:qFormat/>
    <w:rsid w:val="00025FD3"/>
    <w:rPr>
      <w:i/>
      <w:iCs/>
      <w:color w:val="0F4761" w:themeColor="accent1" w:themeShade="BF"/>
    </w:rPr>
  </w:style>
  <w:style w:type="paragraph" w:styleId="IntenseQuote">
    <w:name w:val="Intense Quote"/>
    <w:basedOn w:val="Normal"/>
    <w:next w:val="Normal"/>
    <w:link w:val="IntenseQuoteChar"/>
    <w:uiPriority w:val="30"/>
    <w:qFormat/>
    <w:rsid w:val="00025FD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5FD3"/>
    <w:rPr>
      <w:i/>
      <w:iCs/>
      <w:color w:val="0F4761" w:themeColor="accent1" w:themeShade="BF"/>
    </w:rPr>
  </w:style>
  <w:style w:type="character" w:styleId="IntenseReference">
    <w:name w:val="Intense Reference"/>
    <w:basedOn w:val="DefaultParagraphFont"/>
    <w:uiPriority w:val="32"/>
    <w:qFormat/>
    <w:rsid w:val="00025FD3"/>
    <w:rPr>
      <w:b/>
      <w:bCs/>
      <w:smallCaps/>
      <w:color w:val="0F4761" w:themeColor="accent1" w:themeShade="BF"/>
      <w:spacing w:val="5"/>
    </w:rPr>
  </w:style>
  <w:style w:type="paragraph" w:styleId="NoSpacing">
    <w:name w:val="No Spacing"/>
    <w:uiPriority w:val="1"/>
    <w:qFormat/>
    <w:rsid w:val="00251E77"/>
    <w:pPr>
      <w:spacing w:after="0" w:line="240" w:lineRule="auto"/>
    </w:pPr>
  </w:style>
  <w:style w:type="paragraph" w:styleId="Header">
    <w:name w:val="header"/>
    <w:basedOn w:val="Normal"/>
    <w:link w:val="HeaderChar"/>
    <w:uiPriority w:val="99"/>
    <w:unhideWhenUsed/>
    <w:rsid w:val="007403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40351"/>
    <w:rPr>
      <w:rFonts w:ascii="Arial" w:hAnsi="Arial"/>
    </w:rPr>
  </w:style>
  <w:style w:type="paragraph" w:styleId="Footer">
    <w:name w:val="footer"/>
    <w:basedOn w:val="Normal"/>
    <w:link w:val="FooterChar"/>
    <w:uiPriority w:val="99"/>
    <w:unhideWhenUsed/>
    <w:rsid w:val="007403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0351"/>
    <w:rPr>
      <w:rFonts w:ascii="Arial" w:hAnsi="Arial"/>
    </w:rPr>
  </w:style>
  <w:style w:type="paragraph" w:styleId="TOCHeading">
    <w:name w:val="TOC Heading"/>
    <w:basedOn w:val="Heading1"/>
    <w:next w:val="Normal"/>
    <w:uiPriority w:val="39"/>
    <w:unhideWhenUsed/>
    <w:qFormat/>
    <w:rsid w:val="001D4008"/>
    <w:pPr>
      <w:spacing w:before="240" w:after="0" w:line="259" w:lineRule="auto"/>
      <w:jc w:val="left"/>
      <w:outlineLvl w:val="9"/>
    </w:pPr>
    <w:rPr>
      <w:rFonts w:asciiTheme="majorHAnsi" w:hAnsiTheme="majorHAnsi"/>
      <w:b w:val="0"/>
      <w:color w:val="0F4761" w:themeColor="accent1" w:themeShade="BF"/>
      <w:kern w:val="0"/>
      <w:sz w:val="32"/>
      <w:szCs w:val="32"/>
      <w:lang w:bidi="ar-SA"/>
      <w14:ligatures w14:val="none"/>
    </w:rPr>
  </w:style>
  <w:style w:type="paragraph" w:styleId="TOC1">
    <w:name w:val="toc 1"/>
    <w:basedOn w:val="Normal"/>
    <w:next w:val="Normal"/>
    <w:autoRedefine/>
    <w:uiPriority w:val="39"/>
    <w:unhideWhenUsed/>
    <w:rsid w:val="001D4008"/>
    <w:pPr>
      <w:spacing w:after="100"/>
    </w:pPr>
  </w:style>
  <w:style w:type="character" w:styleId="Hyperlink">
    <w:name w:val="Hyperlink"/>
    <w:basedOn w:val="DefaultParagraphFont"/>
    <w:uiPriority w:val="99"/>
    <w:unhideWhenUsed/>
    <w:rsid w:val="001D4008"/>
    <w:rPr>
      <w:color w:val="467886" w:themeColor="hyperlink"/>
      <w:u w:val="single"/>
    </w:rPr>
  </w:style>
  <w:style w:type="character" w:styleId="UnresolvedMention">
    <w:name w:val="Unresolved Mention"/>
    <w:basedOn w:val="DefaultParagraphFont"/>
    <w:uiPriority w:val="99"/>
    <w:semiHidden/>
    <w:unhideWhenUsed/>
    <w:rsid w:val="00826CD0"/>
    <w:rPr>
      <w:color w:val="605E5C"/>
      <w:shd w:val="clear" w:color="auto" w:fill="E1DFDD"/>
    </w:rPr>
  </w:style>
  <w:style w:type="paragraph" w:styleId="TOC2">
    <w:name w:val="toc 2"/>
    <w:basedOn w:val="Normal"/>
    <w:next w:val="Normal"/>
    <w:autoRedefine/>
    <w:uiPriority w:val="39"/>
    <w:unhideWhenUsed/>
    <w:rsid w:val="00893CA3"/>
    <w:pPr>
      <w:spacing w:after="100"/>
      <w:ind w:left="240"/>
    </w:pPr>
  </w:style>
  <w:style w:type="paragraph" w:styleId="TOC3">
    <w:name w:val="toc 3"/>
    <w:basedOn w:val="Normal"/>
    <w:next w:val="Normal"/>
    <w:autoRedefine/>
    <w:uiPriority w:val="39"/>
    <w:unhideWhenUsed/>
    <w:rsid w:val="00CE16C1"/>
    <w:pPr>
      <w:spacing w:after="100"/>
      <w:ind w:left="480"/>
    </w:pPr>
  </w:style>
  <w:style w:type="table" w:styleId="TableGrid">
    <w:name w:val="Table Grid"/>
    <w:basedOn w:val="TableNormal"/>
    <w:uiPriority w:val="39"/>
    <w:rsid w:val="00A451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F32F33"/>
    <w:rPr>
      <w:color w:val="96607D" w:themeColor="followedHyperlink"/>
      <w:u w:val="single"/>
    </w:rPr>
  </w:style>
  <w:style w:type="paragraph" w:styleId="Caption">
    <w:name w:val="caption"/>
    <w:basedOn w:val="Normal"/>
    <w:next w:val="Normal"/>
    <w:uiPriority w:val="35"/>
    <w:unhideWhenUsed/>
    <w:qFormat/>
    <w:rsid w:val="003F0EC9"/>
    <w:pPr>
      <w:spacing w:after="200" w:line="240" w:lineRule="auto"/>
    </w:pPr>
    <w:rPr>
      <w:i/>
      <w:iCs/>
      <w:color w:val="0E2841" w:themeColor="text2"/>
      <w:sz w:val="18"/>
      <w:szCs w:val="18"/>
    </w:rPr>
  </w:style>
  <w:style w:type="paragraph" w:styleId="NormalWeb">
    <w:name w:val="Normal (Web)"/>
    <w:basedOn w:val="Normal"/>
    <w:uiPriority w:val="99"/>
    <w:semiHidden/>
    <w:unhideWhenUsed/>
    <w:rsid w:val="00615DF5"/>
    <w:rPr>
      <w:rFonts w:ascii="Times New Roman" w:hAnsi="Times New Roman" w:cs="Times New Roman"/>
    </w:rPr>
  </w:style>
  <w:style w:type="paragraph" w:styleId="TableofFigures">
    <w:name w:val="table of figures"/>
    <w:basedOn w:val="Normal"/>
    <w:next w:val="Normal"/>
    <w:uiPriority w:val="99"/>
    <w:unhideWhenUsed/>
    <w:rsid w:val="00CE50F1"/>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ir.tesla.com/sec-filings?utm_source=chatgpt.com" TargetMode="External"/><Relationship Id="rId18" Type="http://schemas.openxmlformats.org/officeDocument/2006/relationships/hyperlink" Target="https://www.tesla.com/impact?utm_source=chatgpt.com" TargetMode="External"/><Relationship Id="rId3" Type="http://schemas.openxmlformats.org/officeDocument/2006/relationships/styles" Target="styles.xml"/><Relationship Id="rId21" Type="http://schemas.openxmlformats.org/officeDocument/2006/relationships/hyperlink" Target="https://www.weforum.org/publications/" TargetMode="External"/><Relationship Id="rId7" Type="http://schemas.openxmlformats.org/officeDocument/2006/relationships/endnotes" Target="endnotes.xml"/><Relationship Id="rId12" Type="http://schemas.openxmlformats.org/officeDocument/2006/relationships/hyperlink" Target="https://www.oecd.org/economic-outlook/" TargetMode="External"/><Relationship Id="rId17" Type="http://schemas.openxmlformats.org/officeDocument/2006/relationships/hyperlink" Target="https://ir.tesla.com/sec-filings?utm_source=chatgpt.com"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ir.tesla.com/sec-filings?utm_source=chatgpt.com" TargetMode="External"/><Relationship Id="rId20" Type="http://schemas.openxmlformats.org/officeDocument/2006/relationships/hyperlink" Target="https://www.worldbank.org/en/publication/global-economic-prospect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mf.org/en/Publications/WEO"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ir.tesla.com/sec-filings?utm_source=chatgpt.com" TargetMode="External"/><Relationship Id="rId23" Type="http://schemas.openxmlformats.org/officeDocument/2006/relationships/footer" Target="footer1.xml"/><Relationship Id="rId10" Type="http://schemas.openxmlformats.org/officeDocument/2006/relationships/hyperlink" Target="https://www.iea.org/reports/global-ev-outlook-2025?utm_source=chatgpt.com" TargetMode="External"/><Relationship Id="rId19" Type="http://schemas.openxmlformats.org/officeDocument/2006/relationships/hyperlink" Target="https://ir.tesla.com/sec-filings?utm_source=chatgpt.com" TargetMode="External"/><Relationship Id="rId4" Type="http://schemas.openxmlformats.org/officeDocument/2006/relationships/settings" Target="settings.xml"/><Relationship Id="rId9" Type="http://schemas.openxmlformats.org/officeDocument/2006/relationships/hyperlink" Target="https://www.iea.org/reports/global-ev-outlook-2024" TargetMode="External"/><Relationship Id="rId14" Type="http://schemas.openxmlformats.org/officeDocument/2006/relationships/hyperlink" Target="https://ir.tesla.com/sec-filings?utm_source=chatgpt.com"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f</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755</TotalTime>
  <Pages>45</Pages>
  <Words>9914</Words>
  <Characters>56512</Characters>
  <Application>Microsoft Office Word</Application>
  <DocSecurity>0</DocSecurity>
  <Lines>470</Lines>
  <Paragraphs>132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Riyaben J. Prajapati</dc:creator>
  <cp:keywords/>
  <dc:description/>
  <cp:lastModifiedBy>Mit Prajapati</cp:lastModifiedBy>
  <cp:revision>20</cp:revision>
  <dcterms:created xsi:type="dcterms:W3CDTF">2026-04-23T13:47:00Z</dcterms:created>
  <dcterms:modified xsi:type="dcterms:W3CDTF">2026-04-24T02:21:00Z</dcterms:modified>
</cp:coreProperties>
</file>