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8116C" w14:textId="77777777" w:rsidR="00E1520C" w:rsidRDefault="00E1520C" w:rsidP="00E1520C">
      <w:pPr>
        <w:spacing w:line="360" w:lineRule="auto"/>
        <w:jc w:val="center"/>
        <w:rPr>
          <w:rFonts w:ascii="Arial" w:hAnsi="Arial" w:cs="Arial"/>
          <w:b/>
          <w:bCs/>
          <w:sz w:val="24"/>
          <w:szCs w:val="24"/>
        </w:rPr>
      </w:pPr>
      <w:r>
        <w:rPr>
          <w:noProof/>
        </w:rPr>
        <w:drawing>
          <wp:inline distT="0" distB="0" distL="0" distR="0" wp14:anchorId="79BBC16E" wp14:editId="32F87FB0">
            <wp:extent cx="2646888" cy="1299411"/>
            <wp:effectExtent l="0" t="0" r="1270" b="0"/>
            <wp:docPr id="1" name="Picture 1" descr="https://tse3.mm.bing.net/th?id=OIP.fSUBWzsPYHU7SUeGxWB_oQHaCm&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fSUBWzsPYHU7SUeGxWB_oQHaCm&amp;pid=Api&amp;P=0&amp;h=2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2374" cy="1307013"/>
                    </a:xfrm>
                    <a:prstGeom prst="rect">
                      <a:avLst/>
                    </a:prstGeom>
                    <a:noFill/>
                    <a:ln>
                      <a:noFill/>
                    </a:ln>
                  </pic:spPr>
                </pic:pic>
              </a:graphicData>
            </a:graphic>
          </wp:inline>
        </w:drawing>
      </w:r>
    </w:p>
    <w:p w14:paraId="5AB14249" w14:textId="77777777" w:rsidR="00E1520C" w:rsidRDefault="00E1520C" w:rsidP="00E1520C">
      <w:pPr>
        <w:spacing w:line="360" w:lineRule="auto"/>
        <w:jc w:val="center"/>
        <w:rPr>
          <w:rFonts w:ascii="Arial" w:hAnsi="Arial" w:cs="Arial"/>
          <w:b/>
          <w:bCs/>
          <w:sz w:val="24"/>
          <w:szCs w:val="24"/>
        </w:rPr>
      </w:pPr>
    </w:p>
    <w:tbl>
      <w:tblPr>
        <w:tblStyle w:val="TableGrid"/>
        <w:tblW w:w="9616" w:type="dxa"/>
        <w:jc w:val="center"/>
        <w:tblLook w:val="04A0" w:firstRow="1" w:lastRow="0" w:firstColumn="1" w:lastColumn="0" w:noHBand="0" w:noVBand="1"/>
      </w:tblPr>
      <w:tblGrid>
        <w:gridCol w:w="4808"/>
        <w:gridCol w:w="4808"/>
      </w:tblGrid>
      <w:tr w:rsidR="00E1520C" w:rsidRPr="00B036AA" w14:paraId="1D223306" w14:textId="77777777" w:rsidTr="00B83FBA">
        <w:trPr>
          <w:trHeight w:val="1377"/>
          <w:jc w:val="center"/>
        </w:trPr>
        <w:tc>
          <w:tcPr>
            <w:tcW w:w="4808" w:type="dxa"/>
            <w:vAlign w:val="center"/>
          </w:tcPr>
          <w:p w14:paraId="5D48D37E"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Program Name</w:t>
            </w:r>
          </w:p>
        </w:tc>
        <w:tc>
          <w:tcPr>
            <w:tcW w:w="4808" w:type="dxa"/>
            <w:vAlign w:val="center"/>
          </w:tcPr>
          <w:p w14:paraId="4DE674F8"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M</w:t>
            </w:r>
            <w:r>
              <w:rPr>
                <w:rFonts w:ascii="Times New Roman" w:hAnsi="Times New Roman" w:cs="Times New Roman"/>
                <w:b/>
              </w:rPr>
              <w:t xml:space="preserve">aster of </w:t>
            </w:r>
            <w:r w:rsidRPr="00B036AA">
              <w:rPr>
                <w:rFonts w:ascii="Times New Roman" w:hAnsi="Times New Roman" w:cs="Times New Roman"/>
                <w:b/>
              </w:rPr>
              <w:t>B</w:t>
            </w:r>
            <w:r>
              <w:rPr>
                <w:rFonts w:ascii="Times New Roman" w:hAnsi="Times New Roman" w:cs="Times New Roman"/>
                <w:b/>
              </w:rPr>
              <w:t xml:space="preserve">usiness </w:t>
            </w:r>
            <w:r w:rsidRPr="00B036AA">
              <w:rPr>
                <w:rFonts w:ascii="Times New Roman" w:hAnsi="Times New Roman" w:cs="Times New Roman"/>
                <w:b/>
              </w:rPr>
              <w:t>A</w:t>
            </w:r>
            <w:r>
              <w:rPr>
                <w:rFonts w:ascii="Times New Roman" w:hAnsi="Times New Roman" w:cs="Times New Roman"/>
                <w:b/>
              </w:rPr>
              <w:t>dministration</w:t>
            </w:r>
          </w:p>
        </w:tc>
      </w:tr>
      <w:tr w:rsidR="00E1520C" w:rsidRPr="00B036AA" w14:paraId="1D261948" w14:textId="77777777" w:rsidTr="00B83FBA">
        <w:trPr>
          <w:trHeight w:val="1377"/>
          <w:jc w:val="center"/>
        </w:trPr>
        <w:tc>
          <w:tcPr>
            <w:tcW w:w="4808" w:type="dxa"/>
            <w:vAlign w:val="center"/>
          </w:tcPr>
          <w:p w14:paraId="440C3A5B"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Module Name</w:t>
            </w:r>
          </w:p>
        </w:tc>
        <w:tc>
          <w:tcPr>
            <w:tcW w:w="4808" w:type="dxa"/>
            <w:vAlign w:val="center"/>
          </w:tcPr>
          <w:p w14:paraId="24279259" w14:textId="77777777" w:rsidR="00E1520C" w:rsidRPr="00B036AA" w:rsidRDefault="00E1520C" w:rsidP="0034596E">
            <w:pPr>
              <w:spacing w:line="360" w:lineRule="auto"/>
              <w:jc w:val="both"/>
              <w:rPr>
                <w:rFonts w:ascii="Times New Roman" w:hAnsi="Times New Roman" w:cs="Times New Roman"/>
                <w:b/>
              </w:rPr>
            </w:pPr>
            <w:r>
              <w:rPr>
                <w:rFonts w:ascii="Times New Roman" w:hAnsi="Times New Roman" w:cs="Times New Roman"/>
                <w:b/>
              </w:rPr>
              <w:t>International Business Concepts</w:t>
            </w:r>
          </w:p>
        </w:tc>
      </w:tr>
      <w:tr w:rsidR="00E1520C" w:rsidRPr="00B036AA" w14:paraId="1FC53573" w14:textId="77777777" w:rsidTr="00B83FBA">
        <w:trPr>
          <w:trHeight w:val="1377"/>
          <w:jc w:val="center"/>
        </w:trPr>
        <w:tc>
          <w:tcPr>
            <w:tcW w:w="4808" w:type="dxa"/>
            <w:vAlign w:val="center"/>
          </w:tcPr>
          <w:p w14:paraId="59A4946E"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Module Code</w:t>
            </w:r>
          </w:p>
        </w:tc>
        <w:tc>
          <w:tcPr>
            <w:tcW w:w="4808" w:type="dxa"/>
            <w:vAlign w:val="center"/>
          </w:tcPr>
          <w:p w14:paraId="19DF1F6C" w14:textId="77777777" w:rsidR="00E1520C" w:rsidRPr="00B036AA" w:rsidRDefault="00E1520C" w:rsidP="0034596E">
            <w:pPr>
              <w:spacing w:line="360" w:lineRule="auto"/>
              <w:jc w:val="both"/>
              <w:rPr>
                <w:rFonts w:ascii="Times New Roman" w:hAnsi="Times New Roman" w:cs="Times New Roman"/>
                <w:b/>
              </w:rPr>
            </w:pPr>
            <w:r>
              <w:rPr>
                <w:rFonts w:ascii="Times New Roman" w:hAnsi="Times New Roman" w:cs="Times New Roman"/>
                <w:b/>
              </w:rPr>
              <w:t>LCMB7034</w:t>
            </w:r>
          </w:p>
        </w:tc>
      </w:tr>
      <w:tr w:rsidR="00E1520C" w:rsidRPr="00B036AA" w14:paraId="4C18F2CF" w14:textId="77777777" w:rsidTr="00B83FBA">
        <w:trPr>
          <w:trHeight w:val="1377"/>
          <w:jc w:val="center"/>
        </w:trPr>
        <w:tc>
          <w:tcPr>
            <w:tcW w:w="4808" w:type="dxa"/>
            <w:vAlign w:val="center"/>
          </w:tcPr>
          <w:p w14:paraId="6BA02DA1" w14:textId="77777777" w:rsidR="00E1520C" w:rsidRPr="00B036AA" w:rsidRDefault="00E1520C" w:rsidP="0034596E">
            <w:pPr>
              <w:spacing w:line="360" w:lineRule="auto"/>
              <w:jc w:val="both"/>
              <w:rPr>
                <w:rFonts w:ascii="Times New Roman" w:hAnsi="Times New Roman" w:cs="Times New Roman"/>
                <w:b/>
              </w:rPr>
            </w:pPr>
            <w:r>
              <w:rPr>
                <w:rFonts w:ascii="Times New Roman" w:hAnsi="Times New Roman" w:cs="Times New Roman"/>
                <w:b/>
              </w:rPr>
              <w:t>Assignment title</w:t>
            </w:r>
          </w:p>
        </w:tc>
        <w:tc>
          <w:tcPr>
            <w:tcW w:w="4808" w:type="dxa"/>
            <w:vAlign w:val="center"/>
          </w:tcPr>
          <w:p w14:paraId="7B0363CF" w14:textId="77777777" w:rsidR="00E1520C" w:rsidRPr="00B036AA" w:rsidRDefault="00E1520C" w:rsidP="0034596E">
            <w:pPr>
              <w:spacing w:line="360" w:lineRule="auto"/>
              <w:jc w:val="both"/>
              <w:rPr>
                <w:rFonts w:ascii="Times New Roman" w:hAnsi="Times New Roman" w:cs="Times New Roman"/>
                <w:b/>
              </w:rPr>
            </w:pPr>
            <w:r>
              <w:rPr>
                <w:rFonts w:ascii="Times New Roman" w:hAnsi="Times New Roman" w:cs="Times New Roman"/>
                <w:b/>
              </w:rPr>
              <w:t>Emerging Markets</w:t>
            </w:r>
          </w:p>
        </w:tc>
      </w:tr>
      <w:tr w:rsidR="00E1520C" w:rsidRPr="00B036AA" w14:paraId="7CDDF1B2" w14:textId="77777777" w:rsidTr="00B83FBA">
        <w:trPr>
          <w:trHeight w:val="1377"/>
          <w:jc w:val="center"/>
        </w:trPr>
        <w:tc>
          <w:tcPr>
            <w:tcW w:w="4808" w:type="dxa"/>
            <w:vAlign w:val="center"/>
          </w:tcPr>
          <w:p w14:paraId="7427DDB7"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Lecturer</w:t>
            </w:r>
          </w:p>
        </w:tc>
        <w:tc>
          <w:tcPr>
            <w:tcW w:w="4808" w:type="dxa"/>
            <w:vAlign w:val="center"/>
          </w:tcPr>
          <w:p w14:paraId="3871B29D" w14:textId="77777777" w:rsidR="00E1520C" w:rsidRPr="00B036AA" w:rsidRDefault="00E1520C" w:rsidP="0034596E">
            <w:pPr>
              <w:spacing w:line="360" w:lineRule="auto"/>
              <w:jc w:val="both"/>
              <w:rPr>
                <w:rFonts w:ascii="Times New Roman" w:hAnsi="Times New Roman" w:cs="Times New Roman"/>
                <w:b/>
              </w:rPr>
            </w:pPr>
            <w:r>
              <w:rPr>
                <w:rFonts w:ascii="Times New Roman" w:hAnsi="Times New Roman" w:cs="Times New Roman"/>
                <w:b/>
              </w:rPr>
              <w:t>Jean Wang</w:t>
            </w:r>
          </w:p>
        </w:tc>
      </w:tr>
      <w:tr w:rsidR="00E1520C" w:rsidRPr="00B036AA" w14:paraId="617EED96" w14:textId="77777777" w:rsidTr="00B83FBA">
        <w:trPr>
          <w:trHeight w:val="1377"/>
          <w:jc w:val="center"/>
        </w:trPr>
        <w:tc>
          <w:tcPr>
            <w:tcW w:w="4808" w:type="dxa"/>
            <w:vAlign w:val="center"/>
          </w:tcPr>
          <w:p w14:paraId="698E3080"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Student Name</w:t>
            </w:r>
          </w:p>
        </w:tc>
        <w:tc>
          <w:tcPr>
            <w:tcW w:w="4808" w:type="dxa"/>
            <w:vAlign w:val="center"/>
          </w:tcPr>
          <w:p w14:paraId="0EE77BA4" w14:textId="77777777" w:rsidR="00E1520C" w:rsidRPr="00B036AA" w:rsidRDefault="00E1520C" w:rsidP="0034596E">
            <w:pPr>
              <w:spacing w:line="360" w:lineRule="auto"/>
              <w:rPr>
                <w:rFonts w:ascii="Times New Roman" w:hAnsi="Times New Roman" w:cs="Times New Roman"/>
              </w:rPr>
            </w:pPr>
            <w:r w:rsidRPr="00B036AA">
              <w:rPr>
                <w:rFonts w:ascii="Times New Roman" w:hAnsi="Times New Roman" w:cs="Times New Roman"/>
                <w:b/>
              </w:rPr>
              <w:t xml:space="preserve">Piyush </w:t>
            </w:r>
            <w:proofErr w:type="spellStart"/>
            <w:r w:rsidRPr="00B036AA">
              <w:rPr>
                <w:rFonts w:ascii="Times New Roman" w:hAnsi="Times New Roman" w:cs="Times New Roman"/>
                <w:b/>
              </w:rPr>
              <w:t>Bablubhai</w:t>
            </w:r>
            <w:proofErr w:type="spellEnd"/>
            <w:r w:rsidRPr="00B036AA">
              <w:rPr>
                <w:rFonts w:ascii="Times New Roman" w:hAnsi="Times New Roman" w:cs="Times New Roman"/>
                <w:b/>
              </w:rPr>
              <w:t xml:space="preserve"> Luhar</w:t>
            </w:r>
          </w:p>
        </w:tc>
      </w:tr>
      <w:tr w:rsidR="00E1520C" w:rsidRPr="00B036AA" w14:paraId="6EBD92F5" w14:textId="77777777" w:rsidTr="00B83FBA">
        <w:trPr>
          <w:trHeight w:val="1377"/>
          <w:jc w:val="center"/>
        </w:trPr>
        <w:tc>
          <w:tcPr>
            <w:tcW w:w="4808" w:type="dxa"/>
            <w:vAlign w:val="center"/>
          </w:tcPr>
          <w:p w14:paraId="5D6D775F"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Student ID</w:t>
            </w:r>
          </w:p>
        </w:tc>
        <w:tc>
          <w:tcPr>
            <w:tcW w:w="4808" w:type="dxa"/>
            <w:vAlign w:val="center"/>
          </w:tcPr>
          <w:p w14:paraId="4B895638" w14:textId="77777777" w:rsidR="00E1520C" w:rsidRPr="00B036AA" w:rsidRDefault="00E1520C" w:rsidP="0034596E">
            <w:pPr>
              <w:spacing w:line="360" w:lineRule="auto"/>
              <w:jc w:val="both"/>
              <w:rPr>
                <w:rFonts w:ascii="Times New Roman" w:hAnsi="Times New Roman" w:cs="Times New Roman"/>
                <w:b/>
              </w:rPr>
            </w:pPr>
            <w:r w:rsidRPr="00B036AA">
              <w:rPr>
                <w:rFonts w:ascii="Times New Roman" w:hAnsi="Times New Roman" w:cs="Times New Roman"/>
                <w:b/>
              </w:rPr>
              <w:t>2436044</w:t>
            </w:r>
          </w:p>
        </w:tc>
      </w:tr>
    </w:tbl>
    <w:p w14:paraId="5A7222ED" w14:textId="77777777" w:rsidR="00B036AA" w:rsidRDefault="00B036AA" w:rsidP="00F2383F">
      <w:pPr>
        <w:spacing w:line="360" w:lineRule="auto"/>
        <w:rPr>
          <w:rFonts w:ascii="Arial" w:hAnsi="Arial" w:cs="Arial"/>
          <w:b/>
          <w:bCs/>
          <w:sz w:val="24"/>
          <w:szCs w:val="24"/>
        </w:rPr>
      </w:pPr>
    </w:p>
    <w:sdt>
      <w:sdtPr>
        <w:rPr>
          <w:rFonts w:asciiTheme="minorHAnsi" w:eastAsiaTheme="minorHAnsi" w:hAnsiTheme="minorHAnsi" w:cstheme="minorBidi"/>
          <w:color w:val="auto"/>
          <w:sz w:val="22"/>
          <w:szCs w:val="22"/>
        </w:rPr>
        <w:id w:val="-1605962717"/>
        <w:docPartObj>
          <w:docPartGallery w:val="Table of Contents"/>
          <w:docPartUnique/>
        </w:docPartObj>
      </w:sdtPr>
      <w:sdtEndPr>
        <w:rPr>
          <w:b/>
          <w:bCs/>
          <w:noProof/>
        </w:rPr>
      </w:sdtEndPr>
      <w:sdtContent>
        <w:p w14:paraId="67B2B9BC" w14:textId="6ED773AB" w:rsidR="002C5E0D" w:rsidRDefault="002C5E0D">
          <w:pPr>
            <w:pStyle w:val="TOCHeading"/>
          </w:pPr>
          <w:r>
            <w:t>Contents</w:t>
          </w:r>
        </w:p>
        <w:p w14:paraId="4E8C40C1" w14:textId="77777777" w:rsidR="00603F13" w:rsidRDefault="002C5E0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539885" w:history="1">
            <w:r w:rsidR="00603F13" w:rsidRPr="00613FD9">
              <w:rPr>
                <w:rStyle w:val="Hyperlink"/>
                <w:noProof/>
              </w:rPr>
              <w:t>1 — Introduction</w:t>
            </w:r>
            <w:r w:rsidR="00603F13">
              <w:rPr>
                <w:noProof/>
                <w:webHidden/>
              </w:rPr>
              <w:tab/>
            </w:r>
            <w:r w:rsidR="00603F13">
              <w:rPr>
                <w:noProof/>
                <w:webHidden/>
              </w:rPr>
              <w:fldChar w:fldCharType="begin"/>
            </w:r>
            <w:r w:rsidR="00603F13">
              <w:rPr>
                <w:noProof/>
                <w:webHidden/>
              </w:rPr>
              <w:instrText xml:space="preserve"> PAGEREF _Toc216539885 \h </w:instrText>
            </w:r>
            <w:r w:rsidR="00603F13">
              <w:rPr>
                <w:noProof/>
                <w:webHidden/>
              </w:rPr>
            </w:r>
            <w:r w:rsidR="00603F13">
              <w:rPr>
                <w:noProof/>
                <w:webHidden/>
              </w:rPr>
              <w:fldChar w:fldCharType="separate"/>
            </w:r>
            <w:r w:rsidR="00603F13">
              <w:rPr>
                <w:noProof/>
                <w:webHidden/>
              </w:rPr>
              <w:t>3</w:t>
            </w:r>
            <w:r w:rsidR="00603F13">
              <w:rPr>
                <w:noProof/>
                <w:webHidden/>
              </w:rPr>
              <w:fldChar w:fldCharType="end"/>
            </w:r>
          </w:hyperlink>
        </w:p>
        <w:p w14:paraId="759D15AF" w14:textId="77777777" w:rsidR="00603F13" w:rsidRDefault="00603F13">
          <w:pPr>
            <w:pStyle w:val="TOC1"/>
            <w:tabs>
              <w:tab w:val="right" w:leader="dot" w:pos="9350"/>
            </w:tabs>
            <w:rPr>
              <w:rFonts w:eastAsiaTheme="minorEastAsia"/>
              <w:noProof/>
            </w:rPr>
          </w:pPr>
          <w:hyperlink w:anchor="_Toc216539886" w:history="1">
            <w:r w:rsidRPr="00613FD9">
              <w:rPr>
                <w:rStyle w:val="Hyperlink"/>
                <w:noProof/>
              </w:rPr>
              <w:t>2 — Benefits and Challenges of International Operations</w:t>
            </w:r>
            <w:r>
              <w:rPr>
                <w:noProof/>
                <w:webHidden/>
              </w:rPr>
              <w:tab/>
            </w:r>
            <w:r>
              <w:rPr>
                <w:noProof/>
                <w:webHidden/>
              </w:rPr>
              <w:fldChar w:fldCharType="begin"/>
            </w:r>
            <w:r>
              <w:rPr>
                <w:noProof/>
                <w:webHidden/>
              </w:rPr>
              <w:instrText xml:space="preserve"> PAGEREF _Toc216539886 \h </w:instrText>
            </w:r>
            <w:r>
              <w:rPr>
                <w:noProof/>
                <w:webHidden/>
              </w:rPr>
            </w:r>
            <w:r>
              <w:rPr>
                <w:noProof/>
                <w:webHidden/>
              </w:rPr>
              <w:fldChar w:fldCharType="separate"/>
            </w:r>
            <w:r>
              <w:rPr>
                <w:noProof/>
                <w:webHidden/>
              </w:rPr>
              <w:t>4</w:t>
            </w:r>
            <w:r>
              <w:rPr>
                <w:noProof/>
                <w:webHidden/>
              </w:rPr>
              <w:fldChar w:fldCharType="end"/>
            </w:r>
          </w:hyperlink>
        </w:p>
        <w:p w14:paraId="2655D828" w14:textId="77777777" w:rsidR="00603F13" w:rsidRDefault="00603F13">
          <w:pPr>
            <w:pStyle w:val="TOC2"/>
            <w:tabs>
              <w:tab w:val="right" w:leader="dot" w:pos="9350"/>
            </w:tabs>
            <w:rPr>
              <w:rFonts w:eastAsiaTheme="minorEastAsia"/>
              <w:noProof/>
            </w:rPr>
          </w:pPr>
          <w:hyperlink w:anchor="_Toc216539887" w:history="1">
            <w:r w:rsidRPr="00613FD9">
              <w:rPr>
                <w:rStyle w:val="Hyperlink"/>
                <w:noProof/>
              </w:rPr>
              <w:t>2.1 Coca-Cola as a Multinational Corporation (MNC/TNC)</w:t>
            </w:r>
            <w:r>
              <w:rPr>
                <w:noProof/>
                <w:webHidden/>
              </w:rPr>
              <w:tab/>
            </w:r>
            <w:r>
              <w:rPr>
                <w:noProof/>
                <w:webHidden/>
              </w:rPr>
              <w:fldChar w:fldCharType="begin"/>
            </w:r>
            <w:r>
              <w:rPr>
                <w:noProof/>
                <w:webHidden/>
              </w:rPr>
              <w:instrText xml:space="preserve"> PAGEREF _Toc216539887 \h </w:instrText>
            </w:r>
            <w:r>
              <w:rPr>
                <w:noProof/>
                <w:webHidden/>
              </w:rPr>
            </w:r>
            <w:r>
              <w:rPr>
                <w:noProof/>
                <w:webHidden/>
              </w:rPr>
              <w:fldChar w:fldCharType="separate"/>
            </w:r>
            <w:r>
              <w:rPr>
                <w:noProof/>
                <w:webHidden/>
              </w:rPr>
              <w:t>4</w:t>
            </w:r>
            <w:r>
              <w:rPr>
                <w:noProof/>
                <w:webHidden/>
              </w:rPr>
              <w:fldChar w:fldCharType="end"/>
            </w:r>
          </w:hyperlink>
        </w:p>
        <w:p w14:paraId="46523A7E" w14:textId="77777777" w:rsidR="00603F13" w:rsidRDefault="00603F13">
          <w:pPr>
            <w:pStyle w:val="TOC2"/>
            <w:tabs>
              <w:tab w:val="right" w:leader="dot" w:pos="9350"/>
            </w:tabs>
            <w:rPr>
              <w:rFonts w:eastAsiaTheme="minorEastAsia"/>
              <w:noProof/>
            </w:rPr>
          </w:pPr>
          <w:hyperlink w:anchor="_Toc216539888" w:history="1">
            <w:r w:rsidRPr="00613FD9">
              <w:rPr>
                <w:rStyle w:val="Hyperlink"/>
                <w:noProof/>
              </w:rPr>
              <w:t>2.2 Nature of Coca-Cola’s Global Operations Across the Value Chain</w:t>
            </w:r>
            <w:r>
              <w:rPr>
                <w:noProof/>
                <w:webHidden/>
              </w:rPr>
              <w:tab/>
            </w:r>
            <w:r>
              <w:rPr>
                <w:noProof/>
                <w:webHidden/>
              </w:rPr>
              <w:fldChar w:fldCharType="begin"/>
            </w:r>
            <w:r>
              <w:rPr>
                <w:noProof/>
                <w:webHidden/>
              </w:rPr>
              <w:instrText xml:space="preserve"> PAGEREF _Toc216539888 \h </w:instrText>
            </w:r>
            <w:r>
              <w:rPr>
                <w:noProof/>
                <w:webHidden/>
              </w:rPr>
            </w:r>
            <w:r>
              <w:rPr>
                <w:noProof/>
                <w:webHidden/>
              </w:rPr>
              <w:fldChar w:fldCharType="separate"/>
            </w:r>
            <w:r>
              <w:rPr>
                <w:noProof/>
                <w:webHidden/>
              </w:rPr>
              <w:t>4</w:t>
            </w:r>
            <w:r>
              <w:rPr>
                <w:noProof/>
                <w:webHidden/>
              </w:rPr>
              <w:fldChar w:fldCharType="end"/>
            </w:r>
          </w:hyperlink>
        </w:p>
        <w:p w14:paraId="5B9AC3F2" w14:textId="77777777" w:rsidR="00603F13" w:rsidRDefault="00603F13">
          <w:pPr>
            <w:pStyle w:val="TOC2"/>
            <w:tabs>
              <w:tab w:val="right" w:leader="dot" w:pos="9350"/>
            </w:tabs>
            <w:rPr>
              <w:rFonts w:eastAsiaTheme="minorEastAsia"/>
              <w:noProof/>
            </w:rPr>
          </w:pPr>
          <w:hyperlink w:anchor="_Toc216539889" w:history="1">
            <w:r w:rsidRPr="00613FD9">
              <w:rPr>
                <w:rStyle w:val="Hyperlink"/>
                <w:noProof/>
              </w:rPr>
              <w:t>2.3 Coca-Cola’s Entry Modes in International Markets</w:t>
            </w:r>
            <w:r>
              <w:rPr>
                <w:noProof/>
                <w:webHidden/>
              </w:rPr>
              <w:tab/>
            </w:r>
            <w:r>
              <w:rPr>
                <w:noProof/>
                <w:webHidden/>
              </w:rPr>
              <w:fldChar w:fldCharType="begin"/>
            </w:r>
            <w:r>
              <w:rPr>
                <w:noProof/>
                <w:webHidden/>
              </w:rPr>
              <w:instrText xml:space="preserve"> PAGEREF _Toc216539889 \h </w:instrText>
            </w:r>
            <w:r>
              <w:rPr>
                <w:noProof/>
                <w:webHidden/>
              </w:rPr>
            </w:r>
            <w:r>
              <w:rPr>
                <w:noProof/>
                <w:webHidden/>
              </w:rPr>
              <w:fldChar w:fldCharType="separate"/>
            </w:r>
            <w:r>
              <w:rPr>
                <w:noProof/>
                <w:webHidden/>
              </w:rPr>
              <w:t>6</w:t>
            </w:r>
            <w:r>
              <w:rPr>
                <w:noProof/>
                <w:webHidden/>
              </w:rPr>
              <w:fldChar w:fldCharType="end"/>
            </w:r>
          </w:hyperlink>
        </w:p>
        <w:p w14:paraId="5B5C0264" w14:textId="77777777" w:rsidR="00603F13" w:rsidRDefault="00603F13">
          <w:pPr>
            <w:pStyle w:val="TOC2"/>
            <w:tabs>
              <w:tab w:val="right" w:leader="dot" w:pos="9350"/>
            </w:tabs>
            <w:rPr>
              <w:rFonts w:eastAsiaTheme="minorEastAsia"/>
              <w:noProof/>
            </w:rPr>
          </w:pPr>
          <w:hyperlink w:anchor="_Toc216539890" w:history="1">
            <w:r w:rsidRPr="00613FD9">
              <w:rPr>
                <w:rStyle w:val="Hyperlink"/>
                <w:noProof/>
              </w:rPr>
              <w:t>2.4 Key Benefits from Coca-Cola’s International Operations</w:t>
            </w:r>
            <w:r>
              <w:rPr>
                <w:noProof/>
                <w:webHidden/>
              </w:rPr>
              <w:tab/>
            </w:r>
            <w:r>
              <w:rPr>
                <w:noProof/>
                <w:webHidden/>
              </w:rPr>
              <w:fldChar w:fldCharType="begin"/>
            </w:r>
            <w:r>
              <w:rPr>
                <w:noProof/>
                <w:webHidden/>
              </w:rPr>
              <w:instrText xml:space="preserve"> PAGEREF _Toc216539890 \h </w:instrText>
            </w:r>
            <w:r>
              <w:rPr>
                <w:noProof/>
                <w:webHidden/>
              </w:rPr>
            </w:r>
            <w:r>
              <w:rPr>
                <w:noProof/>
                <w:webHidden/>
              </w:rPr>
              <w:fldChar w:fldCharType="separate"/>
            </w:r>
            <w:r>
              <w:rPr>
                <w:noProof/>
                <w:webHidden/>
              </w:rPr>
              <w:t>8</w:t>
            </w:r>
            <w:r>
              <w:rPr>
                <w:noProof/>
                <w:webHidden/>
              </w:rPr>
              <w:fldChar w:fldCharType="end"/>
            </w:r>
          </w:hyperlink>
        </w:p>
        <w:p w14:paraId="73D48A3F" w14:textId="77777777" w:rsidR="00603F13" w:rsidRDefault="00603F13">
          <w:pPr>
            <w:pStyle w:val="TOC2"/>
            <w:tabs>
              <w:tab w:val="right" w:leader="dot" w:pos="9350"/>
            </w:tabs>
            <w:rPr>
              <w:rFonts w:eastAsiaTheme="minorEastAsia"/>
              <w:noProof/>
            </w:rPr>
          </w:pPr>
          <w:hyperlink w:anchor="_Toc216539891" w:history="1">
            <w:r w:rsidRPr="00613FD9">
              <w:rPr>
                <w:rStyle w:val="Hyperlink"/>
                <w:noProof/>
              </w:rPr>
              <w:t>2.5 Challenges Associated with International Operations</w:t>
            </w:r>
            <w:r>
              <w:rPr>
                <w:noProof/>
                <w:webHidden/>
              </w:rPr>
              <w:tab/>
            </w:r>
            <w:r>
              <w:rPr>
                <w:noProof/>
                <w:webHidden/>
              </w:rPr>
              <w:fldChar w:fldCharType="begin"/>
            </w:r>
            <w:r>
              <w:rPr>
                <w:noProof/>
                <w:webHidden/>
              </w:rPr>
              <w:instrText xml:space="preserve"> PAGEREF _Toc216539891 \h </w:instrText>
            </w:r>
            <w:r>
              <w:rPr>
                <w:noProof/>
                <w:webHidden/>
              </w:rPr>
            </w:r>
            <w:r>
              <w:rPr>
                <w:noProof/>
                <w:webHidden/>
              </w:rPr>
              <w:fldChar w:fldCharType="separate"/>
            </w:r>
            <w:r>
              <w:rPr>
                <w:noProof/>
                <w:webHidden/>
              </w:rPr>
              <w:t>9</w:t>
            </w:r>
            <w:r>
              <w:rPr>
                <w:noProof/>
                <w:webHidden/>
              </w:rPr>
              <w:fldChar w:fldCharType="end"/>
            </w:r>
          </w:hyperlink>
        </w:p>
        <w:p w14:paraId="3BC87D83" w14:textId="77777777" w:rsidR="00603F13" w:rsidRDefault="00603F13">
          <w:pPr>
            <w:pStyle w:val="TOC2"/>
            <w:tabs>
              <w:tab w:val="right" w:leader="dot" w:pos="9350"/>
            </w:tabs>
            <w:rPr>
              <w:rFonts w:eastAsiaTheme="minorEastAsia"/>
              <w:noProof/>
            </w:rPr>
          </w:pPr>
          <w:hyperlink w:anchor="_Toc216539892" w:history="1">
            <w:r w:rsidRPr="00613FD9">
              <w:rPr>
                <w:rStyle w:val="Hyperlink"/>
                <w:noProof/>
              </w:rPr>
              <w:t>2.6 Table Summary: Benefits vs Challenges of Coca-Cola’s International Operations</w:t>
            </w:r>
            <w:r>
              <w:rPr>
                <w:noProof/>
                <w:webHidden/>
              </w:rPr>
              <w:tab/>
            </w:r>
            <w:r>
              <w:rPr>
                <w:noProof/>
                <w:webHidden/>
              </w:rPr>
              <w:fldChar w:fldCharType="begin"/>
            </w:r>
            <w:r>
              <w:rPr>
                <w:noProof/>
                <w:webHidden/>
              </w:rPr>
              <w:instrText xml:space="preserve"> PAGEREF _Toc216539892 \h </w:instrText>
            </w:r>
            <w:r>
              <w:rPr>
                <w:noProof/>
                <w:webHidden/>
              </w:rPr>
            </w:r>
            <w:r>
              <w:rPr>
                <w:noProof/>
                <w:webHidden/>
              </w:rPr>
              <w:fldChar w:fldCharType="separate"/>
            </w:r>
            <w:r>
              <w:rPr>
                <w:noProof/>
                <w:webHidden/>
              </w:rPr>
              <w:t>10</w:t>
            </w:r>
            <w:r>
              <w:rPr>
                <w:noProof/>
                <w:webHidden/>
              </w:rPr>
              <w:fldChar w:fldCharType="end"/>
            </w:r>
          </w:hyperlink>
        </w:p>
        <w:p w14:paraId="1583D05A" w14:textId="77777777" w:rsidR="00603F13" w:rsidRDefault="00603F13">
          <w:pPr>
            <w:pStyle w:val="TOC2"/>
            <w:tabs>
              <w:tab w:val="right" w:leader="dot" w:pos="9350"/>
            </w:tabs>
            <w:rPr>
              <w:rFonts w:eastAsiaTheme="minorEastAsia"/>
              <w:noProof/>
            </w:rPr>
          </w:pPr>
          <w:hyperlink w:anchor="_Toc216539893" w:history="1">
            <w:r w:rsidRPr="00613FD9">
              <w:rPr>
                <w:rStyle w:val="Hyperlink"/>
                <w:noProof/>
              </w:rPr>
              <w:t>2.7 Critical Synthesis</w:t>
            </w:r>
            <w:r>
              <w:rPr>
                <w:noProof/>
                <w:webHidden/>
              </w:rPr>
              <w:tab/>
            </w:r>
            <w:r>
              <w:rPr>
                <w:noProof/>
                <w:webHidden/>
              </w:rPr>
              <w:fldChar w:fldCharType="begin"/>
            </w:r>
            <w:r>
              <w:rPr>
                <w:noProof/>
                <w:webHidden/>
              </w:rPr>
              <w:instrText xml:space="preserve"> PAGEREF _Toc216539893 \h </w:instrText>
            </w:r>
            <w:r>
              <w:rPr>
                <w:noProof/>
                <w:webHidden/>
              </w:rPr>
            </w:r>
            <w:r>
              <w:rPr>
                <w:noProof/>
                <w:webHidden/>
              </w:rPr>
              <w:fldChar w:fldCharType="separate"/>
            </w:r>
            <w:r>
              <w:rPr>
                <w:noProof/>
                <w:webHidden/>
              </w:rPr>
              <w:t>11</w:t>
            </w:r>
            <w:r>
              <w:rPr>
                <w:noProof/>
                <w:webHidden/>
              </w:rPr>
              <w:fldChar w:fldCharType="end"/>
            </w:r>
          </w:hyperlink>
        </w:p>
        <w:p w14:paraId="7CDCC44A" w14:textId="77777777" w:rsidR="00603F13" w:rsidRDefault="00603F13">
          <w:pPr>
            <w:pStyle w:val="TOC1"/>
            <w:tabs>
              <w:tab w:val="right" w:leader="dot" w:pos="9350"/>
            </w:tabs>
            <w:rPr>
              <w:rFonts w:eastAsiaTheme="minorEastAsia"/>
              <w:noProof/>
            </w:rPr>
          </w:pPr>
          <w:hyperlink w:anchor="_Toc216539894" w:history="1">
            <w:r w:rsidRPr="00613FD9">
              <w:rPr>
                <w:rStyle w:val="Hyperlink"/>
                <w:noProof/>
              </w:rPr>
              <w:t>3 — OLI (Ownership–Location–Internalisation) Analysis for Coca-Cola’s Entry into China</w:t>
            </w:r>
            <w:r>
              <w:rPr>
                <w:noProof/>
                <w:webHidden/>
              </w:rPr>
              <w:tab/>
            </w:r>
            <w:r>
              <w:rPr>
                <w:noProof/>
                <w:webHidden/>
              </w:rPr>
              <w:fldChar w:fldCharType="begin"/>
            </w:r>
            <w:r>
              <w:rPr>
                <w:noProof/>
                <w:webHidden/>
              </w:rPr>
              <w:instrText xml:space="preserve"> PAGEREF _Toc216539894 \h </w:instrText>
            </w:r>
            <w:r>
              <w:rPr>
                <w:noProof/>
                <w:webHidden/>
              </w:rPr>
            </w:r>
            <w:r>
              <w:rPr>
                <w:noProof/>
                <w:webHidden/>
              </w:rPr>
              <w:fldChar w:fldCharType="separate"/>
            </w:r>
            <w:r>
              <w:rPr>
                <w:noProof/>
                <w:webHidden/>
              </w:rPr>
              <w:t>12</w:t>
            </w:r>
            <w:r>
              <w:rPr>
                <w:noProof/>
                <w:webHidden/>
              </w:rPr>
              <w:fldChar w:fldCharType="end"/>
            </w:r>
          </w:hyperlink>
        </w:p>
        <w:p w14:paraId="3C63428B" w14:textId="77777777" w:rsidR="00603F13" w:rsidRDefault="00603F13">
          <w:pPr>
            <w:pStyle w:val="TOC2"/>
            <w:tabs>
              <w:tab w:val="right" w:leader="dot" w:pos="9350"/>
            </w:tabs>
            <w:rPr>
              <w:rFonts w:eastAsiaTheme="minorEastAsia"/>
              <w:noProof/>
            </w:rPr>
          </w:pPr>
          <w:hyperlink w:anchor="_Toc216539895" w:history="1">
            <w:r w:rsidRPr="00613FD9">
              <w:rPr>
                <w:rStyle w:val="Hyperlink"/>
                <w:noProof/>
              </w:rPr>
              <w:t>3.1 Ownership Advantages (O)</w:t>
            </w:r>
            <w:r>
              <w:rPr>
                <w:noProof/>
                <w:webHidden/>
              </w:rPr>
              <w:tab/>
            </w:r>
            <w:r>
              <w:rPr>
                <w:noProof/>
                <w:webHidden/>
              </w:rPr>
              <w:fldChar w:fldCharType="begin"/>
            </w:r>
            <w:r>
              <w:rPr>
                <w:noProof/>
                <w:webHidden/>
              </w:rPr>
              <w:instrText xml:space="preserve"> PAGEREF _Toc216539895 \h </w:instrText>
            </w:r>
            <w:r>
              <w:rPr>
                <w:noProof/>
                <w:webHidden/>
              </w:rPr>
            </w:r>
            <w:r>
              <w:rPr>
                <w:noProof/>
                <w:webHidden/>
              </w:rPr>
              <w:fldChar w:fldCharType="separate"/>
            </w:r>
            <w:r>
              <w:rPr>
                <w:noProof/>
                <w:webHidden/>
              </w:rPr>
              <w:t>13</w:t>
            </w:r>
            <w:r>
              <w:rPr>
                <w:noProof/>
                <w:webHidden/>
              </w:rPr>
              <w:fldChar w:fldCharType="end"/>
            </w:r>
          </w:hyperlink>
        </w:p>
        <w:p w14:paraId="46FCAB7B" w14:textId="77777777" w:rsidR="00603F13" w:rsidRDefault="00603F13">
          <w:pPr>
            <w:pStyle w:val="TOC2"/>
            <w:tabs>
              <w:tab w:val="right" w:leader="dot" w:pos="9350"/>
            </w:tabs>
            <w:rPr>
              <w:rFonts w:eastAsiaTheme="minorEastAsia"/>
              <w:noProof/>
            </w:rPr>
          </w:pPr>
          <w:hyperlink w:anchor="_Toc216539896" w:history="1">
            <w:r w:rsidRPr="00613FD9">
              <w:rPr>
                <w:rStyle w:val="Hyperlink"/>
                <w:noProof/>
              </w:rPr>
              <w:t>3.2 Location Advantages (L)</w:t>
            </w:r>
            <w:r>
              <w:rPr>
                <w:noProof/>
                <w:webHidden/>
              </w:rPr>
              <w:tab/>
            </w:r>
            <w:r>
              <w:rPr>
                <w:noProof/>
                <w:webHidden/>
              </w:rPr>
              <w:fldChar w:fldCharType="begin"/>
            </w:r>
            <w:r>
              <w:rPr>
                <w:noProof/>
                <w:webHidden/>
              </w:rPr>
              <w:instrText xml:space="preserve"> PAGEREF _Toc216539896 \h </w:instrText>
            </w:r>
            <w:r>
              <w:rPr>
                <w:noProof/>
                <w:webHidden/>
              </w:rPr>
            </w:r>
            <w:r>
              <w:rPr>
                <w:noProof/>
                <w:webHidden/>
              </w:rPr>
              <w:fldChar w:fldCharType="separate"/>
            </w:r>
            <w:r>
              <w:rPr>
                <w:noProof/>
                <w:webHidden/>
              </w:rPr>
              <w:t>14</w:t>
            </w:r>
            <w:r>
              <w:rPr>
                <w:noProof/>
                <w:webHidden/>
              </w:rPr>
              <w:fldChar w:fldCharType="end"/>
            </w:r>
          </w:hyperlink>
        </w:p>
        <w:p w14:paraId="664B777B" w14:textId="77777777" w:rsidR="00603F13" w:rsidRDefault="00603F13">
          <w:pPr>
            <w:pStyle w:val="TOC2"/>
            <w:tabs>
              <w:tab w:val="right" w:leader="dot" w:pos="9350"/>
            </w:tabs>
            <w:rPr>
              <w:rFonts w:eastAsiaTheme="minorEastAsia"/>
              <w:noProof/>
            </w:rPr>
          </w:pPr>
          <w:hyperlink w:anchor="_Toc216539897" w:history="1">
            <w:r w:rsidRPr="00613FD9">
              <w:rPr>
                <w:rStyle w:val="Hyperlink"/>
                <w:noProof/>
              </w:rPr>
              <w:t>3.3 Internalization Advantages (I)</w:t>
            </w:r>
            <w:r>
              <w:rPr>
                <w:noProof/>
                <w:webHidden/>
              </w:rPr>
              <w:tab/>
            </w:r>
            <w:r>
              <w:rPr>
                <w:noProof/>
                <w:webHidden/>
              </w:rPr>
              <w:fldChar w:fldCharType="begin"/>
            </w:r>
            <w:r>
              <w:rPr>
                <w:noProof/>
                <w:webHidden/>
              </w:rPr>
              <w:instrText xml:space="preserve"> PAGEREF _Toc216539897 \h </w:instrText>
            </w:r>
            <w:r>
              <w:rPr>
                <w:noProof/>
                <w:webHidden/>
              </w:rPr>
            </w:r>
            <w:r>
              <w:rPr>
                <w:noProof/>
                <w:webHidden/>
              </w:rPr>
              <w:fldChar w:fldCharType="separate"/>
            </w:r>
            <w:r>
              <w:rPr>
                <w:noProof/>
                <w:webHidden/>
              </w:rPr>
              <w:t>16</w:t>
            </w:r>
            <w:r>
              <w:rPr>
                <w:noProof/>
                <w:webHidden/>
              </w:rPr>
              <w:fldChar w:fldCharType="end"/>
            </w:r>
          </w:hyperlink>
        </w:p>
        <w:p w14:paraId="783395CD" w14:textId="77777777" w:rsidR="00603F13" w:rsidRDefault="00603F13">
          <w:pPr>
            <w:pStyle w:val="TOC2"/>
            <w:tabs>
              <w:tab w:val="right" w:leader="dot" w:pos="9350"/>
            </w:tabs>
            <w:rPr>
              <w:rFonts w:eastAsiaTheme="minorEastAsia"/>
              <w:noProof/>
            </w:rPr>
          </w:pPr>
          <w:hyperlink w:anchor="_Toc216539898" w:history="1">
            <w:r w:rsidRPr="00613FD9">
              <w:rPr>
                <w:rStyle w:val="Hyperlink"/>
                <w:noProof/>
              </w:rPr>
              <w:t>3.4 Interaction of OLI Factors and Resulting Entry Mode</w:t>
            </w:r>
            <w:r>
              <w:rPr>
                <w:noProof/>
                <w:webHidden/>
              </w:rPr>
              <w:tab/>
            </w:r>
            <w:r>
              <w:rPr>
                <w:noProof/>
                <w:webHidden/>
              </w:rPr>
              <w:fldChar w:fldCharType="begin"/>
            </w:r>
            <w:r>
              <w:rPr>
                <w:noProof/>
                <w:webHidden/>
              </w:rPr>
              <w:instrText xml:space="preserve"> PAGEREF _Toc216539898 \h </w:instrText>
            </w:r>
            <w:r>
              <w:rPr>
                <w:noProof/>
                <w:webHidden/>
              </w:rPr>
            </w:r>
            <w:r>
              <w:rPr>
                <w:noProof/>
                <w:webHidden/>
              </w:rPr>
              <w:fldChar w:fldCharType="separate"/>
            </w:r>
            <w:r>
              <w:rPr>
                <w:noProof/>
                <w:webHidden/>
              </w:rPr>
              <w:t>17</w:t>
            </w:r>
            <w:r>
              <w:rPr>
                <w:noProof/>
                <w:webHidden/>
              </w:rPr>
              <w:fldChar w:fldCharType="end"/>
            </w:r>
          </w:hyperlink>
        </w:p>
        <w:p w14:paraId="6E06DDCB" w14:textId="77777777" w:rsidR="00603F13" w:rsidRDefault="00603F13">
          <w:pPr>
            <w:pStyle w:val="TOC2"/>
            <w:tabs>
              <w:tab w:val="right" w:leader="dot" w:pos="9350"/>
            </w:tabs>
            <w:rPr>
              <w:rFonts w:eastAsiaTheme="minorEastAsia"/>
              <w:noProof/>
            </w:rPr>
          </w:pPr>
          <w:hyperlink w:anchor="_Toc216539899" w:history="1">
            <w:r w:rsidRPr="00613FD9">
              <w:rPr>
                <w:rStyle w:val="Hyperlink"/>
                <w:noProof/>
              </w:rPr>
              <w:t>3.5 Critical Evaluation</w:t>
            </w:r>
            <w:r>
              <w:rPr>
                <w:noProof/>
                <w:webHidden/>
              </w:rPr>
              <w:tab/>
            </w:r>
            <w:r>
              <w:rPr>
                <w:noProof/>
                <w:webHidden/>
              </w:rPr>
              <w:fldChar w:fldCharType="begin"/>
            </w:r>
            <w:r>
              <w:rPr>
                <w:noProof/>
                <w:webHidden/>
              </w:rPr>
              <w:instrText xml:space="preserve"> PAGEREF _Toc216539899 \h </w:instrText>
            </w:r>
            <w:r>
              <w:rPr>
                <w:noProof/>
                <w:webHidden/>
              </w:rPr>
            </w:r>
            <w:r>
              <w:rPr>
                <w:noProof/>
                <w:webHidden/>
              </w:rPr>
              <w:fldChar w:fldCharType="separate"/>
            </w:r>
            <w:r>
              <w:rPr>
                <w:noProof/>
                <w:webHidden/>
              </w:rPr>
              <w:t>17</w:t>
            </w:r>
            <w:r>
              <w:rPr>
                <w:noProof/>
                <w:webHidden/>
              </w:rPr>
              <w:fldChar w:fldCharType="end"/>
            </w:r>
          </w:hyperlink>
        </w:p>
        <w:p w14:paraId="1877AC8F" w14:textId="77777777" w:rsidR="00603F13" w:rsidRDefault="00603F13">
          <w:pPr>
            <w:pStyle w:val="TOC1"/>
            <w:tabs>
              <w:tab w:val="right" w:leader="dot" w:pos="9350"/>
            </w:tabs>
            <w:rPr>
              <w:rFonts w:eastAsiaTheme="minorEastAsia"/>
              <w:noProof/>
            </w:rPr>
          </w:pPr>
          <w:hyperlink w:anchor="_Toc216539900" w:history="1">
            <w:r w:rsidRPr="00613FD9">
              <w:rPr>
                <w:rStyle w:val="Hyperlink"/>
                <w:noProof/>
              </w:rPr>
              <w:t>4 — Cultural Differences and Their Impact on Coca-Cola’s Market Entry Strategy and Success in China</w:t>
            </w:r>
            <w:r>
              <w:rPr>
                <w:noProof/>
                <w:webHidden/>
              </w:rPr>
              <w:tab/>
            </w:r>
            <w:r>
              <w:rPr>
                <w:noProof/>
                <w:webHidden/>
              </w:rPr>
              <w:fldChar w:fldCharType="begin"/>
            </w:r>
            <w:r>
              <w:rPr>
                <w:noProof/>
                <w:webHidden/>
              </w:rPr>
              <w:instrText xml:space="preserve"> PAGEREF _Toc216539900 \h </w:instrText>
            </w:r>
            <w:r>
              <w:rPr>
                <w:noProof/>
                <w:webHidden/>
              </w:rPr>
            </w:r>
            <w:r>
              <w:rPr>
                <w:noProof/>
                <w:webHidden/>
              </w:rPr>
              <w:fldChar w:fldCharType="separate"/>
            </w:r>
            <w:r>
              <w:rPr>
                <w:noProof/>
                <w:webHidden/>
              </w:rPr>
              <w:t>19</w:t>
            </w:r>
            <w:r>
              <w:rPr>
                <w:noProof/>
                <w:webHidden/>
              </w:rPr>
              <w:fldChar w:fldCharType="end"/>
            </w:r>
          </w:hyperlink>
        </w:p>
        <w:p w14:paraId="4223AE82" w14:textId="77777777" w:rsidR="00603F13" w:rsidRDefault="00603F13">
          <w:pPr>
            <w:pStyle w:val="TOC2"/>
            <w:tabs>
              <w:tab w:val="right" w:leader="dot" w:pos="9350"/>
            </w:tabs>
            <w:rPr>
              <w:rFonts w:eastAsiaTheme="minorEastAsia"/>
              <w:noProof/>
            </w:rPr>
          </w:pPr>
          <w:hyperlink w:anchor="_Toc216539901" w:history="1">
            <w:r w:rsidRPr="00613FD9">
              <w:rPr>
                <w:rStyle w:val="Hyperlink"/>
                <w:noProof/>
              </w:rPr>
              <w:t>4.1 Key Cultural Differences Between the U.S. and China</w:t>
            </w:r>
            <w:r>
              <w:rPr>
                <w:noProof/>
                <w:webHidden/>
              </w:rPr>
              <w:tab/>
            </w:r>
            <w:r>
              <w:rPr>
                <w:noProof/>
                <w:webHidden/>
              </w:rPr>
              <w:fldChar w:fldCharType="begin"/>
            </w:r>
            <w:r>
              <w:rPr>
                <w:noProof/>
                <w:webHidden/>
              </w:rPr>
              <w:instrText xml:space="preserve"> PAGEREF _Toc216539901 \h </w:instrText>
            </w:r>
            <w:r>
              <w:rPr>
                <w:noProof/>
                <w:webHidden/>
              </w:rPr>
            </w:r>
            <w:r>
              <w:rPr>
                <w:noProof/>
                <w:webHidden/>
              </w:rPr>
              <w:fldChar w:fldCharType="separate"/>
            </w:r>
            <w:r>
              <w:rPr>
                <w:noProof/>
                <w:webHidden/>
              </w:rPr>
              <w:t>19</w:t>
            </w:r>
            <w:r>
              <w:rPr>
                <w:noProof/>
                <w:webHidden/>
              </w:rPr>
              <w:fldChar w:fldCharType="end"/>
            </w:r>
          </w:hyperlink>
        </w:p>
        <w:p w14:paraId="6DEA92C8" w14:textId="77777777" w:rsidR="00603F13" w:rsidRDefault="00603F13">
          <w:pPr>
            <w:pStyle w:val="TOC2"/>
            <w:tabs>
              <w:tab w:val="right" w:leader="dot" w:pos="9350"/>
            </w:tabs>
            <w:rPr>
              <w:rFonts w:eastAsiaTheme="minorEastAsia"/>
              <w:noProof/>
            </w:rPr>
          </w:pPr>
          <w:hyperlink w:anchor="_Toc216539902" w:history="1">
            <w:r w:rsidRPr="00613FD9">
              <w:rPr>
                <w:rStyle w:val="Hyperlink"/>
                <w:noProof/>
              </w:rPr>
              <w:t>4.2 Impact on Coca-Cola’s Market Entry Strategy</w:t>
            </w:r>
            <w:r>
              <w:rPr>
                <w:noProof/>
                <w:webHidden/>
              </w:rPr>
              <w:tab/>
            </w:r>
            <w:r>
              <w:rPr>
                <w:noProof/>
                <w:webHidden/>
              </w:rPr>
              <w:fldChar w:fldCharType="begin"/>
            </w:r>
            <w:r>
              <w:rPr>
                <w:noProof/>
                <w:webHidden/>
              </w:rPr>
              <w:instrText xml:space="preserve"> PAGEREF _Toc216539902 \h </w:instrText>
            </w:r>
            <w:r>
              <w:rPr>
                <w:noProof/>
                <w:webHidden/>
              </w:rPr>
            </w:r>
            <w:r>
              <w:rPr>
                <w:noProof/>
                <w:webHidden/>
              </w:rPr>
              <w:fldChar w:fldCharType="separate"/>
            </w:r>
            <w:r>
              <w:rPr>
                <w:noProof/>
                <w:webHidden/>
              </w:rPr>
              <w:t>21</w:t>
            </w:r>
            <w:r>
              <w:rPr>
                <w:noProof/>
                <w:webHidden/>
              </w:rPr>
              <w:fldChar w:fldCharType="end"/>
            </w:r>
          </w:hyperlink>
        </w:p>
        <w:p w14:paraId="5B0DEF87" w14:textId="77777777" w:rsidR="00603F13" w:rsidRDefault="00603F13">
          <w:pPr>
            <w:pStyle w:val="TOC2"/>
            <w:tabs>
              <w:tab w:val="right" w:leader="dot" w:pos="9350"/>
            </w:tabs>
            <w:rPr>
              <w:rFonts w:eastAsiaTheme="minorEastAsia"/>
              <w:noProof/>
            </w:rPr>
          </w:pPr>
          <w:hyperlink w:anchor="_Toc216539903" w:history="1">
            <w:r w:rsidRPr="00613FD9">
              <w:rPr>
                <w:rStyle w:val="Hyperlink"/>
                <w:noProof/>
              </w:rPr>
              <w:t>4.3 Cultural Impact on Organizational Success in China</w:t>
            </w:r>
            <w:r>
              <w:rPr>
                <w:noProof/>
                <w:webHidden/>
              </w:rPr>
              <w:tab/>
            </w:r>
            <w:r>
              <w:rPr>
                <w:noProof/>
                <w:webHidden/>
              </w:rPr>
              <w:fldChar w:fldCharType="begin"/>
            </w:r>
            <w:r>
              <w:rPr>
                <w:noProof/>
                <w:webHidden/>
              </w:rPr>
              <w:instrText xml:space="preserve"> PAGEREF _Toc216539903 \h </w:instrText>
            </w:r>
            <w:r>
              <w:rPr>
                <w:noProof/>
                <w:webHidden/>
              </w:rPr>
            </w:r>
            <w:r>
              <w:rPr>
                <w:noProof/>
                <w:webHidden/>
              </w:rPr>
              <w:fldChar w:fldCharType="separate"/>
            </w:r>
            <w:r>
              <w:rPr>
                <w:noProof/>
                <w:webHidden/>
              </w:rPr>
              <w:t>22</w:t>
            </w:r>
            <w:r>
              <w:rPr>
                <w:noProof/>
                <w:webHidden/>
              </w:rPr>
              <w:fldChar w:fldCharType="end"/>
            </w:r>
          </w:hyperlink>
        </w:p>
        <w:p w14:paraId="40AAE509" w14:textId="77777777" w:rsidR="00603F13" w:rsidRDefault="00603F13">
          <w:pPr>
            <w:pStyle w:val="TOC2"/>
            <w:tabs>
              <w:tab w:val="right" w:leader="dot" w:pos="9350"/>
            </w:tabs>
            <w:rPr>
              <w:rFonts w:eastAsiaTheme="minorEastAsia"/>
              <w:noProof/>
            </w:rPr>
          </w:pPr>
          <w:hyperlink w:anchor="_Toc216539904" w:history="1">
            <w:r w:rsidRPr="00613FD9">
              <w:rPr>
                <w:rStyle w:val="Hyperlink"/>
                <w:noProof/>
              </w:rPr>
              <w:t>4.4 Critical Evaluation</w:t>
            </w:r>
            <w:r>
              <w:rPr>
                <w:noProof/>
                <w:webHidden/>
              </w:rPr>
              <w:tab/>
            </w:r>
            <w:r>
              <w:rPr>
                <w:noProof/>
                <w:webHidden/>
              </w:rPr>
              <w:fldChar w:fldCharType="begin"/>
            </w:r>
            <w:r>
              <w:rPr>
                <w:noProof/>
                <w:webHidden/>
              </w:rPr>
              <w:instrText xml:space="preserve"> PAGEREF _Toc216539904 \h </w:instrText>
            </w:r>
            <w:r>
              <w:rPr>
                <w:noProof/>
                <w:webHidden/>
              </w:rPr>
            </w:r>
            <w:r>
              <w:rPr>
                <w:noProof/>
                <w:webHidden/>
              </w:rPr>
              <w:fldChar w:fldCharType="separate"/>
            </w:r>
            <w:r>
              <w:rPr>
                <w:noProof/>
                <w:webHidden/>
              </w:rPr>
              <w:t>22</w:t>
            </w:r>
            <w:r>
              <w:rPr>
                <w:noProof/>
                <w:webHidden/>
              </w:rPr>
              <w:fldChar w:fldCharType="end"/>
            </w:r>
          </w:hyperlink>
        </w:p>
        <w:p w14:paraId="77215FAF" w14:textId="77777777" w:rsidR="00603F13" w:rsidRDefault="00603F13">
          <w:pPr>
            <w:pStyle w:val="TOC1"/>
            <w:tabs>
              <w:tab w:val="right" w:leader="dot" w:pos="9350"/>
            </w:tabs>
            <w:rPr>
              <w:rFonts w:eastAsiaTheme="minorEastAsia"/>
              <w:noProof/>
            </w:rPr>
          </w:pPr>
          <w:hyperlink w:anchor="_Toc216539905" w:history="1">
            <w:r w:rsidRPr="00613FD9">
              <w:rPr>
                <w:rStyle w:val="Hyperlink"/>
                <w:noProof/>
              </w:rPr>
              <w:t>5 — Recommendations: SOP Adjustments for Coca-Cola in China</w:t>
            </w:r>
            <w:r>
              <w:rPr>
                <w:noProof/>
                <w:webHidden/>
              </w:rPr>
              <w:tab/>
            </w:r>
            <w:r>
              <w:rPr>
                <w:noProof/>
                <w:webHidden/>
              </w:rPr>
              <w:fldChar w:fldCharType="begin"/>
            </w:r>
            <w:r>
              <w:rPr>
                <w:noProof/>
                <w:webHidden/>
              </w:rPr>
              <w:instrText xml:space="preserve"> PAGEREF _Toc216539905 \h </w:instrText>
            </w:r>
            <w:r>
              <w:rPr>
                <w:noProof/>
                <w:webHidden/>
              </w:rPr>
            </w:r>
            <w:r>
              <w:rPr>
                <w:noProof/>
                <w:webHidden/>
              </w:rPr>
              <w:fldChar w:fldCharType="separate"/>
            </w:r>
            <w:r>
              <w:rPr>
                <w:noProof/>
                <w:webHidden/>
              </w:rPr>
              <w:t>24</w:t>
            </w:r>
            <w:r>
              <w:rPr>
                <w:noProof/>
                <w:webHidden/>
              </w:rPr>
              <w:fldChar w:fldCharType="end"/>
            </w:r>
          </w:hyperlink>
        </w:p>
        <w:p w14:paraId="5660BF79" w14:textId="77777777" w:rsidR="00603F13" w:rsidRDefault="00603F13">
          <w:pPr>
            <w:pStyle w:val="TOC2"/>
            <w:tabs>
              <w:tab w:val="right" w:leader="dot" w:pos="9350"/>
            </w:tabs>
            <w:rPr>
              <w:rFonts w:eastAsiaTheme="minorEastAsia"/>
              <w:noProof/>
            </w:rPr>
          </w:pPr>
          <w:hyperlink w:anchor="_Toc216539906" w:history="1">
            <w:r w:rsidRPr="00613FD9">
              <w:rPr>
                <w:rStyle w:val="Hyperlink"/>
                <w:noProof/>
              </w:rPr>
              <w:t>5.1 SOP Adjustment 1: Deep Localization of Product Development and Health-Focused Innovation</w:t>
            </w:r>
            <w:r>
              <w:rPr>
                <w:noProof/>
                <w:webHidden/>
              </w:rPr>
              <w:tab/>
            </w:r>
            <w:r>
              <w:rPr>
                <w:noProof/>
                <w:webHidden/>
              </w:rPr>
              <w:fldChar w:fldCharType="begin"/>
            </w:r>
            <w:r>
              <w:rPr>
                <w:noProof/>
                <w:webHidden/>
              </w:rPr>
              <w:instrText xml:space="preserve"> PAGEREF _Toc216539906 \h </w:instrText>
            </w:r>
            <w:r>
              <w:rPr>
                <w:noProof/>
                <w:webHidden/>
              </w:rPr>
            </w:r>
            <w:r>
              <w:rPr>
                <w:noProof/>
                <w:webHidden/>
              </w:rPr>
              <w:fldChar w:fldCharType="separate"/>
            </w:r>
            <w:r>
              <w:rPr>
                <w:noProof/>
                <w:webHidden/>
              </w:rPr>
              <w:t>24</w:t>
            </w:r>
            <w:r>
              <w:rPr>
                <w:noProof/>
                <w:webHidden/>
              </w:rPr>
              <w:fldChar w:fldCharType="end"/>
            </w:r>
          </w:hyperlink>
        </w:p>
        <w:p w14:paraId="589E6B62" w14:textId="77777777" w:rsidR="00603F13" w:rsidRDefault="00603F13">
          <w:pPr>
            <w:pStyle w:val="TOC2"/>
            <w:tabs>
              <w:tab w:val="right" w:leader="dot" w:pos="9350"/>
            </w:tabs>
            <w:rPr>
              <w:rFonts w:eastAsiaTheme="minorEastAsia"/>
              <w:noProof/>
            </w:rPr>
          </w:pPr>
          <w:hyperlink w:anchor="_Toc216539907" w:history="1">
            <w:r w:rsidRPr="00613FD9">
              <w:rPr>
                <w:rStyle w:val="Hyperlink"/>
                <w:noProof/>
              </w:rPr>
              <w:t>5.2 SOP Adjustment 2: Strengthened Digital Engagement, Data Governance, and E-Commerce Integration</w:t>
            </w:r>
            <w:r>
              <w:rPr>
                <w:noProof/>
                <w:webHidden/>
              </w:rPr>
              <w:tab/>
            </w:r>
            <w:r>
              <w:rPr>
                <w:noProof/>
                <w:webHidden/>
              </w:rPr>
              <w:fldChar w:fldCharType="begin"/>
            </w:r>
            <w:r>
              <w:rPr>
                <w:noProof/>
                <w:webHidden/>
              </w:rPr>
              <w:instrText xml:space="preserve"> PAGEREF _Toc216539907 \h </w:instrText>
            </w:r>
            <w:r>
              <w:rPr>
                <w:noProof/>
                <w:webHidden/>
              </w:rPr>
            </w:r>
            <w:r>
              <w:rPr>
                <w:noProof/>
                <w:webHidden/>
              </w:rPr>
              <w:fldChar w:fldCharType="separate"/>
            </w:r>
            <w:r>
              <w:rPr>
                <w:noProof/>
                <w:webHidden/>
              </w:rPr>
              <w:t>26</w:t>
            </w:r>
            <w:r>
              <w:rPr>
                <w:noProof/>
                <w:webHidden/>
              </w:rPr>
              <w:fldChar w:fldCharType="end"/>
            </w:r>
          </w:hyperlink>
        </w:p>
        <w:p w14:paraId="508A740E" w14:textId="77777777" w:rsidR="00603F13" w:rsidRDefault="00603F13">
          <w:pPr>
            <w:pStyle w:val="TOC2"/>
            <w:tabs>
              <w:tab w:val="right" w:leader="dot" w:pos="9350"/>
            </w:tabs>
            <w:rPr>
              <w:rFonts w:eastAsiaTheme="minorEastAsia"/>
              <w:noProof/>
            </w:rPr>
          </w:pPr>
          <w:hyperlink w:anchor="_Toc216539908" w:history="1">
            <w:r w:rsidRPr="00613FD9">
              <w:rPr>
                <w:rStyle w:val="Hyperlink"/>
                <w:noProof/>
              </w:rPr>
              <w:t>5.3 SOP Adjustment 3: Enhanced Local Partnership, Governance, and Guanxi-Oriented Stakeholder Management</w:t>
            </w:r>
            <w:r>
              <w:rPr>
                <w:noProof/>
                <w:webHidden/>
              </w:rPr>
              <w:tab/>
            </w:r>
            <w:r>
              <w:rPr>
                <w:noProof/>
                <w:webHidden/>
              </w:rPr>
              <w:fldChar w:fldCharType="begin"/>
            </w:r>
            <w:r>
              <w:rPr>
                <w:noProof/>
                <w:webHidden/>
              </w:rPr>
              <w:instrText xml:space="preserve"> PAGEREF _Toc216539908 \h </w:instrText>
            </w:r>
            <w:r>
              <w:rPr>
                <w:noProof/>
                <w:webHidden/>
              </w:rPr>
            </w:r>
            <w:r>
              <w:rPr>
                <w:noProof/>
                <w:webHidden/>
              </w:rPr>
              <w:fldChar w:fldCharType="separate"/>
            </w:r>
            <w:r>
              <w:rPr>
                <w:noProof/>
                <w:webHidden/>
              </w:rPr>
              <w:t>27</w:t>
            </w:r>
            <w:r>
              <w:rPr>
                <w:noProof/>
                <w:webHidden/>
              </w:rPr>
              <w:fldChar w:fldCharType="end"/>
            </w:r>
          </w:hyperlink>
        </w:p>
        <w:p w14:paraId="6A9314AD" w14:textId="77777777" w:rsidR="00603F13" w:rsidRDefault="00603F13">
          <w:pPr>
            <w:pStyle w:val="TOC2"/>
            <w:tabs>
              <w:tab w:val="right" w:leader="dot" w:pos="9350"/>
            </w:tabs>
            <w:rPr>
              <w:rFonts w:eastAsiaTheme="minorEastAsia"/>
              <w:noProof/>
            </w:rPr>
          </w:pPr>
          <w:hyperlink w:anchor="_Toc216539909" w:history="1">
            <w:r w:rsidRPr="00613FD9">
              <w:rPr>
                <w:rStyle w:val="Hyperlink"/>
                <w:noProof/>
              </w:rPr>
              <w:t>5.4 Critical Synthesis of SOP Adjustments</w:t>
            </w:r>
            <w:r>
              <w:rPr>
                <w:noProof/>
                <w:webHidden/>
              </w:rPr>
              <w:tab/>
            </w:r>
            <w:r>
              <w:rPr>
                <w:noProof/>
                <w:webHidden/>
              </w:rPr>
              <w:fldChar w:fldCharType="begin"/>
            </w:r>
            <w:r>
              <w:rPr>
                <w:noProof/>
                <w:webHidden/>
              </w:rPr>
              <w:instrText xml:space="preserve"> PAGEREF _Toc216539909 \h </w:instrText>
            </w:r>
            <w:r>
              <w:rPr>
                <w:noProof/>
                <w:webHidden/>
              </w:rPr>
            </w:r>
            <w:r>
              <w:rPr>
                <w:noProof/>
                <w:webHidden/>
              </w:rPr>
              <w:fldChar w:fldCharType="separate"/>
            </w:r>
            <w:r>
              <w:rPr>
                <w:noProof/>
                <w:webHidden/>
              </w:rPr>
              <w:t>28</w:t>
            </w:r>
            <w:r>
              <w:rPr>
                <w:noProof/>
                <w:webHidden/>
              </w:rPr>
              <w:fldChar w:fldCharType="end"/>
            </w:r>
          </w:hyperlink>
        </w:p>
        <w:p w14:paraId="278D17A7" w14:textId="77777777" w:rsidR="00603F13" w:rsidRDefault="00603F13">
          <w:pPr>
            <w:pStyle w:val="TOC1"/>
            <w:tabs>
              <w:tab w:val="right" w:leader="dot" w:pos="9350"/>
            </w:tabs>
            <w:rPr>
              <w:rFonts w:eastAsiaTheme="minorEastAsia"/>
              <w:noProof/>
            </w:rPr>
          </w:pPr>
          <w:hyperlink w:anchor="_Toc216539910" w:history="1">
            <w:r w:rsidRPr="00613FD9">
              <w:rPr>
                <w:rStyle w:val="Hyperlink"/>
                <w:noProof/>
              </w:rPr>
              <w:t>6 — Conclusion</w:t>
            </w:r>
            <w:r>
              <w:rPr>
                <w:noProof/>
                <w:webHidden/>
              </w:rPr>
              <w:tab/>
            </w:r>
            <w:r>
              <w:rPr>
                <w:noProof/>
                <w:webHidden/>
              </w:rPr>
              <w:fldChar w:fldCharType="begin"/>
            </w:r>
            <w:r>
              <w:rPr>
                <w:noProof/>
                <w:webHidden/>
              </w:rPr>
              <w:instrText xml:space="preserve"> PAGEREF _Toc216539910 \h </w:instrText>
            </w:r>
            <w:r>
              <w:rPr>
                <w:noProof/>
                <w:webHidden/>
              </w:rPr>
            </w:r>
            <w:r>
              <w:rPr>
                <w:noProof/>
                <w:webHidden/>
              </w:rPr>
              <w:fldChar w:fldCharType="separate"/>
            </w:r>
            <w:r>
              <w:rPr>
                <w:noProof/>
                <w:webHidden/>
              </w:rPr>
              <w:t>29</w:t>
            </w:r>
            <w:r>
              <w:rPr>
                <w:noProof/>
                <w:webHidden/>
              </w:rPr>
              <w:fldChar w:fldCharType="end"/>
            </w:r>
          </w:hyperlink>
        </w:p>
        <w:p w14:paraId="6AD11D3C" w14:textId="77777777" w:rsidR="00603F13" w:rsidRDefault="00603F13">
          <w:pPr>
            <w:pStyle w:val="TOC1"/>
            <w:tabs>
              <w:tab w:val="right" w:leader="dot" w:pos="9350"/>
            </w:tabs>
            <w:rPr>
              <w:rFonts w:eastAsiaTheme="minorEastAsia"/>
              <w:noProof/>
            </w:rPr>
          </w:pPr>
          <w:hyperlink w:anchor="_Toc216539911" w:history="1">
            <w:r w:rsidRPr="00613FD9">
              <w:rPr>
                <w:rStyle w:val="Hyperlink"/>
                <w:noProof/>
              </w:rPr>
              <w:t>Reference List</w:t>
            </w:r>
            <w:r>
              <w:rPr>
                <w:noProof/>
                <w:webHidden/>
              </w:rPr>
              <w:tab/>
            </w:r>
            <w:r>
              <w:rPr>
                <w:noProof/>
                <w:webHidden/>
              </w:rPr>
              <w:fldChar w:fldCharType="begin"/>
            </w:r>
            <w:r>
              <w:rPr>
                <w:noProof/>
                <w:webHidden/>
              </w:rPr>
              <w:instrText xml:space="preserve"> PAGEREF _Toc216539911 \h </w:instrText>
            </w:r>
            <w:r>
              <w:rPr>
                <w:noProof/>
                <w:webHidden/>
              </w:rPr>
            </w:r>
            <w:r>
              <w:rPr>
                <w:noProof/>
                <w:webHidden/>
              </w:rPr>
              <w:fldChar w:fldCharType="separate"/>
            </w:r>
            <w:r>
              <w:rPr>
                <w:noProof/>
                <w:webHidden/>
              </w:rPr>
              <w:t>30</w:t>
            </w:r>
            <w:r>
              <w:rPr>
                <w:noProof/>
                <w:webHidden/>
              </w:rPr>
              <w:fldChar w:fldCharType="end"/>
            </w:r>
          </w:hyperlink>
        </w:p>
        <w:p w14:paraId="735B7025" w14:textId="77777777" w:rsidR="00603F13" w:rsidRDefault="00603F13">
          <w:pPr>
            <w:pStyle w:val="TOC1"/>
            <w:tabs>
              <w:tab w:val="right" w:leader="dot" w:pos="9350"/>
            </w:tabs>
            <w:rPr>
              <w:rFonts w:eastAsiaTheme="minorEastAsia"/>
              <w:noProof/>
            </w:rPr>
          </w:pPr>
          <w:hyperlink w:anchor="_Toc216539912" w:history="1">
            <w:r w:rsidRPr="00613FD9">
              <w:rPr>
                <w:rStyle w:val="Hyperlink"/>
                <w:noProof/>
              </w:rPr>
              <w:t>Appendix:</w:t>
            </w:r>
            <w:r>
              <w:rPr>
                <w:noProof/>
                <w:webHidden/>
              </w:rPr>
              <w:tab/>
            </w:r>
            <w:r>
              <w:rPr>
                <w:noProof/>
                <w:webHidden/>
              </w:rPr>
              <w:fldChar w:fldCharType="begin"/>
            </w:r>
            <w:r>
              <w:rPr>
                <w:noProof/>
                <w:webHidden/>
              </w:rPr>
              <w:instrText xml:space="preserve"> PAGEREF _Toc216539912 \h </w:instrText>
            </w:r>
            <w:r>
              <w:rPr>
                <w:noProof/>
                <w:webHidden/>
              </w:rPr>
            </w:r>
            <w:r>
              <w:rPr>
                <w:noProof/>
                <w:webHidden/>
              </w:rPr>
              <w:fldChar w:fldCharType="separate"/>
            </w:r>
            <w:r>
              <w:rPr>
                <w:noProof/>
                <w:webHidden/>
              </w:rPr>
              <w:t>34</w:t>
            </w:r>
            <w:r>
              <w:rPr>
                <w:noProof/>
                <w:webHidden/>
              </w:rPr>
              <w:fldChar w:fldCharType="end"/>
            </w:r>
          </w:hyperlink>
        </w:p>
        <w:p w14:paraId="15EA2445" w14:textId="77777777" w:rsidR="00603F13" w:rsidRDefault="00603F13">
          <w:pPr>
            <w:pStyle w:val="TOC2"/>
            <w:tabs>
              <w:tab w:val="right" w:leader="dot" w:pos="9350"/>
            </w:tabs>
            <w:rPr>
              <w:rFonts w:eastAsiaTheme="minorEastAsia"/>
              <w:noProof/>
            </w:rPr>
          </w:pPr>
          <w:hyperlink w:anchor="_Toc216539913" w:history="1">
            <w:r w:rsidRPr="00613FD9">
              <w:rPr>
                <w:rStyle w:val="Hyperlink"/>
                <w:noProof/>
              </w:rPr>
              <w:t>Coca-Cola annual reports</w:t>
            </w:r>
            <w:r>
              <w:rPr>
                <w:noProof/>
                <w:webHidden/>
              </w:rPr>
              <w:tab/>
            </w:r>
            <w:r>
              <w:rPr>
                <w:noProof/>
                <w:webHidden/>
              </w:rPr>
              <w:fldChar w:fldCharType="begin"/>
            </w:r>
            <w:r>
              <w:rPr>
                <w:noProof/>
                <w:webHidden/>
              </w:rPr>
              <w:instrText xml:space="preserve"> PAGEREF _Toc216539913 \h </w:instrText>
            </w:r>
            <w:r>
              <w:rPr>
                <w:noProof/>
                <w:webHidden/>
              </w:rPr>
            </w:r>
            <w:r>
              <w:rPr>
                <w:noProof/>
                <w:webHidden/>
              </w:rPr>
              <w:fldChar w:fldCharType="separate"/>
            </w:r>
            <w:r>
              <w:rPr>
                <w:noProof/>
                <w:webHidden/>
              </w:rPr>
              <w:t>34</w:t>
            </w:r>
            <w:r>
              <w:rPr>
                <w:noProof/>
                <w:webHidden/>
              </w:rPr>
              <w:fldChar w:fldCharType="end"/>
            </w:r>
          </w:hyperlink>
        </w:p>
        <w:p w14:paraId="527E2309" w14:textId="77777777" w:rsidR="002C5E0D" w:rsidRDefault="002C5E0D">
          <w:r>
            <w:rPr>
              <w:b/>
              <w:bCs/>
              <w:noProof/>
            </w:rPr>
            <w:fldChar w:fldCharType="end"/>
          </w:r>
        </w:p>
      </w:sdtContent>
    </w:sdt>
    <w:p w14:paraId="4C130468" w14:textId="77777777" w:rsidR="002C5E0D" w:rsidRDefault="002C5E0D" w:rsidP="00F2383F">
      <w:pPr>
        <w:spacing w:line="360" w:lineRule="auto"/>
        <w:rPr>
          <w:rFonts w:ascii="Arial" w:hAnsi="Arial" w:cs="Arial"/>
          <w:b/>
          <w:bCs/>
          <w:sz w:val="24"/>
          <w:szCs w:val="24"/>
        </w:rPr>
      </w:pPr>
    </w:p>
    <w:p w14:paraId="109CF874" w14:textId="77777777" w:rsidR="00442CB0" w:rsidRDefault="00F2383F" w:rsidP="00B036AA">
      <w:pPr>
        <w:pStyle w:val="Heading1"/>
      </w:pPr>
      <w:bookmarkStart w:id="0" w:name="_Toc216539885"/>
      <w:r>
        <w:t xml:space="preserve">1 — </w:t>
      </w:r>
      <w:r w:rsidR="00A47542">
        <w:t>Introduction</w:t>
      </w:r>
      <w:bookmarkEnd w:id="0"/>
      <w:r>
        <w:t xml:space="preserve"> </w:t>
      </w:r>
    </w:p>
    <w:p w14:paraId="70F4387A" w14:textId="77777777" w:rsidR="00DB21E8" w:rsidRDefault="00DB21E8" w:rsidP="00DB21E8">
      <w:pPr>
        <w:jc w:val="center"/>
      </w:pPr>
      <w:r w:rsidRPr="00DB21E8">
        <w:rPr>
          <w:noProof/>
        </w:rPr>
        <w:drawing>
          <wp:inline distT="0" distB="0" distL="0" distR="0" wp14:anchorId="6A762C86" wp14:editId="529713BA">
            <wp:extent cx="5819775" cy="2143125"/>
            <wp:effectExtent l="0" t="0" r="9525" b="9525"/>
            <wp:docPr id="2" name="Picture 2" descr="D:\ASSIGNMENT WORK\PIYUSH HCM\intl busin conc cocacola\cok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D:\ASSIGNMENT WORK\PIYUSH HCM\intl busin conc cocacola\coke.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9775" cy="2143125"/>
                    </a:xfrm>
                    <a:prstGeom prst="rect">
                      <a:avLst/>
                    </a:prstGeom>
                    <a:noFill/>
                    <a:ln>
                      <a:noFill/>
                    </a:ln>
                  </pic:spPr>
                </pic:pic>
              </a:graphicData>
            </a:graphic>
          </wp:inline>
        </w:drawing>
      </w:r>
    </w:p>
    <w:p w14:paraId="6427A551" w14:textId="77777777" w:rsidR="00807D6F" w:rsidRDefault="00807D6F" w:rsidP="00DB21E8">
      <w:pPr>
        <w:jc w:val="center"/>
        <w:rPr>
          <w:rFonts w:ascii="Arial" w:hAnsi="Arial" w:cs="Arial"/>
          <w:b/>
        </w:rPr>
      </w:pPr>
      <w:r w:rsidRPr="00807D6F">
        <w:rPr>
          <w:rFonts w:ascii="Arial" w:hAnsi="Arial" w:cs="Arial"/>
          <w:b/>
        </w:rPr>
        <w:t xml:space="preserve">Figure 1: </w:t>
      </w:r>
      <w:r>
        <w:rPr>
          <w:rFonts w:ascii="Arial" w:hAnsi="Arial" w:cs="Arial"/>
          <w:b/>
        </w:rPr>
        <w:t>Coca-Cola</w:t>
      </w:r>
      <w:r w:rsidR="00602588">
        <w:rPr>
          <w:rFonts w:ascii="Arial" w:hAnsi="Arial" w:cs="Arial"/>
          <w:b/>
        </w:rPr>
        <w:t xml:space="preserve"> Logo</w:t>
      </w:r>
    </w:p>
    <w:p w14:paraId="5FFDFE26" w14:textId="77777777" w:rsidR="00807D6F" w:rsidRPr="00602588" w:rsidRDefault="00602588" w:rsidP="00DB21E8">
      <w:pPr>
        <w:jc w:val="center"/>
        <w:rPr>
          <w:rFonts w:ascii="Arial" w:hAnsi="Arial" w:cs="Arial"/>
        </w:rPr>
      </w:pPr>
      <w:r w:rsidRPr="00602588">
        <w:rPr>
          <w:rFonts w:ascii="Arial" w:hAnsi="Arial" w:cs="Arial"/>
        </w:rPr>
        <w:t>(</w:t>
      </w:r>
      <w:r w:rsidR="00807D6F" w:rsidRPr="00602588">
        <w:rPr>
          <w:rFonts w:ascii="Arial" w:hAnsi="Arial" w:cs="Arial"/>
        </w:rPr>
        <w:t xml:space="preserve">Source: </w:t>
      </w:r>
      <w:r w:rsidRPr="00602588">
        <w:rPr>
          <w:rFonts w:ascii="Arial" w:hAnsi="Arial" w:cs="Arial"/>
        </w:rPr>
        <w:t>Coca-cola.com)</w:t>
      </w:r>
    </w:p>
    <w:p w14:paraId="2E0BDCF6" w14:textId="77777777" w:rsidR="00A10CE2" w:rsidRDefault="00AD7464" w:rsidP="00F2383F">
      <w:pPr>
        <w:spacing w:line="360" w:lineRule="auto"/>
        <w:jc w:val="both"/>
        <w:rPr>
          <w:rFonts w:ascii="Arial" w:hAnsi="Arial" w:cs="Arial"/>
          <w:sz w:val="24"/>
          <w:szCs w:val="24"/>
        </w:rPr>
      </w:pPr>
      <w:r w:rsidRPr="00AD7464">
        <w:rPr>
          <w:rFonts w:ascii="Arial" w:hAnsi="Arial" w:cs="Arial"/>
          <w:sz w:val="24"/>
          <w:szCs w:val="24"/>
        </w:rPr>
        <w:t>One of the most globalized fast-moving consumer goods (FMCG) corporations in the world is the Coca-Cola Company (TCCC) which has over 200 countries of operation and makes over 70 percent of its profits in the international market (Coca-Cola, 2024). It has a footprint of an elaborate international value chain comprising of manufacture of concentrate, franchised bottling, distributed production systems and integrated m</w:t>
      </w:r>
      <w:r w:rsidR="00864BE0">
        <w:rPr>
          <w:rFonts w:ascii="Arial" w:hAnsi="Arial" w:cs="Arial"/>
          <w:sz w:val="24"/>
          <w:szCs w:val="24"/>
        </w:rPr>
        <w:t>arketing activities</w:t>
      </w:r>
      <w:r w:rsidRPr="00AD7464">
        <w:rPr>
          <w:rFonts w:ascii="Arial" w:hAnsi="Arial" w:cs="Arial"/>
          <w:sz w:val="24"/>
          <w:szCs w:val="24"/>
        </w:rPr>
        <w:t xml:space="preserve"> (</w:t>
      </w:r>
      <w:proofErr w:type="spellStart"/>
      <w:r w:rsidRPr="00AD7464">
        <w:rPr>
          <w:rFonts w:ascii="Arial" w:hAnsi="Arial" w:cs="Arial"/>
          <w:sz w:val="24"/>
          <w:szCs w:val="24"/>
        </w:rPr>
        <w:t>Cavusgil</w:t>
      </w:r>
      <w:proofErr w:type="spellEnd"/>
      <w:r w:rsidRPr="00AD7464">
        <w:rPr>
          <w:rFonts w:ascii="Arial" w:hAnsi="Arial" w:cs="Arial"/>
          <w:sz w:val="24"/>
          <w:szCs w:val="24"/>
        </w:rPr>
        <w:t xml:space="preserve"> et al., 2022). This consultancy report is a critical assessment of the international operations of Coca-Cola with special reference to China, which is an emerging economy, with big market potential, regulatory complexity, and unique cultural norms. The report critically examines the advantages and the disadvantages of global operations by Coca-Cola</w:t>
      </w:r>
      <w:r w:rsidR="00864BE0">
        <w:rPr>
          <w:rFonts w:ascii="Arial" w:hAnsi="Arial" w:cs="Arial"/>
          <w:sz w:val="24"/>
          <w:szCs w:val="24"/>
        </w:rPr>
        <w:t xml:space="preserve">. </w:t>
      </w:r>
      <w:r w:rsidRPr="00AD7464">
        <w:rPr>
          <w:rFonts w:ascii="Arial" w:hAnsi="Arial" w:cs="Arial"/>
          <w:sz w:val="24"/>
          <w:szCs w:val="24"/>
        </w:rPr>
        <w:t>It ends by providing evidence-based ideas on the strategic SOP changes that can enable Coca-Cola to enhance its long-t</w:t>
      </w:r>
      <w:r>
        <w:rPr>
          <w:rFonts w:ascii="Arial" w:hAnsi="Arial" w:cs="Arial"/>
          <w:sz w:val="24"/>
          <w:szCs w:val="24"/>
        </w:rPr>
        <w:t>erm success in the China market</w:t>
      </w:r>
      <w:r w:rsidR="00712C31">
        <w:rPr>
          <w:rFonts w:ascii="Arial" w:hAnsi="Arial" w:cs="Arial"/>
          <w:sz w:val="24"/>
          <w:szCs w:val="24"/>
        </w:rPr>
        <w:t xml:space="preserve"> (Bain &amp; Company, 2024)</w:t>
      </w:r>
      <w:r w:rsidR="00442CB0" w:rsidRPr="00F2383F">
        <w:rPr>
          <w:rFonts w:ascii="Arial" w:hAnsi="Arial" w:cs="Arial"/>
          <w:sz w:val="24"/>
          <w:szCs w:val="24"/>
        </w:rPr>
        <w:t>.</w:t>
      </w:r>
    </w:p>
    <w:p w14:paraId="18288516" w14:textId="77777777" w:rsidR="00A10CE2" w:rsidRDefault="00A10CE2" w:rsidP="00F2383F">
      <w:pPr>
        <w:spacing w:line="360" w:lineRule="auto"/>
        <w:jc w:val="both"/>
        <w:rPr>
          <w:rFonts w:ascii="Arial" w:hAnsi="Arial" w:cs="Arial"/>
          <w:sz w:val="24"/>
          <w:szCs w:val="24"/>
        </w:rPr>
      </w:pPr>
    </w:p>
    <w:p w14:paraId="65866DEA" w14:textId="77777777" w:rsidR="00864BE0" w:rsidRDefault="00864BE0" w:rsidP="00F2383F">
      <w:pPr>
        <w:spacing w:line="360" w:lineRule="auto"/>
        <w:jc w:val="both"/>
        <w:rPr>
          <w:rFonts w:ascii="Arial" w:hAnsi="Arial" w:cs="Arial"/>
          <w:sz w:val="24"/>
          <w:szCs w:val="24"/>
        </w:rPr>
      </w:pPr>
    </w:p>
    <w:p w14:paraId="71338A70" w14:textId="77777777" w:rsidR="00AD7464" w:rsidRPr="00F2383F" w:rsidRDefault="00AD7464" w:rsidP="00F2383F">
      <w:pPr>
        <w:spacing w:line="360" w:lineRule="auto"/>
        <w:jc w:val="both"/>
        <w:rPr>
          <w:rFonts w:ascii="Arial" w:hAnsi="Arial" w:cs="Arial"/>
          <w:sz w:val="24"/>
          <w:szCs w:val="24"/>
        </w:rPr>
      </w:pPr>
    </w:p>
    <w:p w14:paraId="6152E21F" w14:textId="77777777" w:rsidR="00442CB0" w:rsidRPr="00F2383F" w:rsidRDefault="00442CB0" w:rsidP="00B036AA">
      <w:pPr>
        <w:pStyle w:val="Heading1"/>
      </w:pPr>
      <w:bookmarkStart w:id="1" w:name="_Toc216539886"/>
      <w:r w:rsidRPr="00F2383F">
        <w:lastRenderedPageBreak/>
        <w:t xml:space="preserve">2 — </w:t>
      </w:r>
      <w:r w:rsidR="00AD7464" w:rsidRPr="00F2383F">
        <w:t>Benefits and Challenges of International Operatio</w:t>
      </w:r>
      <w:r w:rsidR="00AD7464">
        <w:t>ns</w:t>
      </w:r>
      <w:bookmarkEnd w:id="1"/>
    </w:p>
    <w:p w14:paraId="43B9ADC8" w14:textId="77777777" w:rsidR="00442CB0" w:rsidRPr="00F2383F" w:rsidRDefault="00442CB0" w:rsidP="00B036AA">
      <w:pPr>
        <w:pStyle w:val="Heading2"/>
      </w:pPr>
      <w:bookmarkStart w:id="2" w:name="_Toc216539887"/>
      <w:r w:rsidRPr="00F2383F">
        <w:t>2.1 Coca-Cola as a Multinational Corporation (MNC/TNC)</w:t>
      </w:r>
      <w:bookmarkEnd w:id="2"/>
    </w:p>
    <w:p w14:paraId="454CA86C" w14:textId="77777777" w:rsidR="00442CB0" w:rsidRPr="00F2383F" w:rsidRDefault="00AD7464" w:rsidP="00F2383F">
      <w:pPr>
        <w:spacing w:line="360" w:lineRule="auto"/>
        <w:jc w:val="both"/>
        <w:rPr>
          <w:rFonts w:ascii="Arial" w:hAnsi="Arial" w:cs="Arial"/>
          <w:sz w:val="24"/>
          <w:szCs w:val="24"/>
        </w:rPr>
      </w:pPr>
      <w:r w:rsidRPr="00AD7464">
        <w:rPr>
          <w:rFonts w:ascii="Arial" w:hAnsi="Arial" w:cs="Arial"/>
          <w:sz w:val="24"/>
          <w:szCs w:val="24"/>
        </w:rPr>
        <w:t>The Coca-Cola Company (TCCC) is known to be one of the most globalized multinational branches in the world. TCCC operates in over 200 countries and is served by a complex system of franchised bottling outlets, which meet all of the defining aspects of an MNC: worldwide manufacturing, globally integrated distribution networks, cross-border ownership of assets, and multi-market strategic decision-making (Rugman &amp; Verbeke, 2022). The organizational architecture of the company is considered very global but locally responsive, indicating the features of a transnational corporation (TNC) that provides international efficiency and the ability to adapt in the country (Hill and Hult, 2023). The hybrid global strategy that has a comparative advantage in various markets in the decentralized bottling system in the United States, which has an operating model, illustrates its global operations. This model makes Coca-Cola a paradigmatic MNC/TNC with the ability to attain economies of scale, scope and learning in international markets including th</w:t>
      </w:r>
      <w:r>
        <w:rPr>
          <w:rFonts w:ascii="Arial" w:hAnsi="Arial" w:cs="Arial"/>
          <w:sz w:val="24"/>
          <w:szCs w:val="24"/>
        </w:rPr>
        <w:t>e emerging economies like China</w:t>
      </w:r>
      <w:r w:rsidR="00D85F15">
        <w:rPr>
          <w:rFonts w:ascii="Arial" w:hAnsi="Arial" w:cs="Arial"/>
          <w:sz w:val="24"/>
          <w:szCs w:val="24"/>
        </w:rPr>
        <w:t xml:space="preserve"> (ARI, 2023)</w:t>
      </w:r>
      <w:r w:rsidR="00442CB0" w:rsidRPr="00F2383F">
        <w:rPr>
          <w:rFonts w:ascii="Arial" w:hAnsi="Arial" w:cs="Arial"/>
          <w:sz w:val="24"/>
          <w:szCs w:val="24"/>
        </w:rPr>
        <w:t>.</w:t>
      </w:r>
    </w:p>
    <w:p w14:paraId="28E61E1D" w14:textId="77777777" w:rsidR="00442CB0" w:rsidRPr="00F2383F" w:rsidRDefault="00442CB0" w:rsidP="00B036AA">
      <w:pPr>
        <w:pStyle w:val="Heading2"/>
      </w:pPr>
      <w:bookmarkStart w:id="3" w:name="_Toc216539888"/>
      <w:r w:rsidRPr="00F2383F">
        <w:t>2.2 Nature of Coca-Cola’s Global Operations Across the Value Chain</w:t>
      </w:r>
      <w:bookmarkEnd w:id="3"/>
    </w:p>
    <w:p w14:paraId="1F1E0113" w14:textId="77777777" w:rsidR="00442CB0" w:rsidRDefault="00606398" w:rsidP="00F2383F">
      <w:pPr>
        <w:spacing w:line="360" w:lineRule="auto"/>
        <w:jc w:val="both"/>
        <w:rPr>
          <w:rFonts w:ascii="Arial" w:hAnsi="Arial" w:cs="Arial"/>
          <w:sz w:val="24"/>
          <w:szCs w:val="24"/>
        </w:rPr>
      </w:pPr>
      <w:r w:rsidRPr="00606398">
        <w:rPr>
          <w:rFonts w:ascii="Arial" w:hAnsi="Arial" w:cs="Arial"/>
          <w:sz w:val="24"/>
          <w:szCs w:val="24"/>
        </w:rPr>
        <w:t>The global value chain involves interconnected operations of Coca-Cola that include R&amp;D, concentrate manufacturing, worldwide branding, bottling regionally, marketing, supply chain and customer interaction. Its product-bottler-customer system (known worldwide) establishes a special division of labor wherein the Coca-Cola company specializes in core competencies, brand ownership, formulas, innovation, and marketing, whilst bottlers produce and distribute production and distribution capital-intensive products</w:t>
      </w:r>
      <w:r>
        <w:rPr>
          <w:rFonts w:ascii="Arial" w:hAnsi="Arial" w:cs="Arial"/>
          <w:sz w:val="24"/>
          <w:szCs w:val="24"/>
        </w:rPr>
        <w:t xml:space="preserve"> and services (Coca-Cola, 2024)</w:t>
      </w:r>
      <w:r w:rsidR="00442CB0" w:rsidRPr="00F2383F">
        <w:rPr>
          <w:rFonts w:ascii="Arial" w:hAnsi="Arial" w:cs="Arial"/>
          <w:sz w:val="24"/>
          <w:szCs w:val="24"/>
        </w:rPr>
        <w:t>.</w:t>
      </w:r>
    </w:p>
    <w:p w14:paraId="5D1BF4C4" w14:textId="77777777" w:rsidR="00DB21E8" w:rsidRDefault="00DB21E8" w:rsidP="00617482">
      <w:pPr>
        <w:spacing w:line="360" w:lineRule="auto"/>
        <w:jc w:val="center"/>
        <w:rPr>
          <w:rFonts w:ascii="Arial" w:hAnsi="Arial" w:cs="Arial"/>
          <w:sz w:val="24"/>
          <w:szCs w:val="24"/>
        </w:rPr>
      </w:pPr>
      <w:r w:rsidRPr="00DB21E8">
        <w:rPr>
          <w:rFonts w:ascii="Arial" w:hAnsi="Arial" w:cs="Arial"/>
          <w:noProof/>
          <w:sz w:val="24"/>
          <w:szCs w:val="24"/>
        </w:rPr>
        <w:lastRenderedPageBreak/>
        <w:drawing>
          <wp:inline distT="0" distB="0" distL="0" distR="0" wp14:anchorId="08DCBADD" wp14:editId="16F9602B">
            <wp:extent cx="4695235" cy="1771650"/>
            <wp:effectExtent l="0" t="0" r="0" b="0"/>
            <wp:docPr id="4" name="Picture 4" descr="D:\ASSIGNMENT WORK\PIYUSH HCM\intl busin conc cocacola\Google-Value-Chain-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D:\ASSIGNMENT WORK\PIYUSH HCM\intl busin conc cocacola\Google-Value-Chain-Analysi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48108" cy="1791600"/>
                    </a:xfrm>
                    <a:prstGeom prst="rect">
                      <a:avLst/>
                    </a:prstGeom>
                    <a:noFill/>
                    <a:ln>
                      <a:noFill/>
                    </a:ln>
                  </pic:spPr>
                </pic:pic>
              </a:graphicData>
            </a:graphic>
          </wp:inline>
        </w:drawing>
      </w:r>
    </w:p>
    <w:p w14:paraId="1489EC41" w14:textId="77777777" w:rsidR="00807D6F" w:rsidRDefault="00807D6F" w:rsidP="00617482">
      <w:pPr>
        <w:spacing w:line="360" w:lineRule="auto"/>
        <w:jc w:val="center"/>
        <w:rPr>
          <w:rFonts w:ascii="Arial" w:hAnsi="Arial" w:cs="Arial"/>
          <w:b/>
          <w:sz w:val="24"/>
          <w:szCs w:val="24"/>
        </w:rPr>
      </w:pPr>
      <w:r>
        <w:rPr>
          <w:rFonts w:ascii="Arial" w:hAnsi="Arial" w:cs="Arial"/>
          <w:b/>
          <w:sz w:val="24"/>
          <w:szCs w:val="24"/>
        </w:rPr>
        <w:t>Figure</w:t>
      </w:r>
      <w:r w:rsidR="00602588">
        <w:rPr>
          <w:rFonts w:ascii="Arial" w:hAnsi="Arial" w:cs="Arial"/>
          <w:b/>
          <w:sz w:val="24"/>
          <w:szCs w:val="24"/>
        </w:rPr>
        <w:t xml:space="preserve"> 2</w:t>
      </w:r>
      <w:r w:rsidRPr="00807D6F">
        <w:rPr>
          <w:rFonts w:ascii="Arial" w:hAnsi="Arial" w:cs="Arial"/>
          <w:b/>
          <w:sz w:val="24"/>
          <w:szCs w:val="24"/>
        </w:rPr>
        <w:t>: Porter’s Value Chain Model</w:t>
      </w:r>
    </w:p>
    <w:p w14:paraId="0A39466B" w14:textId="77777777" w:rsidR="00602588" w:rsidRPr="00602588" w:rsidRDefault="00602588" w:rsidP="00617482">
      <w:pPr>
        <w:spacing w:line="360" w:lineRule="auto"/>
        <w:jc w:val="center"/>
        <w:rPr>
          <w:rFonts w:ascii="Arial" w:hAnsi="Arial" w:cs="Arial"/>
          <w:sz w:val="24"/>
          <w:szCs w:val="24"/>
        </w:rPr>
      </w:pPr>
      <w:r w:rsidRPr="00602588">
        <w:rPr>
          <w:rFonts w:ascii="Arial" w:hAnsi="Arial" w:cs="Arial"/>
          <w:sz w:val="24"/>
          <w:szCs w:val="24"/>
        </w:rPr>
        <w:t>(Source: Coca-Cola Company)</w:t>
      </w:r>
    </w:p>
    <w:p w14:paraId="524F3150"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Table 1. Coca-Cola Global Value Chain Overview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5"/>
        <w:gridCol w:w="3219"/>
        <w:gridCol w:w="4206"/>
      </w:tblGrid>
      <w:tr w:rsidR="00442CB0" w:rsidRPr="00F2383F" w14:paraId="650DEDAC" w14:textId="77777777" w:rsidTr="00F2383F">
        <w:trPr>
          <w:tblHeader/>
          <w:tblCellSpacing w:w="15" w:type="dxa"/>
        </w:trPr>
        <w:tc>
          <w:tcPr>
            <w:tcW w:w="0" w:type="auto"/>
            <w:vAlign w:val="center"/>
            <w:hideMark/>
          </w:tcPr>
          <w:p w14:paraId="4323BDFA"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Value Chain Stage</w:t>
            </w:r>
          </w:p>
        </w:tc>
        <w:tc>
          <w:tcPr>
            <w:tcW w:w="0" w:type="auto"/>
            <w:vAlign w:val="center"/>
            <w:hideMark/>
          </w:tcPr>
          <w:p w14:paraId="4D3BF995"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Activities</w:t>
            </w:r>
          </w:p>
        </w:tc>
        <w:tc>
          <w:tcPr>
            <w:tcW w:w="0" w:type="auto"/>
            <w:vAlign w:val="center"/>
            <w:hideMark/>
          </w:tcPr>
          <w:p w14:paraId="10E2BA33" w14:textId="77777777" w:rsidR="00442CB0" w:rsidRPr="00F2383F" w:rsidRDefault="00A47542" w:rsidP="00F2383F">
            <w:pPr>
              <w:spacing w:line="360" w:lineRule="auto"/>
              <w:rPr>
                <w:rFonts w:ascii="Arial" w:hAnsi="Arial" w:cs="Arial"/>
                <w:b/>
                <w:bCs/>
                <w:sz w:val="24"/>
                <w:szCs w:val="24"/>
              </w:rPr>
            </w:pPr>
            <w:r w:rsidRPr="00F2383F">
              <w:rPr>
                <w:rFonts w:ascii="Arial" w:hAnsi="Arial" w:cs="Arial"/>
                <w:b/>
                <w:bCs/>
                <w:sz w:val="24"/>
                <w:szCs w:val="24"/>
              </w:rPr>
              <w:t>Globalization</w:t>
            </w:r>
            <w:r w:rsidR="00442CB0" w:rsidRPr="00F2383F">
              <w:rPr>
                <w:rFonts w:ascii="Arial" w:hAnsi="Arial" w:cs="Arial"/>
                <w:b/>
                <w:bCs/>
                <w:sz w:val="24"/>
                <w:szCs w:val="24"/>
              </w:rPr>
              <w:t xml:space="preserve"> Characteristics</w:t>
            </w:r>
          </w:p>
        </w:tc>
      </w:tr>
      <w:tr w:rsidR="00442CB0" w:rsidRPr="00F2383F" w14:paraId="573FF998" w14:textId="77777777" w:rsidTr="00F2383F">
        <w:trPr>
          <w:tblCellSpacing w:w="15" w:type="dxa"/>
        </w:trPr>
        <w:tc>
          <w:tcPr>
            <w:tcW w:w="0" w:type="auto"/>
            <w:vAlign w:val="center"/>
            <w:hideMark/>
          </w:tcPr>
          <w:p w14:paraId="6263D3B2" w14:textId="77777777" w:rsidR="00442CB0" w:rsidRPr="00F2383F" w:rsidRDefault="00442CB0" w:rsidP="00F2383F">
            <w:pPr>
              <w:spacing w:line="360" w:lineRule="auto"/>
              <w:rPr>
                <w:rFonts w:ascii="Arial" w:hAnsi="Arial" w:cs="Arial"/>
                <w:sz w:val="24"/>
                <w:szCs w:val="24"/>
              </w:rPr>
            </w:pPr>
            <w:r w:rsidRPr="00F2383F">
              <w:rPr>
                <w:rFonts w:ascii="Arial" w:hAnsi="Arial" w:cs="Arial"/>
                <w:b/>
                <w:bCs/>
                <w:sz w:val="24"/>
                <w:szCs w:val="24"/>
              </w:rPr>
              <w:t>R&amp;D</w:t>
            </w:r>
          </w:p>
        </w:tc>
        <w:tc>
          <w:tcPr>
            <w:tcW w:w="0" w:type="auto"/>
            <w:vAlign w:val="center"/>
            <w:hideMark/>
          </w:tcPr>
          <w:p w14:paraId="2ABD494E"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Product innovation, sweetener science, packaging innovation.</w:t>
            </w:r>
          </w:p>
        </w:tc>
        <w:tc>
          <w:tcPr>
            <w:tcW w:w="0" w:type="auto"/>
            <w:vAlign w:val="center"/>
            <w:hideMark/>
          </w:tcPr>
          <w:p w14:paraId="3AB1EF8E" w14:textId="77777777" w:rsidR="00442CB0" w:rsidRPr="00F2383F" w:rsidRDefault="00A47542" w:rsidP="00F2383F">
            <w:pPr>
              <w:spacing w:line="360" w:lineRule="auto"/>
              <w:rPr>
                <w:rFonts w:ascii="Arial" w:hAnsi="Arial" w:cs="Arial"/>
                <w:sz w:val="24"/>
                <w:szCs w:val="24"/>
              </w:rPr>
            </w:pPr>
            <w:r w:rsidRPr="00F2383F">
              <w:rPr>
                <w:rFonts w:ascii="Arial" w:hAnsi="Arial" w:cs="Arial"/>
                <w:sz w:val="24"/>
                <w:szCs w:val="24"/>
              </w:rPr>
              <w:t>Centralized</w:t>
            </w:r>
            <w:r w:rsidR="00442CB0" w:rsidRPr="00F2383F">
              <w:rPr>
                <w:rFonts w:ascii="Arial" w:hAnsi="Arial" w:cs="Arial"/>
                <w:sz w:val="24"/>
                <w:szCs w:val="24"/>
              </w:rPr>
              <w:t xml:space="preserve"> in US + regional innovation hubs (Japan, China, Mexico).</w:t>
            </w:r>
          </w:p>
        </w:tc>
      </w:tr>
      <w:tr w:rsidR="00442CB0" w:rsidRPr="00F2383F" w14:paraId="5C5CC325" w14:textId="77777777" w:rsidTr="00F2383F">
        <w:trPr>
          <w:tblCellSpacing w:w="15" w:type="dxa"/>
        </w:trPr>
        <w:tc>
          <w:tcPr>
            <w:tcW w:w="0" w:type="auto"/>
            <w:vAlign w:val="center"/>
            <w:hideMark/>
          </w:tcPr>
          <w:p w14:paraId="4C572258" w14:textId="77777777" w:rsidR="00442CB0" w:rsidRPr="00F2383F" w:rsidRDefault="00442CB0" w:rsidP="00F2383F">
            <w:pPr>
              <w:spacing w:line="360" w:lineRule="auto"/>
              <w:rPr>
                <w:rFonts w:ascii="Arial" w:hAnsi="Arial" w:cs="Arial"/>
                <w:sz w:val="24"/>
                <w:szCs w:val="24"/>
              </w:rPr>
            </w:pPr>
            <w:r w:rsidRPr="00F2383F">
              <w:rPr>
                <w:rFonts w:ascii="Arial" w:hAnsi="Arial" w:cs="Arial"/>
                <w:b/>
                <w:bCs/>
                <w:sz w:val="24"/>
                <w:szCs w:val="24"/>
              </w:rPr>
              <w:t>Sourcing</w:t>
            </w:r>
          </w:p>
        </w:tc>
        <w:tc>
          <w:tcPr>
            <w:tcW w:w="0" w:type="auto"/>
            <w:vAlign w:val="center"/>
            <w:hideMark/>
          </w:tcPr>
          <w:p w14:paraId="45CD79E9"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 xml:space="preserve">Sugar, </w:t>
            </w:r>
            <w:r w:rsidR="00A47542" w:rsidRPr="00F2383F">
              <w:rPr>
                <w:rFonts w:ascii="Arial" w:hAnsi="Arial" w:cs="Arial"/>
                <w:sz w:val="24"/>
                <w:szCs w:val="24"/>
              </w:rPr>
              <w:t>aluminum</w:t>
            </w:r>
            <w:r w:rsidRPr="00F2383F">
              <w:rPr>
                <w:rFonts w:ascii="Arial" w:hAnsi="Arial" w:cs="Arial"/>
                <w:sz w:val="24"/>
                <w:szCs w:val="24"/>
              </w:rPr>
              <w:t xml:space="preserve">, PET resins, </w:t>
            </w:r>
            <w:r w:rsidR="00A47542" w:rsidRPr="00F2383F">
              <w:rPr>
                <w:rFonts w:ascii="Arial" w:hAnsi="Arial" w:cs="Arial"/>
                <w:sz w:val="24"/>
                <w:szCs w:val="24"/>
              </w:rPr>
              <w:t>flavors</w:t>
            </w:r>
            <w:r w:rsidRPr="00F2383F">
              <w:rPr>
                <w:rFonts w:ascii="Arial" w:hAnsi="Arial" w:cs="Arial"/>
                <w:sz w:val="24"/>
                <w:szCs w:val="24"/>
              </w:rPr>
              <w:t>, carbonates.</w:t>
            </w:r>
          </w:p>
        </w:tc>
        <w:tc>
          <w:tcPr>
            <w:tcW w:w="0" w:type="auto"/>
            <w:vAlign w:val="center"/>
            <w:hideMark/>
          </w:tcPr>
          <w:p w14:paraId="76CAC7B8"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Multi-sourcing from regional suppliers to reduce risk and cost (PwC, 2023).</w:t>
            </w:r>
          </w:p>
        </w:tc>
      </w:tr>
      <w:tr w:rsidR="00442CB0" w:rsidRPr="00F2383F" w14:paraId="017424C5" w14:textId="77777777" w:rsidTr="00F2383F">
        <w:trPr>
          <w:tblCellSpacing w:w="15" w:type="dxa"/>
        </w:trPr>
        <w:tc>
          <w:tcPr>
            <w:tcW w:w="0" w:type="auto"/>
            <w:vAlign w:val="center"/>
            <w:hideMark/>
          </w:tcPr>
          <w:p w14:paraId="6DB75275" w14:textId="77777777" w:rsidR="00442CB0" w:rsidRPr="00F2383F" w:rsidRDefault="00442CB0" w:rsidP="00F2383F">
            <w:pPr>
              <w:spacing w:line="360" w:lineRule="auto"/>
              <w:rPr>
                <w:rFonts w:ascii="Arial" w:hAnsi="Arial" w:cs="Arial"/>
                <w:sz w:val="24"/>
                <w:szCs w:val="24"/>
              </w:rPr>
            </w:pPr>
            <w:r w:rsidRPr="00F2383F">
              <w:rPr>
                <w:rFonts w:ascii="Arial" w:hAnsi="Arial" w:cs="Arial"/>
                <w:b/>
                <w:bCs/>
                <w:sz w:val="24"/>
                <w:szCs w:val="24"/>
              </w:rPr>
              <w:t>Concentrate Production</w:t>
            </w:r>
          </w:p>
        </w:tc>
        <w:tc>
          <w:tcPr>
            <w:tcW w:w="0" w:type="auto"/>
            <w:vAlign w:val="center"/>
            <w:hideMark/>
          </w:tcPr>
          <w:p w14:paraId="2CE3418D"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 xml:space="preserve">Syrups and concentrates </w:t>
            </w:r>
            <w:r w:rsidR="00A47542">
              <w:rPr>
                <w:rFonts w:ascii="Arial" w:hAnsi="Arial" w:cs="Arial"/>
                <w:sz w:val="24"/>
                <w:szCs w:val="24"/>
              </w:rPr>
              <w:t xml:space="preserve">are </w:t>
            </w:r>
            <w:r w:rsidRPr="00F2383F">
              <w:rPr>
                <w:rFonts w:ascii="Arial" w:hAnsi="Arial" w:cs="Arial"/>
                <w:sz w:val="24"/>
                <w:szCs w:val="24"/>
              </w:rPr>
              <w:t>manufactured in select global plants.</w:t>
            </w:r>
          </w:p>
        </w:tc>
        <w:tc>
          <w:tcPr>
            <w:tcW w:w="0" w:type="auto"/>
            <w:vAlign w:val="center"/>
            <w:hideMark/>
          </w:tcPr>
          <w:p w14:paraId="25567931"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 xml:space="preserve">Highly </w:t>
            </w:r>
            <w:r w:rsidR="00A47542" w:rsidRPr="00F2383F">
              <w:rPr>
                <w:rFonts w:ascii="Arial" w:hAnsi="Arial" w:cs="Arial"/>
                <w:sz w:val="24"/>
                <w:szCs w:val="24"/>
              </w:rPr>
              <w:t>centralized</w:t>
            </w:r>
            <w:r w:rsidRPr="00F2383F">
              <w:rPr>
                <w:rFonts w:ascii="Arial" w:hAnsi="Arial" w:cs="Arial"/>
                <w:sz w:val="24"/>
                <w:szCs w:val="24"/>
              </w:rPr>
              <w:t xml:space="preserve"> to protect IP and ensure quality control.</w:t>
            </w:r>
          </w:p>
        </w:tc>
      </w:tr>
      <w:tr w:rsidR="00442CB0" w:rsidRPr="00F2383F" w14:paraId="6E369A93" w14:textId="77777777" w:rsidTr="00F2383F">
        <w:trPr>
          <w:tblCellSpacing w:w="15" w:type="dxa"/>
        </w:trPr>
        <w:tc>
          <w:tcPr>
            <w:tcW w:w="0" w:type="auto"/>
            <w:vAlign w:val="center"/>
            <w:hideMark/>
          </w:tcPr>
          <w:p w14:paraId="5FB3567B" w14:textId="77777777" w:rsidR="00442CB0" w:rsidRPr="00F2383F" w:rsidRDefault="00442CB0" w:rsidP="00F2383F">
            <w:pPr>
              <w:spacing w:line="360" w:lineRule="auto"/>
              <w:rPr>
                <w:rFonts w:ascii="Arial" w:hAnsi="Arial" w:cs="Arial"/>
                <w:sz w:val="24"/>
                <w:szCs w:val="24"/>
              </w:rPr>
            </w:pPr>
            <w:r w:rsidRPr="00F2383F">
              <w:rPr>
                <w:rFonts w:ascii="Arial" w:hAnsi="Arial" w:cs="Arial"/>
                <w:b/>
                <w:bCs/>
                <w:sz w:val="24"/>
                <w:szCs w:val="24"/>
              </w:rPr>
              <w:t>Bottling &amp; Production</w:t>
            </w:r>
          </w:p>
        </w:tc>
        <w:tc>
          <w:tcPr>
            <w:tcW w:w="0" w:type="auto"/>
            <w:vAlign w:val="center"/>
            <w:hideMark/>
          </w:tcPr>
          <w:p w14:paraId="7E09A05F"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Bottling, packaging, distribution.</w:t>
            </w:r>
          </w:p>
        </w:tc>
        <w:tc>
          <w:tcPr>
            <w:tcW w:w="0" w:type="auto"/>
            <w:vAlign w:val="center"/>
            <w:hideMark/>
          </w:tcPr>
          <w:p w14:paraId="525A5333" w14:textId="77777777" w:rsidR="00442CB0" w:rsidRPr="00F2383F" w:rsidRDefault="00A47542" w:rsidP="00F2383F">
            <w:pPr>
              <w:spacing w:line="360" w:lineRule="auto"/>
              <w:rPr>
                <w:rFonts w:ascii="Arial" w:hAnsi="Arial" w:cs="Arial"/>
                <w:sz w:val="24"/>
                <w:szCs w:val="24"/>
              </w:rPr>
            </w:pPr>
            <w:r w:rsidRPr="00F2383F">
              <w:rPr>
                <w:rFonts w:ascii="Arial" w:hAnsi="Arial" w:cs="Arial"/>
                <w:sz w:val="24"/>
                <w:szCs w:val="24"/>
              </w:rPr>
              <w:t>Decentralized</w:t>
            </w:r>
            <w:r w:rsidR="00442CB0" w:rsidRPr="00F2383F">
              <w:rPr>
                <w:rFonts w:ascii="Arial" w:hAnsi="Arial" w:cs="Arial"/>
                <w:sz w:val="24"/>
                <w:szCs w:val="24"/>
              </w:rPr>
              <w:t xml:space="preserve"> franchised bottlers (e.g., COFCO Coca-Cola in China).</w:t>
            </w:r>
          </w:p>
        </w:tc>
      </w:tr>
      <w:tr w:rsidR="00442CB0" w:rsidRPr="00F2383F" w14:paraId="644DD116" w14:textId="77777777" w:rsidTr="00F2383F">
        <w:trPr>
          <w:tblCellSpacing w:w="15" w:type="dxa"/>
        </w:trPr>
        <w:tc>
          <w:tcPr>
            <w:tcW w:w="0" w:type="auto"/>
            <w:vAlign w:val="center"/>
            <w:hideMark/>
          </w:tcPr>
          <w:p w14:paraId="3FD4EB72" w14:textId="77777777" w:rsidR="00442CB0" w:rsidRPr="00F2383F" w:rsidRDefault="00442CB0" w:rsidP="00F2383F">
            <w:pPr>
              <w:spacing w:line="360" w:lineRule="auto"/>
              <w:rPr>
                <w:rFonts w:ascii="Arial" w:hAnsi="Arial" w:cs="Arial"/>
                <w:sz w:val="24"/>
                <w:szCs w:val="24"/>
              </w:rPr>
            </w:pPr>
            <w:r w:rsidRPr="00F2383F">
              <w:rPr>
                <w:rFonts w:ascii="Arial" w:hAnsi="Arial" w:cs="Arial"/>
                <w:b/>
                <w:bCs/>
                <w:sz w:val="24"/>
                <w:szCs w:val="24"/>
              </w:rPr>
              <w:t>Marketing &amp; Sales</w:t>
            </w:r>
          </w:p>
        </w:tc>
        <w:tc>
          <w:tcPr>
            <w:tcW w:w="0" w:type="auto"/>
            <w:vAlign w:val="center"/>
            <w:hideMark/>
          </w:tcPr>
          <w:p w14:paraId="66593992"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Global brand messaging with local campaign adaptation.</w:t>
            </w:r>
          </w:p>
        </w:tc>
        <w:tc>
          <w:tcPr>
            <w:tcW w:w="0" w:type="auto"/>
            <w:vAlign w:val="center"/>
            <w:hideMark/>
          </w:tcPr>
          <w:p w14:paraId="080288FC"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“One Brand Strategy” adapted to local tastes and cultural nuances (</w:t>
            </w:r>
            <w:proofErr w:type="spellStart"/>
            <w:r w:rsidRPr="00F2383F">
              <w:rPr>
                <w:rFonts w:ascii="Arial" w:hAnsi="Arial" w:cs="Arial"/>
                <w:sz w:val="24"/>
                <w:szCs w:val="24"/>
              </w:rPr>
              <w:t>Kotabe</w:t>
            </w:r>
            <w:proofErr w:type="spellEnd"/>
            <w:r w:rsidRPr="00F2383F">
              <w:rPr>
                <w:rFonts w:ascii="Arial" w:hAnsi="Arial" w:cs="Arial"/>
                <w:sz w:val="24"/>
                <w:szCs w:val="24"/>
              </w:rPr>
              <w:t xml:space="preserve"> &amp; Kwon, 2022).</w:t>
            </w:r>
          </w:p>
        </w:tc>
      </w:tr>
      <w:tr w:rsidR="00442CB0" w:rsidRPr="00F2383F" w14:paraId="7B86521C" w14:textId="77777777" w:rsidTr="00F2383F">
        <w:trPr>
          <w:tblCellSpacing w:w="15" w:type="dxa"/>
        </w:trPr>
        <w:tc>
          <w:tcPr>
            <w:tcW w:w="0" w:type="auto"/>
            <w:vAlign w:val="center"/>
            <w:hideMark/>
          </w:tcPr>
          <w:p w14:paraId="185B12E9" w14:textId="77777777" w:rsidR="00442CB0" w:rsidRPr="00F2383F" w:rsidRDefault="00442CB0" w:rsidP="00F2383F">
            <w:pPr>
              <w:spacing w:line="360" w:lineRule="auto"/>
              <w:rPr>
                <w:rFonts w:ascii="Arial" w:hAnsi="Arial" w:cs="Arial"/>
                <w:sz w:val="24"/>
                <w:szCs w:val="24"/>
              </w:rPr>
            </w:pPr>
            <w:r w:rsidRPr="00F2383F">
              <w:rPr>
                <w:rFonts w:ascii="Arial" w:hAnsi="Arial" w:cs="Arial"/>
                <w:b/>
                <w:bCs/>
                <w:sz w:val="24"/>
                <w:szCs w:val="24"/>
              </w:rPr>
              <w:lastRenderedPageBreak/>
              <w:t>Financing &amp; Governance</w:t>
            </w:r>
          </w:p>
        </w:tc>
        <w:tc>
          <w:tcPr>
            <w:tcW w:w="0" w:type="auto"/>
            <w:vAlign w:val="center"/>
            <w:hideMark/>
          </w:tcPr>
          <w:p w14:paraId="78F126EB"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Capital allocation, M&amp;A, partnerships.</w:t>
            </w:r>
          </w:p>
        </w:tc>
        <w:tc>
          <w:tcPr>
            <w:tcW w:w="0" w:type="auto"/>
            <w:vAlign w:val="center"/>
            <w:hideMark/>
          </w:tcPr>
          <w:p w14:paraId="566F0100"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Global strategic direction from Atlanta headquarters.</w:t>
            </w:r>
          </w:p>
        </w:tc>
      </w:tr>
    </w:tbl>
    <w:p w14:paraId="6B08F8B3" w14:textId="77777777" w:rsidR="00442CB0" w:rsidRDefault="00442CB0" w:rsidP="00F2383F">
      <w:pPr>
        <w:spacing w:line="360" w:lineRule="auto"/>
        <w:jc w:val="both"/>
        <w:rPr>
          <w:rFonts w:ascii="Arial" w:hAnsi="Arial" w:cs="Arial"/>
          <w:sz w:val="24"/>
          <w:szCs w:val="24"/>
        </w:rPr>
      </w:pPr>
      <w:r w:rsidRPr="00F2383F">
        <w:rPr>
          <w:rFonts w:ascii="Arial" w:hAnsi="Arial" w:cs="Arial"/>
          <w:sz w:val="24"/>
          <w:szCs w:val="24"/>
        </w:rPr>
        <w:t>This globally integrated yet locally responsive structure enables Coca-Cola to maintain brand consistency while adapting products to diverse cultural tastes (e.g., China’s “Fiber+”, Japan’s “Coca-Cola Plus”, India’s “</w:t>
      </w:r>
      <w:r w:rsidR="00A47542" w:rsidRPr="00F2383F">
        <w:rPr>
          <w:rFonts w:ascii="Arial" w:hAnsi="Arial" w:cs="Arial"/>
          <w:sz w:val="24"/>
          <w:szCs w:val="24"/>
        </w:rPr>
        <w:t>Thumbs</w:t>
      </w:r>
      <w:r w:rsidRPr="00F2383F">
        <w:rPr>
          <w:rFonts w:ascii="Arial" w:hAnsi="Arial" w:cs="Arial"/>
          <w:sz w:val="24"/>
          <w:szCs w:val="24"/>
        </w:rPr>
        <w:t xml:space="preserve"> Up Charged”).</w:t>
      </w:r>
    </w:p>
    <w:p w14:paraId="5239E708" w14:textId="77777777" w:rsidR="004514C2" w:rsidRDefault="004514C2" w:rsidP="00D4556A">
      <w:pPr>
        <w:spacing w:line="360" w:lineRule="auto"/>
        <w:jc w:val="center"/>
        <w:rPr>
          <w:rFonts w:ascii="Arial" w:hAnsi="Arial" w:cs="Arial"/>
          <w:sz w:val="24"/>
          <w:szCs w:val="24"/>
        </w:rPr>
      </w:pPr>
      <w:r w:rsidRPr="004514C2">
        <w:rPr>
          <w:rFonts w:ascii="Arial" w:hAnsi="Arial" w:cs="Arial"/>
          <w:noProof/>
          <w:sz w:val="24"/>
          <w:szCs w:val="24"/>
        </w:rPr>
        <w:drawing>
          <wp:inline distT="0" distB="0" distL="0" distR="0" wp14:anchorId="77EB07B7" wp14:editId="0E93FD3B">
            <wp:extent cx="4486275" cy="2691765"/>
            <wp:effectExtent l="0" t="0" r="9525" b="0"/>
            <wp:docPr id="10" name="Picture 10" descr="C:\Users\HP\Downloads\cocacola_global_opera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HP\Downloads\cocacola_global_operation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6275" cy="2691765"/>
                    </a:xfrm>
                    <a:prstGeom prst="rect">
                      <a:avLst/>
                    </a:prstGeom>
                    <a:noFill/>
                    <a:ln>
                      <a:noFill/>
                    </a:ln>
                  </pic:spPr>
                </pic:pic>
              </a:graphicData>
            </a:graphic>
          </wp:inline>
        </w:drawing>
      </w:r>
    </w:p>
    <w:p w14:paraId="12610F6D" w14:textId="77777777" w:rsidR="008B291E" w:rsidRPr="008B291E" w:rsidRDefault="008B291E" w:rsidP="00A10CE2">
      <w:pPr>
        <w:spacing w:line="360" w:lineRule="auto"/>
        <w:jc w:val="center"/>
        <w:rPr>
          <w:rFonts w:ascii="Arial" w:hAnsi="Arial" w:cs="Arial"/>
          <w:b/>
          <w:sz w:val="24"/>
          <w:szCs w:val="24"/>
        </w:rPr>
      </w:pPr>
      <w:r w:rsidRPr="008B291E">
        <w:rPr>
          <w:rFonts w:ascii="Arial" w:hAnsi="Arial" w:cs="Arial"/>
          <w:b/>
          <w:sz w:val="24"/>
          <w:szCs w:val="24"/>
        </w:rPr>
        <w:t>Figure 3: Coca-Cola Global Operations</w:t>
      </w:r>
    </w:p>
    <w:p w14:paraId="30998331" w14:textId="77777777" w:rsidR="00A10CE2" w:rsidRPr="008B291E" w:rsidRDefault="008B291E" w:rsidP="00A10CE2">
      <w:pPr>
        <w:spacing w:line="360" w:lineRule="auto"/>
        <w:jc w:val="center"/>
        <w:rPr>
          <w:rFonts w:ascii="Arial" w:hAnsi="Arial" w:cs="Arial"/>
          <w:i/>
          <w:sz w:val="24"/>
          <w:szCs w:val="24"/>
        </w:rPr>
      </w:pPr>
      <w:r w:rsidRPr="008B291E">
        <w:rPr>
          <w:rFonts w:ascii="Arial" w:hAnsi="Arial" w:cs="Arial"/>
          <w:i/>
          <w:sz w:val="24"/>
          <w:szCs w:val="24"/>
        </w:rPr>
        <w:t>(Source: Coca-colacompany.com)</w:t>
      </w:r>
    </w:p>
    <w:p w14:paraId="0C4ACA4B" w14:textId="77777777" w:rsidR="00442CB0" w:rsidRPr="00F2383F" w:rsidRDefault="00442CB0" w:rsidP="00B036AA">
      <w:pPr>
        <w:pStyle w:val="Heading2"/>
      </w:pPr>
      <w:bookmarkStart w:id="4" w:name="_Toc216539889"/>
      <w:r w:rsidRPr="00F2383F">
        <w:t>2.3 Coca-Cola’s Entry Modes in International Markets</w:t>
      </w:r>
      <w:bookmarkEnd w:id="4"/>
    </w:p>
    <w:p w14:paraId="2C3F4A68" w14:textId="77777777" w:rsidR="00442CB0" w:rsidRPr="00F2383F" w:rsidRDefault="00442CB0" w:rsidP="00F2383F">
      <w:pPr>
        <w:spacing w:line="360" w:lineRule="auto"/>
        <w:jc w:val="both"/>
        <w:rPr>
          <w:rFonts w:ascii="Arial" w:hAnsi="Arial" w:cs="Arial"/>
          <w:sz w:val="24"/>
          <w:szCs w:val="24"/>
        </w:rPr>
      </w:pPr>
      <w:r w:rsidRPr="00F2383F">
        <w:rPr>
          <w:rFonts w:ascii="Arial" w:hAnsi="Arial" w:cs="Arial"/>
          <w:sz w:val="24"/>
          <w:szCs w:val="24"/>
        </w:rPr>
        <w:t>Coca-Cola’s international presence has grown through a combination of entry modes, including:</w:t>
      </w:r>
    </w:p>
    <w:p w14:paraId="1316433D" w14:textId="77777777" w:rsidR="00442CB0" w:rsidRPr="00602588" w:rsidRDefault="00442CB0" w:rsidP="00602588">
      <w:pPr>
        <w:spacing w:line="360" w:lineRule="auto"/>
        <w:jc w:val="both"/>
        <w:rPr>
          <w:rFonts w:ascii="Arial" w:hAnsi="Arial" w:cs="Arial"/>
          <w:b/>
          <w:bCs/>
          <w:sz w:val="24"/>
          <w:szCs w:val="24"/>
        </w:rPr>
      </w:pPr>
      <w:r w:rsidRPr="00602588">
        <w:rPr>
          <w:rFonts w:ascii="Arial" w:hAnsi="Arial" w:cs="Arial"/>
          <w:bCs/>
          <w:sz w:val="24"/>
          <w:szCs w:val="24"/>
          <w:u w:val="single"/>
        </w:rPr>
        <w:t>a) Foreign Direct Investment (FDI</w:t>
      </w:r>
      <w:r w:rsidR="00602588" w:rsidRPr="00602588">
        <w:rPr>
          <w:rFonts w:ascii="Arial" w:hAnsi="Arial" w:cs="Arial"/>
          <w:bCs/>
          <w:sz w:val="24"/>
          <w:szCs w:val="24"/>
          <w:u w:val="single"/>
        </w:rPr>
        <w:t>) through bottling acquisitions:</w:t>
      </w:r>
      <w:r w:rsidR="00602588">
        <w:rPr>
          <w:rFonts w:ascii="Arial" w:hAnsi="Arial" w:cs="Arial"/>
          <w:b/>
          <w:bCs/>
          <w:sz w:val="24"/>
          <w:szCs w:val="24"/>
        </w:rPr>
        <w:t xml:space="preserve"> </w:t>
      </w:r>
      <w:r w:rsidRPr="00F2383F">
        <w:rPr>
          <w:rFonts w:ascii="Arial" w:hAnsi="Arial" w:cs="Arial"/>
          <w:sz w:val="24"/>
          <w:szCs w:val="24"/>
        </w:rPr>
        <w:t>Coca-Cola has repeatedly acquired and subsequently refranchised bottling operations to gain market control and restructure distribution. For example, in China, Coca-Cola invested heavily in the acquisition and later refranchising of COFCO Coca-Cola Beverages (Clark et al., 2022).</w:t>
      </w:r>
    </w:p>
    <w:p w14:paraId="581E2B43" w14:textId="77777777" w:rsidR="00617482" w:rsidRDefault="00617482" w:rsidP="00D4556A">
      <w:pPr>
        <w:spacing w:line="360" w:lineRule="auto"/>
        <w:jc w:val="center"/>
        <w:rPr>
          <w:rFonts w:ascii="Arial" w:hAnsi="Arial" w:cs="Arial"/>
          <w:sz w:val="24"/>
          <w:szCs w:val="24"/>
        </w:rPr>
      </w:pPr>
      <w:r w:rsidRPr="00617482">
        <w:rPr>
          <w:rFonts w:ascii="Arial" w:hAnsi="Arial" w:cs="Arial"/>
          <w:noProof/>
          <w:sz w:val="24"/>
          <w:szCs w:val="24"/>
        </w:rPr>
        <w:lastRenderedPageBreak/>
        <w:drawing>
          <wp:inline distT="0" distB="0" distL="0" distR="0" wp14:anchorId="5E667CC0" wp14:editId="1CCCB40F">
            <wp:extent cx="4343400" cy="2450015"/>
            <wp:effectExtent l="0" t="0" r="0" b="7620"/>
            <wp:docPr id="5" name="Picture 5" descr="D:\ASSIGNMENT WORK\PIYUSH HCM\intl busin conc cocacola\c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D:\ASSIGNMENT WORK\PIYUSH HCM\intl busin conc cocacola\cok.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0389" cy="2453957"/>
                    </a:xfrm>
                    <a:prstGeom prst="rect">
                      <a:avLst/>
                    </a:prstGeom>
                    <a:noFill/>
                    <a:ln>
                      <a:noFill/>
                    </a:ln>
                  </pic:spPr>
                </pic:pic>
              </a:graphicData>
            </a:graphic>
          </wp:inline>
        </w:drawing>
      </w:r>
    </w:p>
    <w:p w14:paraId="186E9AB6" w14:textId="77777777" w:rsidR="008B291E" w:rsidRDefault="008B291E" w:rsidP="00D4556A">
      <w:pPr>
        <w:spacing w:line="360" w:lineRule="auto"/>
        <w:jc w:val="center"/>
        <w:rPr>
          <w:rFonts w:ascii="Arial" w:hAnsi="Arial" w:cs="Arial"/>
          <w:b/>
          <w:sz w:val="24"/>
          <w:szCs w:val="24"/>
        </w:rPr>
      </w:pPr>
      <w:r w:rsidRPr="008B291E">
        <w:rPr>
          <w:rFonts w:ascii="Arial" w:hAnsi="Arial" w:cs="Arial"/>
          <w:b/>
          <w:sz w:val="24"/>
          <w:szCs w:val="24"/>
        </w:rPr>
        <w:t>Figure 4: Coca-Cola Business Model</w:t>
      </w:r>
    </w:p>
    <w:p w14:paraId="6631E4C6" w14:textId="77777777" w:rsidR="008B291E" w:rsidRPr="008B291E" w:rsidRDefault="008B291E" w:rsidP="00D4556A">
      <w:pPr>
        <w:spacing w:line="360" w:lineRule="auto"/>
        <w:jc w:val="center"/>
        <w:rPr>
          <w:rFonts w:ascii="Arial" w:hAnsi="Arial" w:cs="Arial"/>
          <w:i/>
          <w:sz w:val="24"/>
          <w:szCs w:val="24"/>
        </w:rPr>
      </w:pPr>
      <w:r w:rsidRPr="008B291E">
        <w:rPr>
          <w:rFonts w:ascii="Arial" w:hAnsi="Arial" w:cs="Arial"/>
          <w:i/>
          <w:sz w:val="24"/>
          <w:szCs w:val="24"/>
        </w:rPr>
        <w:t>(Source: www.business model analyst.com)</w:t>
      </w:r>
    </w:p>
    <w:p w14:paraId="232263A9" w14:textId="77777777" w:rsidR="00442CB0" w:rsidRPr="00602588" w:rsidRDefault="00602588" w:rsidP="00602588">
      <w:pPr>
        <w:spacing w:line="360" w:lineRule="auto"/>
        <w:jc w:val="both"/>
        <w:rPr>
          <w:rFonts w:ascii="Arial" w:hAnsi="Arial" w:cs="Arial"/>
          <w:b/>
          <w:bCs/>
          <w:sz w:val="24"/>
          <w:szCs w:val="24"/>
        </w:rPr>
      </w:pPr>
      <w:r w:rsidRPr="00602588">
        <w:rPr>
          <w:rFonts w:ascii="Arial" w:hAnsi="Arial" w:cs="Arial"/>
          <w:bCs/>
          <w:sz w:val="24"/>
          <w:szCs w:val="24"/>
          <w:u w:val="single"/>
        </w:rPr>
        <w:t>b) Joint Ventures (JVs):</w:t>
      </w:r>
      <w:r>
        <w:rPr>
          <w:rFonts w:ascii="Arial" w:hAnsi="Arial" w:cs="Arial"/>
          <w:b/>
          <w:bCs/>
          <w:sz w:val="24"/>
          <w:szCs w:val="24"/>
        </w:rPr>
        <w:t xml:space="preserve"> </w:t>
      </w:r>
      <w:r w:rsidR="00442CB0" w:rsidRPr="00F2383F">
        <w:rPr>
          <w:rFonts w:ascii="Arial" w:hAnsi="Arial" w:cs="Arial"/>
          <w:sz w:val="24"/>
          <w:szCs w:val="24"/>
        </w:rPr>
        <w:t>JV partnerships have been crucial where local regulatory environments restrict full foreign ownership or where local market knowledge is crucial.</w:t>
      </w:r>
      <w:r w:rsidR="00442CB0" w:rsidRPr="00F2383F">
        <w:rPr>
          <w:rFonts w:ascii="Arial" w:hAnsi="Arial" w:cs="Arial"/>
          <w:sz w:val="24"/>
          <w:szCs w:val="24"/>
        </w:rPr>
        <w:br/>
      </w:r>
      <w:r>
        <w:rPr>
          <w:rFonts w:ascii="Arial" w:hAnsi="Arial" w:cs="Arial"/>
          <w:bCs/>
          <w:sz w:val="24"/>
          <w:szCs w:val="24"/>
        </w:rPr>
        <w:t xml:space="preserve">In China </w:t>
      </w:r>
      <w:r w:rsidR="00442CB0" w:rsidRPr="00F2383F">
        <w:rPr>
          <w:rFonts w:ascii="Arial" w:hAnsi="Arial" w:cs="Arial"/>
          <w:sz w:val="24"/>
          <w:szCs w:val="24"/>
        </w:rPr>
        <w:t>COFCO (state-owned enterprise) + Coca-Cola + Swire Pacific JV enabled compliance with Chinese FDI restrictions and provided privileged access to local distribution channels (KPMG, 2023).</w:t>
      </w:r>
    </w:p>
    <w:p w14:paraId="79561B2A" w14:textId="77777777" w:rsidR="00A10CE2" w:rsidRPr="00602588" w:rsidRDefault="00602588" w:rsidP="00602588">
      <w:pPr>
        <w:spacing w:line="360" w:lineRule="auto"/>
        <w:jc w:val="both"/>
        <w:rPr>
          <w:rFonts w:ascii="Arial" w:hAnsi="Arial" w:cs="Arial"/>
          <w:b/>
          <w:bCs/>
          <w:sz w:val="24"/>
          <w:szCs w:val="24"/>
        </w:rPr>
      </w:pPr>
      <w:r w:rsidRPr="00602588">
        <w:rPr>
          <w:rFonts w:ascii="Arial" w:hAnsi="Arial" w:cs="Arial"/>
          <w:bCs/>
          <w:sz w:val="24"/>
          <w:szCs w:val="24"/>
          <w:u w:val="single"/>
        </w:rPr>
        <w:t>c) Licensing and Franchising:</w:t>
      </w:r>
      <w:r>
        <w:rPr>
          <w:rFonts w:ascii="Arial" w:hAnsi="Arial" w:cs="Arial"/>
          <w:b/>
          <w:bCs/>
          <w:sz w:val="24"/>
          <w:szCs w:val="24"/>
        </w:rPr>
        <w:t xml:space="preserve"> </w:t>
      </w:r>
      <w:r w:rsidR="00442CB0" w:rsidRPr="00F2383F">
        <w:rPr>
          <w:rFonts w:ascii="Arial" w:hAnsi="Arial" w:cs="Arial"/>
          <w:sz w:val="24"/>
          <w:szCs w:val="24"/>
        </w:rPr>
        <w:t>Coca-Cola’s traditional model relies on licensing concentrate to locally owned bottlers. This remains its dominant entry mode globally due to high scalability and lower capital intensity (Hill &amp; Hult, 2023).</w:t>
      </w:r>
    </w:p>
    <w:p w14:paraId="775D131D" w14:textId="77777777" w:rsidR="00442CB0" w:rsidRPr="00602588" w:rsidRDefault="00602588" w:rsidP="00602588">
      <w:pPr>
        <w:spacing w:line="360" w:lineRule="auto"/>
        <w:jc w:val="both"/>
        <w:rPr>
          <w:rFonts w:ascii="Arial" w:hAnsi="Arial" w:cs="Arial"/>
          <w:b/>
          <w:bCs/>
          <w:sz w:val="24"/>
          <w:szCs w:val="24"/>
        </w:rPr>
      </w:pPr>
      <w:r w:rsidRPr="00602588">
        <w:rPr>
          <w:rFonts w:ascii="Arial" w:hAnsi="Arial" w:cs="Arial"/>
          <w:bCs/>
          <w:sz w:val="24"/>
          <w:szCs w:val="24"/>
          <w:u w:val="single"/>
        </w:rPr>
        <w:t>d) Strategic Alliances:</w:t>
      </w:r>
      <w:r>
        <w:rPr>
          <w:rFonts w:ascii="Arial" w:hAnsi="Arial" w:cs="Arial"/>
          <w:b/>
          <w:bCs/>
          <w:sz w:val="24"/>
          <w:szCs w:val="24"/>
        </w:rPr>
        <w:t xml:space="preserve"> </w:t>
      </w:r>
      <w:r w:rsidR="00442CB0" w:rsidRPr="00F2383F">
        <w:rPr>
          <w:rFonts w:ascii="Arial" w:hAnsi="Arial" w:cs="Arial"/>
          <w:sz w:val="24"/>
          <w:szCs w:val="24"/>
        </w:rPr>
        <w:t>Alliances with McDonald's, Walmart and global retailers expand distribution reach and retail dominance.</w:t>
      </w:r>
    </w:p>
    <w:p w14:paraId="48B33F4A" w14:textId="77777777" w:rsidR="00A10CE2" w:rsidRDefault="00A10CE2" w:rsidP="005C7DA9">
      <w:pPr>
        <w:spacing w:line="360" w:lineRule="auto"/>
        <w:jc w:val="center"/>
        <w:rPr>
          <w:rFonts w:ascii="Arial" w:hAnsi="Arial" w:cs="Arial"/>
          <w:sz w:val="24"/>
          <w:szCs w:val="24"/>
        </w:rPr>
      </w:pPr>
      <w:r w:rsidRPr="00A10CE2">
        <w:rPr>
          <w:rFonts w:ascii="Arial" w:hAnsi="Arial" w:cs="Arial"/>
          <w:noProof/>
          <w:sz w:val="24"/>
          <w:szCs w:val="24"/>
        </w:rPr>
        <w:lastRenderedPageBreak/>
        <w:drawing>
          <wp:inline distT="0" distB="0" distL="0" distR="0" wp14:anchorId="742462E9" wp14:editId="32F37F14">
            <wp:extent cx="4695825" cy="2817495"/>
            <wp:effectExtent l="0" t="0" r="9525" b="1905"/>
            <wp:docPr id="12" name="Picture 12" descr="C:\Users\HP\Downloads\cocacola_entry_mod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HP\Downloads\cocacola_entry_mode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5825" cy="2817495"/>
                    </a:xfrm>
                    <a:prstGeom prst="rect">
                      <a:avLst/>
                    </a:prstGeom>
                    <a:noFill/>
                    <a:ln>
                      <a:noFill/>
                    </a:ln>
                  </pic:spPr>
                </pic:pic>
              </a:graphicData>
            </a:graphic>
          </wp:inline>
        </w:drawing>
      </w:r>
    </w:p>
    <w:p w14:paraId="1F8FC82F" w14:textId="77777777" w:rsidR="008B291E" w:rsidRPr="008B291E" w:rsidRDefault="008B291E" w:rsidP="005C7DA9">
      <w:pPr>
        <w:spacing w:line="360" w:lineRule="auto"/>
        <w:jc w:val="center"/>
        <w:rPr>
          <w:rFonts w:ascii="Arial" w:hAnsi="Arial" w:cs="Arial"/>
          <w:b/>
          <w:sz w:val="24"/>
          <w:szCs w:val="24"/>
        </w:rPr>
      </w:pPr>
      <w:r w:rsidRPr="008B291E">
        <w:rPr>
          <w:rFonts w:ascii="Arial" w:hAnsi="Arial" w:cs="Arial"/>
          <w:b/>
          <w:sz w:val="24"/>
          <w:szCs w:val="24"/>
        </w:rPr>
        <w:t xml:space="preserve">Figure 5: Coca-Cola Entry Mode </w:t>
      </w:r>
      <w:proofErr w:type="gramStart"/>
      <w:r w:rsidRPr="008B291E">
        <w:rPr>
          <w:rFonts w:ascii="Arial" w:hAnsi="Arial" w:cs="Arial"/>
          <w:b/>
          <w:sz w:val="24"/>
          <w:szCs w:val="24"/>
        </w:rPr>
        <w:t>In</w:t>
      </w:r>
      <w:proofErr w:type="gramEnd"/>
      <w:r w:rsidRPr="008B291E">
        <w:rPr>
          <w:rFonts w:ascii="Arial" w:hAnsi="Arial" w:cs="Arial"/>
          <w:b/>
          <w:sz w:val="24"/>
          <w:szCs w:val="24"/>
        </w:rPr>
        <w:t xml:space="preserve"> Global Markets</w:t>
      </w:r>
    </w:p>
    <w:p w14:paraId="69FF85CB" w14:textId="77777777" w:rsidR="00A10CE2" w:rsidRPr="008B291E" w:rsidRDefault="008B291E" w:rsidP="005C7DA9">
      <w:pPr>
        <w:spacing w:line="360" w:lineRule="auto"/>
        <w:jc w:val="center"/>
        <w:rPr>
          <w:rFonts w:ascii="Arial" w:hAnsi="Arial" w:cs="Arial"/>
          <w:i/>
          <w:sz w:val="24"/>
          <w:szCs w:val="24"/>
        </w:rPr>
      </w:pPr>
      <w:r w:rsidRPr="008B291E">
        <w:rPr>
          <w:rFonts w:ascii="Arial" w:hAnsi="Arial" w:cs="Arial"/>
          <w:i/>
          <w:sz w:val="24"/>
          <w:szCs w:val="24"/>
        </w:rPr>
        <w:t>(</w:t>
      </w:r>
      <w:r w:rsidR="005C7DA9" w:rsidRPr="008B291E">
        <w:rPr>
          <w:rFonts w:ascii="Arial" w:hAnsi="Arial" w:cs="Arial"/>
          <w:i/>
          <w:sz w:val="24"/>
          <w:szCs w:val="24"/>
        </w:rPr>
        <w:t>Source: Self-Created</w:t>
      </w:r>
      <w:r w:rsidRPr="008B291E">
        <w:rPr>
          <w:rFonts w:ascii="Arial" w:hAnsi="Arial" w:cs="Arial"/>
          <w:i/>
          <w:sz w:val="24"/>
          <w:szCs w:val="24"/>
        </w:rPr>
        <w:t>)</w:t>
      </w:r>
    </w:p>
    <w:p w14:paraId="0ABCAAF8" w14:textId="77777777" w:rsidR="00D4556A" w:rsidRDefault="00D4556A" w:rsidP="00F2383F">
      <w:pPr>
        <w:spacing w:line="360" w:lineRule="auto"/>
        <w:rPr>
          <w:rFonts w:ascii="Arial" w:hAnsi="Arial" w:cs="Arial"/>
          <w:b/>
          <w:bCs/>
          <w:sz w:val="24"/>
          <w:szCs w:val="24"/>
        </w:rPr>
      </w:pPr>
    </w:p>
    <w:p w14:paraId="02F7A6FE" w14:textId="77777777" w:rsidR="00617482" w:rsidRPr="00602588" w:rsidRDefault="00442CB0" w:rsidP="00602588">
      <w:pPr>
        <w:spacing w:line="360" w:lineRule="auto"/>
        <w:jc w:val="both"/>
        <w:rPr>
          <w:rFonts w:ascii="Arial" w:hAnsi="Arial" w:cs="Arial"/>
          <w:bCs/>
          <w:sz w:val="24"/>
          <w:szCs w:val="24"/>
          <w:u w:val="single"/>
        </w:rPr>
      </w:pPr>
      <w:r w:rsidRPr="00602588">
        <w:rPr>
          <w:rFonts w:ascii="Arial" w:hAnsi="Arial" w:cs="Arial"/>
          <w:bCs/>
          <w:sz w:val="24"/>
          <w:szCs w:val="24"/>
          <w:u w:val="single"/>
        </w:rPr>
        <w:t>Dominant Entry Mode</w:t>
      </w:r>
      <w:r w:rsidR="00602588">
        <w:rPr>
          <w:rFonts w:ascii="Arial" w:hAnsi="Arial" w:cs="Arial"/>
          <w:bCs/>
          <w:sz w:val="24"/>
          <w:szCs w:val="24"/>
          <w:u w:val="single"/>
        </w:rPr>
        <w:t xml:space="preserve">: </w:t>
      </w:r>
      <w:r w:rsidRPr="00F2383F">
        <w:rPr>
          <w:rFonts w:ascii="Arial" w:hAnsi="Arial" w:cs="Arial"/>
          <w:sz w:val="24"/>
          <w:szCs w:val="24"/>
        </w:rPr>
        <w:t xml:space="preserve">Globally, Coca-Cola’s dominant entry mode remains </w:t>
      </w:r>
      <w:r w:rsidRPr="00864BE0">
        <w:rPr>
          <w:rFonts w:ascii="Arial" w:hAnsi="Arial" w:cs="Arial"/>
          <w:bCs/>
          <w:sz w:val="24"/>
          <w:szCs w:val="24"/>
        </w:rPr>
        <w:t>franchising/licensing to local bottlers</w:t>
      </w:r>
      <w:r w:rsidRPr="00864BE0">
        <w:rPr>
          <w:rFonts w:ascii="Arial" w:hAnsi="Arial" w:cs="Arial"/>
          <w:sz w:val="24"/>
          <w:szCs w:val="24"/>
        </w:rPr>
        <w:t>, supported by selective FDI and joint ventures in strategically sensitive</w:t>
      </w:r>
      <w:r w:rsidRPr="00F2383F">
        <w:rPr>
          <w:rFonts w:ascii="Arial" w:hAnsi="Arial" w:cs="Arial"/>
          <w:sz w:val="24"/>
          <w:szCs w:val="24"/>
        </w:rPr>
        <w:t xml:space="preserve"> or high-growth markets. In China specifically, the JV–FDI hybrid model is dominant due to regulatory requirements and market scale</w:t>
      </w:r>
      <w:r w:rsidR="00D85F15">
        <w:rPr>
          <w:rFonts w:ascii="Arial" w:hAnsi="Arial" w:cs="Arial"/>
          <w:sz w:val="24"/>
          <w:szCs w:val="24"/>
        </w:rPr>
        <w:t xml:space="preserve"> (De </w:t>
      </w:r>
      <w:proofErr w:type="spellStart"/>
      <w:r w:rsidR="00D85F15">
        <w:rPr>
          <w:rFonts w:ascii="Arial" w:hAnsi="Arial" w:cs="Arial"/>
          <w:sz w:val="24"/>
          <w:szCs w:val="24"/>
        </w:rPr>
        <w:t>Mooij</w:t>
      </w:r>
      <w:proofErr w:type="spellEnd"/>
      <w:r w:rsidR="00D85F15">
        <w:rPr>
          <w:rFonts w:ascii="Arial" w:hAnsi="Arial" w:cs="Arial"/>
          <w:sz w:val="24"/>
          <w:szCs w:val="24"/>
        </w:rPr>
        <w:t>, 2023)</w:t>
      </w:r>
      <w:r w:rsidRPr="00F2383F">
        <w:rPr>
          <w:rFonts w:ascii="Arial" w:hAnsi="Arial" w:cs="Arial"/>
          <w:sz w:val="24"/>
          <w:szCs w:val="24"/>
        </w:rPr>
        <w:t>.</w:t>
      </w:r>
    </w:p>
    <w:p w14:paraId="71CE08E8" w14:textId="77777777" w:rsidR="00442CB0" w:rsidRPr="00F2383F" w:rsidRDefault="00442CB0" w:rsidP="00B036AA">
      <w:pPr>
        <w:pStyle w:val="Heading2"/>
      </w:pPr>
      <w:bookmarkStart w:id="5" w:name="_Toc216539890"/>
      <w:r w:rsidRPr="00F2383F">
        <w:t>2.4 Key Benefits from Coca-Cola’s International Operations</w:t>
      </w:r>
      <w:bookmarkEnd w:id="5"/>
    </w:p>
    <w:p w14:paraId="083893B0" w14:textId="77777777" w:rsidR="00606398" w:rsidRPr="00602588" w:rsidRDefault="00602588" w:rsidP="00606398">
      <w:pPr>
        <w:spacing w:line="360" w:lineRule="auto"/>
        <w:jc w:val="both"/>
        <w:rPr>
          <w:rFonts w:ascii="Arial" w:hAnsi="Arial" w:cs="Arial"/>
          <w:b/>
          <w:sz w:val="24"/>
          <w:szCs w:val="24"/>
        </w:rPr>
      </w:pPr>
      <w:r w:rsidRPr="00602588">
        <w:rPr>
          <w:rFonts w:ascii="Arial" w:hAnsi="Arial" w:cs="Arial"/>
          <w:sz w:val="24"/>
          <w:szCs w:val="24"/>
          <w:u w:val="single"/>
        </w:rPr>
        <w:t>a. Economies of Scale and Scope:</w:t>
      </w:r>
      <w:r>
        <w:rPr>
          <w:rFonts w:ascii="Arial" w:hAnsi="Arial" w:cs="Arial"/>
          <w:b/>
          <w:sz w:val="24"/>
          <w:szCs w:val="24"/>
        </w:rPr>
        <w:t xml:space="preserve"> </w:t>
      </w:r>
      <w:r w:rsidR="00606398" w:rsidRPr="00606398">
        <w:rPr>
          <w:rFonts w:ascii="Arial" w:hAnsi="Arial" w:cs="Arial"/>
          <w:sz w:val="24"/>
          <w:szCs w:val="24"/>
        </w:rPr>
        <w:t>Coca-Cola is a global company, which minimizes the average production and marketing costs. Concentrate manufacturing is very scalable, which enables a uniform product to be distributed globally at a low marginal cost (Ghemawat, 2021). Scope economies are attained in the form of diversification of portfolios in various beverage categories (water, tea, coffee, energy drinks).</w:t>
      </w:r>
    </w:p>
    <w:p w14:paraId="7D86849A" w14:textId="77777777" w:rsidR="00606398" w:rsidRPr="00602588" w:rsidRDefault="00606398" w:rsidP="00606398">
      <w:pPr>
        <w:spacing w:line="360" w:lineRule="auto"/>
        <w:jc w:val="both"/>
        <w:rPr>
          <w:rFonts w:ascii="Arial" w:hAnsi="Arial" w:cs="Arial"/>
          <w:b/>
          <w:sz w:val="24"/>
          <w:szCs w:val="24"/>
        </w:rPr>
      </w:pPr>
      <w:r w:rsidRPr="00602588">
        <w:rPr>
          <w:rFonts w:ascii="Arial" w:hAnsi="Arial" w:cs="Arial"/>
          <w:sz w:val="24"/>
          <w:szCs w:val="24"/>
          <w:u w:val="single"/>
        </w:rPr>
        <w:t xml:space="preserve">b. Availability </w:t>
      </w:r>
      <w:r w:rsidR="00602588" w:rsidRPr="00602588">
        <w:rPr>
          <w:rFonts w:ascii="Arial" w:hAnsi="Arial" w:cs="Arial"/>
          <w:sz w:val="24"/>
          <w:szCs w:val="24"/>
          <w:u w:val="single"/>
        </w:rPr>
        <w:t>of High-Growth Emerging Markets:</w:t>
      </w:r>
      <w:r w:rsidR="00602588">
        <w:rPr>
          <w:rFonts w:ascii="Arial" w:hAnsi="Arial" w:cs="Arial"/>
          <w:b/>
          <w:sz w:val="24"/>
          <w:szCs w:val="24"/>
        </w:rPr>
        <w:t xml:space="preserve"> </w:t>
      </w:r>
      <w:r w:rsidRPr="00606398">
        <w:rPr>
          <w:rFonts w:ascii="Arial" w:hAnsi="Arial" w:cs="Arial"/>
          <w:sz w:val="24"/>
          <w:szCs w:val="24"/>
        </w:rPr>
        <w:t>China, India and southeast Asia are the most rapidly expanding non-alcoholic beverage segments in the world. China alone has over 25% of the total growth of soft drinks in the world (Euromonitor, 2024). The entry of Coca-Cola into such markets gives the company long term revenue.</w:t>
      </w:r>
    </w:p>
    <w:p w14:paraId="2C99F498" w14:textId="77777777" w:rsidR="00606398" w:rsidRPr="00606398" w:rsidRDefault="00606398" w:rsidP="00606398">
      <w:pPr>
        <w:spacing w:line="360" w:lineRule="auto"/>
        <w:jc w:val="both"/>
        <w:rPr>
          <w:rFonts w:ascii="Arial" w:hAnsi="Arial" w:cs="Arial"/>
          <w:b/>
          <w:sz w:val="24"/>
          <w:szCs w:val="24"/>
        </w:rPr>
      </w:pPr>
      <w:r w:rsidRPr="00602588">
        <w:rPr>
          <w:rFonts w:ascii="Arial" w:hAnsi="Arial" w:cs="Arial"/>
          <w:sz w:val="24"/>
          <w:szCs w:val="24"/>
          <w:u w:val="single"/>
        </w:rPr>
        <w:lastRenderedPageBreak/>
        <w:t>c. Market Diversification of risk</w:t>
      </w:r>
      <w:r w:rsidR="00602588" w:rsidRPr="00602588">
        <w:rPr>
          <w:rFonts w:ascii="Arial" w:hAnsi="Arial" w:cs="Arial"/>
          <w:sz w:val="24"/>
          <w:szCs w:val="24"/>
          <w:u w:val="single"/>
        </w:rPr>
        <w:t>:</w:t>
      </w:r>
      <w:r w:rsidR="00602588">
        <w:rPr>
          <w:rFonts w:ascii="Arial" w:hAnsi="Arial" w:cs="Arial"/>
          <w:b/>
          <w:sz w:val="24"/>
          <w:szCs w:val="24"/>
        </w:rPr>
        <w:t xml:space="preserve"> </w:t>
      </w:r>
      <w:r w:rsidRPr="00606398">
        <w:rPr>
          <w:rFonts w:ascii="Arial" w:hAnsi="Arial" w:cs="Arial"/>
          <w:sz w:val="24"/>
          <w:szCs w:val="24"/>
        </w:rPr>
        <w:t>Presence in 200+ markets also enables Coca-Cola to spread currency risks, supply risks, or regulatory risks (PwC, 2023). Weaknesses in the mature U.S and European markets are compensated by increasing consumption in the emerging economies.</w:t>
      </w:r>
    </w:p>
    <w:p w14:paraId="29492D62" w14:textId="77777777" w:rsidR="00606398" w:rsidRPr="0019171D" w:rsidRDefault="00606398" w:rsidP="0019171D">
      <w:pPr>
        <w:spacing w:line="360" w:lineRule="auto"/>
        <w:jc w:val="both"/>
        <w:rPr>
          <w:rFonts w:ascii="Arial" w:hAnsi="Arial" w:cs="Arial"/>
          <w:b/>
          <w:sz w:val="24"/>
          <w:szCs w:val="24"/>
        </w:rPr>
      </w:pPr>
      <w:r w:rsidRPr="00602588">
        <w:rPr>
          <w:rFonts w:ascii="Arial" w:hAnsi="Arial" w:cs="Arial"/>
          <w:sz w:val="24"/>
          <w:szCs w:val="24"/>
          <w:u w:val="single"/>
        </w:rPr>
        <w:t>d. Spillovers of Strategic Learning and Innovation</w:t>
      </w:r>
      <w:r w:rsidR="00602588" w:rsidRPr="00602588">
        <w:rPr>
          <w:rFonts w:ascii="Arial" w:hAnsi="Arial" w:cs="Arial"/>
          <w:sz w:val="24"/>
          <w:szCs w:val="24"/>
          <w:u w:val="single"/>
        </w:rPr>
        <w:t>:</w:t>
      </w:r>
      <w:r w:rsidR="00602588">
        <w:rPr>
          <w:rFonts w:ascii="Arial" w:hAnsi="Arial" w:cs="Arial"/>
          <w:b/>
          <w:sz w:val="24"/>
          <w:szCs w:val="24"/>
        </w:rPr>
        <w:t xml:space="preserve"> </w:t>
      </w:r>
      <w:r w:rsidRPr="00606398">
        <w:rPr>
          <w:rFonts w:ascii="Arial" w:hAnsi="Arial" w:cs="Arial"/>
          <w:sz w:val="24"/>
          <w:szCs w:val="24"/>
        </w:rPr>
        <w:t>Coca-Cola can add to its innovation capabilities by operating in culturally diverse markets. For instance:</w:t>
      </w:r>
      <w:r w:rsidR="00602588">
        <w:rPr>
          <w:rFonts w:ascii="Arial" w:hAnsi="Arial" w:cs="Arial"/>
          <w:b/>
          <w:sz w:val="24"/>
          <w:szCs w:val="24"/>
        </w:rPr>
        <w:t xml:space="preserve"> </w:t>
      </w:r>
      <w:r w:rsidRPr="00602588">
        <w:rPr>
          <w:rFonts w:ascii="Arial" w:hAnsi="Arial" w:cs="Arial"/>
          <w:sz w:val="24"/>
          <w:szCs w:val="24"/>
        </w:rPr>
        <w:t>The quick digitalization of China (WeChat payments, e-commerce) prompted the global integration of the digital consumer engagement by Coca-Cola (McKinsey, 2024).</w:t>
      </w:r>
      <w:r w:rsidR="0019171D">
        <w:rPr>
          <w:rFonts w:ascii="Arial" w:hAnsi="Arial" w:cs="Arial"/>
          <w:b/>
          <w:sz w:val="24"/>
          <w:szCs w:val="24"/>
        </w:rPr>
        <w:t xml:space="preserve"> </w:t>
      </w:r>
      <w:r w:rsidRPr="0019171D">
        <w:rPr>
          <w:rFonts w:ascii="Arial" w:hAnsi="Arial" w:cs="Arial"/>
          <w:sz w:val="24"/>
          <w:szCs w:val="24"/>
        </w:rPr>
        <w:t>The vending machines ecosystem of Japan resulted in the packaging innovation that was later picked up by other regions of the world</w:t>
      </w:r>
      <w:r w:rsidR="00D85F15" w:rsidRPr="0019171D">
        <w:rPr>
          <w:rFonts w:ascii="Arial" w:hAnsi="Arial" w:cs="Arial"/>
          <w:sz w:val="24"/>
          <w:szCs w:val="24"/>
        </w:rPr>
        <w:t xml:space="preserve"> (Statista, 2024)</w:t>
      </w:r>
      <w:r w:rsidRPr="0019171D">
        <w:rPr>
          <w:rFonts w:ascii="Arial" w:hAnsi="Arial" w:cs="Arial"/>
          <w:sz w:val="24"/>
          <w:szCs w:val="24"/>
        </w:rPr>
        <w:t>.</w:t>
      </w:r>
    </w:p>
    <w:p w14:paraId="775ECAFC" w14:textId="77777777" w:rsidR="00442CB0" w:rsidRPr="0019171D" w:rsidRDefault="00606398" w:rsidP="00606398">
      <w:pPr>
        <w:spacing w:line="360" w:lineRule="auto"/>
        <w:jc w:val="both"/>
        <w:rPr>
          <w:rFonts w:ascii="Arial" w:hAnsi="Arial" w:cs="Arial"/>
          <w:b/>
          <w:sz w:val="24"/>
          <w:szCs w:val="24"/>
        </w:rPr>
      </w:pPr>
      <w:r w:rsidRPr="0019171D">
        <w:rPr>
          <w:rFonts w:ascii="Arial" w:hAnsi="Arial" w:cs="Arial"/>
          <w:sz w:val="24"/>
          <w:szCs w:val="24"/>
          <w:u w:val="single"/>
        </w:rPr>
        <w:t>e. Greater Negotiation Power amongst World Suppliers</w:t>
      </w:r>
      <w:r w:rsidR="0019171D" w:rsidRPr="0019171D">
        <w:rPr>
          <w:rFonts w:ascii="Arial" w:hAnsi="Arial" w:cs="Arial"/>
          <w:sz w:val="24"/>
          <w:szCs w:val="24"/>
          <w:u w:val="single"/>
        </w:rPr>
        <w:t>:</w:t>
      </w:r>
      <w:r w:rsidR="0019171D">
        <w:rPr>
          <w:rFonts w:ascii="Arial" w:hAnsi="Arial" w:cs="Arial"/>
          <w:b/>
          <w:sz w:val="24"/>
          <w:szCs w:val="24"/>
        </w:rPr>
        <w:t xml:space="preserve"> </w:t>
      </w:r>
      <w:r w:rsidRPr="00606398">
        <w:rPr>
          <w:rFonts w:ascii="Arial" w:hAnsi="Arial" w:cs="Arial"/>
          <w:sz w:val="24"/>
          <w:szCs w:val="24"/>
        </w:rPr>
        <w:t>The global procurement platform of Coca-Cola provides the company with the opportunity to buy sugar, resin, cans, and sweeteners in large quantities, which help decrease costs and boost the resilience of th</w:t>
      </w:r>
      <w:r>
        <w:rPr>
          <w:rFonts w:ascii="Arial" w:hAnsi="Arial" w:cs="Arial"/>
          <w:sz w:val="24"/>
          <w:szCs w:val="24"/>
        </w:rPr>
        <w:t>e supply chain (Deloitte, 2023)</w:t>
      </w:r>
      <w:r w:rsidR="00442CB0" w:rsidRPr="00F2383F">
        <w:rPr>
          <w:rFonts w:ascii="Arial" w:hAnsi="Arial" w:cs="Arial"/>
          <w:sz w:val="24"/>
          <w:szCs w:val="24"/>
        </w:rPr>
        <w:t>.</w:t>
      </w:r>
    </w:p>
    <w:p w14:paraId="0A9E2335" w14:textId="77777777" w:rsidR="00442CB0" w:rsidRPr="00F2383F" w:rsidRDefault="00442CB0" w:rsidP="00B036AA">
      <w:pPr>
        <w:pStyle w:val="Heading2"/>
      </w:pPr>
      <w:bookmarkStart w:id="6" w:name="_Toc216539891"/>
      <w:r w:rsidRPr="00F2383F">
        <w:t>2.5 Challenges Associated with International Operations</w:t>
      </w:r>
      <w:bookmarkEnd w:id="6"/>
    </w:p>
    <w:p w14:paraId="6FB94CE4" w14:textId="77777777" w:rsidR="00606398" w:rsidRPr="0019171D" w:rsidRDefault="00606398" w:rsidP="00606398">
      <w:pPr>
        <w:spacing w:line="360" w:lineRule="auto"/>
        <w:jc w:val="both"/>
        <w:rPr>
          <w:rFonts w:ascii="Arial" w:hAnsi="Arial" w:cs="Arial"/>
          <w:b/>
          <w:sz w:val="24"/>
          <w:szCs w:val="24"/>
        </w:rPr>
      </w:pPr>
      <w:proofErr w:type="spellStart"/>
      <w:r w:rsidRPr="0019171D">
        <w:rPr>
          <w:rFonts w:ascii="Arial" w:hAnsi="Arial" w:cs="Arial"/>
          <w:sz w:val="24"/>
          <w:szCs w:val="24"/>
          <w:u w:val="single"/>
        </w:rPr>
        <w:t>i</w:t>
      </w:r>
      <w:proofErr w:type="spellEnd"/>
      <w:r w:rsidRPr="0019171D">
        <w:rPr>
          <w:rFonts w:ascii="Arial" w:hAnsi="Arial" w:cs="Arial"/>
          <w:sz w:val="24"/>
          <w:szCs w:val="24"/>
          <w:u w:val="single"/>
        </w:rPr>
        <w:t>. Complexity of regulations and restriction of FDI</w:t>
      </w:r>
      <w:r w:rsidR="0019171D" w:rsidRPr="0019171D">
        <w:rPr>
          <w:rFonts w:ascii="Arial" w:hAnsi="Arial" w:cs="Arial"/>
          <w:sz w:val="24"/>
          <w:szCs w:val="24"/>
          <w:u w:val="single"/>
        </w:rPr>
        <w:t>:</w:t>
      </w:r>
      <w:r w:rsidR="0019171D">
        <w:rPr>
          <w:rFonts w:ascii="Arial" w:hAnsi="Arial" w:cs="Arial"/>
          <w:b/>
          <w:sz w:val="24"/>
          <w:szCs w:val="24"/>
        </w:rPr>
        <w:t xml:space="preserve"> </w:t>
      </w:r>
      <w:r w:rsidRPr="00606398">
        <w:rPr>
          <w:rFonts w:ascii="Arial" w:hAnsi="Arial" w:cs="Arial"/>
          <w:sz w:val="24"/>
          <w:szCs w:val="24"/>
        </w:rPr>
        <w:t>Emerging markets like China will need joint ventures and highly restrict the consumption of beverages, with restrictions including the use of the sweetener and the advertising prohibition (Zhao and Keith, 2023). Coca-Cola needs to continually respond to changes in the environmental, health and competition laws.</w:t>
      </w:r>
    </w:p>
    <w:p w14:paraId="32C7C037" w14:textId="77777777" w:rsidR="00606398" w:rsidRPr="0019171D" w:rsidRDefault="00606398" w:rsidP="00606398">
      <w:pPr>
        <w:spacing w:line="360" w:lineRule="auto"/>
        <w:jc w:val="both"/>
        <w:rPr>
          <w:rFonts w:ascii="Arial" w:hAnsi="Arial" w:cs="Arial"/>
          <w:b/>
          <w:sz w:val="24"/>
          <w:szCs w:val="24"/>
        </w:rPr>
      </w:pPr>
      <w:r w:rsidRPr="0019171D">
        <w:rPr>
          <w:rFonts w:ascii="Arial" w:hAnsi="Arial" w:cs="Arial"/>
          <w:sz w:val="24"/>
          <w:szCs w:val="24"/>
          <w:u w:val="single"/>
        </w:rPr>
        <w:t>ii. Cultural and Taste Discrimination</w:t>
      </w:r>
      <w:r w:rsidR="0019171D" w:rsidRPr="0019171D">
        <w:rPr>
          <w:rFonts w:ascii="Arial" w:hAnsi="Arial" w:cs="Arial"/>
          <w:sz w:val="24"/>
          <w:szCs w:val="24"/>
          <w:u w:val="single"/>
        </w:rPr>
        <w:t>:</w:t>
      </w:r>
      <w:r w:rsidR="0019171D">
        <w:rPr>
          <w:rFonts w:ascii="Arial" w:hAnsi="Arial" w:cs="Arial"/>
          <w:b/>
          <w:sz w:val="24"/>
          <w:szCs w:val="24"/>
        </w:rPr>
        <w:t xml:space="preserve"> </w:t>
      </w:r>
      <w:r w:rsidRPr="00606398">
        <w:rPr>
          <w:rFonts w:ascii="Arial" w:hAnsi="Arial" w:cs="Arial"/>
          <w:sz w:val="24"/>
          <w:szCs w:val="24"/>
        </w:rPr>
        <w:t>The tastes and preferences of consumers differ significant</w:t>
      </w:r>
      <w:r>
        <w:rPr>
          <w:rFonts w:ascii="Arial" w:hAnsi="Arial" w:cs="Arial"/>
          <w:sz w:val="24"/>
          <w:szCs w:val="24"/>
        </w:rPr>
        <w:t xml:space="preserve">ly across markets. For example: </w:t>
      </w:r>
      <w:r w:rsidRPr="00606398">
        <w:rPr>
          <w:rFonts w:ascii="Arial" w:hAnsi="Arial" w:cs="Arial"/>
          <w:sz w:val="24"/>
          <w:szCs w:val="24"/>
        </w:rPr>
        <w:t>The Chinese consumers are more partial to less carbonated and less sw</w:t>
      </w:r>
      <w:r>
        <w:rPr>
          <w:rFonts w:ascii="Arial" w:hAnsi="Arial" w:cs="Arial"/>
          <w:sz w:val="24"/>
          <w:szCs w:val="24"/>
        </w:rPr>
        <w:t xml:space="preserve">eet drinks (Euromonitor, 2024). </w:t>
      </w:r>
      <w:r w:rsidRPr="00606398">
        <w:rPr>
          <w:rFonts w:ascii="Arial" w:hAnsi="Arial" w:cs="Arial"/>
          <w:sz w:val="24"/>
          <w:szCs w:val="24"/>
        </w:rPr>
        <w:t>Another factor that modifies products is the tradit</w:t>
      </w:r>
      <w:r w:rsidR="00D85F15">
        <w:rPr>
          <w:rFonts w:ascii="Arial" w:hAnsi="Arial" w:cs="Arial"/>
          <w:sz w:val="24"/>
          <w:szCs w:val="24"/>
        </w:rPr>
        <w:t xml:space="preserve">ional flavors like herbal teas. </w:t>
      </w:r>
      <w:r w:rsidRPr="00606398">
        <w:rPr>
          <w:rFonts w:ascii="Arial" w:hAnsi="Arial" w:cs="Arial"/>
          <w:sz w:val="24"/>
          <w:szCs w:val="24"/>
        </w:rPr>
        <w:t>Coca-Cola has been compelled to come up with localized drinks and this makes operations complex.</w:t>
      </w:r>
    </w:p>
    <w:p w14:paraId="3425BB59" w14:textId="77777777" w:rsidR="00606398" w:rsidRPr="0019171D" w:rsidRDefault="00606398" w:rsidP="00606398">
      <w:pPr>
        <w:spacing w:line="360" w:lineRule="auto"/>
        <w:jc w:val="both"/>
        <w:rPr>
          <w:rFonts w:ascii="Arial" w:hAnsi="Arial" w:cs="Arial"/>
          <w:b/>
          <w:sz w:val="24"/>
          <w:szCs w:val="24"/>
        </w:rPr>
      </w:pPr>
      <w:r w:rsidRPr="0019171D">
        <w:rPr>
          <w:rFonts w:ascii="Arial" w:hAnsi="Arial" w:cs="Arial"/>
          <w:sz w:val="24"/>
          <w:szCs w:val="24"/>
          <w:u w:val="single"/>
        </w:rPr>
        <w:t>iii. Political and Geopolitical Risks</w:t>
      </w:r>
      <w:r w:rsidR="0019171D" w:rsidRPr="0019171D">
        <w:rPr>
          <w:rFonts w:ascii="Arial" w:hAnsi="Arial" w:cs="Arial"/>
          <w:sz w:val="24"/>
          <w:szCs w:val="24"/>
          <w:u w:val="single"/>
        </w:rPr>
        <w:t>:</w:t>
      </w:r>
      <w:r w:rsidR="0019171D">
        <w:rPr>
          <w:rFonts w:ascii="Arial" w:hAnsi="Arial" w:cs="Arial"/>
          <w:b/>
          <w:sz w:val="24"/>
          <w:szCs w:val="24"/>
        </w:rPr>
        <w:t xml:space="preserve"> </w:t>
      </w:r>
      <w:r w:rsidRPr="00606398">
        <w:rPr>
          <w:rFonts w:ascii="Arial" w:hAnsi="Arial" w:cs="Arial"/>
          <w:sz w:val="24"/>
          <w:szCs w:val="24"/>
        </w:rPr>
        <w:t>The dispute between the U.S. and China has heightened skepticism on the American brands. Coca-Cola is forced to deal with the possible reputational consequences, the nationalistic consumerism, and regulatory sluggishness (Chen, 2021).</w:t>
      </w:r>
    </w:p>
    <w:p w14:paraId="2691161B" w14:textId="77777777" w:rsidR="00606398" w:rsidRPr="0019171D" w:rsidRDefault="00606398" w:rsidP="00606398">
      <w:pPr>
        <w:spacing w:line="360" w:lineRule="auto"/>
        <w:jc w:val="both"/>
        <w:rPr>
          <w:rFonts w:ascii="Arial" w:hAnsi="Arial" w:cs="Arial"/>
          <w:b/>
          <w:sz w:val="24"/>
          <w:szCs w:val="24"/>
        </w:rPr>
      </w:pPr>
      <w:r w:rsidRPr="0019171D">
        <w:rPr>
          <w:rFonts w:ascii="Arial" w:hAnsi="Arial" w:cs="Arial"/>
          <w:sz w:val="24"/>
          <w:szCs w:val="24"/>
          <w:u w:val="single"/>
        </w:rPr>
        <w:lastRenderedPageBreak/>
        <w:t>iv. Vulnerability of the Supply Chain and Inflation</w:t>
      </w:r>
      <w:r w:rsidR="0019171D" w:rsidRPr="0019171D">
        <w:rPr>
          <w:rFonts w:ascii="Arial" w:hAnsi="Arial" w:cs="Arial"/>
          <w:sz w:val="24"/>
          <w:szCs w:val="24"/>
          <w:u w:val="single"/>
        </w:rPr>
        <w:t>:</w:t>
      </w:r>
      <w:r w:rsidR="0019171D">
        <w:rPr>
          <w:rFonts w:ascii="Arial" w:hAnsi="Arial" w:cs="Arial"/>
          <w:b/>
          <w:sz w:val="24"/>
          <w:szCs w:val="24"/>
        </w:rPr>
        <w:t xml:space="preserve"> </w:t>
      </w:r>
      <w:r w:rsidRPr="00606398">
        <w:rPr>
          <w:rFonts w:ascii="Arial" w:hAnsi="Arial" w:cs="Arial"/>
          <w:sz w:val="24"/>
          <w:szCs w:val="24"/>
        </w:rPr>
        <w:t>The world supply chains are also experiencing increased expense on sugar, aluminum, CO2 and disrupted logistics. The logistical challenge of emerging economies is the difference in infrastructure, climate risks and unpredictable distribution channels (Deloitte, 2023).</w:t>
      </w:r>
    </w:p>
    <w:p w14:paraId="2709DC4E" w14:textId="77777777" w:rsidR="00442CB0" w:rsidRPr="0019171D" w:rsidRDefault="00606398" w:rsidP="00606398">
      <w:pPr>
        <w:spacing w:line="360" w:lineRule="auto"/>
        <w:jc w:val="both"/>
        <w:rPr>
          <w:rFonts w:ascii="Arial" w:hAnsi="Arial" w:cs="Arial"/>
          <w:b/>
          <w:sz w:val="24"/>
          <w:szCs w:val="24"/>
        </w:rPr>
      </w:pPr>
      <w:r w:rsidRPr="0019171D">
        <w:rPr>
          <w:rFonts w:ascii="Arial" w:hAnsi="Arial" w:cs="Arial"/>
          <w:sz w:val="24"/>
          <w:szCs w:val="24"/>
          <w:u w:val="single"/>
        </w:rPr>
        <w:t>v. Sustainability Expectati</w:t>
      </w:r>
      <w:r w:rsidR="0019171D" w:rsidRPr="0019171D">
        <w:rPr>
          <w:rFonts w:ascii="Arial" w:hAnsi="Arial" w:cs="Arial"/>
          <w:sz w:val="24"/>
          <w:szCs w:val="24"/>
          <w:u w:val="single"/>
        </w:rPr>
        <w:t>ons and Environmental Pressures:</w:t>
      </w:r>
      <w:r w:rsidR="0019171D">
        <w:rPr>
          <w:rFonts w:ascii="Arial" w:hAnsi="Arial" w:cs="Arial"/>
          <w:b/>
          <w:sz w:val="24"/>
          <w:szCs w:val="24"/>
        </w:rPr>
        <w:t xml:space="preserve"> </w:t>
      </w:r>
      <w:r w:rsidRPr="00606398">
        <w:rPr>
          <w:rFonts w:ascii="Arial" w:hAnsi="Arial" w:cs="Arial"/>
          <w:sz w:val="24"/>
          <w:szCs w:val="24"/>
        </w:rPr>
        <w:t>Being one of the biggest plastic waste manufacturers, Coca-Cola can witness growing regulatory pressure by governments and non-governmental organizations (Greenpeace, 2023). The most recent policy of the aggressive Plastic Ban 2.0 by China obliges Coca-Cola to redesign its packaging</w:t>
      </w:r>
      <w:r>
        <w:rPr>
          <w:rFonts w:ascii="Arial" w:hAnsi="Arial" w:cs="Arial"/>
          <w:sz w:val="24"/>
          <w:szCs w:val="24"/>
        </w:rPr>
        <w:t xml:space="preserve"> and expedite recycling efforts</w:t>
      </w:r>
      <w:r w:rsidR="00442CB0" w:rsidRPr="00F2383F">
        <w:rPr>
          <w:rFonts w:ascii="Arial" w:hAnsi="Arial" w:cs="Arial"/>
          <w:sz w:val="24"/>
          <w:szCs w:val="24"/>
        </w:rPr>
        <w:t>.</w:t>
      </w:r>
    </w:p>
    <w:p w14:paraId="405575A7" w14:textId="77777777" w:rsidR="000F1E51" w:rsidRDefault="000F1E51" w:rsidP="00F2383F">
      <w:pPr>
        <w:spacing w:line="360" w:lineRule="auto"/>
        <w:jc w:val="both"/>
        <w:rPr>
          <w:rFonts w:ascii="Arial" w:hAnsi="Arial" w:cs="Arial"/>
          <w:sz w:val="24"/>
          <w:szCs w:val="24"/>
        </w:rPr>
      </w:pPr>
    </w:p>
    <w:p w14:paraId="298F4EED" w14:textId="77777777" w:rsidR="004514C2" w:rsidRDefault="004514C2" w:rsidP="004514C2">
      <w:pPr>
        <w:spacing w:line="360" w:lineRule="auto"/>
        <w:jc w:val="center"/>
        <w:rPr>
          <w:rFonts w:ascii="Arial" w:hAnsi="Arial" w:cs="Arial"/>
          <w:sz w:val="24"/>
          <w:szCs w:val="24"/>
        </w:rPr>
      </w:pPr>
      <w:r w:rsidRPr="004514C2">
        <w:rPr>
          <w:rFonts w:ascii="Arial" w:hAnsi="Arial" w:cs="Arial"/>
          <w:noProof/>
          <w:sz w:val="24"/>
          <w:szCs w:val="24"/>
        </w:rPr>
        <w:drawing>
          <wp:inline distT="0" distB="0" distL="0" distR="0" wp14:anchorId="425EF49D" wp14:editId="4FDAF66A">
            <wp:extent cx="4533900" cy="2246903"/>
            <wp:effectExtent l="0" t="0" r="0" b="1270"/>
            <wp:docPr id="9" name="Picture 9" descr="D:\ASSIGNMENT WORK\PIYUSH HCM\intl busin conc cocacola\dist chann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D:\ASSIGNMENT WORK\PIYUSH HCM\intl busin conc cocacola\dist channel.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5614" cy="2267576"/>
                    </a:xfrm>
                    <a:prstGeom prst="rect">
                      <a:avLst/>
                    </a:prstGeom>
                    <a:noFill/>
                    <a:ln>
                      <a:noFill/>
                    </a:ln>
                  </pic:spPr>
                </pic:pic>
              </a:graphicData>
            </a:graphic>
          </wp:inline>
        </w:drawing>
      </w:r>
    </w:p>
    <w:p w14:paraId="79D3A9F8" w14:textId="77777777" w:rsidR="008B291E" w:rsidRPr="008B291E" w:rsidRDefault="008B291E" w:rsidP="004514C2">
      <w:pPr>
        <w:spacing w:line="360" w:lineRule="auto"/>
        <w:jc w:val="center"/>
        <w:rPr>
          <w:rFonts w:ascii="Arial" w:hAnsi="Arial" w:cs="Arial"/>
          <w:b/>
          <w:sz w:val="24"/>
          <w:szCs w:val="24"/>
        </w:rPr>
      </w:pPr>
      <w:r w:rsidRPr="008B291E">
        <w:rPr>
          <w:rFonts w:ascii="Arial" w:hAnsi="Arial" w:cs="Arial"/>
          <w:b/>
          <w:sz w:val="24"/>
          <w:szCs w:val="24"/>
        </w:rPr>
        <w:t>Figure 6: Coca-Cola Distribution Channel</w:t>
      </w:r>
    </w:p>
    <w:p w14:paraId="482C810F" w14:textId="77777777" w:rsidR="008B291E" w:rsidRPr="008B291E" w:rsidRDefault="008B291E" w:rsidP="004514C2">
      <w:pPr>
        <w:spacing w:line="360" w:lineRule="auto"/>
        <w:jc w:val="center"/>
        <w:rPr>
          <w:rFonts w:ascii="Arial" w:hAnsi="Arial" w:cs="Arial"/>
          <w:i/>
          <w:sz w:val="24"/>
          <w:szCs w:val="24"/>
        </w:rPr>
      </w:pPr>
      <w:r w:rsidRPr="008B291E">
        <w:rPr>
          <w:rFonts w:ascii="Arial" w:hAnsi="Arial" w:cs="Arial"/>
          <w:i/>
          <w:sz w:val="24"/>
          <w:szCs w:val="24"/>
        </w:rPr>
        <w:t>(Source: Coca-Cola company)</w:t>
      </w:r>
    </w:p>
    <w:p w14:paraId="6E6000ED" w14:textId="77777777" w:rsidR="00442CB0" w:rsidRPr="00F2383F" w:rsidRDefault="00442CB0" w:rsidP="00B036AA">
      <w:pPr>
        <w:pStyle w:val="Heading2"/>
      </w:pPr>
      <w:bookmarkStart w:id="7" w:name="_Toc216539892"/>
      <w:r w:rsidRPr="00F2383F">
        <w:t>2.6 Table Summary: Benefits vs Challenges of Coca-Cola’s International Operations</w:t>
      </w:r>
      <w:bookmarkEnd w:id="7"/>
    </w:p>
    <w:p w14:paraId="74107430"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Table 2. Benefits and Challenges Overview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1"/>
        <w:gridCol w:w="30"/>
        <w:gridCol w:w="6049"/>
      </w:tblGrid>
      <w:tr w:rsidR="00442CB0" w:rsidRPr="00F2383F" w14:paraId="643E7D61" w14:textId="77777777" w:rsidTr="00F2383F">
        <w:trPr>
          <w:tblHeader/>
          <w:tblCellSpacing w:w="15" w:type="dxa"/>
        </w:trPr>
        <w:tc>
          <w:tcPr>
            <w:tcW w:w="0" w:type="auto"/>
            <w:gridSpan w:val="2"/>
            <w:vAlign w:val="center"/>
            <w:hideMark/>
          </w:tcPr>
          <w:p w14:paraId="36464B73"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Benefits</w:t>
            </w:r>
          </w:p>
        </w:tc>
        <w:tc>
          <w:tcPr>
            <w:tcW w:w="0" w:type="auto"/>
            <w:vAlign w:val="center"/>
            <w:hideMark/>
          </w:tcPr>
          <w:p w14:paraId="41C957EA"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Explanation</w:t>
            </w:r>
          </w:p>
        </w:tc>
      </w:tr>
      <w:tr w:rsidR="00442CB0" w:rsidRPr="00F2383F" w14:paraId="2D22F9ED" w14:textId="77777777" w:rsidTr="00F2383F">
        <w:trPr>
          <w:tblCellSpacing w:w="15" w:type="dxa"/>
        </w:trPr>
        <w:tc>
          <w:tcPr>
            <w:tcW w:w="0" w:type="auto"/>
            <w:gridSpan w:val="2"/>
            <w:vAlign w:val="center"/>
            <w:hideMark/>
          </w:tcPr>
          <w:p w14:paraId="4C5CD61E"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Economies of scale</w:t>
            </w:r>
          </w:p>
        </w:tc>
        <w:tc>
          <w:tcPr>
            <w:tcW w:w="0" w:type="auto"/>
            <w:vAlign w:val="center"/>
            <w:hideMark/>
          </w:tcPr>
          <w:p w14:paraId="208F1B9C"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Lower average costs from global production.</w:t>
            </w:r>
          </w:p>
        </w:tc>
      </w:tr>
      <w:tr w:rsidR="00442CB0" w:rsidRPr="00F2383F" w14:paraId="644298FB" w14:textId="77777777" w:rsidTr="00F2383F">
        <w:trPr>
          <w:tblCellSpacing w:w="15" w:type="dxa"/>
        </w:trPr>
        <w:tc>
          <w:tcPr>
            <w:tcW w:w="0" w:type="auto"/>
            <w:gridSpan w:val="2"/>
            <w:vAlign w:val="center"/>
            <w:hideMark/>
          </w:tcPr>
          <w:p w14:paraId="31DAD32A"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lastRenderedPageBreak/>
              <w:t>Access to high-growth markets</w:t>
            </w:r>
          </w:p>
        </w:tc>
        <w:tc>
          <w:tcPr>
            <w:tcW w:w="0" w:type="auto"/>
            <w:vAlign w:val="center"/>
            <w:hideMark/>
          </w:tcPr>
          <w:p w14:paraId="32E3B279"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Revenue growth from China and emerging economies.</w:t>
            </w:r>
          </w:p>
        </w:tc>
      </w:tr>
      <w:tr w:rsidR="00442CB0" w:rsidRPr="00F2383F" w14:paraId="602C45E9" w14:textId="77777777" w:rsidTr="00F2383F">
        <w:trPr>
          <w:tblCellSpacing w:w="15" w:type="dxa"/>
        </w:trPr>
        <w:tc>
          <w:tcPr>
            <w:tcW w:w="0" w:type="auto"/>
            <w:gridSpan w:val="2"/>
            <w:vAlign w:val="center"/>
            <w:hideMark/>
          </w:tcPr>
          <w:p w14:paraId="69F3CAE5"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Risk diversification</w:t>
            </w:r>
          </w:p>
        </w:tc>
        <w:tc>
          <w:tcPr>
            <w:tcW w:w="0" w:type="auto"/>
            <w:vAlign w:val="center"/>
            <w:hideMark/>
          </w:tcPr>
          <w:p w14:paraId="48BB9ABE"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Multi-market presence reduces volatility.</w:t>
            </w:r>
          </w:p>
        </w:tc>
      </w:tr>
      <w:tr w:rsidR="00442CB0" w:rsidRPr="00F2383F" w14:paraId="192A9EC2" w14:textId="77777777" w:rsidTr="00F2383F">
        <w:trPr>
          <w:tblCellSpacing w:w="15" w:type="dxa"/>
        </w:trPr>
        <w:tc>
          <w:tcPr>
            <w:tcW w:w="0" w:type="auto"/>
            <w:gridSpan w:val="2"/>
            <w:vAlign w:val="center"/>
            <w:hideMark/>
          </w:tcPr>
          <w:p w14:paraId="1D82E226"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Innovation spillovers</w:t>
            </w:r>
          </w:p>
        </w:tc>
        <w:tc>
          <w:tcPr>
            <w:tcW w:w="0" w:type="auto"/>
            <w:vAlign w:val="center"/>
            <w:hideMark/>
          </w:tcPr>
          <w:p w14:paraId="412A91DD"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Learning from diverse markets improves R&amp;D.</w:t>
            </w:r>
          </w:p>
        </w:tc>
      </w:tr>
      <w:tr w:rsidR="00442CB0" w:rsidRPr="00F2383F" w14:paraId="260CD3FE" w14:textId="77777777" w:rsidTr="00F2383F">
        <w:trPr>
          <w:tblCellSpacing w:w="15" w:type="dxa"/>
        </w:trPr>
        <w:tc>
          <w:tcPr>
            <w:tcW w:w="0" w:type="auto"/>
            <w:gridSpan w:val="2"/>
            <w:vAlign w:val="center"/>
            <w:hideMark/>
          </w:tcPr>
          <w:p w14:paraId="1319394B"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Supplier bargaining power</w:t>
            </w:r>
          </w:p>
        </w:tc>
        <w:tc>
          <w:tcPr>
            <w:tcW w:w="0" w:type="auto"/>
            <w:vAlign w:val="center"/>
            <w:hideMark/>
          </w:tcPr>
          <w:p w14:paraId="49B7AA4B"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Global procurement reduces raw material costs.</w:t>
            </w:r>
          </w:p>
        </w:tc>
      </w:tr>
      <w:tr w:rsidR="00442CB0" w:rsidRPr="00F2383F" w14:paraId="32E35B3E" w14:textId="77777777" w:rsidTr="00B036AA">
        <w:trPr>
          <w:tblHeader/>
          <w:tblCellSpacing w:w="15" w:type="dxa"/>
        </w:trPr>
        <w:tc>
          <w:tcPr>
            <w:tcW w:w="0" w:type="auto"/>
            <w:vAlign w:val="center"/>
            <w:hideMark/>
          </w:tcPr>
          <w:p w14:paraId="552D7B75"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Challenges</w:t>
            </w:r>
          </w:p>
        </w:tc>
        <w:tc>
          <w:tcPr>
            <w:tcW w:w="6346" w:type="dxa"/>
            <w:gridSpan w:val="2"/>
            <w:vAlign w:val="center"/>
            <w:hideMark/>
          </w:tcPr>
          <w:p w14:paraId="4CE61C95"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Explanation</w:t>
            </w:r>
          </w:p>
        </w:tc>
      </w:tr>
      <w:tr w:rsidR="00442CB0" w:rsidRPr="00F2383F" w14:paraId="726110E3" w14:textId="77777777" w:rsidTr="00B036AA">
        <w:trPr>
          <w:tblCellSpacing w:w="15" w:type="dxa"/>
        </w:trPr>
        <w:tc>
          <w:tcPr>
            <w:tcW w:w="0" w:type="auto"/>
            <w:vAlign w:val="center"/>
            <w:hideMark/>
          </w:tcPr>
          <w:p w14:paraId="57302E91"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Regulatory constraints</w:t>
            </w:r>
          </w:p>
        </w:tc>
        <w:tc>
          <w:tcPr>
            <w:tcW w:w="6346" w:type="dxa"/>
            <w:gridSpan w:val="2"/>
            <w:vAlign w:val="center"/>
            <w:hideMark/>
          </w:tcPr>
          <w:p w14:paraId="6E7750BB"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China’s FDI limits and product regulations.</w:t>
            </w:r>
          </w:p>
        </w:tc>
      </w:tr>
      <w:tr w:rsidR="00442CB0" w:rsidRPr="00F2383F" w14:paraId="55A25DDA" w14:textId="77777777" w:rsidTr="00B036AA">
        <w:trPr>
          <w:tblCellSpacing w:w="15" w:type="dxa"/>
        </w:trPr>
        <w:tc>
          <w:tcPr>
            <w:tcW w:w="0" w:type="auto"/>
            <w:vAlign w:val="center"/>
            <w:hideMark/>
          </w:tcPr>
          <w:p w14:paraId="10D1D785"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Cultural/taste differences</w:t>
            </w:r>
          </w:p>
        </w:tc>
        <w:tc>
          <w:tcPr>
            <w:tcW w:w="6346" w:type="dxa"/>
            <w:gridSpan w:val="2"/>
            <w:vAlign w:val="center"/>
            <w:hideMark/>
          </w:tcPr>
          <w:p w14:paraId="5D45B0F4"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Need for local product adaptation.</w:t>
            </w:r>
          </w:p>
        </w:tc>
      </w:tr>
      <w:tr w:rsidR="00442CB0" w:rsidRPr="00F2383F" w14:paraId="44D43121" w14:textId="77777777" w:rsidTr="00B036AA">
        <w:trPr>
          <w:tblCellSpacing w:w="15" w:type="dxa"/>
        </w:trPr>
        <w:tc>
          <w:tcPr>
            <w:tcW w:w="0" w:type="auto"/>
            <w:vAlign w:val="center"/>
            <w:hideMark/>
          </w:tcPr>
          <w:p w14:paraId="50F74C89"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Political/geopolitical risk</w:t>
            </w:r>
          </w:p>
        </w:tc>
        <w:tc>
          <w:tcPr>
            <w:tcW w:w="6346" w:type="dxa"/>
            <w:gridSpan w:val="2"/>
            <w:vAlign w:val="center"/>
            <w:hideMark/>
          </w:tcPr>
          <w:p w14:paraId="3A400387"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US–China tensions affecting brand perception.</w:t>
            </w:r>
          </w:p>
        </w:tc>
      </w:tr>
      <w:tr w:rsidR="00442CB0" w:rsidRPr="00F2383F" w14:paraId="1ABE9536" w14:textId="77777777" w:rsidTr="00B036AA">
        <w:trPr>
          <w:tblCellSpacing w:w="15" w:type="dxa"/>
        </w:trPr>
        <w:tc>
          <w:tcPr>
            <w:tcW w:w="0" w:type="auto"/>
            <w:vAlign w:val="center"/>
            <w:hideMark/>
          </w:tcPr>
          <w:p w14:paraId="1B6D85B9"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Supply chain disruptions</w:t>
            </w:r>
          </w:p>
        </w:tc>
        <w:tc>
          <w:tcPr>
            <w:tcW w:w="6346" w:type="dxa"/>
            <w:gridSpan w:val="2"/>
            <w:vAlign w:val="center"/>
            <w:hideMark/>
          </w:tcPr>
          <w:p w14:paraId="53AFCFAA"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Inflation, logistics delays, climate risks.</w:t>
            </w:r>
          </w:p>
        </w:tc>
      </w:tr>
      <w:tr w:rsidR="00442CB0" w:rsidRPr="00F2383F" w14:paraId="54497C21" w14:textId="77777777" w:rsidTr="00B036AA">
        <w:trPr>
          <w:tblCellSpacing w:w="15" w:type="dxa"/>
        </w:trPr>
        <w:tc>
          <w:tcPr>
            <w:tcW w:w="0" w:type="auto"/>
            <w:vAlign w:val="center"/>
            <w:hideMark/>
          </w:tcPr>
          <w:p w14:paraId="1C6EF40A"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Sustainability pressures</w:t>
            </w:r>
          </w:p>
        </w:tc>
        <w:tc>
          <w:tcPr>
            <w:tcW w:w="6346" w:type="dxa"/>
            <w:gridSpan w:val="2"/>
            <w:vAlign w:val="center"/>
            <w:hideMark/>
          </w:tcPr>
          <w:p w14:paraId="6794D8AE" w14:textId="77777777" w:rsidR="00442CB0" w:rsidRPr="00F2383F" w:rsidRDefault="00442CB0" w:rsidP="00F2383F">
            <w:pPr>
              <w:spacing w:line="360" w:lineRule="auto"/>
              <w:rPr>
                <w:rFonts w:ascii="Arial" w:hAnsi="Arial" w:cs="Arial"/>
                <w:sz w:val="24"/>
                <w:szCs w:val="24"/>
              </w:rPr>
            </w:pPr>
            <w:r w:rsidRPr="00F2383F">
              <w:rPr>
                <w:rFonts w:ascii="Arial" w:hAnsi="Arial" w:cs="Arial"/>
                <w:sz w:val="24"/>
                <w:szCs w:val="24"/>
              </w:rPr>
              <w:t>Packaging regulations and environmental activism.</w:t>
            </w:r>
          </w:p>
        </w:tc>
      </w:tr>
    </w:tbl>
    <w:p w14:paraId="222BCD90" w14:textId="77777777" w:rsidR="00442CB0" w:rsidRPr="00F2383F" w:rsidRDefault="00442CB0" w:rsidP="00F2383F">
      <w:pPr>
        <w:spacing w:line="360" w:lineRule="auto"/>
        <w:rPr>
          <w:rFonts w:ascii="Arial" w:hAnsi="Arial" w:cs="Arial"/>
          <w:sz w:val="24"/>
          <w:szCs w:val="24"/>
        </w:rPr>
      </w:pPr>
    </w:p>
    <w:p w14:paraId="0579E369" w14:textId="77777777" w:rsidR="00442CB0" w:rsidRPr="00F2383F" w:rsidRDefault="00442CB0" w:rsidP="00B036AA">
      <w:pPr>
        <w:pStyle w:val="Heading2"/>
      </w:pPr>
      <w:bookmarkStart w:id="8" w:name="_Toc216539893"/>
      <w:r w:rsidRPr="00F2383F">
        <w:t>2.7 Critical Synthesis</w:t>
      </w:r>
      <w:bookmarkEnd w:id="8"/>
    </w:p>
    <w:p w14:paraId="3015DB4F" w14:textId="77777777" w:rsidR="00442CB0" w:rsidRDefault="003C0A66" w:rsidP="00F2383F">
      <w:pPr>
        <w:spacing w:line="360" w:lineRule="auto"/>
        <w:jc w:val="both"/>
        <w:rPr>
          <w:rFonts w:ascii="Arial" w:hAnsi="Arial" w:cs="Arial"/>
          <w:sz w:val="24"/>
          <w:szCs w:val="24"/>
        </w:rPr>
      </w:pPr>
      <w:r w:rsidRPr="003C0A66">
        <w:rPr>
          <w:rFonts w:ascii="Arial" w:hAnsi="Arial" w:cs="Arial"/>
          <w:sz w:val="24"/>
          <w:szCs w:val="24"/>
        </w:rPr>
        <w:t xml:space="preserve">The international business operations provide large scale strategic advantages to Coca-Cola in terms of scale, learning and diversification but they also present the company with complex institutional, cultural and regulatory environments. In the markets like China, the company enjoys enormous consumer demand, fine digital infrastructure and state-supported distribution partnerships. But this setting is associated with specific challenges as well: it is controlled by state regulations, consumer health trends are transforming very quickly, and the expectations of environmental compliance are growing. Global consistency and local adaptation </w:t>
      </w:r>
      <w:proofErr w:type="gramStart"/>
      <w:r w:rsidRPr="003C0A66">
        <w:rPr>
          <w:rFonts w:ascii="Arial" w:hAnsi="Arial" w:cs="Arial"/>
          <w:sz w:val="24"/>
          <w:szCs w:val="24"/>
        </w:rPr>
        <w:t>is</w:t>
      </w:r>
      <w:proofErr w:type="gramEnd"/>
      <w:r w:rsidRPr="003C0A66">
        <w:rPr>
          <w:rFonts w:ascii="Arial" w:hAnsi="Arial" w:cs="Arial"/>
          <w:sz w:val="24"/>
          <w:szCs w:val="24"/>
        </w:rPr>
        <w:t xml:space="preserve"> highly strategic and is thus vital. Lack of successfully maneuvering these complexities poses the danger of declining competitiveness, reputation issues and declining market penetrations. In general, the internationalization </w:t>
      </w:r>
      <w:r w:rsidRPr="003C0A66">
        <w:rPr>
          <w:rFonts w:ascii="Arial" w:hAnsi="Arial" w:cs="Arial"/>
          <w:sz w:val="24"/>
          <w:szCs w:val="24"/>
        </w:rPr>
        <w:lastRenderedPageBreak/>
        <w:t>of Coca-Cola into China can be viewed as a good example of the complexity of the relationships between global strategy and local responsiveness that are essential in the contem</w:t>
      </w:r>
      <w:r>
        <w:rPr>
          <w:rFonts w:ascii="Arial" w:hAnsi="Arial" w:cs="Arial"/>
          <w:sz w:val="24"/>
          <w:szCs w:val="24"/>
        </w:rPr>
        <w:t>porary multinational operations</w:t>
      </w:r>
      <w:r w:rsidR="00442CB0" w:rsidRPr="00F2383F">
        <w:rPr>
          <w:rFonts w:ascii="Arial" w:hAnsi="Arial" w:cs="Arial"/>
          <w:sz w:val="24"/>
          <w:szCs w:val="24"/>
        </w:rPr>
        <w:t>.</w:t>
      </w:r>
    </w:p>
    <w:p w14:paraId="518B26F6" w14:textId="77777777" w:rsidR="00A10CE2" w:rsidRDefault="00A10CE2" w:rsidP="00F2383F">
      <w:pPr>
        <w:spacing w:line="360" w:lineRule="auto"/>
        <w:jc w:val="both"/>
        <w:rPr>
          <w:rFonts w:ascii="Arial" w:hAnsi="Arial" w:cs="Arial"/>
          <w:sz w:val="24"/>
          <w:szCs w:val="24"/>
        </w:rPr>
      </w:pPr>
    </w:p>
    <w:p w14:paraId="62628D39" w14:textId="77777777" w:rsidR="00A10CE2" w:rsidRDefault="00A10CE2" w:rsidP="00F2383F">
      <w:pPr>
        <w:spacing w:line="360" w:lineRule="auto"/>
        <w:jc w:val="both"/>
        <w:rPr>
          <w:rFonts w:ascii="Arial" w:hAnsi="Arial" w:cs="Arial"/>
          <w:sz w:val="24"/>
          <w:szCs w:val="24"/>
        </w:rPr>
      </w:pPr>
    </w:p>
    <w:p w14:paraId="79D0A616" w14:textId="77777777" w:rsidR="00A10CE2" w:rsidRDefault="00A10CE2" w:rsidP="00F2383F">
      <w:pPr>
        <w:spacing w:line="360" w:lineRule="auto"/>
        <w:jc w:val="both"/>
        <w:rPr>
          <w:rFonts w:ascii="Arial" w:hAnsi="Arial" w:cs="Arial"/>
          <w:sz w:val="24"/>
          <w:szCs w:val="24"/>
        </w:rPr>
      </w:pPr>
    </w:p>
    <w:p w14:paraId="548086CA" w14:textId="77777777" w:rsidR="002A10D8" w:rsidRDefault="002A10D8" w:rsidP="00F2383F">
      <w:pPr>
        <w:spacing w:line="360" w:lineRule="auto"/>
        <w:jc w:val="both"/>
        <w:rPr>
          <w:rFonts w:ascii="Arial" w:hAnsi="Arial" w:cs="Arial"/>
          <w:sz w:val="24"/>
          <w:szCs w:val="24"/>
        </w:rPr>
      </w:pPr>
    </w:p>
    <w:p w14:paraId="61BFC354" w14:textId="77777777" w:rsidR="002A10D8" w:rsidRDefault="002A10D8" w:rsidP="00F2383F">
      <w:pPr>
        <w:spacing w:line="360" w:lineRule="auto"/>
        <w:jc w:val="both"/>
        <w:rPr>
          <w:rFonts w:ascii="Arial" w:hAnsi="Arial" w:cs="Arial"/>
          <w:sz w:val="24"/>
          <w:szCs w:val="24"/>
        </w:rPr>
      </w:pPr>
    </w:p>
    <w:p w14:paraId="14B56674" w14:textId="77777777" w:rsidR="002A10D8" w:rsidRDefault="002A10D8" w:rsidP="00F2383F">
      <w:pPr>
        <w:spacing w:line="360" w:lineRule="auto"/>
        <w:jc w:val="both"/>
        <w:rPr>
          <w:rFonts w:ascii="Arial" w:hAnsi="Arial" w:cs="Arial"/>
          <w:sz w:val="24"/>
          <w:szCs w:val="24"/>
        </w:rPr>
      </w:pPr>
    </w:p>
    <w:p w14:paraId="0E282A10" w14:textId="77777777" w:rsidR="002A10D8" w:rsidRDefault="002A10D8" w:rsidP="00F2383F">
      <w:pPr>
        <w:spacing w:line="360" w:lineRule="auto"/>
        <w:jc w:val="both"/>
        <w:rPr>
          <w:rFonts w:ascii="Arial" w:hAnsi="Arial" w:cs="Arial"/>
          <w:sz w:val="24"/>
          <w:szCs w:val="24"/>
        </w:rPr>
      </w:pPr>
    </w:p>
    <w:p w14:paraId="35E26AF3" w14:textId="77777777" w:rsidR="002A10D8" w:rsidRDefault="002A10D8" w:rsidP="00F2383F">
      <w:pPr>
        <w:spacing w:line="360" w:lineRule="auto"/>
        <w:jc w:val="both"/>
        <w:rPr>
          <w:rFonts w:ascii="Arial" w:hAnsi="Arial" w:cs="Arial"/>
          <w:sz w:val="24"/>
          <w:szCs w:val="24"/>
        </w:rPr>
      </w:pPr>
    </w:p>
    <w:p w14:paraId="4A2DBC86" w14:textId="77777777" w:rsidR="002A10D8" w:rsidRDefault="002A10D8" w:rsidP="00F2383F">
      <w:pPr>
        <w:spacing w:line="360" w:lineRule="auto"/>
        <w:jc w:val="both"/>
        <w:rPr>
          <w:rFonts w:ascii="Arial" w:hAnsi="Arial" w:cs="Arial"/>
          <w:sz w:val="24"/>
          <w:szCs w:val="24"/>
        </w:rPr>
      </w:pPr>
    </w:p>
    <w:p w14:paraId="57A64F1F" w14:textId="77777777" w:rsidR="002A10D8" w:rsidRDefault="002A10D8" w:rsidP="00F2383F">
      <w:pPr>
        <w:spacing w:line="360" w:lineRule="auto"/>
        <w:jc w:val="both"/>
        <w:rPr>
          <w:rFonts w:ascii="Arial" w:hAnsi="Arial" w:cs="Arial"/>
          <w:sz w:val="24"/>
          <w:szCs w:val="24"/>
        </w:rPr>
      </w:pPr>
    </w:p>
    <w:p w14:paraId="22364E6D" w14:textId="77777777" w:rsidR="002A10D8" w:rsidRDefault="002A10D8" w:rsidP="00F2383F">
      <w:pPr>
        <w:spacing w:line="360" w:lineRule="auto"/>
        <w:jc w:val="both"/>
        <w:rPr>
          <w:rFonts w:ascii="Arial" w:hAnsi="Arial" w:cs="Arial"/>
          <w:sz w:val="24"/>
          <w:szCs w:val="24"/>
        </w:rPr>
      </w:pPr>
    </w:p>
    <w:p w14:paraId="186B703C" w14:textId="77777777" w:rsidR="002A10D8" w:rsidRDefault="002A10D8" w:rsidP="00F2383F">
      <w:pPr>
        <w:spacing w:line="360" w:lineRule="auto"/>
        <w:jc w:val="both"/>
        <w:rPr>
          <w:rFonts w:ascii="Arial" w:hAnsi="Arial" w:cs="Arial"/>
          <w:sz w:val="24"/>
          <w:szCs w:val="24"/>
        </w:rPr>
      </w:pPr>
    </w:p>
    <w:p w14:paraId="6CBD6FF5" w14:textId="77777777" w:rsidR="002A10D8" w:rsidRPr="00F2383F" w:rsidRDefault="002A10D8" w:rsidP="00F2383F">
      <w:pPr>
        <w:spacing w:line="360" w:lineRule="auto"/>
        <w:jc w:val="both"/>
        <w:rPr>
          <w:rFonts w:ascii="Arial" w:hAnsi="Arial" w:cs="Arial"/>
          <w:sz w:val="24"/>
          <w:szCs w:val="24"/>
        </w:rPr>
      </w:pPr>
    </w:p>
    <w:p w14:paraId="3A7CF2C1" w14:textId="77777777" w:rsidR="00442CB0" w:rsidRPr="00F2383F" w:rsidRDefault="00442CB0" w:rsidP="00B036AA">
      <w:pPr>
        <w:pStyle w:val="Heading1"/>
      </w:pPr>
      <w:bookmarkStart w:id="9" w:name="_Toc216539894"/>
      <w:r w:rsidRPr="00F2383F">
        <w:t>3 — OLI (Ownership–Location–</w:t>
      </w:r>
      <w:proofErr w:type="spellStart"/>
      <w:r w:rsidRPr="00F2383F">
        <w:t>Internalisation</w:t>
      </w:r>
      <w:proofErr w:type="spellEnd"/>
      <w:r w:rsidRPr="00F2383F">
        <w:t>) Analysis for Coca-Cola’s</w:t>
      </w:r>
      <w:r w:rsidR="00F2383F">
        <w:t xml:space="preserve"> Entry into China</w:t>
      </w:r>
      <w:bookmarkEnd w:id="9"/>
      <w:r w:rsidR="00F2383F">
        <w:t xml:space="preserve"> </w:t>
      </w:r>
    </w:p>
    <w:p w14:paraId="6679AD8D" w14:textId="77777777" w:rsidR="00442CB0" w:rsidRDefault="003C0A66" w:rsidP="00F2383F">
      <w:pPr>
        <w:spacing w:line="360" w:lineRule="auto"/>
        <w:jc w:val="both"/>
        <w:rPr>
          <w:rFonts w:ascii="Arial" w:hAnsi="Arial" w:cs="Arial"/>
          <w:sz w:val="24"/>
          <w:szCs w:val="24"/>
        </w:rPr>
      </w:pPr>
      <w:r w:rsidRPr="003C0A66">
        <w:rPr>
          <w:rFonts w:ascii="Arial" w:hAnsi="Arial" w:cs="Arial"/>
          <w:sz w:val="24"/>
          <w:szCs w:val="24"/>
        </w:rPr>
        <w:t xml:space="preserve">The eclectic OLI framework (Ownership, Location and Internalization) is a strong theoretical framework on which Coca-Cola entry into China and strategic justification of its activities are explained. Firstly, the model, which was initially suggested by Dunning, is still at the core of the analysis of the recent multinational enterprise (MNE) behavior, particularly in the context of examining investment in the emerging economies that are institutional complex (Narula and Van Tulder, 2022). In the case of Coca-Cola, OLI factors </w:t>
      </w:r>
      <w:r w:rsidRPr="003C0A66">
        <w:rPr>
          <w:rFonts w:ascii="Arial" w:hAnsi="Arial" w:cs="Arial"/>
          <w:sz w:val="24"/>
          <w:szCs w:val="24"/>
        </w:rPr>
        <w:lastRenderedPageBreak/>
        <w:t>are dynamically interacting to form its desirable mode of entry, that is, joint ventures coupled with</w:t>
      </w:r>
      <w:r>
        <w:rPr>
          <w:rFonts w:ascii="Arial" w:hAnsi="Arial" w:cs="Arial"/>
          <w:sz w:val="24"/>
          <w:szCs w:val="24"/>
        </w:rPr>
        <w:t xml:space="preserve"> selective FDI and localization</w:t>
      </w:r>
      <w:r w:rsidR="00442CB0" w:rsidRPr="00F2383F">
        <w:rPr>
          <w:rFonts w:ascii="Arial" w:hAnsi="Arial" w:cs="Arial"/>
          <w:sz w:val="24"/>
          <w:szCs w:val="24"/>
        </w:rPr>
        <w:t>.</w:t>
      </w:r>
    </w:p>
    <w:p w14:paraId="6503F973" w14:textId="77777777" w:rsidR="00A10CE2" w:rsidRDefault="00A10CE2" w:rsidP="00F2383F">
      <w:pPr>
        <w:spacing w:line="360" w:lineRule="auto"/>
        <w:jc w:val="both"/>
        <w:rPr>
          <w:rFonts w:ascii="Arial" w:hAnsi="Arial" w:cs="Arial"/>
          <w:sz w:val="24"/>
          <w:szCs w:val="24"/>
        </w:rPr>
      </w:pPr>
      <w:r w:rsidRPr="00A10CE2">
        <w:rPr>
          <w:rFonts w:ascii="Arial" w:hAnsi="Arial" w:cs="Arial"/>
          <w:noProof/>
          <w:sz w:val="24"/>
          <w:szCs w:val="24"/>
        </w:rPr>
        <w:drawing>
          <wp:inline distT="0" distB="0" distL="0" distR="0" wp14:anchorId="1E2C1002" wp14:editId="14D44378">
            <wp:extent cx="5943600" cy="3566160"/>
            <wp:effectExtent l="0" t="0" r="0" b="0"/>
            <wp:docPr id="13" name="Picture 13" descr="C:\Users\HP\Downloads\cocacola_oli_compari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HP\Downloads\cocacola_oli_compariso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noFill/>
                    </a:ln>
                  </pic:spPr>
                </pic:pic>
              </a:graphicData>
            </a:graphic>
          </wp:inline>
        </w:drawing>
      </w:r>
    </w:p>
    <w:p w14:paraId="64859AF3" w14:textId="77777777" w:rsidR="008B291E" w:rsidRPr="008B291E" w:rsidRDefault="008B291E" w:rsidP="00A10CE2">
      <w:pPr>
        <w:spacing w:line="360" w:lineRule="auto"/>
        <w:jc w:val="center"/>
        <w:rPr>
          <w:rFonts w:ascii="Arial" w:hAnsi="Arial" w:cs="Arial"/>
          <w:b/>
          <w:sz w:val="24"/>
          <w:szCs w:val="24"/>
        </w:rPr>
      </w:pPr>
      <w:r w:rsidRPr="008B291E">
        <w:rPr>
          <w:rFonts w:ascii="Arial" w:hAnsi="Arial" w:cs="Arial"/>
          <w:b/>
          <w:sz w:val="24"/>
          <w:szCs w:val="24"/>
        </w:rPr>
        <w:t>Figure 7: OLI Framework Comparison U.S. vs China</w:t>
      </w:r>
    </w:p>
    <w:p w14:paraId="749644E0" w14:textId="77777777" w:rsidR="00A10CE2" w:rsidRPr="008B291E" w:rsidRDefault="0019171D" w:rsidP="00A10CE2">
      <w:pPr>
        <w:spacing w:line="360" w:lineRule="auto"/>
        <w:jc w:val="center"/>
        <w:rPr>
          <w:rFonts w:ascii="Arial" w:hAnsi="Arial" w:cs="Arial"/>
          <w:i/>
          <w:sz w:val="24"/>
          <w:szCs w:val="24"/>
        </w:rPr>
      </w:pPr>
      <w:r w:rsidRPr="008B291E">
        <w:rPr>
          <w:rFonts w:ascii="Arial" w:hAnsi="Arial" w:cs="Arial"/>
          <w:i/>
          <w:sz w:val="24"/>
          <w:szCs w:val="24"/>
        </w:rPr>
        <w:t>(</w:t>
      </w:r>
      <w:r w:rsidR="00A10CE2" w:rsidRPr="008B291E">
        <w:rPr>
          <w:rFonts w:ascii="Arial" w:hAnsi="Arial" w:cs="Arial"/>
          <w:i/>
          <w:sz w:val="24"/>
          <w:szCs w:val="24"/>
        </w:rPr>
        <w:t>Source: Self-Created</w:t>
      </w:r>
      <w:r w:rsidRPr="008B291E">
        <w:rPr>
          <w:rFonts w:ascii="Arial" w:hAnsi="Arial" w:cs="Arial"/>
          <w:i/>
          <w:sz w:val="24"/>
          <w:szCs w:val="24"/>
        </w:rPr>
        <w:t>)</w:t>
      </w:r>
    </w:p>
    <w:p w14:paraId="43DD3518" w14:textId="77777777" w:rsidR="00A10CE2" w:rsidRPr="00F2383F" w:rsidRDefault="00A10CE2" w:rsidP="00F2383F">
      <w:pPr>
        <w:spacing w:line="360" w:lineRule="auto"/>
        <w:jc w:val="both"/>
        <w:rPr>
          <w:rFonts w:ascii="Arial" w:hAnsi="Arial" w:cs="Arial"/>
          <w:sz w:val="24"/>
          <w:szCs w:val="24"/>
        </w:rPr>
      </w:pPr>
    </w:p>
    <w:p w14:paraId="184AACF8" w14:textId="77777777" w:rsidR="00442CB0" w:rsidRPr="00F2383F" w:rsidRDefault="00442CB0" w:rsidP="00B036AA">
      <w:pPr>
        <w:pStyle w:val="Heading2"/>
      </w:pPr>
      <w:bookmarkStart w:id="10" w:name="_Toc216539895"/>
      <w:r w:rsidRPr="00F2383F">
        <w:t>3.1 Ownership Advantages (O)</w:t>
      </w:r>
      <w:bookmarkEnd w:id="10"/>
    </w:p>
    <w:p w14:paraId="03DA5201" w14:textId="77777777" w:rsidR="003C0A66" w:rsidRPr="003C0A66" w:rsidRDefault="003C0A66" w:rsidP="003C0A66">
      <w:pPr>
        <w:spacing w:line="360" w:lineRule="auto"/>
        <w:jc w:val="both"/>
        <w:rPr>
          <w:rFonts w:ascii="Arial" w:hAnsi="Arial" w:cs="Arial"/>
          <w:sz w:val="24"/>
          <w:szCs w:val="24"/>
        </w:rPr>
      </w:pPr>
      <w:r w:rsidRPr="003C0A66">
        <w:rPr>
          <w:rFonts w:ascii="Arial" w:hAnsi="Arial" w:cs="Arial"/>
          <w:sz w:val="24"/>
          <w:szCs w:val="24"/>
        </w:rPr>
        <w:t>Ownership advantages are firm specific assets, capabilities and resources that give an MNE a competitive advantage in the international markets. Coca-Cola has considerable ownership advantages which are strongly favorable towards entry in the Chinese market</w:t>
      </w:r>
      <w:r w:rsidR="00D85F15">
        <w:rPr>
          <w:rFonts w:ascii="Arial" w:hAnsi="Arial" w:cs="Arial"/>
          <w:sz w:val="24"/>
          <w:szCs w:val="24"/>
        </w:rPr>
        <w:t xml:space="preserve"> (</w:t>
      </w:r>
      <w:r w:rsidR="00281F47">
        <w:rPr>
          <w:rFonts w:ascii="Arial" w:hAnsi="Arial" w:cs="Arial"/>
          <w:sz w:val="24"/>
          <w:szCs w:val="24"/>
        </w:rPr>
        <w:t>Nielsen, 2024</w:t>
      </w:r>
      <w:r w:rsidR="00D85F15">
        <w:rPr>
          <w:rFonts w:ascii="Arial" w:hAnsi="Arial" w:cs="Arial"/>
          <w:sz w:val="24"/>
          <w:szCs w:val="24"/>
        </w:rPr>
        <w:t>)</w:t>
      </w:r>
      <w:r w:rsidRPr="003C0A66">
        <w:rPr>
          <w:rFonts w:ascii="Arial" w:hAnsi="Arial" w:cs="Arial"/>
          <w:sz w:val="24"/>
          <w:szCs w:val="24"/>
        </w:rPr>
        <w:t>.</w:t>
      </w:r>
    </w:p>
    <w:p w14:paraId="6988B4C5" w14:textId="77777777" w:rsidR="003C0A66" w:rsidRPr="0019171D" w:rsidRDefault="003C0A66" w:rsidP="003C0A66">
      <w:pPr>
        <w:spacing w:line="360" w:lineRule="auto"/>
        <w:jc w:val="both"/>
        <w:rPr>
          <w:rFonts w:ascii="Arial" w:hAnsi="Arial" w:cs="Arial"/>
          <w:b/>
          <w:sz w:val="24"/>
          <w:szCs w:val="24"/>
        </w:rPr>
      </w:pPr>
      <w:r w:rsidRPr="0019171D">
        <w:rPr>
          <w:rFonts w:ascii="Arial" w:hAnsi="Arial" w:cs="Arial"/>
          <w:sz w:val="24"/>
          <w:szCs w:val="24"/>
          <w:u w:val="single"/>
        </w:rPr>
        <w:t>A. Global Brand Equity and Intellectual Property</w:t>
      </w:r>
      <w:r w:rsidR="0019171D" w:rsidRPr="0019171D">
        <w:rPr>
          <w:rFonts w:ascii="Arial" w:hAnsi="Arial" w:cs="Arial"/>
          <w:sz w:val="24"/>
          <w:szCs w:val="24"/>
          <w:u w:val="single"/>
        </w:rPr>
        <w:t>:</w:t>
      </w:r>
      <w:r w:rsidR="0019171D">
        <w:rPr>
          <w:rFonts w:ascii="Arial" w:hAnsi="Arial" w:cs="Arial"/>
          <w:b/>
          <w:sz w:val="24"/>
          <w:szCs w:val="24"/>
        </w:rPr>
        <w:t xml:space="preserve"> </w:t>
      </w:r>
      <w:r w:rsidRPr="003C0A66">
        <w:rPr>
          <w:rFonts w:ascii="Arial" w:hAnsi="Arial" w:cs="Arial"/>
          <w:sz w:val="24"/>
          <w:szCs w:val="24"/>
        </w:rPr>
        <w:t>This is an immaterial asset which plays a crucial role in differentiating the company in the Chinese competitive beverage market. In an emerging market, where the quality perceptions and trust are crucial in consumer uncertainty, brand familiarity decreases uncertainty (</w:t>
      </w:r>
      <w:proofErr w:type="spellStart"/>
      <w:r w:rsidRPr="003C0A66">
        <w:rPr>
          <w:rFonts w:ascii="Arial" w:hAnsi="Arial" w:cs="Arial"/>
          <w:sz w:val="24"/>
          <w:szCs w:val="24"/>
        </w:rPr>
        <w:t>Kotabe</w:t>
      </w:r>
      <w:proofErr w:type="spellEnd"/>
      <w:r w:rsidRPr="003C0A66">
        <w:rPr>
          <w:rFonts w:ascii="Arial" w:hAnsi="Arial" w:cs="Arial"/>
          <w:sz w:val="24"/>
          <w:szCs w:val="24"/>
        </w:rPr>
        <w:t xml:space="preserve"> and Kwon, 2022). Besides, </w:t>
      </w:r>
      <w:r w:rsidRPr="003C0A66">
        <w:rPr>
          <w:rFonts w:ascii="Arial" w:hAnsi="Arial" w:cs="Arial"/>
          <w:sz w:val="24"/>
          <w:szCs w:val="24"/>
        </w:rPr>
        <w:lastRenderedPageBreak/>
        <w:t>Coca-Cola exclusive recipes (e.g. the “Merchandise No. 7” syrup) are rare and inimitable intangible resources that justifiably justify FDI and licensing policies.</w:t>
      </w:r>
    </w:p>
    <w:p w14:paraId="3C8BE38D" w14:textId="77777777" w:rsidR="003C0A66" w:rsidRPr="0019171D" w:rsidRDefault="003C0A66" w:rsidP="003C0A66">
      <w:pPr>
        <w:spacing w:line="360" w:lineRule="auto"/>
        <w:jc w:val="both"/>
        <w:rPr>
          <w:rFonts w:ascii="Arial" w:hAnsi="Arial" w:cs="Arial"/>
          <w:b/>
          <w:sz w:val="24"/>
          <w:szCs w:val="24"/>
        </w:rPr>
      </w:pPr>
      <w:r w:rsidRPr="0019171D">
        <w:rPr>
          <w:rFonts w:ascii="Arial" w:hAnsi="Arial" w:cs="Arial"/>
          <w:sz w:val="24"/>
          <w:szCs w:val="24"/>
          <w:u w:val="single"/>
        </w:rPr>
        <w:t>B. Financial Health and Capital</w:t>
      </w:r>
      <w:r w:rsidR="0019171D" w:rsidRPr="0019171D">
        <w:rPr>
          <w:rFonts w:ascii="Arial" w:hAnsi="Arial" w:cs="Arial"/>
          <w:sz w:val="24"/>
          <w:szCs w:val="24"/>
          <w:u w:val="single"/>
        </w:rPr>
        <w:t>:</w:t>
      </w:r>
      <w:r w:rsidR="0019171D">
        <w:rPr>
          <w:rFonts w:ascii="Arial" w:hAnsi="Arial" w:cs="Arial"/>
          <w:b/>
          <w:sz w:val="24"/>
          <w:szCs w:val="24"/>
        </w:rPr>
        <w:t xml:space="preserve"> </w:t>
      </w:r>
      <w:r w:rsidRPr="003C0A66">
        <w:rPr>
          <w:rFonts w:ascii="Arial" w:hAnsi="Arial" w:cs="Arial"/>
          <w:sz w:val="24"/>
          <w:szCs w:val="24"/>
        </w:rPr>
        <w:t>Coca-Cola also has immense financial capabilities that allow it to make massive investments in bottling capacity, distribution fleets and advertising campaigns that will be needed in the fragmented but high-population markets in China. Its financial ownership opportunity is evidenced by the fact that it has been able to engage in multi-billion-dollar joint ventures, including the redesigning of bottling operations with COFCO and Swire (KPMG, 2023).</w:t>
      </w:r>
    </w:p>
    <w:p w14:paraId="5DA566F9" w14:textId="77777777" w:rsidR="002A10D8" w:rsidRPr="0019171D" w:rsidRDefault="003C0A66" w:rsidP="003C0A66">
      <w:pPr>
        <w:spacing w:line="360" w:lineRule="auto"/>
        <w:jc w:val="both"/>
        <w:rPr>
          <w:rFonts w:ascii="Arial" w:hAnsi="Arial" w:cs="Arial"/>
          <w:b/>
          <w:sz w:val="24"/>
          <w:szCs w:val="24"/>
        </w:rPr>
      </w:pPr>
      <w:r w:rsidRPr="0019171D">
        <w:rPr>
          <w:rFonts w:ascii="Arial" w:hAnsi="Arial" w:cs="Arial"/>
          <w:sz w:val="24"/>
          <w:szCs w:val="24"/>
          <w:u w:val="single"/>
        </w:rPr>
        <w:t>C. Marketing and Innovation Capabilities</w:t>
      </w:r>
      <w:r w:rsidR="0019171D" w:rsidRPr="0019171D">
        <w:rPr>
          <w:rFonts w:ascii="Arial" w:hAnsi="Arial" w:cs="Arial"/>
          <w:sz w:val="24"/>
          <w:szCs w:val="24"/>
          <w:u w:val="single"/>
        </w:rPr>
        <w:t>:</w:t>
      </w:r>
      <w:r w:rsidR="0019171D">
        <w:rPr>
          <w:rFonts w:ascii="Arial" w:hAnsi="Arial" w:cs="Arial"/>
          <w:b/>
          <w:sz w:val="24"/>
          <w:szCs w:val="24"/>
        </w:rPr>
        <w:t xml:space="preserve"> </w:t>
      </w:r>
      <w:r w:rsidRPr="003C0A66">
        <w:rPr>
          <w:rFonts w:ascii="Arial" w:hAnsi="Arial" w:cs="Arial"/>
          <w:sz w:val="24"/>
          <w:szCs w:val="24"/>
        </w:rPr>
        <w:t xml:space="preserve">Coca-Cola is also advantaged with advanced global marketing technology and consumer analytics. Such functions come in handy especially in China where digital platforms like WeChat, Alibaba, Douyin and </w:t>
      </w:r>
      <w:proofErr w:type="spellStart"/>
      <w:r w:rsidRPr="003C0A66">
        <w:rPr>
          <w:rFonts w:ascii="Arial" w:hAnsi="Arial" w:cs="Arial"/>
          <w:sz w:val="24"/>
          <w:szCs w:val="24"/>
        </w:rPr>
        <w:t>Meituan</w:t>
      </w:r>
      <w:proofErr w:type="spellEnd"/>
      <w:r w:rsidRPr="003C0A66">
        <w:rPr>
          <w:rFonts w:ascii="Arial" w:hAnsi="Arial" w:cs="Arial"/>
          <w:sz w:val="24"/>
          <w:szCs w:val="24"/>
        </w:rPr>
        <w:t xml:space="preserve"> dominate the consumption of consumers. The fact that </w:t>
      </w:r>
      <w:proofErr w:type="spellStart"/>
      <w:r w:rsidRPr="003C0A66">
        <w:rPr>
          <w:rFonts w:ascii="Arial" w:hAnsi="Arial" w:cs="Arial"/>
          <w:sz w:val="24"/>
          <w:szCs w:val="24"/>
        </w:rPr>
        <w:t>coca-cola</w:t>
      </w:r>
      <w:proofErr w:type="spellEnd"/>
      <w:r w:rsidRPr="003C0A66">
        <w:rPr>
          <w:rFonts w:ascii="Arial" w:hAnsi="Arial" w:cs="Arial"/>
          <w:sz w:val="24"/>
          <w:szCs w:val="24"/>
        </w:rPr>
        <w:t xml:space="preserve"> has global digital marketing playbooks enable it to localize campaigns quickly with the help of insights provided by its regional R&amp;D centers (McKinsey, 2024).</w:t>
      </w:r>
    </w:p>
    <w:p w14:paraId="2D6C34A0" w14:textId="77777777" w:rsidR="00442CB0" w:rsidRPr="0019171D" w:rsidRDefault="003C0A66" w:rsidP="003C0A66">
      <w:pPr>
        <w:spacing w:line="360" w:lineRule="auto"/>
        <w:jc w:val="both"/>
        <w:rPr>
          <w:rFonts w:ascii="Arial" w:hAnsi="Arial" w:cs="Arial"/>
          <w:b/>
          <w:sz w:val="24"/>
          <w:szCs w:val="24"/>
        </w:rPr>
      </w:pPr>
      <w:r w:rsidRPr="0019171D">
        <w:rPr>
          <w:rFonts w:ascii="Arial" w:hAnsi="Arial" w:cs="Arial"/>
          <w:sz w:val="24"/>
          <w:szCs w:val="24"/>
          <w:u w:val="single"/>
        </w:rPr>
        <w:t>D. Operational and S</w:t>
      </w:r>
      <w:r w:rsidR="0019171D" w:rsidRPr="0019171D">
        <w:rPr>
          <w:rFonts w:ascii="Arial" w:hAnsi="Arial" w:cs="Arial"/>
          <w:sz w:val="24"/>
          <w:szCs w:val="24"/>
          <w:u w:val="single"/>
        </w:rPr>
        <w:t>upply Chain Experience:</w:t>
      </w:r>
      <w:r w:rsidR="0019171D">
        <w:rPr>
          <w:rFonts w:ascii="Arial" w:hAnsi="Arial" w:cs="Arial"/>
          <w:b/>
          <w:sz w:val="24"/>
          <w:szCs w:val="24"/>
        </w:rPr>
        <w:t xml:space="preserve"> </w:t>
      </w:r>
      <w:r w:rsidRPr="003C0A66">
        <w:rPr>
          <w:rFonts w:ascii="Arial" w:hAnsi="Arial" w:cs="Arial"/>
          <w:sz w:val="24"/>
          <w:szCs w:val="24"/>
        </w:rPr>
        <w:t>The knowledge the company has in operating in the global bottling networks and its experience in overcoming regulatory environments in the global setting provide it with considerable know-how benefits in its operations within the complex ecosystem of China</w:t>
      </w:r>
      <w:r w:rsidR="00281F47">
        <w:rPr>
          <w:rFonts w:ascii="Arial" w:hAnsi="Arial" w:cs="Arial"/>
          <w:sz w:val="24"/>
          <w:szCs w:val="24"/>
        </w:rPr>
        <w:t xml:space="preserve"> (IMF, 2023)</w:t>
      </w:r>
      <w:r w:rsidRPr="003C0A66">
        <w:rPr>
          <w:rFonts w:ascii="Arial" w:hAnsi="Arial" w:cs="Arial"/>
          <w:sz w:val="24"/>
          <w:szCs w:val="24"/>
        </w:rPr>
        <w:t>. The benefits of ownership of Coca-Cola render it possible and strategically appropria</w:t>
      </w:r>
      <w:r>
        <w:rPr>
          <w:rFonts w:ascii="Arial" w:hAnsi="Arial" w:cs="Arial"/>
          <w:sz w:val="24"/>
          <w:szCs w:val="24"/>
        </w:rPr>
        <w:t>te to expand to foreign markets</w:t>
      </w:r>
      <w:r w:rsidR="00442CB0" w:rsidRPr="00F2383F">
        <w:rPr>
          <w:rFonts w:ascii="Arial" w:hAnsi="Arial" w:cs="Arial"/>
          <w:sz w:val="24"/>
          <w:szCs w:val="24"/>
        </w:rPr>
        <w:t>.</w:t>
      </w:r>
    </w:p>
    <w:p w14:paraId="2B2BB39F" w14:textId="77777777" w:rsidR="00442CB0" w:rsidRPr="00F2383F" w:rsidRDefault="00442CB0" w:rsidP="00B036AA">
      <w:pPr>
        <w:pStyle w:val="Heading2"/>
      </w:pPr>
      <w:bookmarkStart w:id="11" w:name="_Toc216539896"/>
      <w:r w:rsidRPr="00F2383F">
        <w:t>3.2 Location Advantages (L)</w:t>
      </w:r>
      <w:bookmarkEnd w:id="11"/>
    </w:p>
    <w:p w14:paraId="469697E7" w14:textId="77777777" w:rsidR="003C0A66" w:rsidRPr="003C0A66" w:rsidRDefault="003C0A66" w:rsidP="003C0A66">
      <w:pPr>
        <w:spacing w:line="360" w:lineRule="auto"/>
        <w:jc w:val="both"/>
        <w:rPr>
          <w:rFonts w:ascii="Arial" w:hAnsi="Arial" w:cs="Arial"/>
          <w:bCs/>
          <w:sz w:val="24"/>
          <w:szCs w:val="24"/>
        </w:rPr>
      </w:pPr>
      <w:r w:rsidRPr="003C0A66">
        <w:rPr>
          <w:rFonts w:ascii="Arial" w:hAnsi="Arial" w:cs="Arial"/>
          <w:bCs/>
          <w:sz w:val="24"/>
          <w:szCs w:val="24"/>
        </w:rPr>
        <w:t>The reason behind the China attractiveness as an investment location is location advantages. The decision to use strategic entry into China is a result of a complex of macroeconomic, institutional, cultural and industry-specific benefits of Coca-Cola</w:t>
      </w:r>
      <w:r w:rsidR="00E96825">
        <w:rPr>
          <w:rFonts w:ascii="Arial" w:hAnsi="Arial" w:cs="Arial"/>
          <w:bCs/>
          <w:sz w:val="24"/>
          <w:szCs w:val="24"/>
        </w:rPr>
        <w:t xml:space="preserve"> (</w:t>
      </w:r>
      <w:proofErr w:type="spellStart"/>
      <w:proofErr w:type="gramStart"/>
      <w:r w:rsidR="00E96825">
        <w:rPr>
          <w:rFonts w:ascii="Arial" w:hAnsi="Arial" w:cs="Arial"/>
          <w:bCs/>
          <w:sz w:val="24"/>
          <w:szCs w:val="24"/>
        </w:rPr>
        <w:t>B;oomberg</w:t>
      </w:r>
      <w:proofErr w:type="spellEnd"/>
      <w:proofErr w:type="gramEnd"/>
      <w:r w:rsidR="00E96825">
        <w:rPr>
          <w:rFonts w:ascii="Arial" w:hAnsi="Arial" w:cs="Arial"/>
          <w:bCs/>
          <w:sz w:val="24"/>
          <w:szCs w:val="24"/>
        </w:rPr>
        <w:t xml:space="preserve"> Intelligence, 2023)</w:t>
      </w:r>
      <w:r w:rsidRPr="003C0A66">
        <w:rPr>
          <w:rFonts w:ascii="Arial" w:hAnsi="Arial" w:cs="Arial"/>
          <w:bCs/>
          <w:sz w:val="24"/>
          <w:szCs w:val="24"/>
        </w:rPr>
        <w:t>.</w:t>
      </w:r>
    </w:p>
    <w:p w14:paraId="1A4E5B27" w14:textId="77777777" w:rsidR="003C0A66" w:rsidRPr="003C0A66" w:rsidRDefault="003C0A66" w:rsidP="003C0A66">
      <w:pPr>
        <w:spacing w:line="360" w:lineRule="auto"/>
        <w:jc w:val="both"/>
        <w:rPr>
          <w:rFonts w:ascii="Arial" w:hAnsi="Arial" w:cs="Arial"/>
          <w:bCs/>
          <w:sz w:val="24"/>
          <w:szCs w:val="24"/>
        </w:rPr>
      </w:pPr>
      <w:r w:rsidRPr="0019171D">
        <w:rPr>
          <w:rFonts w:ascii="Arial" w:hAnsi="Arial" w:cs="Arial"/>
          <w:bCs/>
          <w:sz w:val="24"/>
          <w:szCs w:val="24"/>
          <w:u w:val="single"/>
        </w:rPr>
        <w:t>Large and Increasing Market Demand</w:t>
      </w:r>
      <w:r w:rsidR="0019171D" w:rsidRPr="0019171D">
        <w:rPr>
          <w:rFonts w:ascii="Arial" w:hAnsi="Arial" w:cs="Arial"/>
          <w:bCs/>
          <w:sz w:val="24"/>
          <w:szCs w:val="24"/>
          <w:u w:val="single"/>
        </w:rPr>
        <w:t>:</w:t>
      </w:r>
      <w:r w:rsidR="0019171D">
        <w:rPr>
          <w:rFonts w:ascii="Arial" w:hAnsi="Arial" w:cs="Arial"/>
          <w:bCs/>
          <w:sz w:val="24"/>
          <w:szCs w:val="24"/>
        </w:rPr>
        <w:t xml:space="preserve"> </w:t>
      </w:r>
      <w:r w:rsidRPr="003C0A66">
        <w:rPr>
          <w:rFonts w:ascii="Arial" w:hAnsi="Arial" w:cs="Arial"/>
          <w:bCs/>
          <w:sz w:val="24"/>
          <w:szCs w:val="24"/>
        </w:rPr>
        <w:t>The country is China, which has the largest consumer market in the beverages industry due to increased disposable income and tremendous urbanization trends. The growth of the non-alcoholic drinks market is also here to stay, as Chinese customers are growing in favor of convenience drinks, functional beverages and low-sugar vers</w:t>
      </w:r>
      <w:r w:rsidR="00E96825">
        <w:rPr>
          <w:rFonts w:ascii="Arial" w:hAnsi="Arial" w:cs="Arial"/>
          <w:bCs/>
          <w:sz w:val="24"/>
          <w:szCs w:val="24"/>
        </w:rPr>
        <w:t>ions (Financial Times</w:t>
      </w:r>
      <w:r w:rsidRPr="003C0A66">
        <w:rPr>
          <w:rFonts w:ascii="Arial" w:hAnsi="Arial" w:cs="Arial"/>
          <w:bCs/>
          <w:sz w:val="24"/>
          <w:szCs w:val="24"/>
        </w:rPr>
        <w:t xml:space="preserve">, 2024). </w:t>
      </w:r>
    </w:p>
    <w:p w14:paraId="4B0B9FAA" w14:textId="77777777" w:rsidR="003C0A66" w:rsidRPr="003C0A66" w:rsidRDefault="003C0A66" w:rsidP="003C0A66">
      <w:pPr>
        <w:spacing w:line="360" w:lineRule="auto"/>
        <w:jc w:val="both"/>
        <w:rPr>
          <w:rFonts w:ascii="Arial" w:hAnsi="Arial" w:cs="Arial"/>
          <w:bCs/>
          <w:sz w:val="24"/>
          <w:szCs w:val="24"/>
        </w:rPr>
      </w:pPr>
      <w:r w:rsidRPr="0019171D">
        <w:rPr>
          <w:rFonts w:ascii="Arial" w:hAnsi="Arial" w:cs="Arial"/>
          <w:bCs/>
          <w:sz w:val="24"/>
          <w:szCs w:val="24"/>
          <w:u w:val="single"/>
        </w:rPr>
        <w:lastRenderedPageBreak/>
        <w:t>Strategic Regulatory Environment of JVs</w:t>
      </w:r>
      <w:r w:rsidR="0019171D">
        <w:rPr>
          <w:rFonts w:ascii="Arial" w:hAnsi="Arial" w:cs="Arial"/>
          <w:bCs/>
          <w:sz w:val="24"/>
          <w:szCs w:val="24"/>
        </w:rPr>
        <w:t xml:space="preserve">: </w:t>
      </w:r>
      <w:r w:rsidRPr="003C0A66">
        <w:rPr>
          <w:rFonts w:ascii="Arial" w:hAnsi="Arial" w:cs="Arial"/>
          <w:bCs/>
          <w:sz w:val="24"/>
          <w:szCs w:val="24"/>
        </w:rPr>
        <w:t>Although China has traditionally placed limits on foreign ownership in the bottling of foods and beverages its regulatory framework is conducive to joint venture where capital, technology and global brands are introduced. Coca-Cola took advantage of it and joined forces with state-owned COFCO and Hong Kong-based Swire Pacific to receive local distribution and political legitimacy (Zhao &amp; Keith, 2023).</w:t>
      </w:r>
    </w:p>
    <w:p w14:paraId="17F914F4" w14:textId="77777777" w:rsidR="003C0A66" w:rsidRPr="003C0A66" w:rsidRDefault="003C0A66" w:rsidP="003C0A66">
      <w:pPr>
        <w:spacing w:line="360" w:lineRule="auto"/>
        <w:jc w:val="both"/>
        <w:rPr>
          <w:rFonts w:ascii="Arial" w:hAnsi="Arial" w:cs="Arial"/>
          <w:bCs/>
          <w:sz w:val="24"/>
          <w:szCs w:val="24"/>
        </w:rPr>
      </w:pPr>
      <w:r w:rsidRPr="0019171D">
        <w:rPr>
          <w:rFonts w:ascii="Arial" w:hAnsi="Arial" w:cs="Arial"/>
          <w:bCs/>
          <w:sz w:val="24"/>
          <w:szCs w:val="24"/>
          <w:u w:val="single"/>
        </w:rPr>
        <w:t>Next-Generation Digital Ecosystem</w:t>
      </w:r>
      <w:r w:rsidR="0019171D" w:rsidRPr="0019171D">
        <w:rPr>
          <w:rFonts w:ascii="Arial" w:hAnsi="Arial" w:cs="Arial"/>
          <w:bCs/>
          <w:sz w:val="24"/>
          <w:szCs w:val="24"/>
          <w:u w:val="single"/>
        </w:rPr>
        <w:t>:</w:t>
      </w:r>
      <w:r w:rsidR="0019171D">
        <w:rPr>
          <w:rFonts w:ascii="Arial" w:hAnsi="Arial" w:cs="Arial"/>
          <w:bCs/>
          <w:sz w:val="24"/>
          <w:szCs w:val="24"/>
        </w:rPr>
        <w:t xml:space="preserve"> </w:t>
      </w:r>
      <w:r w:rsidRPr="003C0A66">
        <w:rPr>
          <w:rFonts w:ascii="Arial" w:hAnsi="Arial" w:cs="Arial"/>
          <w:bCs/>
          <w:sz w:val="24"/>
          <w:szCs w:val="24"/>
        </w:rPr>
        <w:t>The digital infrastructure in China is uniqu</w:t>
      </w:r>
      <w:r w:rsidR="008B291E">
        <w:rPr>
          <w:rFonts w:ascii="Arial" w:hAnsi="Arial" w:cs="Arial"/>
          <w:bCs/>
          <w:sz w:val="24"/>
          <w:szCs w:val="24"/>
        </w:rPr>
        <w:t>e and it is of incredible value which is m</w:t>
      </w:r>
      <w:r w:rsidRPr="008B291E">
        <w:rPr>
          <w:rFonts w:ascii="Arial" w:hAnsi="Arial" w:cs="Arial"/>
          <w:bCs/>
          <w:sz w:val="24"/>
          <w:szCs w:val="24"/>
        </w:rPr>
        <w:t>ore than 1</w:t>
      </w:r>
      <w:r w:rsidR="008B291E">
        <w:rPr>
          <w:rFonts w:ascii="Arial" w:hAnsi="Arial" w:cs="Arial"/>
          <w:bCs/>
          <w:sz w:val="24"/>
          <w:szCs w:val="24"/>
        </w:rPr>
        <w:t xml:space="preserve"> billion mobile payment clients and m</w:t>
      </w:r>
      <w:r w:rsidRPr="008B291E">
        <w:rPr>
          <w:rFonts w:ascii="Arial" w:hAnsi="Arial" w:cs="Arial"/>
          <w:bCs/>
          <w:sz w:val="24"/>
          <w:szCs w:val="24"/>
        </w:rPr>
        <w:t>ore than 30% penetration in e-commerce</w:t>
      </w:r>
      <w:r w:rsidR="00E96825" w:rsidRPr="008B291E">
        <w:rPr>
          <w:rFonts w:ascii="Arial" w:hAnsi="Arial" w:cs="Arial"/>
          <w:bCs/>
          <w:sz w:val="24"/>
          <w:szCs w:val="24"/>
        </w:rPr>
        <w:t xml:space="preserve"> (Zhang &amp; </w:t>
      </w:r>
      <w:proofErr w:type="spellStart"/>
      <w:r w:rsidR="00E96825" w:rsidRPr="008B291E">
        <w:rPr>
          <w:rFonts w:ascii="Arial" w:hAnsi="Arial" w:cs="Arial"/>
          <w:bCs/>
          <w:sz w:val="24"/>
          <w:szCs w:val="24"/>
        </w:rPr>
        <w:t>Kacker</w:t>
      </w:r>
      <w:proofErr w:type="spellEnd"/>
      <w:r w:rsidR="00E96825" w:rsidRPr="008B291E">
        <w:rPr>
          <w:rFonts w:ascii="Arial" w:hAnsi="Arial" w:cs="Arial"/>
          <w:bCs/>
          <w:sz w:val="24"/>
          <w:szCs w:val="24"/>
        </w:rPr>
        <w:t>, 2022)</w:t>
      </w:r>
      <w:r w:rsidRPr="008B291E">
        <w:rPr>
          <w:rFonts w:ascii="Arial" w:hAnsi="Arial" w:cs="Arial"/>
          <w:bCs/>
          <w:sz w:val="24"/>
          <w:szCs w:val="24"/>
        </w:rPr>
        <w:t>.</w:t>
      </w:r>
      <w:r w:rsidR="008B291E">
        <w:rPr>
          <w:rFonts w:ascii="Arial" w:hAnsi="Arial" w:cs="Arial"/>
          <w:bCs/>
          <w:sz w:val="24"/>
          <w:szCs w:val="24"/>
        </w:rPr>
        <w:t xml:space="preserve"> </w:t>
      </w:r>
      <w:r w:rsidRPr="003C0A66">
        <w:rPr>
          <w:rFonts w:ascii="Arial" w:hAnsi="Arial" w:cs="Arial"/>
          <w:bCs/>
          <w:sz w:val="24"/>
          <w:szCs w:val="24"/>
        </w:rPr>
        <w:t>Live-streaming c</w:t>
      </w:r>
      <w:r w:rsidR="008B291E">
        <w:rPr>
          <w:rFonts w:ascii="Arial" w:hAnsi="Arial" w:cs="Arial"/>
          <w:bCs/>
          <w:sz w:val="24"/>
          <w:szCs w:val="24"/>
        </w:rPr>
        <w:t xml:space="preserve">onsumption and social commerce. </w:t>
      </w:r>
      <w:r w:rsidRPr="003C0A66">
        <w:rPr>
          <w:rFonts w:ascii="Arial" w:hAnsi="Arial" w:cs="Arial"/>
          <w:bCs/>
          <w:sz w:val="24"/>
          <w:szCs w:val="24"/>
        </w:rPr>
        <w:t>Such a setting enables Coca-Cola to circumvent certain conventional retail limitations and make real-time data-based marketing (McKinsey, 2024).</w:t>
      </w:r>
    </w:p>
    <w:p w14:paraId="49A58019" w14:textId="77777777" w:rsidR="003C0A66" w:rsidRPr="0019171D" w:rsidRDefault="003C0A66" w:rsidP="003C0A66">
      <w:pPr>
        <w:spacing w:line="360" w:lineRule="auto"/>
        <w:jc w:val="both"/>
        <w:rPr>
          <w:rFonts w:ascii="Arial" w:hAnsi="Arial" w:cs="Arial"/>
          <w:b/>
          <w:bCs/>
          <w:sz w:val="24"/>
          <w:szCs w:val="24"/>
        </w:rPr>
      </w:pPr>
      <w:r w:rsidRPr="0019171D">
        <w:rPr>
          <w:rFonts w:ascii="Arial" w:hAnsi="Arial" w:cs="Arial"/>
          <w:bCs/>
          <w:sz w:val="24"/>
          <w:szCs w:val="24"/>
          <w:u w:val="single"/>
        </w:rPr>
        <w:t>Effective Production and Distribution Systems</w:t>
      </w:r>
      <w:r w:rsidR="0019171D" w:rsidRPr="0019171D">
        <w:rPr>
          <w:rFonts w:ascii="Arial" w:hAnsi="Arial" w:cs="Arial"/>
          <w:bCs/>
          <w:sz w:val="24"/>
          <w:szCs w:val="24"/>
          <w:u w:val="single"/>
        </w:rPr>
        <w:t>:</w:t>
      </w:r>
      <w:r w:rsidR="0019171D">
        <w:rPr>
          <w:rFonts w:ascii="Arial" w:hAnsi="Arial" w:cs="Arial"/>
          <w:b/>
          <w:bCs/>
          <w:sz w:val="24"/>
          <w:szCs w:val="24"/>
        </w:rPr>
        <w:t xml:space="preserve"> </w:t>
      </w:r>
      <w:r w:rsidRPr="003C0A66">
        <w:rPr>
          <w:rFonts w:ascii="Arial" w:hAnsi="Arial" w:cs="Arial"/>
          <w:bCs/>
          <w:sz w:val="24"/>
          <w:szCs w:val="24"/>
        </w:rPr>
        <w:t>The developed infrastructure in supply chain such as highways, ports, and hyper-scale logistics centers in China contributes to effective beverage production and distribution. The bottling facilities of Coca-Cola in China serve over 90 percent of the population within one-day delivery radius, which lowers the logistics expenses and the lead time (KPMG, 2023).</w:t>
      </w:r>
    </w:p>
    <w:p w14:paraId="6D302668" w14:textId="77777777" w:rsidR="003C0A66" w:rsidRPr="003C0A66" w:rsidRDefault="003C0A66" w:rsidP="003C0A66">
      <w:pPr>
        <w:spacing w:line="360" w:lineRule="auto"/>
        <w:jc w:val="both"/>
        <w:rPr>
          <w:rFonts w:ascii="Arial" w:hAnsi="Arial" w:cs="Arial"/>
          <w:bCs/>
          <w:sz w:val="24"/>
          <w:szCs w:val="24"/>
        </w:rPr>
      </w:pPr>
      <w:r w:rsidRPr="0019171D">
        <w:rPr>
          <w:rFonts w:ascii="Arial" w:hAnsi="Arial" w:cs="Arial"/>
          <w:bCs/>
          <w:sz w:val="24"/>
          <w:szCs w:val="24"/>
          <w:u w:val="single"/>
        </w:rPr>
        <w:t xml:space="preserve">Availability of Low-cost, </w:t>
      </w:r>
      <w:proofErr w:type="gramStart"/>
      <w:r w:rsidRPr="0019171D">
        <w:rPr>
          <w:rFonts w:ascii="Arial" w:hAnsi="Arial" w:cs="Arial"/>
          <w:bCs/>
          <w:sz w:val="24"/>
          <w:szCs w:val="24"/>
          <w:u w:val="single"/>
        </w:rPr>
        <w:t>High Quality</w:t>
      </w:r>
      <w:proofErr w:type="gramEnd"/>
      <w:r w:rsidRPr="0019171D">
        <w:rPr>
          <w:rFonts w:ascii="Arial" w:hAnsi="Arial" w:cs="Arial"/>
          <w:bCs/>
          <w:sz w:val="24"/>
          <w:szCs w:val="24"/>
          <w:u w:val="single"/>
        </w:rPr>
        <w:t xml:space="preserve"> Talent</w:t>
      </w:r>
      <w:r w:rsidR="0019171D" w:rsidRPr="0019171D">
        <w:rPr>
          <w:rFonts w:ascii="Arial" w:hAnsi="Arial" w:cs="Arial"/>
          <w:bCs/>
          <w:sz w:val="24"/>
          <w:szCs w:val="24"/>
          <w:u w:val="single"/>
        </w:rPr>
        <w:t>:</w:t>
      </w:r>
      <w:r w:rsidR="0019171D">
        <w:rPr>
          <w:rFonts w:ascii="Arial" w:hAnsi="Arial" w:cs="Arial"/>
          <w:bCs/>
          <w:sz w:val="24"/>
          <w:szCs w:val="24"/>
        </w:rPr>
        <w:t xml:space="preserve"> </w:t>
      </w:r>
      <w:r w:rsidRPr="003C0A66">
        <w:rPr>
          <w:rFonts w:ascii="Arial" w:hAnsi="Arial" w:cs="Arial"/>
          <w:bCs/>
          <w:sz w:val="24"/>
          <w:szCs w:val="24"/>
        </w:rPr>
        <w:t xml:space="preserve">The robust workforce in China, especially in the production and digital marketing industry would help Coca-Cola to become more localized in its innovation capacity. In addition, there are universities and technology </w:t>
      </w:r>
      <w:proofErr w:type="spellStart"/>
      <w:r w:rsidRPr="003C0A66">
        <w:rPr>
          <w:rFonts w:ascii="Arial" w:hAnsi="Arial" w:cs="Arial"/>
          <w:bCs/>
          <w:sz w:val="24"/>
          <w:szCs w:val="24"/>
        </w:rPr>
        <w:t>centres</w:t>
      </w:r>
      <w:proofErr w:type="spellEnd"/>
      <w:r w:rsidRPr="003C0A66">
        <w:rPr>
          <w:rFonts w:ascii="Arial" w:hAnsi="Arial" w:cs="Arial"/>
          <w:bCs/>
          <w:sz w:val="24"/>
          <w:szCs w:val="24"/>
        </w:rPr>
        <w:t xml:space="preserve"> that </w:t>
      </w:r>
      <w:proofErr w:type="spellStart"/>
      <w:r w:rsidRPr="003C0A66">
        <w:rPr>
          <w:rFonts w:ascii="Arial" w:hAnsi="Arial" w:cs="Arial"/>
          <w:bCs/>
          <w:sz w:val="24"/>
          <w:szCs w:val="24"/>
        </w:rPr>
        <w:t>favour</w:t>
      </w:r>
      <w:proofErr w:type="spellEnd"/>
      <w:r w:rsidRPr="003C0A66">
        <w:rPr>
          <w:rFonts w:ascii="Arial" w:hAnsi="Arial" w:cs="Arial"/>
          <w:bCs/>
          <w:sz w:val="24"/>
          <w:szCs w:val="24"/>
        </w:rPr>
        <w:t xml:space="preserve"> localization of R&amp;D</w:t>
      </w:r>
      <w:r w:rsidR="00BB049B">
        <w:rPr>
          <w:rFonts w:ascii="Arial" w:hAnsi="Arial" w:cs="Arial"/>
          <w:bCs/>
          <w:sz w:val="24"/>
          <w:szCs w:val="24"/>
        </w:rPr>
        <w:t xml:space="preserve"> (Wang &amp; Wang,2023</w:t>
      </w:r>
      <w:r w:rsidR="00E96825">
        <w:rPr>
          <w:rFonts w:ascii="Arial" w:hAnsi="Arial" w:cs="Arial"/>
          <w:bCs/>
          <w:sz w:val="24"/>
          <w:szCs w:val="24"/>
        </w:rPr>
        <w:t>)</w:t>
      </w:r>
      <w:r w:rsidRPr="003C0A66">
        <w:rPr>
          <w:rFonts w:ascii="Arial" w:hAnsi="Arial" w:cs="Arial"/>
          <w:bCs/>
          <w:sz w:val="24"/>
          <w:szCs w:val="24"/>
        </w:rPr>
        <w:t>.</w:t>
      </w:r>
    </w:p>
    <w:p w14:paraId="6B3E5020" w14:textId="77777777" w:rsidR="003C0A66" w:rsidRPr="0019171D" w:rsidRDefault="003C0A66" w:rsidP="003C0A66">
      <w:pPr>
        <w:spacing w:line="360" w:lineRule="auto"/>
        <w:jc w:val="both"/>
        <w:rPr>
          <w:rFonts w:ascii="Arial" w:hAnsi="Arial" w:cs="Arial"/>
          <w:b/>
          <w:bCs/>
          <w:sz w:val="24"/>
          <w:szCs w:val="24"/>
        </w:rPr>
      </w:pPr>
      <w:r w:rsidRPr="0019171D">
        <w:rPr>
          <w:rFonts w:ascii="Arial" w:hAnsi="Arial" w:cs="Arial"/>
          <w:bCs/>
          <w:sz w:val="24"/>
          <w:szCs w:val="24"/>
          <w:u w:val="single"/>
        </w:rPr>
        <w:t>Government Policy an</w:t>
      </w:r>
      <w:r w:rsidR="0019171D" w:rsidRPr="0019171D">
        <w:rPr>
          <w:rFonts w:ascii="Arial" w:hAnsi="Arial" w:cs="Arial"/>
          <w:bCs/>
          <w:sz w:val="24"/>
          <w:szCs w:val="24"/>
          <w:u w:val="single"/>
        </w:rPr>
        <w:t>d Foreign Investment Incentives:</w:t>
      </w:r>
      <w:r w:rsidR="0019171D">
        <w:rPr>
          <w:rFonts w:ascii="Arial" w:hAnsi="Arial" w:cs="Arial"/>
          <w:b/>
          <w:bCs/>
          <w:sz w:val="24"/>
          <w:szCs w:val="24"/>
        </w:rPr>
        <w:t xml:space="preserve"> </w:t>
      </w:r>
      <w:r w:rsidRPr="003C0A66">
        <w:rPr>
          <w:rFonts w:ascii="Arial" w:hAnsi="Arial" w:cs="Arial"/>
          <w:bCs/>
          <w:sz w:val="24"/>
          <w:szCs w:val="24"/>
        </w:rPr>
        <w:t>The long-term strategy of Coca-Cola can be traced in the dedication of China to the consumer market development, its sustainability, and modernization of the manufacturing industry. Free trade zones also have incentives that lower the cost of operation.</w:t>
      </w:r>
    </w:p>
    <w:p w14:paraId="5094CEA4" w14:textId="77777777" w:rsidR="00442CB0" w:rsidRPr="00AD369C" w:rsidRDefault="003C0A66" w:rsidP="003C0A66">
      <w:pPr>
        <w:spacing w:line="360" w:lineRule="auto"/>
        <w:jc w:val="both"/>
        <w:rPr>
          <w:rFonts w:ascii="Arial" w:hAnsi="Arial" w:cs="Arial"/>
          <w:bCs/>
          <w:sz w:val="24"/>
          <w:szCs w:val="24"/>
        </w:rPr>
      </w:pPr>
      <w:r w:rsidRPr="003C0A66">
        <w:rPr>
          <w:rFonts w:ascii="Arial" w:hAnsi="Arial" w:cs="Arial"/>
          <w:bCs/>
          <w:sz w:val="24"/>
          <w:szCs w:val="24"/>
        </w:rPr>
        <w:t>All these considerations make China a very attractive destination and this requires Coca-Cola to invest hard t</w:t>
      </w:r>
      <w:r>
        <w:rPr>
          <w:rFonts w:ascii="Arial" w:hAnsi="Arial" w:cs="Arial"/>
          <w:bCs/>
          <w:sz w:val="24"/>
          <w:szCs w:val="24"/>
        </w:rPr>
        <w:t>o stay ahead of the competition</w:t>
      </w:r>
      <w:r w:rsidR="00442CB0" w:rsidRPr="00AD369C">
        <w:rPr>
          <w:rFonts w:ascii="Arial" w:hAnsi="Arial" w:cs="Arial"/>
          <w:bCs/>
          <w:sz w:val="24"/>
          <w:szCs w:val="24"/>
        </w:rPr>
        <w:t>.</w:t>
      </w:r>
    </w:p>
    <w:p w14:paraId="77C83C85" w14:textId="77777777" w:rsidR="00442CB0" w:rsidRPr="00F2383F" w:rsidRDefault="00442CB0" w:rsidP="00B036AA">
      <w:pPr>
        <w:pStyle w:val="Heading2"/>
      </w:pPr>
      <w:bookmarkStart w:id="12" w:name="_Toc216539897"/>
      <w:r w:rsidRPr="00F2383F">
        <w:lastRenderedPageBreak/>
        <w:t xml:space="preserve">3.3 </w:t>
      </w:r>
      <w:r w:rsidR="000F1E51" w:rsidRPr="00F2383F">
        <w:t>Internalization</w:t>
      </w:r>
      <w:r w:rsidRPr="00F2383F">
        <w:t xml:space="preserve"> Advantages (I)</w:t>
      </w:r>
      <w:bookmarkEnd w:id="12"/>
    </w:p>
    <w:p w14:paraId="57C6BD71" w14:textId="77777777" w:rsidR="00725CE5" w:rsidRPr="00725CE5" w:rsidRDefault="00725CE5" w:rsidP="00725CE5">
      <w:pPr>
        <w:spacing w:line="360" w:lineRule="auto"/>
        <w:jc w:val="both"/>
        <w:rPr>
          <w:rFonts w:ascii="Arial" w:hAnsi="Arial" w:cs="Arial"/>
          <w:sz w:val="24"/>
          <w:szCs w:val="24"/>
        </w:rPr>
      </w:pPr>
      <w:r w:rsidRPr="00725CE5">
        <w:rPr>
          <w:rFonts w:ascii="Arial" w:hAnsi="Arial" w:cs="Arial"/>
          <w:sz w:val="24"/>
          <w:szCs w:val="24"/>
        </w:rPr>
        <w:t>The benefits of internalization provide the reasons why Coca-Cola decided to structure its operations in China and why some processes are retained in the company instead of being outsourced.</w:t>
      </w:r>
    </w:p>
    <w:p w14:paraId="7E5E6D17" w14:textId="77777777" w:rsidR="00725CE5" w:rsidRPr="000D1152" w:rsidRDefault="00725CE5" w:rsidP="00725CE5">
      <w:pPr>
        <w:spacing w:line="360" w:lineRule="auto"/>
        <w:jc w:val="both"/>
        <w:rPr>
          <w:rFonts w:ascii="Arial" w:hAnsi="Arial" w:cs="Arial"/>
          <w:b/>
          <w:sz w:val="24"/>
          <w:szCs w:val="24"/>
        </w:rPr>
      </w:pPr>
      <w:r w:rsidRPr="000D1152">
        <w:rPr>
          <w:rFonts w:ascii="Arial" w:hAnsi="Arial" w:cs="Arial"/>
          <w:sz w:val="24"/>
          <w:szCs w:val="24"/>
          <w:u w:val="single"/>
        </w:rPr>
        <w:t>Defending Pr</w:t>
      </w:r>
      <w:r w:rsidR="000D1152" w:rsidRPr="000D1152">
        <w:rPr>
          <w:rFonts w:ascii="Arial" w:hAnsi="Arial" w:cs="Arial"/>
          <w:sz w:val="24"/>
          <w:szCs w:val="24"/>
          <w:u w:val="single"/>
        </w:rPr>
        <w:t>oprietary Knowledge and Formula:</w:t>
      </w:r>
      <w:r w:rsidR="000D1152">
        <w:rPr>
          <w:rFonts w:ascii="Arial" w:hAnsi="Arial" w:cs="Arial"/>
          <w:b/>
          <w:sz w:val="24"/>
          <w:szCs w:val="24"/>
        </w:rPr>
        <w:t xml:space="preserve"> </w:t>
      </w:r>
      <w:r w:rsidRPr="00725CE5">
        <w:rPr>
          <w:rFonts w:ascii="Arial" w:hAnsi="Arial" w:cs="Arial"/>
          <w:sz w:val="24"/>
          <w:szCs w:val="24"/>
        </w:rPr>
        <w:t xml:space="preserve">The </w:t>
      </w:r>
      <w:proofErr w:type="spellStart"/>
      <w:r w:rsidRPr="00725CE5">
        <w:rPr>
          <w:rFonts w:ascii="Arial" w:hAnsi="Arial" w:cs="Arial"/>
          <w:sz w:val="24"/>
          <w:szCs w:val="24"/>
        </w:rPr>
        <w:t>Coca-cola</w:t>
      </w:r>
      <w:proofErr w:type="spellEnd"/>
      <w:r w:rsidRPr="00725CE5">
        <w:rPr>
          <w:rFonts w:ascii="Arial" w:hAnsi="Arial" w:cs="Arial"/>
          <w:sz w:val="24"/>
          <w:szCs w:val="24"/>
        </w:rPr>
        <w:t xml:space="preserve"> syrup formula is probably the best-kept trade secret in the world. The licensing of the production without stringent internal control would enhance the chances of imitating or leaking, especially in a new industry with high domestic competition. Internalization will make sure Coca-Cola has a tight grip over the manufacturing of the concentrates, whereas, it will outsource bottling</w:t>
      </w:r>
      <w:r w:rsidR="00E96825">
        <w:rPr>
          <w:rFonts w:ascii="Arial" w:hAnsi="Arial" w:cs="Arial"/>
          <w:sz w:val="24"/>
          <w:szCs w:val="24"/>
        </w:rPr>
        <w:t xml:space="preserve"> (UNCTAD, 2023)</w:t>
      </w:r>
      <w:r w:rsidRPr="00725CE5">
        <w:rPr>
          <w:rFonts w:ascii="Arial" w:hAnsi="Arial" w:cs="Arial"/>
          <w:sz w:val="24"/>
          <w:szCs w:val="24"/>
        </w:rPr>
        <w:t>.</w:t>
      </w:r>
    </w:p>
    <w:p w14:paraId="078C11C8" w14:textId="77777777" w:rsidR="00725CE5" w:rsidRPr="000D1152" w:rsidRDefault="00725CE5" w:rsidP="00725CE5">
      <w:pPr>
        <w:spacing w:line="360" w:lineRule="auto"/>
        <w:jc w:val="both"/>
        <w:rPr>
          <w:rFonts w:ascii="Arial" w:hAnsi="Arial" w:cs="Arial"/>
          <w:b/>
          <w:sz w:val="24"/>
          <w:szCs w:val="24"/>
        </w:rPr>
      </w:pPr>
      <w:r w:rsidRPr="000D1152">
        <w:rPr>
          <w:rFonts w:ascii="Arial" w:hAnsi="Arial" w:cs="Arial"/>
          <w:sz w:val="24"/>
          <w:szCs w:val="24"/>
          <w:u w:val="single"/>
        </w:rPr>
        <w:t>Guaranteeing Qu</w:t>
      </w:r>
      <w:r w:rsidR="000D1152" w:rsidRPr="000D1152">
        <w:rPr>
          <w:rFonts w:ascii="Arial" w:hAnsi="Arial" w:cs="Arial"/>
          <w:sz w:val="24"/>
          <w:szCs w:val="24"/>
          <w:u w:val="single"/>
        </w:rPr>
        <w:t>ality and Brand Standardization:</w:t>
      </w:r>
      <w:r w:rsidR="000D1152">
        <w:rPr>
          <w:rFonts w:ascii="Arial" w:hAnsi="Arial" w:cs="Arial"/>
          <w:b/>
          <w:sz w:val="24"/>
          <w:szCs w:val="24"/>
        </w:rPr>
        <w:t xml:space="preserve"> </w:t>
      </w:r>
      <w:r w:rsidRPr="00725CE5">
        <w:rPr>
          <w:rFonts w:ascii="Arial" w:hAnsi="Arial" w:cs="Arial"/>
          <w:sz w:val="24"/>
          <w:szCs w:val="24"/>
        </w:rPr>
        <w:t>The internalization enables the Coca-Cola to orient itself to high standards of quality throughout the world. In China, where counterfeits and poor quality of goods are the main issues of concern, internal control of the supply of concentrates and brand management conserves corporate image (Chen, 2021).</w:t>
      </w:r>
    </w:p>
    <w:p w14:paraId="2392D40A" w14:textId="77777777" w:rsidR="00725CE5" w:rsidRPr="000D1152" w:rsidRDefault="00725CE5" w:rsidP="00725CE5">
      <w:pPr>
        <w:spacing w:line="360" w:lineRule="auto"/>
        <w:jc w:val="both"/>
        <w:rPr>
          <w:rFonts w:ascii="Arial" w:hAnsi="Arial" w:cs="Arial"/>
          <w:b/>
          <w:sz w:val="24"/>
          <w:szCs w:val="24"/>
        </w:rPr>
      </w:pPr>
      <w:r w:rsidRPr="000D1152">
        <w:rPr>
          <w:rFonts w:ascii="Arial" w:hAnsi="Arial" w:cs="Arial"/>
          <w:sz w:val="24"/>
          <w:szCs w:val="24"/>
          <w:u w:val="single"/>
        </w:rPr>
        <w:t>Getting the Global Marketing together</w:t>
      </w:r>
      <w:r w:rsidR="000D1152" w:rsidRPr="000D1152">
        <w:rPr>
          <w:rFonts w:ascii="Arial" w:hAnsi="Arial" w:cs="Arial"/>
          <w:sz w:val="24"/>
          <w:szCs w:val="24"/>
          <w:u w:val="single"/>
        </w:rPr>
        <w:t>:</w:t>
      </w:r>
      <w:r w:rsidR="000D1152">
        <w:rPr>
          <w:rFonts w:ascii="Arial" w:hAnsi="Arial" w:cs="Arial"/>
          <w:b/>
          <w:sz w:val="24"/>
          <w:szCs w:val="24"/>
        </w:rPr>
        <w:t xml:space="preserve"> </w:t>
      </w:r>
      <w:r w:rsidRPr="00725CE5">
        <w:rPr>
          <w:rFonts w:ascii="Arial" w:hAnsi="Arial" w:cs="Arial"/>
          <w:sz w:val="24"/>
          <w:szCs w:val="24"/>
        </w:rPr>
        <w:t>Since Coca-Cola has a global strategy of One Brand Strategy, the internalization would guarantee global consistency and allow local adaption. Marketing planning, content development and digital analytics have to be centralized in the firm and not distributed across external agencies so that campaign coordination is more effective.</w:t>
      </w:r>
    </w:p>
    <w:p w14:paraId="52DD47D1" w14:textId="77777777" w:rsidR="00725CE5" w:rsidRPr="000D1152" w:rsidRDefault="00725CE5" w:rsidP="00725CE5">
      <w:pPr>
        <w:spacing w:line="360" w:lineRule="auto"/>
        <w:jc w:val="both"/>
        <w:rPr>
          <w:rFonts w:ascii="Arial" w:hAnsi="Arial" w:cs="Arial"/>
          <w:b/>
          <w:sz w:val="24"/>
          <w:szCs w:val="24"/>
        </w:rPr>
      </w:pPr>
      <w:r w:rsidRPr="000D1152">
        <w:rPr>
          <w:rFonts w:ascii="Arial" w:hAnsi="Arial" w:cs="Arial"/>
          <w:sz w:val="24"/>
          <w:szCs w:val="24"/>
          <w:u w:val="single"/>
        </w:rPr>
        <w:t>Reducing Trans</w:t>
      </w:r>
      <w:r w:rsidR="000D1152" w:rsidRPr="000D1152">
        <w:rPr>
          <w:rFonts w:ascii="Arial" w:hAnsi="Arial" w:cs="Arial"/>
          <w:sz w:val="24"/>
          <w:szCs w:val="24"/>
          <w:u w:val="single"/>
        </w:rPr>
        <w:t>action Costs:</w:t>
      </w:r>
      <w:r w:rsidR="000D1152">
        <w:rPr>
          <w:rFonts w:ascii="Arial" w:hAnsi="Arial" w:cs="Arial"/>
          <w:b/>
          <w:sz w:val="24"/>
          <w:szCs w:val="24"/>
        </w:rPr>
        <w:t xml:space="preserve"> </w:t>
      </w:r>
      <w:r w:rsidRPr="00725CE5">
        <w:rPr>
          <w:rFonts w:ascii="Arial" w:hAnsi="Arial" w:cs="Arial"/>
          <w:sz w:val="24"/>
          <w:szCs w:val="24"/>
        </w:rPr>
        <w:t xml:space="preserve">The total dependence on external partners in China would provide high transaction costs because of the uncertainty of regulation, intricate relations with the government and inhomogeneous retail systems. </w:t>
      </w:r>
      <w:r w:rsidR="00BB049B" w:rsidRPr="00725CE5">
        <w:rPr>
          <w:rFonts w:ascii="Arial" w:hAnsi="Arial" w:cs="Arial"/>
          <w:sz w:val="24"/>
          <w:szCs w:val="24"/>
        </w:rPr>
        <w:t>Internalization</w:t>
      </w:r>
      <w:r w:rsidRPr="00725CE5">
        <w:rPr>
          <w:rFonts w:ascii="Arial" w:hAnsi="Arial" w:cs="Arial"/>
          <w:sz w:val="24"/>
          <w:szCs w:val="24"/>
        </w:rPr>
        <w:t xml:space="preserve"> of the core functions saves negotiation and monitoring costs (Narula and Van Tulder, 2022).</w:t>
      </w:r>
    </w:p>
    <w:p w14:paraId="0E190202" w14:textId="77777777" w:rsidR="00442CB0" w:rsidRPr="000D1152" w:rsidRDefault="00725CE5" w:rsidP="00725CE5">
      <w:pPr>
        <w:spacing w:line="360" w:lineRule="auto"/>
        <w:jc w:val="both"/>
        <w:rPr>
          <w:rFonts w:ascii="Arial" w:hAnsi="Arial" w:cs="Arial"/>
          <w:b/>
          <w:sz w:val="24"/>
          <w:szCs w:val="24"/>
        </w:rPr>
      </w:pPr>
      <w:r w:rsidRPr="000D1152">
        <w:rPr>
          <w:rFonts w:ascii="Arial" w:hAnsi="Arial" w:cs="Arial"/>
          <w:sz w:val="24"/>
          <w:szCs w:val="24"/>
          <w:u w:val="single"/>
        </w:rPr>
        <w:t>Im</w:t>
      </w:r>
      <w:r w:rsidR="000D1152" w:rsidRPr="000D1152">
        <w:rPr>
          <w:rFonts w:ascii="Arial" w:hAnsi="Arial" w:cs="Arial"/>
          <w:sz w:val="24"/>
          <w:szCs w:val="24"/>
          <w:u w:val="single"/>
        </w:rPr>
        <w:t>proving Supply Chain Resilience:</w:t>
      </w:r>
      <w:r w:rsidR="000D1152">
        <w:rPr>
          <w:rFonts w:ascii="Arial" w:hAnsi="Arial" w:cs="Arial"/>
          <w:b/>
          <w:sz w:val="24"/>
          <w:szCs w:val="24"/>
        </w:rPr>
        <w:t xml:space="preserve"> </w:t>
      </w:r>
      <w:r w:rsidRPr="00725CE5">
        <w:rPr>
          <w:rFonts w:ascii="Arial" w:hAnsi="Arial" w:cs="Arial"/>
          <w:sz w:val="24"/>
          <w:szCs w:val="24"/>
        </w:rPr>
        <w:t>The strategic elements of the supply chain, including concentrate manufacturing, management of bottling suppliers, and online retailing alliances, are more effective in resisting disruption in supply, inflation, and cl</w:t>
      </w:r>
      <w:r>
        <w:rPr>
          <w:rFonts w:ascii="Arial" w:hAnsi="Arial" w:cs="Arial"/>
          <w:sz w:val="24"/>
          <w:szCs w:val="24"/>
        </w:rPr>
        <w:t>imatic hazards (Deloitte, 2023)</w:t>
      </w:r>
      <w:r w:rsidR="00442CB0" w:rsidRPr="00F2383F">
        <w:rPr>
          <w:rFonts w:ascii="Arial" w:hAnsi="Arial" w:cs="Arial"/>
          <w:sz w:val="24"/>
          <w:szCs w:val="24"/>
        </w:rPr>
        <w:t>.</w:t>
      </w:r>
    </w:p>
    <w:p w14:paraId="706EBB79" w14:textId="77777777" w:rsidR="00442CB0" w:rsidRPr="00F2383F" w:rsidRDefault="00442CB0" w:rsidP="00B036AA">
      <w:pPr>
        <w:pStyle w:val="Heading2"/>
      </w:pPr>
      <w:bookmarkStart w:id="13" w:name="_Toc216539898"/>
      <w:r w:rsidRPr="00F2383F">
        <w:lastRenderedPageBreak/>
        <w:t>3.4 Interaction of OLI Factors and Resulting Entry Mode</w:t>
      </w:r>
      <w:bookmarkEnd w:id="13"/>
    </w:p>
    <w:p w14:paraId="631B0C5D" w14:textId="77777777" w:rsidR="00442CB0" w:rsidRPr="00B036AA" w:rsidRDefault="00442CB0" w:rsidP="00AD369C">
      <w:pPr>
        <w:spacing w:line="360" w:lineRule="auto"/>
        <w:jc w:val="both"/>
        <w:rPr>
          <w:rFonts w:ascii="Arial" w:hAnsi="Arial" w:cs="Arial"/>
          <w:sz w:val="24"/>
          <w:szCs w:val="24"/>
        </w:rPr>
      </w:pPr>
      <w:r w:rsidRPr="00B036AA">
        <w:rPr>
          <w:rFonts w:ascii="Arial" w:hAnsi="Arial" w:cs="Arial"/>
          <w:sz w:val="24"/>
          <w:szCs w:val="24"/>
        </w:rPr>
        <w:t xml:space="preserve">The combination of OLI advantages explains why Coca-Cola adopted a </w:t>
      </w:r>
      <w:r w:rsidRPr="00B036AA">
        <w:rPr>
          <w:rFonts w:ascii="Arial" w:hAnsi="Arial" w:cs="Arial"/>
          <w:bCs/>
          <w:sz w:val="24"/>
          <w:szCs w:val="24"/>
        </w:rPr>
        <w:t xml:space="preserve">joint venture + selective FDI + </w:t>
      </w:r>
      <w:r w:rsidR="000F1E51" w:rsidRPr="00B036AA">
        <w:rPr>
          <w:rFonts w:ascii="Arial" w:hAnsi="Arial" w:cs="Arial"/>
          <w:bCs/>
          <w:sz w:val="24"/>
          <w:szCs w:val="24"/>
        </w:rPr>
        <w:t>internalized</w:t>
      </w:r>
      <w:r w:rsidRPr="00B036AA">
        <w:rPr>
          <w:rFonts w:ascii="Arial" w:hAnsi="Arial" w:cs="Arial"/>
          <w:bCs/>
          <w:sz w:val="24"/>
          <w:szCs w:val="24"/>
        </w:rPr>
        <w:t xml:space="preserve"> concentrate production</w:t>
      </w:r>
      <w:r w:rsidRPr="00B036AA">
        <w:rPr>
          <w:rFonts w:ascii="Arial" w:hAnsi="Arial" w:cs="Arial"/>
          <w:sz w:val="24"/>
          <w:szCs w:val="24"/>
        </w:rPr>
        <w:t xml:space="preserve"> entry model for China.</w:t>
      </w:r>
    </w:p>
    <w:p w14:paraId="1FB62BEC" w14:textId="77777777" w:rsidR="00442CB0" w:rsidRPr="00F2383F" w:rsidRDefault="000D1152" w:rsidP="00F2383F">
      <w:pPr>
        <w:spacing w:line="360" w:lineRule="auto"/>
        <w:rPr>
          <w:rFonts w:ascii="Arial" w:hAnsi="Arial" w:cs="Arial"/>
          <w:b/>
          <w:bCs/>
          <w:sz w:val="24"/>
          <w:szCs w:val="24"/>
        </w:rPr>
      </w:pPr>
      <w:r>
        <w:rPr>
          <w:rFonts w:ascii="Arial" w:hAnsi="Arial" w:cs="Arial"/>
          <w:b/>
          <w:bCs/>
          <w:sz w:val="24"/>
          <w:szCs w:val="24"/>
        </w:rPr>
        <w:t xml:space="preserve">O: </w:t>
      </w:r>
      <w:r w:rsidR="00442CB0" w:rsidRPr="00F2383F">
        <w:rPr>
          <w:rFonts w:ascii="Arial" w:hAnsi="Arial" w:cs="Arial"/>
          <w:b/>
          <w:bCs/>
          <w:sz w:val="24"/>
          <w:szCs w:val="24"/>
        </w:rPr>
        <w:t>Ownership Advantages → Need for Control</w:t>
      </w:r>
    </w:p>
    <w:p w14:paraId="2ABFB1EF" w14:textId="77777777" w:rsidR="00442CB0" w:rsidRPr="00F2383F" w:rsidRDefault="00442CB0" w:rsidP="00AD369C">
      <w:pPr>
        <w:numPr>
          <w:ilvl w:val="0"/>
          <w:numId w:val="5"/>
        </w:numPr>
        <w:spacing w:line="360" w:lineRule="auto"/>
        <w:jc w:val="both"/>
        <w:rPr>
          <w:rFonts w:ascii="Arial" w:hAnsi="Arial" w:cs="Arial"/>
          <w:sz w:val="24"/>
          <w:szCs w:val="24"/>
        </w:rPr>
      </w:pPr>
      <w:r w:rsidRPr="00F2383F">
        <w:rPr>
          <w:rFonts w:ascii="Arial" w:hAnsi="Arial" w:cs="Arial"/>
          <w:sz w:val="24"/>
          <w:szCs w:val="24"/>
        </w:rPr>
        <w:t xml:space="preserve">Strong IP assets → </w:t>
      </w:r>
      <w:r w:rsidR="00824E14" w:rsidRPr="00F2383F">
        <w:rPr>
          <w:rFonts w:ascii="Arial" w:hAnsi="Arial" w:cs="Arial"/>
          <w:sz w:val="24"/>
          <w:szCs w:val="24"/>
        </w:rPr>
        <w:t>internalized</w:t>
      </w:r>
      <w:r w:rsidRPr="00F2383F">
        <w:rPr>
          <w:rFonts w:ascii="Arial" w:hAnsi="Arial" w:cs="Arial"/>
          <w:sz w:val="24"/>
          <w:szCs w:val="24"/>
        </w:rPr>
        <w:t xml:space="preserve"> concentrate production.</w:t>
      </w:r>
    </w:p>
    <w:p w14:paraId="1719F651" w14:textId="77777777" w:rsidR="00442CB0" w:rsidRPr="00F2383F" w:rsidRDefault="00442CB0" w:rsidP="00AD369C">
      <w:pPr>
        <w:numPr>
          <w:ilvl w:val="0"/>
          <w:numId w:val="5"/>
        </w:numPr>
        <w:spacing w:line="360" w:lineRule="auto"/>
        <w:jc w:val="both"/>
        <w:rPr>
          <w:rFonts w:ascii="Arial" w:hAnsi="Arial" w:cs="Arial"/>
          <w:sz w:val="24"/>
          <w:szCs w:val="24"/>
        </w:rPr>
      </w:pPr>
      <w:r w:rsidRPr="00F2383F">
        <w:rPr>
          <w:rFonts w:ascii="Arial" w:hAnsi="Arial" w:cs="Arial"/>
          <w:sz w:val="24"/>
          <w:szCs w:val="24"/>
        </w:rPr>
        <w:t xml:space="preserve">Brand equity → </w:t>
      </w:r>
      <w:r w:rsidR="00824E14" w:rsidRPr="00F2383F">
        <w:rPr>
          <w:rFonts w:ascii="Arial" w:hAnsi="Arial" w:cs="Arial"/>
          <w:sz w:val="24"/>
          <w:szCs w:val="24"/>
        </w:rPr>
        <w:t>centralized</w:t>
      </w:r>
      <w:r w:rsidRPr="00F2383F">
        <w:rPr>
          <w:rFonts w:ascii="Arial" w:hAnsi="Arial" w:cs="Arial"/>
          <w:sz w:val="24"/>
          <w:szCs w:val="24"/>
        </w:rPr>
        <w:t xml:space="preserve"> marketing control.</w:t>
      </w:r>
    </w:p>
    <w:p w14:paraId="5A0B48C2" w14:textId="77777777" w:rsidR="00442CB0" w:rsidRPr="00F2383F" w:rsidRDefault="00442CB0" w:rsidP="00AD369C">
      <w:pPr>
        <w:numPr>
          <w:ilvl w:val="0"/>
          <w:numId w:val="5"/>
        </w:numPr>
        <w:spacing w:line="360" w:lineRule="auto"/>
        <w:jc w:val="both"/>
        <w:rPr>
          <w:rFonts w:ascii="Arial" w:hAnsi="Arial" w:cs="Arial"/>
          <w:sz w:val="24"/>
          <w:szCs w:val="24"/>
        </w:rPr>
      </w:pPr>
      <w:r w:rsidRPr="00F2383F">
        <w:rPr>
          <w:rFonts w:ascii="Arial" w:hAnsi="Arial" w:cs="Arial"/>
          <w:sz w:val="24"/>
          <w:szCs w:val="24"/>
        </w:rPr>
        <w:t>Financial resources → capacity for FDI in bottling operations.</w:t>
      </w:r>
    </w:p>
    <w:p w14:paraId="7DF31151" w14:textId="77777777" w:rsidR="00442CB0" w:rsidRPr="00F2383F" w:rsidRDefault="000D1152" w:rsidP="00F2383F">
      <w:pPr>
        <w:spacing w:line="360" w:lineRule="auto"/>
        <w:rPr>
          <w:rFonts w:ascii="Arial" w:hAnsi="Arial" w:cs="Arial"/>
          <w:b/>
          <w:bCs/>
          <w:sz w:val="24"/>
          <w:szCs w:val="24"/>
        </w:rPr>
      </w:pPr>
      <w:r>
        <w:rPr>
          <w:rFonts w:ascii="Arial" w:hAnsi="Arial" w:cs="Arial"/>
          <w:b/>
          <w:bCs/>
          <w:sz w:val="24"/>
          <w:szCs w:val="24"/>
        </w:rPr>
        <w:t xml:space="preserve">L: </w:t>
      </w:r>
      <w:r w:rsidR="00442CB0" w:rsidRPr="00F2383F">
        <w:rPr>
          <w:rFonts w:ascii="Arial" w:hAnsi="Arial" w:cs="Arial"/>
          <w:b/>
          <w:bCs/>
          <w:sz w:val="24"/>
          <w:szCs w:val="24"/>
        </w:rPr>
        <w:t>Location Advantages → Motivation to Invest</w:t>
      </w:r>
    </w:p>
    <w:p w14:paraId="70EC3E45" w14:textId="77777777" w:rsidR="00442CB0" w:rsidRPr="00F2383F" w:rsidRDefault="00442CB0" w:rsidP="00AD369C">
      <w:pPr>
        <w:numPr>
          <w:ilvl w:val="0"/>
          <w:numId w:val="6"/>
        </w:numPr>
        <w:spacing w:line="360" w:lineRule="auto"/>
        <w:jc w:val="both"/>
        <w:rPr>
          <w:rFonts w:ascii="Arial" w:hAnsi="Arial" w:cs="Arial"/>
          <w:sz w:val="24"/>
          <w:szCs w:val="24"/>
        </w:rPr>
      </w:pPr>
      <w:r w:rsidRPr="00F2383F">
        <w:rPr>
          <w:rFonts w:ascii="Arial" w:hAnsi="Arial" w:cs="Arial"/>
          <w:sz w:val="24"/>
          <w:szCs w:val="24"/>
        </w:rPr>
        <w:t>Massive consumer market → strong incentive for physical presence.</w:t>
      </w:r>
    </w:p>
    <w:p w14:paraId="321DC1FF" w14:textId="77777777" w:rsidR="00442CB0" w:rsidRPr="00F2383F" w:rsidRDefault="00442CB0" w:rsidP="00AD369C">
      <w:pPr>
        <w:numPr>
          <w:ilvl w:val="0"/>
          <w:numId w:val="6"/>
        </w:numPr>
        <w:spacing w:line="360" w:lineRule="auto"/>
        <w:jc w:val="both"/>
        <w:rPr>
          <w:rFonts w:ascii="Arial" w:hAnsi="Arial" w:cs="Arial"/>
          <w:sz w:val="24"/>
          <w:szCs w:val="24"/>
        </w:rPr>
      </w:pPr>
      <w:r w:rsidRPr="00F2383F">
        <w:rPr>
          <w:rFonts w:ascii="Arial" w:hAnsi="Arial" w:cs="Arial"/>
          <w:sz w:val="24"/>
          <w:szCs w:val="24"/>
        </w:rPr>
        <w:t>Digital ecosystem → need for local partnerships and adaptation.</w:t>
      </w:r>
    </w:p>
    <w:p w14:paraId="3AA820E3" w14:textId="77777777" w:rsidR="00442CB0" w:rsidRPr="00F2383F" w:rsidRDefault="00442CB0" w:rsidP="00AD369C">
      <w:pPr>
        <w:numPr>
          <w:ilvl w:val="0"/>
          <w:numId w:val="6"/>
        </w:numPr>
        <w:spacing w:line="360" w:lineRule="auto"/>
        <w:jc w:val="both"/>
        <w:rPr>
          <w:rFonts w:ascii="Arial" w:hAnsi="Arial" w:cs="Arial"/>
          <w:sz w:val="24"/>
          <w:szCs w:val="24"/>
        </w:rPr>
      </w:pPr>
      <w:r w:rsidRPr="00F2383F">
        <w:rPr>
          <w:rFonts w:ascii="Arial" w:hAnsi="Arial" w:cs="Arial"/>
          <w:sz w:val="24"/>
          <w:szCs w:val="24"/>
        </w:rPr>
        <w:t>Government policy → regulatory necessity for JVs.</w:t>
      </w:r>
    </w:p>
    <w:p w14:paraId="5F0288B8" w14:textId="77777777" w:rsidR="00442CB0" w:rsidRPr="00F2383F" w:rsidRDefault="000D1152" w:rsidP="00F2383F">
      <w:pPr>
        <w:spacing w:line="360" w:lineRule="auto"/>
        <w:rPr>
          <w:rFonts w:ascii="Arial" w:hAnsi="Arial" w:cs="Arial"/>
          <w:b/>
          <w:bCs/>
          <w:sz w:val="24"/>
          <w:szCs w:val="24"/>
        </w:rPr>
      </w:pPr>
      <w:r>
        <w:rPr>
          <w:rFonts w:ascii="Arial" w:hAnsi="Arial" w:cs="Arial"/>
          <w:b/>
          <w:bCs/>
          <w:sz w:val="24"/>
          <w:szCs w:val="24"/>
        </w:rPr>
        <w:t xml:space="preserve">I: </w:t>
      </w:r>
      <w:r w:rsidR="00824E14" w:rsidRPr="00F2383F">
        <w:rPr>
          <w:rFonts w:ascii="Arial" w:hAnsi="Arial" w:cs="Arial"/>
          <w:b/>
          <w:bCs/>
          <w:sz w:val="24"/>
          <w:szCs w:val="24"/>
        </w:rPr>
        <w:t>Internalization</w:t>
      </w:r>
      <w:r w:rsidR="00442CB0" w:rsidRPr="00F2383F">
        <w:rPr>
          <w:rFonts w:ascii="Arial" w:hAnsi="Arial" w:cs="Arial"/>
          <w:b/>
          <w:bCs/>
          <w:sz w:val="24"/>
          <w:szCs w:val="24"/>
        </w:rPr>
        <w:t xml:space="preserve"> Advantages → Governance Mechanisms</w:t>
      </w:r>
    </w:p>
    <w:p w14:paraId="7F43D607" w14:textId="77777777" w:rsidR="00442CB0" w:rsidRPr="00F2383F" w:rsidRDefault="00442CB0" w:rsidP="00AD369C">
      <w:pPr>
        <w:numPr>
          <w:ilvl w:val="0"/>
          <w:numId w:val="7"/>
        </w:numPr>
        <w:spacing w:line="360" w:lineRule="auto"/>
        <w:jc w:val="both"/>
        <w:rPr>
          <w:rFonts w:ascii="Arial" w:hAnsi="Arial" w:cs="Arial"/>
          <w:sz w:val="24"/>
          <w:szCs w:val="24"/>
        </w:rPr>
      </w:pPr>
      <w:r w:rsidRPr="00F2383F">
        <w:rPr>
          <w:rFonts w:ascii="Arial" w:hAnsi="Arial" w:cs="Arial"/>
          <w:sz w:val="24"/>
          <w:szCs w:val="24"/>
        </w:rPr>
        <w:t>IP protection → prohibits full outsourcing.</w:t>
      </w:r>
    </w:p>
    <w:p w14:paraId="6876CCEB" w14:textId="77777777" w:rsidR="00442CB0" w:rsidRPr="00F2383F" w:rsidRDefault="00442CB0" w:rsidP="00AD369C">
      <w:pPr>
        <w:numPr>
          <w:ilvl w:val="0"/>
          <w:numId w:val="7"/>
        </w:numPr>
        <w:spacing w:line="360" w:lineRule="auto"/>
        <w:jc w:val="both"/>
        <w:rPr>
          <w:rFonts w:ascii="Arial" w:hAnsi="Arial" w:cs="Arial"/>
          <w:sz w:val="24"/>
          <w:szCs w:val="24"/>
        </w:rPr>
      </w:pPr>
      <w:r w:rsidRPr="00F2383F">
        <w:rPr>
          <w:rFonts w:ascii="Arial" w:hAnsi="Arial" w:cs="Arial"/>
          <w:sz w:val="24"/>
          <w:szCs w:val="24"/>
        </w:rPr>
        <w:t xml:space="preserve">Reduced transaction costs → requires </w:t>
      </w:r>
      <w:r w:rsidR="00824E14" w:rsidRPr="00F2383F">
        <w:rPr>
          <w:rFonts w:ascii="Arial" w:hAnsi="Arial" w:cs="Arial"/>
          <w:sz w:val="24"/>
          <w:szCs w:val="24"/>
        </w:rPr>
        <w:t>internalized</w:t>
      </w:r>
      <w:r w:rsidRPr="00F2383F">
        <w:rPr>
          <w:rFonts w:ascii="Arial" w:hAnsi="Arial" w:cs="Arial"/>
          <w:sz w:val="24"/>
          <w:szCs w:val="24"/>
        </w:rPr>
        <w:t xml:space="preserve"> processes.</w:t>
      </w:r>
    </w:p>
    <w:p w14:paraId="30A02F4F" w14:textId="77777777" w:rsidR="00442CB0" w:rsidRPr="00F2383F" w:rsidRDefault="00442CB0" w:rsidP="00AD369C">
      <w:pPr>
        <w:numPr>
          <w:ilvl w:val="0"/>
          <w:numId w:val="7"/>
        </w:numPr>
        <w:spacing w:line="360" w:lineRule="auto"/>
        <w:jc w:val="both"/>
        <w:rPr>
          <w:rFonts w:ascii="Arial" w:hAnsi="Arial" w:cs="Arial"/>
          <w:sz w:val="24"/>
          <w:szCs w:val="24"/>
        </w:rPr>
      </w:pPr>
      <w:r w:rsidRPr="00F2383F">
        <w:rPr>
          <w:rFonts w:ascii="Arial" w:hAnsi="Arial" w:cs="Arial"/>
          <w:sz w:val="24"/>
          <w:szCs w:val="24"/>
        </w:rPr>
        <w:t>Quality control → mandates Coca-Cola governance over bottlers.</w:t>
      </w:r>
    </w:p>
    <w:p w14:paraId="0C43BEAC" w14:textId="77777777" w:rsidR="00F65C78" w:rsidRPr="00F65C78" w:rsidRDefault="00442CB0" w:rsidP="00DC2729">
      <w:pPr>
        <w:spacing w:line="360" w:lineRule="auto"/>
        <w:jc w:val="both"/>
        <w:rPr>
          <w:rFonts w:ascii="Arial" w:hAnsi="Arial" w:cs="Arial"/>
          <w:sz w:val="24"/>
          <w:szCs w:val="24"/>
        </w:rPr>
      </w:pPr>
      <w:r w:rsidRPr="00F2383F">
        <w:rPr>
          <w:rFonts w:ascii="Arial" w:hAnsi="Arial" w:cs="Arial"/>
          <w:sz w:val="24"/>
          <w:szCs w:val="24"/>
        </w:rPr>
        <w:t xml:space="preserve">Together, these OLI dynamics led to </w:t>
      </w:r>
      <w:r w:rsidRPr="000D1152">
        <w:rPr>
          <w:rFonts w:ascii="Arial" w:hAnsi="Arial" w:cs="Arial"/>
          <w:bCs/>
          <w:sz w:val="24"/>
          <w:szCs w:val="24"/>
          <w:u w:val="single"/>
        </w:rPr>
        <w:t>a hybrid entry mode</w:t>
      </w:r>
      <w:r w:rsidR="00DC2729">
        <w:rPr>
          <w:rFonts w:ascii="Arial" w:hAnsi="Arial" w:cs="Arial"/>
          <w:sz w:val="24"/>
          <w:szCs w:val="24"/>
        </w:rPr>
        <w:t>: like j</w:t>
      </w:r>
      <w:r w:rsidRPr="00DC2729">
        <w:rPr>
          <w:rFonts w:ascii="Arial" w:hAnsi="Arial" w:cs="Arial"/>
          <w:bCs/>
          <w:sz w:val="24"/>
          <w:szCs w:val="24"/>
        </w:rPr>
        <w:t>oint Ventures</w:t>
      </w:r>
      <w:r w:rsidRPr="00DC2729">
        <w:rPr>
          <w:rFonts w:ascii="Arial" w:hAnsi="Arial" w:cs="Arial"/>
          <w:sz w:val="24"/>
          <w:szCs w:val="24"/>
        </w:rPr>
        <w:t xml:space="preserve"> with COFCO and Swire for bottling and distributio</w:t>
      </w:r>
      <w:r w:rsidR="00DC2729">
        <w:rPr>
          <w:rFonts w:ascii="Arial" w:hAnsi="Arial" w:cs="Arial"/>
          <w:sz w:val="24"/>
          <w:szCs w:val="24"/>
        </w:rPr>
        <w:t xml:space="preserve">n., </w:t>
      </w:r>
      <w:r w:rsidRPr="00DC2729">
        <w:rPr>
          <w:rFonts w:ascii="Arial" w:hAnsi="Arial" w:cs="Arial"/>
          <w:bCs/>
          <w:sz w:val="24"/>
          <w:szCs w:val="24"/>
        </w:rPr>
        <w:t>FDI</w:t>
      </w:r>
      <w:r w:rsidRPr="00DC2729">
        <w:rPr>
          <w:rFonts w:ascii="Arial" w:hAnsi="Arial" w:cs="Arial"/>
          <w:sz w:val="24"/>
          <w:szCs w:val="24"/>
        </w:rPr>
        <w:t xml:space="preserve"> in concentrate p</w:t>
      </w:r>
      <w:r w:rsidR="00DC2729">
        <w:rPr>
          <w:rFonts w:ascii="Arial" w:hAnsi="Arial" w:cs="Arial"/>
          <w:sz w:val="24"/>
          <w:szCs w:val="24"/>
        </w:rPr>
        <w:t xml:space="preserve">roduction and strategic assets and </w:t>
      </w:r>
      <w:r w:rsidRPr="00DC2729">
        <w:rPr>
          <w:rFonts w:ascii="Arial" w:hAnsi="Arial" w:cs="Arial"/>
          <w:bCs/>
          <w:sz w:val="24"/>
          <w:szCs w:val="24"/>
        </w:rPr>
        <w:t xml:space="preserve">Licensing + </w:t>
      </w:r>
      <w:r w:rsidR="00824E14" w:rsidRPr="00DC2729">
        <w:rPr>
          <w:rFonts w:ascii="Arial" w:hAnsi="Arial" w:cs="Arial"/>
          <w:bCs/>
          <w:sz w:val="24"/>
          <w:szCs w:val="24"/>
        </w:rPr>
        <w:t>Internalization</w:t>
      </w:r>
      <w:r w:rsidRPr="00DC2729">
        <w:rPr>
          <w:rFonts w:ascii="Arial" w:hAnsi="Arial" w:cs="Arial"/>
          <w:sz w:val="24"/>
          <w:szCs w:val="24"/>
        </w:rPr>
        <w:t xml:space="preserve"> for brand m</w:t>
      </w:r>
      <w:r w:rsidR="00DC2729">
        <w:rPr>
          <w:rFonts w:ascii="Arial" w:hAnsi="Arial" w:cs="Arial"/>
          <w:sz w:val="24"/>
          <w:szCs w:val="24"/>
        </w:rPr>
        <w:t xml:space="preserve">anagement and syrup production. </w:t>
      </w:r>
      <w:r w:rsidR="00F65C78" w:rsidRPr="00F65C78">
        <w:rPr>
          <w:rFonts w:ascii="Arial" w:hAnsi="Arial" w:cs="Arial"/>
          <w:sz w:val="24"/>
          <w:szCs w:val="24"/>
        </w:rPr>
        <w:t>This mix is emblematic of what the literature refers to as a strategically calculated balance between the global control and local involvement in the emerging economies (Rugman and Verbeke, 2022).</w:t>
      </w:r>
    </w:p>
    <w:p w14:paraId="1DF67F37" w14:textId="77777777" w:rsidR="00F65C78" w:rsidRPr="00F65C78" w:rsidRDefault="00F65C78" w:rsidP="00F65C78">
      <w:pPr>
        <w:pStyle w:val="Heading2"/>
      </w:pPr>
      <w:bookmarkStart w:id="14" w:name="_Toc216539899"/>
      <w:r w:rsidRPr="00F65C78">
        <w:t>3.5 Critical Evaluation</w:t>
      </w:r>
      <w:bookmarkEnd w:id="14"/>
    </w:p>
    <w:p w14:paraId="147B1356" w14:textId="77777777" w:rsidR="00F65C78" w:rsidRPr="00F65C78" w:rsidRDefault="00F65C78" w:rsidP="00F65C78">
      <w:pPr>
        <w:spacing w:line="360" w:lineRule="auto"/>
        <w:ind w:left="720"/>
        <w:jc w:val="both"/>
        <w:rPr>
          <w:rFonts w:ascii="Arial" w:hAnsi="Arial" w:cs="Arial"/>
          <w:sz w:val="24"/>
          <w:szCs w:val="24"/>
        </w:rPr>
      </w:pPr>
      <w:r w:rsidRPr="00F65C78">
        <w:rPr>
          <w:rFonts w:ascii="Arial" w:hAnsi="Arial" w:cs="Arial"/>
          <w:sz w:val="24"/>
          <w:szCs w:val="24"/>
        </w:rPr>
        <w:t>The expansion of Coca-Cola to China can be viewed as a textbook application of the OLI framework, however, it also shows multiple complexities:</w:t>
      </w:r>
    </w:p>
    <w:p w14:paraId="50A1801D" w14:textId="77777777" w:rsidR="00F65C78" w:rsidRPr="00F65C78" w:rsidRDefault="00F65C78" w:rsidP="00F65C78">
      <w:pPr>
        <w:spacing w:line="360" w:lineRule="auto"/>
        <w:ind w:left="720"/>
        <w:jc w:val="both"/>
        <w:rPr>
          <w:rFonts w:ascii="Arial" w:hAnsi="Arial" w:cs="Arial"/>
          <w:sz w:val="24"/>
          <w:szCs w:val="24"/>
        </w:rPr>
      </w:pPr>
      <w:r w:rsidRPr="00F65C78">
        <w:rPr>
          <w:rFonts w:ascii="Arial" w:hAnsi="Arial" w:cs="Arial"/>
          <w:b/>
          <w:sz w:val="24"/>
          <w:szCs w:val="24"/>
        </w:rPr>
        <w:lastRenderedPageBreak/>
        <w:t>1.</w:t>
      </w:r>
      <w:r>
        <w:rPr>
          <w:rFonts w:ascii="Arial" w:hAnsi="Arial" w:cs="Arial"/>
          <w:sz w:val="24"/>
          <w:szCs w:val="24"/>
        </w:rPr>
        <w:t xml:space="preserve"> </w:t>
      </w:r>
      <w:r w:rsidRPr="00F65C78">
        <w:rPr>
          <w:rFonts w:ascii="Arial" w:hAnsi="Arial" w:cs="Arial"/>
          <w:sz w:val="24"/>
          <w:szCs w:val="24"/>
        </w:rPr>
        <w:t xml:space="preserve">The increasing local competitors like </w:t>
      </w:r>
      <w:proofErr w:type="spellStart"/>
      <w:r w:rsidRPr="00F65C78">
        <w:rPr>
          <w:rFonts w:ascii="Arial" w:hAnsi="Arial" w:cs="Arial"/>
          <w:sz w:val="24"/>
          <w:szCs w:val="24"/>
        </w:rPr>
        <w:t>Wahaha</w:t>
      </w:r>
      <w:proofErr w:type="spellEnd"/>
      <w:r w:rsidRPr="00F65C78">
        <w:rPr>
          <w:rFonts w:ascii="Arial" w:hAnsi="Arial" w:cs="Arial"/>
          <w:sz w:val="24"/>
          <w:szCs w:val="24"/>
        </w:rPr>
        <w:t xml:space="preserve"> and Genki Forest are threatening ownership benefits as they have a faster innovation rate and an appeal to nationalistic consumerism.</w:t>
      </w:r>
    </w:p>
    <w:p w14:paraId="5EBCC960" w14:textId="77777777" w:rsidR="00442CB0" w:rsidRPr="00F2383F" w:rsidRDefault="00F65C78" w:rsidP="00F65C78">
      <w:pPr>
        <w:spacing w:line="360" w:lineRule="auto"/>
        <w:ind w:left="720"/>
        <w:jc w:val="both"/>
        <w:rPr>
          <w:rFonts w:ascii="Arial" w:hAnsi="Arial" w:cs="Arial"/>
          <w:sz w:val="24"/>
          <w:szCs w:val="24"/>
        </w:rPr>
      </w:pPr>
      <w:r w:rsidRPr="00F65C78">
        <w:rPr>
          <w:rFonts w:ascii="Arial" w:hAnsi="Arial" w:cs="Arial"/>
          <w:b/>
          <w:sz w:val="24"/>
          <w:szCs w:val="24"/>
        </w:rPr>
        <w:t>2.</w:t>
      </w:r>
      <w:r>
        <w:rPr>
          <w:rFonts w:ascii="Arial" w:hAnsi="Arial" w:cs="Arial"/>
          <w:sz w:val="24"/>
          <w:szCs w:val="24"/>
        </w:rPr>
        <w:t xml:space="preserve"> </w:t>
      </w:r>
      <w:r w:rsidRPr="00F65C78">
        <w:rPr>
          <w:rFonts w:ascii="Arial" w:hAnsi="Arial" w:cs="Arial"/>
          <w:sz w:val="24"/>
          <w:szCs w:val="24"/>
        </w:rPr>
        <w:t xml:space="preserve">The location benefits are more dynamic, given that the environmental regulation in China has become tighter, and localization demands and digital privacy regulations (Reuters, 2024) are </w:t>
      </w:r>
      <w:r w:rsidR="002A10D8" w:rsidRPr="00F65C78">
        <w:rPr>
          <w:rFonts w:ascii="Arial" w:hAnsi="Arial" w:cs="Arial"/>
          <w:sz w:val="24"/>
          <w:szCs w:val="24"/>
        </w:rPr>
        <w:t>implemented.</w:t>
      </w:r>
    </w:p>
    <w:p w14:paraId="0B8656D9" w14:textId="77777777" w:rsidR="00442CB0" w:rsidRPr="00F2383F" w:rsidRDefault="00F65C78" w:rsidP="00F65C78">
      <w:pPr>
        <w:spacing w:line="360" w:lineRule="auto"/>
        <w:ind w:left="720"/>
        <w:jc w:val="both"/>
        <w:rPr>
          <w:rFonts w:ascii="Arial" w:hAnsi="Arial" w:cs="Arial"/>
          <w:sz w:val="24"/>
          <w:szCs w:val="24"/>
        </w:rPr>
      </w:pPr>
      <w:r w:rsidRPr="00F65C78">
        <w:rPr>
          <w:rFonts w:ascii="Arial" w:hAnsi="Arial" w:cs="Arial"/>
          <w:b/>
          <w:bCs/>
          <w:sz w:val="24"/>
          <w:szCs w:val="24"/>
        </w:rPr>
        <w:t>3.</w:t>
      </w:r>
      <w:r w:rsidRPr="00F65C78">
        <w:rPr>
          <w:rFonts w:ascii="Arial" w:hAnsi="Arial" w:cs="Arial"/>
          <w:bCs/>
          <w:sz w:val="24"/>
          <w:szCs w:val="24"/>
        </w:rPr>
        <w:t xml:space="preserve"> </w:t>
      </w:r>
      <w:r w:rsidR="00824E14" w:rsidRPr="00F65C78">
        <w:rPr>
          <w:rFonts w:ascii="Arial" w:hAnsi="Arial" w:cs="Arial"/>
          <w:bCs/>
          <w:sz w:val="24"/>
          <w:szCs w:val="24"/>
        </w:rPr>
        <w:t>Internalization</w:t>
      </w:r>
      <w:r w:rsidR="00442CB0" w:rsidRPr="00F65C78">
        <w:rPr>
          <w:rFonts w:ascii="Arial" w:hAnsi="Arial" w:cs="Arial"/>
          <w:bCs/>
          <w:sz w:val="24"/>
          <w:szCs w:val="24"/>
        </w:rPr>
        <w:t xml:space="preserve"> advantages are costly</w:t>
      </w:r>
      <w:r w:rsidR="00442CB0" w:rsidRPr="00F2383F">
        <w:rPr>
          <w:rFonts w:ascii="Arial" w:hAnsi="Arial" w:cs="Arial"/>
          <w:sz w:val="24"/>
          <w:szCs w:val="24"/>
        </w:rPr>
        <w:t>, as maintaining control over marketing, concentrate production and quality oversight requires significant managerial investment.</w:t>
      </w:r>
    </w:p>
    <w:p w14:paraId="3BBE76AF" w14:textId="77777777" w:rsidR="00442CB0" w:rsidRDefault="00442CB0" w:rsidP="00DC2729">
      <w:pPr>
        <w:spacing w:line="360" w:lineRule="auto"/>
        <w:jc w:val="both"/>
        <w:rPr>
          <w:rFonts w:ascii="Arial" w:hAnsi="Arial" w:cs="Arial"/>
          <w:sz w:val="24"/>
          <w:szCs w:val="24"/>
        </w:rPr>
      </w:pPr>
      <w:r w:rsidRPr="00F2383F">
        <w:rPr>
          <w:rFonts w:ascii="Arial" w:hAnsi="Arial" w:cs="Arial"/>
          <w:sz w:val="24"/>
          <w:szCs w:val="24"/>
        </w:rPr>
        <w:t>However, the hybrid entry mode remains strategically</w:t>
      </w:r>
      <w:r w:rsidR="00DC2729">
        <w:rPr>
          <w:rFonts w:ascii="Arial" w:hAnsi="Arial" w:cs="Arial"/>
          <w:sz w:val="24"/>
          <w:szCs w:val="24"/>
        </w:rPr>
        <w:t xml:space="preserve"> sound, balancing the need for local legitimacy, regulatory compliance, operational efficiency, and </w:t>
      </w:r>
      <w:r w:rsidRPr="00F2383F">
        <w:rPr>
          <w:rFonts w:ascii="Arial" w:hAnsi="Arial" w:cs="Arial"/>
          <w:sz w:val="24"/>
          <w:szCs w:val="24"/>
        </w:rPr>
        <w:t>protection of global competitive advantages.</w:t>
      </w:r>
    </w:p>
    <w:p w14:paraId="14DBE5BA" w14:textId="77777777" w:rsidR="00A10CE2" w:rsidRDefault="00A10CE2" w:rsidP="00A10CE2">
      <w:pPr>
        <w:spacing w:line="360" w:lineRule="auto"/>
        <w:jc w:val="both"/>
        <w:rPr>
          <w:rFonts w:ascii="Arial" w:hAnsi="Arial" w:cs="Arial"/>
          <w:sz w:val="24"/>
          <w:szCs w:val="24"/>
        </w:rPr>
      </w:pPr>
    </w:p>
    <w:p w14:paraId="5308D55B" w14:textId="77777777" w:rsidR="00A10CE2" w:rsidRDefault="00A10CE2" w:rsidP="00A10CE2">
      <w:pPr>
        <w:spacing w:line="360" w:lineRule="auto"/>
        <w:jc w:val="both"/>
        <w:rPr>
          <w:rFonts w:ascii="Arial" w:hAnsi="Arial" w:cs="Arial"/>
          <w:sz w:val="24"/>
          <w:szCs w:val="24"/>
        </w:rPr>
      </w:pPr>
    </w:p>
    <w:p w14:paraId="14EDD429" w14:textId="77777777" w:rsidR="00A10CE2" w:rsidRDefault="00A10CE2" w:rsidP="00A10CE2">
      <w:pPr>
        <w:spacing w:line="360" w:lineRule="auto"/>
        <w:jc w:val="both"/>
        <w:rPr>
          <w:rFonts w:ascii="Arial" w:hAnsi="Arial" w:cs="Arial"/>
          <w:sz w:val="24"/>
          <w:szCs w:val="24"/>
        </w:rPr>
      </w:pPr>
    </w:p>
    <w:p w14:paraId="02F0E30B" w14:textId="77777777" w:rsidR="00A10CE2" w:rsidRDefault="00A10CE2" w:rsidP="00A10CE2">
      <w:pPr>
        <w:spacing w:line="360" w:lineRule="auto"/>
        <w:jc w:val="both"/>
        <w:rPr>
          <w:rFonts w:ascii="Arial" w:hAnsi="Arial" w:cs="Arial"/>
          <w:sz w:val="24"/>
          <w:szCs w:val="24"/>
        </w:rPr>
      </w:pPr>
    </w:p>
    <w:p w14:paraId="6E42CEAC" w14:textId="77777777" w:rsidR="00A10CE2" w:rsidRDefault="00A10CE2" w:rsidP="00A10CE2">
      <w:pPr>
        <w:spacing w:line="360" w:lineRule="auto"/>
        <w:jc w:val="both"/>
        <w:rPr>
          <w:rFonts w:ascii="Arial" w:hAnsi="Arial" w:cs="Arial"/>
          <w:sz w:val="24"/>
          <w:szCs w:val="24"/>
        </w:rPr>
      </w:pPr>
    </w:p>
    <w:p w14:paraId="13FF86BD" w14:textId="77777777" w:rsidR="00A10CE2" w:rsidRDefault="00A10CE2" w:rsidP="00A10CE2">
      <w:pPr>
        <w:spacing w:line="360" w:lineRule="auto"/>
        <w:jc w:val="both"/>
        <w:rPr>
          <w:rFonts w:ascii="Arial" w:hAnsi="Arial" w:cs="Arial"/>
          <w:sz w:val="24"/>
          <w:szCs w:val="24"/>
        </w:rPr>
      </w:pPr>
    </w:p>
    <w:p w14:paraId="4CE0BA94" w14:textId="77777777" w:rsidR="00A10CE2" w:rsidRDefault="00A10CE2" w:rsidP="00A10CE2">
      <w:pPr>
        <w:spacing w:line="360" w:lineRule="auto"/>
        <w:jc w:val="both"/>
        <w:rPr>
          <w:rFonts w:ascii="Arial" w:hAnsi="Arial" w:cs="Arial"/>
          <w:sz w:val="24"/>
          <w:szCs w:val="24"/>
        </w:rPr>
      </w:pPr>
    </w:p>
    <w:p w14:paraId="6462A943" w14:textId="77777777" w:rsidR="00A10CE2" w:rsidRDefault="00A10CE2" w:rsidP="00A10CE2">
      <w:pPr>
        <w:spacing w:line="360" w:lineRule="auto"/>
        <w:jc w:val="both"/>
        <w:rPr>
          <w:rFonts w:ascii="Arial" w:hAnsi="Arial" w:cs="Arial"/>
          <w:sz w:val="24"/>
          <w:szCs w:val="24"/>
        </w:rPr>
      </w:pPr>
    </w:p>
    <w:p w14:paraId="380465F4" w14:textId="77777777" w:rsidR="00A10CE2" w:rsidRDefault="00A10CE2" w:rsidP="00A10CE2">
      <w:pPr>
        <w:spacing w:line="360" w:lineRule="auto"/>
        <w:jc w:val="both"/>
        <w:rPr>
          <w:rFonts w:ascii="Arial" w:hAnsi="Arial" w:cs="Arial"/>
          <w:sz w:val="24"/>
          <w:szCs w:val="24"/>
        </w:rPr>
      </w:pPr>
    </w:p>
    <w:p w14:paraId="1BC809B9" w14:textId="77777777" w:rsidR="00EB3202" w:rsidRPr="00F2383F" w:rsidRDefault="00EB3202" w:rsidP="00A10CE2">
      <w:pPr>
        <w:spacing w:line="360" w:lineRule="auto"/>
        <w:jc w:val="both"/>
        <w:rPr>
          <w:rFonts w:ascii="Arial" w:hAnsi="Arial" w:cs="Arial"/>
          <w:sz w:val="24"/>
          <w:szCs w:val="24"/>
        </w:rPr>
      </w:pPr>
    </w:p>
    <w:p w14:paraId="6429CE01" w14:textId="77777777" w:rsidR="00442CB0" w:rsidRPr="00F2383F" w:rsidRDefault="00442CB0" w:rsidP="00B036AA">
      <w:pPr>
        <w:pStyle w:val="Heading1"/>
      </w:pPr>
      <w:bookmarkStart w:id="15" w:name="_Toc216539900"/>
      <w:r w:rsidRPr="00F2383F">
        <w:lastRenderedPageBreak/>
        <w:t>4 — Cultural Differences and Their Impact on Coca-Cola’s Market Entry Strategy and</w:t>
      </w:r>
      <w:r w:rsidR="00AD369C">
        <w:t xml:space="preserve"> Success in China</w:t>
      </w:r>
      <w:bookmarkEnd w:id="15"/>
      <w:r w:rsidR="00AD369C">
        <w:t xml:space="preserve"> </w:t>
      </w:r>
    </w:p>
    <w:p w14:paraId="32D0E75D" w14:textId="77777777" w:rsidR="00442CB0" w:rsidRDefault="00807BA8" w:rsidP="00AD369C">
      <w:pPr>
        <w:spacing w:line="360" w:lineRule="auto"/>
        <w:jc w:val="both"/>
        <w:rPr>
          <w:rFonts w:ascii="Arial" w:hAnsi="Arial" w:cs="Arial"/>
          <w:sz w:val="24"/>
          <w:szCs w:val="24"/>
        </w:rPr>
      </w:pPr>
      <w:r w:rsidRPr="00807BA8">
        <w:rPr>
          <w:rFonts w:ascii="Arial" w:hAnsi="Arial" w:cs="Arial"/>
          <w:sz w:val="24"/>
          <w:szCs w:val="24"/>
        </w:rPr>
        <w:t>Learning cultural distance is the key explanation of how multinational enterprises can change their strategies to meet the emerging markets. In the case of Coca-Cola, China is one of the most culturally distant markets relative to its native country in the United States. The implementation of the cultural dimensions made by Hofstede and modern consumer culture theory allows offering a systematic framework of the understanding of these distinctions and their strategic impact on the entry and ultimate success o</w:t>
      </w:r>
      <w:r>
        <w:rPr>
          <w:rFonts w:ascii="Arial" w:hAnsi="Arial" w:cs="Arial"/>
          <w:sz w:val="24"/>
          <w:szCs w:val="24"/>
        </w:rPr>
        <w:t>f Coca-Cola in the Asian market</w:t>
      </w:r>
      <w:r w:rsidR="00E96825">
        <w:rPr>
          <w:rFonts w:ascii="Arial" w:hAnsi="Arial" w:cs="Arial"/>
          <w:sz w:val="24"/>
          <w:szCs w:val="24"/>
        </w:rPr>
        <w:t xml:space="preserve"> (Li &amp; Shen, 2021)</w:t>
      </w:r>
      <w:r w:rsidR="00442CB0" w:rsidRPr="00F2383F">
        <w:rPr>
          <w:rFonts w:ascii="Arial" w:hAnsi="Arial" w:cs="Arial"/>
          <w:sz w:val="24"/>
          <w:szCs w:val="24"/>
        </w:rPr>
        <w:t>.</w:t>
      </w:r>
    </w:p>
    <w:p w14:paraId="13489CF3" w14:textId="77777777" w:rsidR="00A10CE2" w:rsidRDefault="00A10CE2" w:rsidP="00EB3202">
      <w:pPr>
        <w:spacing w:line="360" w:lineRule="auto"/>
        <w:jc w:val="center"/>
        <w:rPr>
          <w:rFonts w:ascii="Arial" w:hAnsi="Arial" w:cs="Arial"/>
          <w:sz w:val="24"/>
          <w:szCs w:val="24"/>
        </w:rPr>
      </w:pPr>
      <w:r w:rsidRPr="00A10CE2">
        <w:rPr>
          <w:rFonts w:ascii="Arial" w:hAnsi="Arial" w:cs="Arial"/>
          <w:noProof/>
          <w:sz w:val="24"/>
          <w:szCs w:val="24"/>
        </w:rPr>
        <w:drawing>
          <wp:inline distT="0" distB="0" distL="0" distR="0" wp14:anchorId="095ADCD8" wp14:editId="7DD70B5A">
            <wp:extent cx="4210050" cy="2820194"/>
            <wp:effectExtent l="0" t="0" r="0" b="0"/>
            <wp:docPr id="14" name="Picture 14" descr="C:\Users\HP\Downloads\cocacola_hofstede_compari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HP\Downloads\cocacola_hofstede_comparison.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23504" cy="2829207"/>
                    </a:xfrm>
                    <a:prstGeom prst="rect">
                      <a:avLst/>
                    </a:prstGeom>
                    <a:noFill/>
                    <a:ln>
                      <a:noFill/>
                    </a:ln>
                  </pic:spPr>
                </pic:pic>
              </a:graphicData>
            </a:graphic>
          </wp:inline>
        </w:drawing>
      </w:r>
    </w:p>
    <w:p w14:paraId="63B9D8A9" w14:textId="77777777" w:rsidR="00603F13" w:rsidRPr="00603F13" w:rsidRDefault="00603F13" w:rsidP="00EB3202">
      <w:pPr>
        <w:spacing w:line="360" w:lineRule="auto"/>
        <w:jc w:val="center"/>
        <w:rPr>
          <w:rFonts w:ascii="Arial" w:hAnsi="Arial" w:cs="Arial"/>
          <w:b/>
          <w:sz w:val="24"/>
          <w:szCs w:val="24"/>
        </w:rPr>
      </w:pPr>
      <w:r w:rsidRPr="00603F13">
        <w:rPr>
          <w:rFonts w:ascii="Arial" w:hAnsi="Arial" w:cs="Arial"/>
          <w:b/>
          <w:sz w:val="24"/>
          <w:szCs w:val="24"/>
        </w:rPr>
        <w:t>Figure 8: Hofstede Cultural Dimension U.S. vs China</w:t>
      </w:r>
    </w:p>
    <w:p w14:paraId="6BB9C90C" w14:textId="77777777" w:rsidR="00A10CE2" w:rsidRPr="00603F13" w:rsidRDefault="00603F13" w:rsidP="00EB3202">
      <w:pPr>
        <w:spacing w:line="360" w:lineRule="auto"/>
        <w:jc w:val="center"/>
        <w:rPr>
          <w:rFonts w:ascii="Arial" w:hAnsi="Arial" w:cs="Arial"/>
          <w:i/>
          <w:sz w:val="24"/>
          <w:szCs w:val="24"/>
        </w:rPr>
      </w:pPr>
      <w:r w:rsidRPr="00603F13">
        <w:rPr>
          <w:rFonts w:ascii="Arial" w:hAnsi="Arial" w:cs="Arial"/>
          <w:i/>
          <w:sz w:val="24"/>
          <w:szCs w:val="24"/>
        </w:rPr>
        <w:t>(</w:t>
      </w:r>
      <w:r w:rsidR="00EB3202" w:rsidRPr="00603F13">
        <w:rPr>
          <w:rFonts w:ascii="Arial" w:hAnsi="Arial" w:cs="Arial"/>
          <w:i/>
          <w:sz w:val="24"/>
          <w:szCs w:val="24"/>
        </w:rPr>
        <w:t>Source: Self-Created</w:t>
      </w:r>
      <w:r w:rsidRPr="00603F13">
        <w:rPr>
          <w:rFonts w:ascii="Arial" w:hAnsi="Arial" w:cs="Arial"/>
          <w:i/>
          <w:sz w:val="24"/>
          <w:szCs w:val="24"/>
        </w:rPr>
        <w:t>)</w:t>
      </w:r>
    </w:p>
    <w:p w14:paraId="5162C2A6" w14:textId="77777777" w:rsidR="00442CB0" w:rsidRPr="00F2383F" w:rsidRDefault="00442CB0" w:rsidP="00B036AA">
      <w:pPr>
        <w:pStyle w:val="Heading2"/>
      </w:pPr>
      <w:bookmarkStart w:id="16" w:name="_Toc216539901"/>
      <w:r w:rsidRPr="00F2383F">
        <w:t>4.1 Key Cultural Differences Between the U.S. and China</w:t>
      </w:r>
      <w:bookmarkEnd w:id="16"/>
    </w:p>
    <w:p w14:paraId="54D24CB8" w14:textId="77777777" w:rsidR="00442CB0" w:rsidRPr="00DC2729" w:rsidRDefault="00442CB0" w:rsidP="00DC2729">
      <w:pPr>
        <w:spacing w:line="360" w:lineRule="auto"/>
        <w:jc w:val="both"/>
        <w:rPr>
          <w:rFonts w:ascii="Arial" w:hAnsi="Arial" w:cs="Arial"/>
          <w:b/>
          <w:bCs/>
          <w:sz w:val="24"/>
          <w:szCs w:val="24"/>
        </w:rPr>
      </w:pPr>
      <w:r w:rsidRPr="00DC2729">
        <w:rPr>
          <w:rFonts w:ascii="Arial" w:hAnsi="Arial" w:cs="Arial"/>
          <w:bCs/>
          <w:sz w:val="24"/>
          <w:szCs w:val="24"/>
          <w:u w:val="single"/>
        </w:rPr>
        <w:t>Power Distance (PDI)</w:t>
      </w:r>
      <w:r w:rsidR="00DC2729" w:rsidRPr="00DC2729">
        <w:rPr>
          <w:rFonts w:ascii="Arial" w:hAnsi="Arial" w:cs="Arial"/>
          <w:bCs/>
          <w:sz w:val="24"/>
          <w:szCs w:val="24"/>
          <w:u w:val="single"/>
        </w:rPr>
        <w:t>:</w:t>
      </w:r>
      <w:r w:rsidR="00DC2729">
        <w:rPr>
          <w:rFonts w:ascii="Arial" w:hAnsi="Arial" w:cs="Arial"/>
          <w:b/>
          <w:bCs/>
          <w:sz w:val="24"/>
          <w:szCs w:val="24"/>
        </w:rPr>
        <w:t xml:space="preserve"> </w:t>
      </w:r>
      <w:r w:rsidRPr="00F2383F">
        <w:rPr>
          <w:rFonts w:ascii="Arial" w:hAnsi="Arial" w:cs="Arial"/>
          <w:sz w:val="24"/>
          <w:szCs w:val="24"/>
        </w:rPr>
        <w:t xml:space="preserve">China is </w:t>
      </w:r>
      <w:r w:rsidR="000F1E51" w:rsidRPr="00F2383F">
        <w:rPr>
          <w:rFonts w:ascii="Arial" w:hAnsi="Arial" w:cs="Arial"/>
          <w:sz w:val="24"/>
          <w:szCs w:val="24"/>
        </w:rPr>
        <w:t>characterized</w:t>
      </w:r>
      <w:r w:rsidRPr="00F2383F">
        <w:rPr>
          <w:rFonts w:ascii="Arial" w:hAnsi="Arial" w:cs="Arial"/>
          <w:sz w:val="24"/>
          <w:szCs w:val="24"/>
        </w:rPr>
        <w:t xml:space="preserve"> by a significantly higher power distance than the United States, reflecting hierarchical social structures and </w:t>
      </w:r>
      <w:r w:rsidR="000F1E51" w:rsidRPr="00F2383F">
        <w:rPr>
          <w:rFonts w:ascii="Arial" w:hAnsi="Arial" w:cs="Arial"/>
          <w:sz w:val="24"/>
          <w:szCs w:val="24"/>
        </w:rPr>
        <w:t>centralized</w:t>
      </w:r>
      <w:r w:rsidRPr="00F2383F">
        <w:rPr>
          <w:rFonts w:ascii="Arial" w:hAnsi="Arial" w:cs="Arial"/>
          <w:sz w:val="24"/>
          <w:szCs w:val="24"/>
        </w:rPr>
        <w:t xml:space="preserve"> authority (Hofstede Insights, 2023</w:t>
      </w:r>
      <w:r w:rsidRPr="00DC2729">
        <w:rPr>
          <w:rFonts w:ascii="Arial" w:hAnsi="Arial" w:cs="Arial"/>
          <w:sz w:val="24"/>
          <w:szCs w:val="24"/>
        </w:rPr>
        <w:t>).</w:t>
      </w:r>
      <w:r w:rsidR="00DC2729" w:rsidRPr="00DC2729">
        <w:rPr>
          <w:rFonts w:ascii="Arial" w:hAnsi="Arial" w:cs="Arial"/>
          <w:bCs/>
          <w:sz w:val="24"/>
          <w:szCs w:val="24"/>
        </w:rPr>
        <w:t xml:space="preserve"> In </w:t>
      </w:r>
      <w:r w:rsidR="00DC2729">
        <w:rPr>
          <w:rFonts w:ascii="Arial" w:hAnsi="Arial" w:cs="Arial"/>
          <w:bCs/>
          <w:sz w:val="24"/>
          <w:szCs w:val="24"/>
        </w:rPr>
        <w:t xml:space="preserve">China, </w:t>
      </w:r>
      <w:r w:rsidRPr="00F2383F">
        <w:rPr>
          <w:rFonts w:ascii="Arial" w:hAnsi="Arial" w:cs="Arial"/>
          <w:sz w:val="24"/>
          <w:szCs w:val="24"/>
        </w:rPr>
        <w:t xml:space="preserve">High PDI → acceptance of hierarchy, respect for authority, </w:t>
      </w:r>
      <w:r w:rsidR="000F1E51" w:rsidRPr="00F2383F">
        <w:rPr>
          <w:rFonts w:ascii="Arial" w:hAnsi="Arial" w:cs="Arial"/>
          <w:sz w:val="24"/>
          <w:szCs w:val="24"/>
        </w:rPr>
        <w:t>centralized</w:t>
      </w:r>
      <w:r w:rsidRPr="00F2383F">
        <w:rPr>
          <w:rFonts w:ascii="Arial" w:hAnsi="Arial" w:cs="Arial"/>
          <w:sz w:val="24"/>
          <w:szCs w:val="24"/>
        </w:rPr>
        <w:t xml:space="preserve"> decision-making.</w:t>
      </w:r>
      <w:r w:rsidR="00DC2729">
        <w:rPr>
          <w:rFonts w:ascii="Arial" w:hAnsi="Arial" w:cs="Arial"/>
          <w:b/>
          <w:bCs/>
          <w:sz w:val="24"/>
          <w:szCs w:val="24"/>
        </w:rPr>
        <w:t xml:space="preserve"> </w:t>
      </w:r>
      <w:r w:rsidR="00DC2729" w:rsidRPr="00DC2729">
        <w:rPr>
          <w:rFonts w:ascii="Arial" w:hAnsi="Arial" w:cs="Arial"/>
          <w:bCs/>
          <w:sz w:val="24"/>
          <w:szCs w:val="24"/>
        </w:rPr>
        <w:t xml:space="preserve">While in </w:t>
      </w:r>
      <w:r w:rsidRPr="00DC2729">
        <w:rPr>
          <w:rFonts w:ascii="Arial" w:hAnsi="Arial" w:cs="Arial"/>
          <w:bCs/>
          <w:sz w:val="24"/>
          <w:szCs w:val="24"/>
        </w:rPr>
        <w:t>U.S.</w:t>
      </w:r>
      <w:r w:rsidR="00DC2729" w:rsidRPr="00DC2729">
        <w:rPr>
          <w:rFonts w:ascii="Arial" w:hAnsi="Arial" w:cs="Arial"/>
          <w:bCs/>
          <w:sz w:val="24"/>
          <w:szCs w:val="24"/>
        </w:rPr>
        <w:t>,</w:t>
      </w:r>
      <w:r w:rsidR="00DC2729">
        <w:rPr>
          <w:rFonts w:ascii="Arial" w:hAnsi="Arial" w:cs="Arial"/>
          <w:b/>
          <w:bCs/>
          <w:sz w:val="24"/>
          <w:szCs w:val="24"/>
        </w:rPr>
        <w:t xml:space="preserve"> </w:t>
      </w:r>
      <w:r w:rsidR="00DC2729" w:rsidRPr="00F2383F">
        <w:rPr>
          <w:rFonts w:ascii="Arial" w:hAnsi="Arial" w:cs="Arial"/>
          <w:sz w:val="24"/>
          <w:szCs w:val="24"/>
        </w:rPr>
        <w:t>Low</w:t>
      </w:r>
      <w:r w:rsidRPr="00F2383F">
        <w:rPr>
          <w:rFonts w:ascii="Arial" w:hAnsi="Arial" w:cs="Arial"/>
          <w:sz w:val="24"/>
          <w:szCs w:val="24"/>
        </w:rPr>
        <w:t xml:space="preserve"> PDI → preference for equality, </w:t>
      </w:r>
      <w:r w:rsidR="000F1E51" w:rsidRPr="00F2383F">
        <w:rPr>
          <w:rFonts w:ascii="Arial" w:hAnsi="Arial" w:cs="Arial"/>
          <w:sz w:val="24"/>
          <w:szCs w:val="24"/>
        </w:rPr>
        <w:t>decentralization</w:t>
      </w:r>
      <w:r w:rsidRPr="00F2383F">
        <w:rPr>
          <w:rFonts w:ascii="Arial" w:hAnsi="Arial" w:cs="Arial"/>
          <w:sz w:val="24"/>
          <w:szCs w:val="24"/>
        </w:rPr>
        <w:t xml:space="preserve"> and empowerment.</w:t>
      </w:r>
    </w:p>
    <w:p w14:paraId="22D616B2" w14:textId="77777777" w:rsidR="00442CB0" w:rsidRPr="00F2383F" w:rsidRDefault="00F65C78" w:rsidP="00DC2729">
      <w:pPr>
        <w:spacing w:line="360" w:lineRule="auto"/>
        <w:jc w:val="both"/>
        <w:rPr>
          <w:rFonts w:ascii="Arial" w:hAnsi="Arial" w:cs="Arial"/>
          <w:sz w:val="24"/>
          <w:szCs w:val="24"/>
        </w:rPr>
      </w:pPr>
      <w:r w:rsidRPr="00F65C78">
        <w:rPr>
          <w:rFonts w:ascii="Arial" w:hAnsi="Arial" w:cs="Arial"/>
          <w:sz w:val="24"/>
          <w:szCs w:val="24"/>
        </w:rPr>
        <w:lastRenderedPageBreak/>
        <w:t>Such a distinction influences the organizational coordination: Coca-Cola has to deal directly with mighty state-owned enterprises (SOEs) and regulators in China, where top-down decisions are made and political networks are very important (Zhao and Keith, 2023). This is one of the reasons why the joint venture of Coca-Cola and the SOE COFCO was a great contributo</w:t>
      </w:r>
      <w:r>
        <w:rPr>
          <w:rFonts w:ascii="Arial" w:hAnsi="Arial" w:cs="Arial"/>
          <w:sz w:val="24"/>
          <w:szCs w:val="24"/>
        </w:rPr>
        <w:t>r to the legitimacy of the firm</w:t>
      </w:r>
      <w:r w:rsidR="00442CB0" w:rsidRPr="00F2383F">
        <w:rPr>
          <w:rFonts w:ascii="Arial" w:hAnsi="Arial" w:cs="Arial"/>
          <w:sz w:val="24"/>
          <w:szCs w:val="24"/>
        </w:rPr>
        <w:t>.</w:t>
      </w:r>
    </w:p>
    <w:p w14:paraId="0A317B11" w14:textId="77777777" w:rsidR="00442CB0" w:rsidRPr="00DC2729" w:rsidRDefault="00F65C78" w:rsidP="00DC2729">
      <w:pPr>
        <w:spacing w:line="360" w:lineRule="auto"/>
        <w:jc w:val="both"/>
        <w:rPr>
          <w:rFonts w:ascii="Arial" w:hAnsi="Arial" w:cs="Arial"/>
          <w:bCs/>
          <w:sz w:val="24"/>
          <w:szCs w:val="24"/>
          <w:u w:val="single"/>
        </w:rPr>
      </w:pPr>
      <w:r w:rsidRPr="00DC2729">
        <w:rPr>
          <w:rFonts w:ascii="Arial" w:hAnsi="Arial" w:cs="Arial"/>
          <w:bCs/>
          <w:sz w:val="24"/>
          <w:szCs w:val="24"/>
          <w:u w:val="single"/>
        </w:rPr>
        <w:t>“</w:t>
      </w:r>
      <w:r w:rsidR="00442CB0" w:rsidRPr="00DC2729">
        <w:rPr>
          <w:rFonts w:ascii="Arial" w:hAnsi="Arial" w:cs="Arial"/>
          <w:bCs/>
          <w:sz w:val="24"/>
          <w:szCs w:val="24"/>
          <w:u w:val="single"/>
        </w:rPr>
        <w:t>Individualism vs. Collectivism (IDV)</w:t>
      </w:r>
      <w:r w:rsidRPr="00DC2729">
        <w:rPr>
          <w:rFonts w:ascii="Arial" w:hAnsi="Arial" w:cs="Arial"/>
          <w:bCs/>
          <w:sz w:val="24"/>
          <w:szCs w:val="24"/>
          <w:u w:val="single"/>
        </w:rPr>
        <w:t>”</w:t>
      </w:r>
      <w:r w:rsidR="00DC2729">
        <w:rPr>
          <w:rFonts w:ascii="Arial" w:hAnsi="Arial" w:cs="Arial"/>
          <w:bCs/>
          <w:sz w:val="24"/>
          <w:szCs w:val="24"/>
          <w:u w:val="single"/>
        </w:rPr>
        <w:t xml:space="preserve">: </w:t>
      </w:r>
      <w:r w:rsidRPr="00F65C78">
        <w:rPr>
          <w:rFonts w:ascii="Arial" w:hAnsi="Arial" w:cs="Arial"/>
          <w:sz w:val="24"/>
          <w:szCs w:val="24"/>
        </w:rPr>
        <w:t>The culture of China is collectivist and is in contrast to the highly individualistic culture of the U.S. (</w:t>
      </w:r>
      <w:proofErr w:type="spellStart"/>
      <w:r w:rsidRPr="00F65C78">
        <w:rPr>
          <w:rFonts w:ascii="Arial" w:hAnsi="Arial" w:cs="Arial"/>
          <w:sz w:val="24"/>
          <w:szCs w:val="24"/>
        </w:rPr>
        <w:t>Cavusgil</w:t>
      </w:r>
      <w:proofErr w:type="spellEnd"/>
      <w:r w:rsidRPr="00F65C78">
        <w:rPr>
          <w:rFonts w:ascii="Arial" w:hAnsi="Arial" w:cs="Arial"/>
          <w:sz w:val="24"/>
          <w:szCs w:val="24"/>
        </w:rPr>
        <w:t xml:space="preserve"> et al., 2022).</w:t>
      </w:r>
      <w:r w:rsidR="00DC2729">
        <w:rPr>
          <w:rFonts w:ascii="Arial" w:hAnsi="Arial" w:cs="Arial"/>
          <w:bCs/>
          <w:sz w:val="24"/>
          <w:szCs w:val="24"/>
          <w:u w:val="single"/>
        </w:rPr>
        <w:t xml:space="preserve"> </w:t>
      </w:r>
      <w:r w:rsidR="00DC2729">
        <w:rPr>
          <w:rFonts w:ascii="Arial" w:hAnsi="Arial" w:cs="Arial"/>
          <w:sz w:val="24"/>
          <w:szCs w:val="24"/>
        </w:rPr>
        <w:t>Chinese Collectivism claims that t</w:t>
      </w:r>
      <w:r w:rsidRPr="00F65C78">
        <w:rPr>
          <w:rFonts w:ascii="Arial" w:hAnsi="Arial" w:cs="Arial"/>
          <w:sz w:val="24"/>
          <w:szCs w:val="24"/>
        </w:rPr>
        <w:t>he decisions made by the consumer are affected by the group norms, family preferences and social conform</w:t>
      </w:r>
      <w:r w:rsidR="00DC2729">
        <w:rPr>
          <w:rFonts w:ascii="Arial" w:hAnsi="Arial" w:cs="Arial"/>
          <w:sz w:val="24"/>
          <w:szCs w:val="24"/>
        </w:rPr>
        <w:t xml:space="preserve">ity. While individualism in the U.S. </w:t>
      </w:r>
      <w:r w:rsidRPr="00F65C78">
        <w:rPr>
          <w:rFonts w:ascii="Arial" w:hAnsi="Arial" w:cs="Arial"/>
          <w:sz w:val="24"/>
          <w:szCs w:val="24"/>
        </w:rPr>
        <w:t xml:space="preserve">focus on </w:t>
      </w:r>
      <w:r w:rsidR="00DC2729">
        <w:rPr>
          <w:rFonts w:ascii="Arial" w:hAnsi="Arial" w:cs="Arial"/>
          <w:sz w:val="24"/>
          <w:szCs w:val="24"/>
        </w:rPr>
        <w:t xml:space="preserve">the choice and self-expression. </w:t>
      </w:r>
      <w:r w:rsidRPr="00F65C78">
        <w:rPr>
          <w:rFonts w:ascii="Arial" w:hAnsi="Arial" w:cs="Arial"/>
          <w:sz w:val="24"/>
          <w:szCs w:val="24"/>
        </w:rPr>
        <w:t>In the case of Coca-Cola, collectivism implies that in marketing content, emphasis should be put on community, harmony and common experiences instead of American-style individualistic.</w:t>
      </w:r>
    </w:p>
    <w:p w14:paraId="274AEAD5" w14:textId="77777777" w:rsidR="00442CB0" w:rsidRPr="00DC2729" w:rsidRDefault="00DC2729" w:rsidP="00DC2729">
      <w:pPr>
        <w:spacing w:line="360" w:lineRule="auto"/>
        <w:jc w:val="both"/>
        <w:rPr>
          <w:rFonts w:ascii="Arial" w:hAnsi="Arial" w:cs="Arial"/>
          <w:b/>
          <w:bCs/>
          <w:sz w:val="24"/>
          <w:szCs w:val="24"/>
        </w:rPr>
      </w:pPr>
      <w:r w:rsidRPr="00DC2729">
        <w:rPr>
          <w:rFonts w:ascii="Arial" w:hAnsi="Arial" w:cs="Arial"/>
          <w:bCs/>
          <w:sz w:val="24"/>
          <w:szCs w:val="24"/>
          <w:u w:val="single"/>
        </w:rPr>
        <w:t>Uncertainty Avoidance (UAI):</w:t>
      </w:r>
      <w:r>
        <w:rPr>
          <w:rFonts w:ascii="Arial" w:hAnsi="Arial" w:cs="Arial"/>
          <w:b/>
          <w:bCs/>
          <w:sz w:val="24"/>
          <w:szCs w:val="24"/>
        </w:rPr>
        <w:t xml:space="preserve"> </w:t>
      </w:r>
      <w:r w:rsidR="00F65C78" w:rsidRPr="00F65C78">
        <w:rPr>
          <w:rFonts w:ascii="Arial" w:hAnsi="Arial" w:cs="Arial"/>
          <w:sz w:val="24"/>
          <w:szCs w:val="24"/>
        </w:rPr>
        <w:t>The level of UAI is rather moderate in both of these countries, yet Chinese consumers are more cautious of food safety and health standards (Wang and Xie, 2022). This is attributed to the historic scandals by domestic beverage producers.</w:t>
      </w:r>
      <w:r>
        <w:rPr>
          <w:rFonts w:ascii="Arial" w:hAnsi="Arial" w:cs="Arial"/>
          <w:b/>
          <w:bCs/>
          <w:sz w:val="24"/>
          <w:szCs w:val="24"/>
        </w:rPr>
        <w:t xml:space="preserve"> </w:t>
      </w:r>
      <w:r w:rsidR="00F65C78" w:rsidRPr="00F65C78">
        <w:rPr>
          <w:rFonts w:ascii="Arial" w:hAnsi="Arial" w:cs="Arial"/>
          <w:sz w:val="24"/>
          <w:szCs w:val="24"/>
        </w:rPr>
        <w:t>This is an advantage to Coca-Cola as a reputable global brand makes the perceived risk to consumption lower. Nonetheless, it also puts strain on ensuring high quality assura</w:t>
      </w:r>
      <w:r w:rsidR="00F65C78">
        <w:rPr>
          <w:rFonts w:ascii="Arial" w:hAnsi="Arial" w:cs="Arial"/>
          <w:sz w:val="24"/>
          <w:szCs w:val="24"/>
        </w:rPr>
        <w:t>nce that is beyond the ordinary</w:t>
      </w:r>
      <w:r w:rsidR="00442CB0" w:rsidRPr="00F2383F">
        <w:rPr>
          <w:rFonts w:ascii="Arial" w:hAnsi="Arial" w:cs="Arial"/>
          <w:sz w:val="24"/>
          <w:szCs w:val="24"/>
        </w:rPr>
        <w:t>.</w:t>
      </w:r>
    </w:p>
    <w:p w14:paraId="001FB4F1" w14:textId="77777777" w:rsidR="00442CB0" w:rsidRPr="00DC2729" w:rsidRDefault="00DC2729" w:rsidP="00DC2729">
      <w:pPr>
        <w:spacing w:line="360" w:lineRule="auto"/>
        <w:jc w:val="both"/>
        <w:rPr>
          <w:rFonts w:ascii="Arial" w:hAnsi="Arial" w:cs="Arial"/>
          <w:b/>
          <w:bCs/>
          <w:sz w:val="24"/>
          <w:szCs w:val="24"/>
        </w:rPr>
      </w:pPr>
      <w:r w:rsidRPr="00DC2729">
        <w:rPr>
          <w:rFonts w:ascii="Arial" w:hAnsi="Arial" w:cs="Arial"/>
          <w:bCs/>
          <w:sz w:val="24"/>
          <w:szCs w:val="24"/>
          <w:u w:val="single"/>
        </w:rPr>
        <w:t>Long-Term Orientation (LTO):</w:t>
      </w:r>
      <w:r>
        <w:rPr>
          <w:rFonts w:ascii="Arial" w:hAnsi="Arial" w:cs="Arial"/>
          <w:b/>
          <w:bCs/>
          <w:sz w:val="24"/>
          <w:szCs w:val="24"/>
        </w:rPr>
        <w:t xml:space="preserve"> </w:t>
      </w:r>
      <w:r w:rsidR="00F65C78" w:rsidRPr="00F65C78">
        <w:rPr>
          <w:rFonts w:ascii="Arial" w:hAnsi="Arial" w:cs="Arial"/>
          <w:sz w:val="24"/>
          <w:szCs w:val="24"/>
        </w:rPr>
        <w:t>China is very high on the long-term orientation, which puts emphasis on perseverance, frugality and benefits in the future. The American culture is short-term oriented and more eager to get immediate results (Hofstede Insights, 2023). This variation has great effect o</w:t>
      </w:r>
      <w:r>
        <w:rPr>
          <w:rFonts w:ascii="Arial" w:hAnsi="Arial" w:cs="Arial"/>
          <w:sz w:val="24"/>
          <w:szCs w:val="24"/>
        </w:rPr>
        <w:t>n consumer product expectations as t</w:t>
      </w:r>
      <w:r w:rsidR="00F65C78" w:rsidRPr="00DC2729">
        <w:rPr>
          <w:rFonts w:ascii="Arial" w:hAnsi="Arial" w:cs="Arial"/>
          <w:sz w:val="24"/>
          <w:szCs w:val="24"/>
        </w:rPr>
        <w:t xml:space="preserve">he Chinese would like to have functional drinks (vitamin waters, </w:t>
      </w:r>
      <w:proofErr w:type="spellStart"/>
      <w:r w:rsidR="00F65C78" w:rsidRPr="00DC2729">
        <w:rPr>
          <w:rFonts w:ascii="Arial" w:hAnsi="Arial" w:cs="Arial"/>
          <w:sz w:val="24"/>
          <w:szCs w:val="24"/>
        </w:rPr>
        <w:t>fibre</w:t>
      </w:r>
      <w:proofErr w:type="spellEnd"/>
      <w:r w:rsidR="00F65C78" w:rsidRPr="00DC2729">
        <w:rPr>
          <w:rFonts w:ascii="Arial" w:hAnsi="Arial" w:cs="Arial"/>
          <w:sz w:val="24"/>
          <w:szCs w:val="24"/>
        </w:rPr>
        <w:t xml:space="preserve"> drinks, herbal teas) that will encourage long-term </w:t>
      </w:r>
      <w:r w:rsidRPr="00DC2729">
        <w:rPr>
          <w:rFonts w:ascii="Arial" w:hAnsi="Arial" w:cs="Arial"/>
          <w:sz w:val="24"/>
          <w:szCs w:val="24"/>
        </w:rPr>
        <w:t>health. The</w:t>
      </w:r>
      <w:r w:rsidR="00F65C78" w:rsidRPr="00DC2729">
        <w:rPr>
          <w:rFonts w:ascii="Arial" w:hAnsi="Arial" w:cs="Arial"/>
          <w:sz w:val="24"/>
          <w:szCs w:val="24"/>
        </w:rPr>
        <w:t xml:space="preserve"> Americans are more hedonistic and taste oriented soft drinks.</w:t>
      </w:r>
      <w:r>
        <w:rPr>
          <w:rFonts w:ascii="Arial" w:hAnsi="Arial" w:cs="Arial"/>
          <w:b/>
          <w:bCs/>
          <w:sz w:val="24"/>
          <w:szCs w:val="24"/>
        </w:rPr>
        <w:t xml:space="preserve"> </w:t>
      </w:r>
      <w:r w:rsidR="00F65C78" w:rsidRPr="00F65C78">
        <w:rPr>
          <w:rFonts w:ascii="Arial" w:hAnsi="Arial" w:cs="Arial"/>
          <w:sz w:val="24"/>
          <w:szCs w:val="24"/>
        </w:rPr>
        <w:t>This difference compels Coca-Cola to shift its collection towards healthier and functional soft drinks instead of carbonated and sugary products.</w:t>
      </w:r>
    </w:p>
    <w:p w14:paraId="5B6D2092" w14:textId="77777777" w:rsidR="00442CB0" w:rsidRPr="00DC2729" w:rsidRDefault="00DC2729" w:rsidP="00DC2729">
      <w:pPr>
        <w:spacing w:line="360" w:lineRule="auto"/>
        <w:jc w:val="both"/>
        <w:rPr>
          <w:rFonts w:ascii="Arial" w:hAnsi="Arial" w:cs="Arial"/>
          <w:b/>
          <w:bCs/>
          <w:sz w:val="24"/>
          <w:szCs w:val="24"/>
        </w:rPr>
      </w:pPr>
      <w:r w:rsidRPr="00DC2729">
        <w:rPr>
          <w:rFonts w:ascii="Arial" w:hAnsi="Arial" w:cs="Arial"/>
          <w:bCs/>
          <w:sz w:val="24"/>
          <w:szCs w:val="24"/>
          <w:u w:val="single"/>
        </w:rPr>
        <w:t>Indulgence vs. Restraint (IVR):</w:t>
      </w:r>
      <w:r>
        <w:rPr>
          <w:rFonts w:ascii="Arial" w:hAnsi="Arial" w:cs="Arial"/>
          <w:b/>
          <w:bCs/>
          <w:sz w:val="24"/>
          <w:szCs w:val="24"/>
        </w:rPr>
        <w:t xml:space="preserve"> </w:t>
      </w:r>
      <w:r w:rsidR="000A39D1" w:rsidRPr="000A39D1">
        <w:rPr>
          <w:rFonts w:ascii="Arial" w:hAnsi="Arial" w:cs="Arial"/>
          <w:sz w:val="24"/>
          <w:szCs w:val="24"/>
        </w:rPr>
        <w:t>The U.S. is rated highly on indulgence, which is about enjoying, pleasure and leisure and China is on the restrict end thus the gratification is regulated by cultural practice.</w:t>
      </w:r>
      <w:r>
        <w:rPr>
          <w:rFonts w:ascii="Arial" w:hAnsi="Arial" w:cs="Arial"/>
          <w:b/>
          <w:bCs/>
          <w:sz w:val="24"/>
          <w:szCs w:val="24"/>
        </w:rPr>
        <w:t xml:space="preserve"> </w:t>
      </w:r>
      <w:r w:rsidR="000A39D1" w:rsidRPr="000A39D1">
        <w:rPr>
          <w:rFonts w:ascii="Arial" w:hAnsi="Arial" w:cs="Arial"/>
          <w:sz w:val="24"/>
          <w:szCs w:val="24"/>
        </w:rPr>
        <w:t xml:space="preserve">This affects the taste development of Coca-Cola, the </w:t>
      </w:r>
      <w:r w:rsidR="000A39D1" w:rsidRPr="000A39D1">
        <w:rPr>
          <w:rFonts w:ascii="Arial" w:hAnsi="Arial" w:cs="Arial"/>
          <w:sz w:val="24"/>
          <w:szCs w:val="24"/>
        </w:rPr>
        <w:lastRenderedPageBreak/>
        <w:t>marketing tone and consumption events. Consumers in China consume more drinks to stay refreshed or healthy instead of indulging (Gao and Tian, 2022)</w:t>
      </w:r>
      <w:r w:rsidR="00442CB0" w:rsidRPr="00F2383F">
        <w:rPr>
          <w:rFonts w:ascii="Arial" w:hAnsi="Arial" w:cs="Arial"/>
          <w:sz w:val="24"/>
          <w:szCs w:val="24"/>
        </w:rPr>
        <w:t>.</w:t>
      </w:r>
    </w:p>
    <w:p w14:paraId="04876287" w14:textId="77777777" w:rsidR="00442CB0" w:rsidRPr="00F2383F" w:rsidRDefault="00442CB0" w:rsidP="002A681F">
      <w:pPr>
        <w:pStyle w:val="Heading2"/>
      </w:pPr>
      <w:bookmarkStart w:id="17" w:name="_Toc216539902"/>
      <w:r w:rsidRPr="00F2383F">
        <w:t>4.2 Impact on Coca-Cola’s Market Entry Strategy</w:t>
      </w:r>
      <w:bookmarkEnd w:id="17"/>
    </w:p>
    <w:p w14:paraId="58DB7C9B" w14:textId="77777777" w:rsidR="000A39D1" w:rsidRPr="000A39D1" w:rsidRDefault="000A39D1" w:rsidP="008132F3">
      <w:pPr>
        <w:spacing w:line="360" w:lineRule="auto"/>
        <w:jc w:val="both"/>
        <w:rPr>
          <w:rFonts w:ascii="Arial" w:hAnsi="Arial" w:cs="Arial"/>
          <w:sz w:val="24"/>
          <w:szCs w:val="24"/>
        </w:rPr>
      </w:pPr>
      <w:r w:rsidRPr="000A39D1">
        <w:rPr>
          <w:rFonts w:ascii="Arial" w:hAnsi="Arial" w:cs="Arial"/>
          <w:sz w:val="24"/>
          <w:szCs w:val="24"/>
        </w:rPr>
        <w:t xml:space="preserve">Coca-Cola has a significant impact on the </w:t>
      </w:r>
      <w:proofErr w:type="gramStart"/>
      <w:r w:rsidRPr="000A39D1">
        <w:rPr>
          <w:rFonts w:ascii="Arial" w:hAnsi="Arial" w:cs="Arial"/>
          <w:sz w:val="24"/>
          <w:szCs w:val="24"/>
        </w:rPr>
        <w:t>two entry</w:t>
      </w:r>
      <w:proofErr w:type="gramEnd"/>
      <w:r w:rsidRPr="000A39D1">
        <w:rPr>
          <w:rFonts w:ascii="Arial" w:hAnsi="Arial" w:cs="Arial"/>
          <w:sz w:val="24"/>
          <w:szCs w:val="24"/>
        </w:rPr>
        <w:t xml:space="preserve"> mode and localization strategy in China owing to cultural differences.</w:t>
      </w:r>
    </w:p>
    <w:p w14:paraId="77481C8C" w14:textId="77777777" w:rsidR="00EB3202" w:rsidRPr="008132F3" w:rsidRDefault="000A39D1" w:rsidP="008132F3">
      <w:pPr>
        <w:spacing w:line="360" w:lineRule="auto"/>
        <w:jc w:val="both"/>
        <w:rPr>
          <w:rFonts w:ascii="Arial" w:hAnsi="Arial" w:cs="Arial"/>
          <w:b/>
          <w:sz w:val="24"/>
          <w:szCs w:val="24"/>
        </w:rPr>
      </w:pPr>
      <w:r w:rsidRPr="008132F3">
        <w:rPr>
          <w:rFonts w:ascii="Arial" w:hAnsi="Arial" w:cs="Arial"/>
          <w:sz w:val="24"/>
          <w:szCs w:val="24"/>
          <w:u w:val="single"/>
        </w:rPr>
        <w:t xml:space="preserve">a. Joint Ventures as </w:t>
      </w:r>
      <w:proofErr w:type="gramStart"/>
      <w:r w:rsidRPr="008132F3">
        <w:rPr>
          <w:rFonts w:ascii="Arial" w:hAnsi="Arial" w:cs="Arial"/>
          <w:sz w:val="24"/>
          <w:szCs w:val="24"/>
          <w:u w:val="single"/>
        </w:rPr>
        <w:t>High Power</w:t>
      </w:r>
      <w:proofErr w:type="gramEnd"/>
      <w:r w:rsidRPr="008132F3">
        <w:rPr>
          <w:rFonts w:ascii="Arial" w:hAnsi="Arial" w:cs="Arial"/>
          <w:sz w:val="24"/>
          <w:szCs w:val="24"/>
          <w:u w:val="single"/>
        </w:rPr>
        <w:t xml:space="preserve"> Distance Response</w:t>
      </w:r>
      <w:r w:rsidR="008132F3" w:rsidRPr="008132F3">
        <w:rPr>
          <w:rFonts w:ascii="Arial" w:hAnsi="Arial" w:cs="Arial"/>
          <w:sz w:val="24"/>
          <w:szCs w:val="24"/>
          <w:u w:val="single"/>
        </w:rPr>
        <w:t>:</w:t>
      </w:r>
      <w:r w:rsidR="008132F3">
        <w:rPr>
          <w:rFonts w:ascii="Arial" w:hAnsi="Arial" w:cs="Arial"/>
          <w:b/>
          <w:sz w:val="24"/>
          <w:szCs w:val="24"/>
        </w:rPr>
        <w:t xml:space="preserve"> </w:t>
      </w:r>
      <w:r w:rsidRPr="000A39D1">
        <w:rPr>
          <w:rFonts w:ascii="Arial" w:hAnsi="Arial" w:cs="Arial"/>
          <w:sz w:val="24"/>
          <w:szCs w:val="24"/>
        </w:rPr>
        <w:t>High PDI cultures appreciat</w:t>
      </w:r>
      <w:r>
        <w:rPr>
          <w:rFonts w:ascii="Arial" w:hAnsi="Arial" w:cs="Arial"/>
          <w:sz w:val="24"/>
          <w:szCs w:val="24"/>
        </w:rPr>
        <w:t xml:space="preserve">e power, trust and hierarchies. </w:t>
      </w:r>
      <w:r w:rsidRPr="000A39D1">
        <w:rPr>
          <w:rFonts w:ascii="Arial" w:hAnsi="Arial" w:cs="Arial"/>
          <w:sz w:val="24"/>
          <w:szCs w:val="24"/>
        </w:rPr>
        <w:t>Coca-Cola coordinated by entering China by forming joint ventur</w:t>
      </w:r>
      <w:r w:rsidR="00DC2729">
        <w:rPr>
          <w:rFonts w:ascii="Arial" w:hAnsi="Arial" w:cs="Arial"/>
          <w:sz w:val="24"/>
          <w:szCs w:val="24"/>
        </w:rPr>
        <w:t>e</w:t>
      </w:r>
      <w:r w:rsidR="008132F3">
        <w:rPr>
          <w:rFonts w:ascii="Arial" w:hAnsi="Arial" w:cs="Arial"/>
          <w:sz w:val="24"/>
          <w:szCs w:val="24"/>
        </w:rPr>
        <w:t xml:space="preserve">s with COFCO and Swire Pacific. </w:t>
      </w:r>
      <w:r w:rsidRPr="00DC2729">
        <w:rPr>
          <w:rFonts w:ascii="Arial" w:hAnsi="Arial" w:cs="Arial"/>
          <w:sz w:val="24"/>
          <w:szCs w:val="24"/>
        </w:rPr>
        <w:t>The Chinese government favors foreign participation being controlled.</w:t>
      </w:r>
      <w:r w:rsidR="00DC2729">
        <w:rPr>
          <w:rFonts w:ascii="Arial" w:hAnsi="Arial" w:cs="Arial"/>
          <w:sz w:val="24"/>
          <w:szCs w:val="24"/>
        </w:rPr>
        <w:t xml:space="preserve"> </w:t>
      </w:r>
      <w:r w:rsidRPr="00DC2729">
        <w:rPr>
          <w:rFonts w:ascii="Arial" w:hAnsi="Arial" w:cs="Arial"/>
          <w:sz w:val="24"/>
          <w:szCs w:val="24"/>
        </w:rPr>
        <w:t>The relevance of guanxi (relationship networks) in accessing the market.</w:t>
      </w:r>
      <w:r w:rsidR="008132F3">
        <w:rPr>
          <w:rFonts w:ascii="Arial" w:hAnsi="Arial" w:cs="Arial"/>
          <w:sz w:val="24"/>
          <w:szCs w:val="24"/>
        </w:rPr>
        <w:t xml:space="preserve"> </w:t>
      </w:r>
      <w:r w:rsidRPr="000A39D1">
        <w:rPr>
          <w:rFonts w:ascii="Arial" w:hAnsi="Arial" w:cs="Arial"/>
          <w:sz w:val="24"/>
          <w:szCs w:val="24"/>
        </w:rPr>
        <w:t>This joint venture arrangement provided more trust an</w:t>
      </w:r>
      <w:r>
        <w:rPr>
          <w:rFonts w:ascii="Arial" w:hAnsi="Arial" w:cs="Arial"/>
          <w:sz w:val="24"/>
          <w:szCs w:val="24"/>
        </w:rPr>
        <w:t>d less institutional opposition</w:t>
      </w:r>
      <w:r w:rsidR="00442CB0" w:rsidRPr="00F2383F">
        <w:rPr>
          <w:rFonts w:ascii="Arial" w:hAnsi="Arial" w:cs="Arial"/>
          <w:sz w:val="24"/>
          <w:szCs w:val="24"/>
        </w:rPr>
        <w:t>.</w:t>
      </w:r>
    </w:p>
    <w:p w14:paraId="247C29B0" w14:textId="77777777" w:rsidR="00442CB0" w:rsidRPr="008132F3" w:rsidRDefault="002A681F" w:rsidP="008132F3">
      <w:pPr>
        <w:spacing w:line="360" w:lineRule="auto"/>
        <w:jc w:val="both"/>
        <w:rPr>
          <w:rFonts w:ascii="Arial" w:hAnsi="Arial" w:cs="Arial"/>
          <w:b/>
          <w:bCs/>
          <w:sz w:val="24"/>
          <w:szCs w:val="24"/>
        </w:rPr>
      </w:pPr>
      <w:r w:rsidRPr="008132F3">
        <w:rPr>
          <w:rFonts w:ascii="Arial" w:hAnsi="Arial" w:cs="Arial"/>
          <w:bCs/>
          <w:sz w:val="24"/>
          <w:szCs w:val="24"/>
          <w:u w:val="single"/>
        </w:rPr>
        <w:t>b</w:t>
      </w:r>
      <w:r w:rsidR="00442CB0" w:rsidRPr="008132F3">
        <w:rPr>
          <w:rFonts w:ascii="Arial" w:hAnsi="Arial" w:cs="Arial"/>
          <w:bCs/>
          <w:sz w:val="24"/>
          <w:szCs w:val="24"/>
          <w:u w:val="single"/>
        </w:rPr>
        <w:t>. Adapted Marke</w:t>
      </w:r>
      <w:r w:rsidR="008132F3" w:rsidRPr="008132F3">
        <w:rPr>
          <w:rFonts w:ascii="Arial" w:hAnsi="Arial" w:cs="Arial"/>
          <w:bCs/>
          <w:sz w:val="24"/>
          <w:szCs w:val="24"/>
          <w:u w:val="single"/>
        </w:rPr>
        <w:t>ting for a Collectivist Society:</w:t>
      </w:r>
      <w:r w:rsidR="008132F3">
        <w:rPr>
          <w:rFonts w:ascii="Arial" w:hAnsi="Arial" w:cs="Arial"/>
          <w:b/>
          <w:bCs/>
          <w:sz w:val="24"/>
          <w:szCs w:val="24"/>
        </w:rPr>
        <w:t xml:space="preserve"> </w:t>
      </w:r>
      <w:r w:rsidR="00442CB0" w:rsidRPr="00F2383F">
        <w:rPr>
          <w:rFonts w:ascii="Arial" w:hAnsi="Arial" w:cs="Arial"/>
          <w:sz w:val="24"/>
          <w:szCs w:val="24"/>
        </w:rPr>
        <w:t xml:space="preserve">Coca-Cola’s messaging </w:t>
      </w:r>
      <w:proofErr w:type="spellStart"/>
      <w:r w:rsidR="00442CB0" w:rsidRPr="00F2383F">
        <w:rPr>
          <w:rFonts w:ascii="Arial" w:hAnsi="Arial" w:cs="Arial"/>
          <w:sz w:val="24"/>
          <w:szCs w:val="24"/>
        </w:rPr>
        <w:t>often</w:t>
      </w:r>
      <w:r w:rsidR="000A39D1">
        <w:rPr>
          <w:rFonts w:ascii="Arial" w:hAnsi="Arial" w:cs="Arial"/>
          <w:sz w:val="24"/>
          <w:szCs w:val="24"/>
        </w:rPr>
        <w:t>ly</w:t>
      </w:r>
      <w:proofErr w:type="spellEnd"/>
      <w:r w:rsidR="00442CB0" w:rsidRPr="00F2383F">
        <w:rPr>
          <w:rFonts w:ascii="Arial" w:hAnsi="Arial" w:cs="Arial"/>
          <w:sz w:val="24"/>
          <w:szCs w:val="24"/>
        </w:rPr>
        <w:t xml:space="preserve"> </w:t>
      </w:r>
      <w:r w:rsidR="000A39D1">
        <w:rPr>
          <w:rFonts w:ascii="Arial" w:hAnsi="Arial" w:cs="Arial"/>
          <w:sz w:val="24"/>
          <w:szCs w:val="24"/>
        </w:rPr>
        <w:t>focu</w:t>
      </w:r>
      <w:r w:rsidR="00871720" w:rsidRPr="00F2383F">
        <w:rPr>
          <w:rFonts w:ascii="Arial" w:hAnsi="Arial" w:cs="Arial"/>
          <w:sz w:val="24"/>
          <w:szCs w:val="24"/>
        </w:rPr>
        <w:t>s</w:t>
      </w:r>
      <w:r w:rsidR="000A39D1">
        <w:rPr>
          <w:rFonts w:ascii="Arial" w:hAnsi="Arial" w:cs="Arial"/>
          <w:sz w:val="24"/>
          <w:szCs w:val="24"/>
        </w:rPr>
        <w:t>es</w:t>
      </w:r>
      <w:r w:rsidR="00442CB0" w:rsidRPr="00F2383F">
        <w:rPr>
          <w:rFonts w:ascii="Arial" w:hAnsi="Arial" w:cs="Arial"/>
          <w:sz w:val="24"/>
          <w:szCs w:val="24"/>
        </w:rPr>
        <w:t xml:space="preserve"> individuality</w:t>
      </w:r>
      <w:r w:rsidR="000A39D1">
        <w:rPr>
          <w:rFonts w:ascii="Arial" w:hAnsi="Arial" w:cs="Arial"/>
          <w:sz w:val="24"/>
          <w:szCs w:val="24"/>
        </w:rPr>
        <w:t xml:space="preserve"> in U.S.</w:t>
      </w:r>
      <w:r w:rsidR="00442CB0" w:rsidRPr="00F2383F">
        <w:rPr>
          <w:rFonts w:ascii="Arial" w:hAnsi="Arial" w:cs="Arial"/>
          <w:sz w:val="24"/>
          <w:szCs w:val="24"/>
        </w:rPr>
        <w:t xml:space="preserve"> (“Open Happiness”, </w:t>
      </w:r>
      <w:r w:rsidR="00824E14">
        <w:rPr>
          <w:rFonts w:ascii="Arial" w:hAnsi="Arial" w:cs="Arial"/>
          <w:sz w:val="24"/>
          <w:szCs w:val="24"/>
        </w:rPr>
        <w:t xml:space="preserve">“Share a Coke”). </w:t>
      </w:r>
      <w:r w:rsidR="00442CB0" w:rsidRPr="00F2383F">
        <w:rPr>
          <w:rFonts w:ascii="Arial" w:hAnsi="Arial" w:cs="Arial"/>
          <w:sz w:val="24"/>
          <w:szCs w:val="24"/>
        </w:rPr>
        <w:t xml:space="preserve">In China, </w:t>
      </w:r>
      <w:r w:rsidR="000A39D1">
        <w:rPr>
          <w:rFonts w:ascii="Arial" w:hAnsi="Arial" w:cs="Arial"/>
          <w:sz w:val="24"/>
          <w:szCs w:val="24"/>
        </w:rPr>
        <w:t>tagline</w:t>
      </w:r>
      <w:r w:rsidR="00442CB0" w:rsidRPr="00F2383F">
        <w:rPr>
          <w:rFonts w:ascii="Arial" w:hAnsi="Arial" w:cs="Arial"/>
          <w:sz w:val="24"/>
          <w:szCs w:val="24"/>
        </w:rPr>
        <w:t xml:space="preserve"> highlight:</w:t>
      </w:r>
    </w:p>
    <w:p w14:paraId="4A57FE1C" w14:textId="77777777" w:rsidR="00442CB0" w:rsidRPr="00F2383F" w:rsidRDefault="00442CB0" w:rsidP="008132F3">
      <w:pPr>
        <w:numPr>
          <w:ilvl w:val="0"/>
          <w:numId w:val="15"/>
        </w:numPr>
        <w:spacing w:line="360" w:lineRule="auto"/>
        <w:jc w:val="both"/>
        <w:rPr>
          <w:rFonts w:ascii="Arial" w:hAnsi="Arial" w:cs="Arial"/>
          <w:sz w:val="24"/>
          <w:szCs w:val="24"/>
        </w:rPr>
      </w:pPr>
      <w:r w:rsidRPr="00F2383F">
        <w:rPr>
          <w:rFonts w:ascii="Arial" w:hAnsi="Arial" w:cs="Arial"/>
          <w:sz w:val="24"/>
          <w:szCs w:val="24"/>
        </w:rPr>
        <w:t>family unity (</w:t>
      </w:r>
      <w:proofErr w:type="spellStart"/>
      <w:r w:rsidRPr="00F2383F">
        <w:rPr>
          <w:rFonts w:ascii="Arial" w:eastAsia="MS Gothic" w:hAnsi="Arial" w:cs="Arial"/>
          <w:sz w:val="24"/>
          <w:szCs w:val="24"/>
        </w:rPr>
        <w:t>春</w:t>
      </w:r>
      <w:r w:rsidRPr="00F2383F">
        <w:rPr>
          <w:rFonts w:ascii="Arial" w:eastAsia="Microsoft JhengHei" w:hAnsi="Arial" w:cs="Arial"/>
          <w:sz w:val="24"/>
          <w:szCs w:val="24"/>
        </w:rPr>
        <w:t>节</w:t>
      </w:r>
      <w:proofErr w:type="spellEnd"/>
      <w:r w:rsidRPr="00F2383F">
        <w:rPr>
          <w:rFonts w:ascii="Arial" w:hAnsi="Arial" w:cs="Arial"/>
          <w:sz w:val="24"/>
          <w:szCs w:val="24"/>
        </w:rPr>
        <w:t xml:space="preserve"> campaigns),</w:t>
      </w:r>
    </w:p>
    <w:p w14:paraId="2CBC425A" w14:textId="77777777" w:rsidR="00442CB0" w:rsidRPr="00F2383F" w:rsidRDefault="00442CB0" w:rsidP="008132F3">
      <w:pPr>
        <w:numPr>
          <w:ilvl w:val="0"/>
          <w:numId w:val="15"/>
        </w:numPr>
        <w:spacing w:line="360" w:lineRule="auto"/>
        <w:jc w:val="both"/>
        <w:rPr>
          <w:rFonts w:ascii="Arial" w:hAnsi="Arial" w:cs="Arial"/>
          <w:sz w:val="24"/>
          <w:szCs w:val="24"/>
        </w:rPr>
      </w:pPr>
      <w:r w:rsidRPr="00F2383F">
        <w:rPr>
          <w:rFonts w:ascii="Arial" w:hAnsi="Arial" w:cs="Arial"/>
          <w:sz w:val="24"/>
          <w:szCs w:val="24"/>
        </w:rPr>
        <w:t>shared celebration moments,</w:t>
      </w:r>
    </w:p>
    <w:p w14:paraId="4D4A49CA" w14:textId="77777777" w:rsidR="00442CB0" w:rsidRPr="00F2383F" w:rsidRDefault="00442CB0" w:rsidP="008132F3">
      <w:pPr>
        <w:numPr>
          <w:ilvl w:val="0"/>
          <w:numId w:val="15"/>
        </w:numPr>
        <w:spacing w:line="360" w:lineRule="auto"/>
        <w:jc w:val="both"/>
        <w:rPr>
          <w:rFonts w:ascii="Arial" w:hAnsi="Arial" w:cs="Arial"/>
          <w:sz w:val="24"/>
          <w:szCs w:val="24"/>
        </w:rPr>
      </w:pPr>
      <w:r w:rsidRPr="00F2383F">
        <w:rPr>
          <w:rFonts w:ascii="Arial" w:hAnsi="Arial" w:cs="Arial"/>
          <w:sz w:val="24"/>
          <w:szCs w:val="24"/>
        </w:rPr>
        <w:t>social harmony and community values (Wang &amp; Xie, 2022).</w:t>
      </w:r>
    </w:p>
    <w:p w14:paraId="35FDB515" w14:textId="77777777" w:rsidR="00442CB0" w:rsidRPr="00F2383F" w:rsidRDefault="00442CB0" w:rsidP="008132F3">
      <w:pPr>
        <w:spacing w:line="360" w:lineRule="auto"/>
        <w:jc w:val="both"/>
        <w:rPr>
          <w:rFonts w:ascii="Arial" w:hAnsi="Arial" w:cs="Arial"/>
          <w:sz w:val="24"/>
          <w:szCs w:val="24"/>
        </w:rPr>
      </w:pPr>
      <w:r w:rsidRPr="00F2383F">
        <w:rPr>
          <w:rFonts w:ascii="Arial" w:hAnsi="Arial" w:cs="Arial"/>
          <w:sz w:val="24"/>
          <w:szCs w:val="24"/>
        </w:rPr>
        <w:t>Coca-Co</w:t>
      </w:r>
      <w:r w:rsidR="00871720">
        <w:rPr>
          <w:rFonts w:ascii="Arial" w:hAnsi="Arial" w:cs="Arial"/>
          <w:sz w:val="24"/>
          <w:szCs w:val="24"/>
        </w:rPr>
        <w:t xml:space="preserve">la’s Chinese New Year campaigns, </w:t>
      </w:r>
      <w:r w:rsidRPr="00F2383F">
        <w:rPr>
          <w:rFonts w:ascii="Arial" w:hAnsi="Arial" w:cs="Arial"/>
          <w:sz w:val="24"/>
          <w:szCs w:val="24"/>
        </w:rPr>
        <w:t>featuring family reunions, t</w:t>
      </w:r>
      <w:r w:rsidR="00871720">
        <w:rPr>
          <w:rFonts w:ascii="Arial" w:hAnsi="Arial" w:cs="Arial"/>
          <w:sz w:val="24"/>
          <w:szCs w:val="24"/>
        </w:rPr>
        <w:t xml:space="preserve">radition and symbolism, </w:t>
      </w:r>
      <w:r w:rsidRPr="00F2383F">
        <w:rPr>
          <w:rFonts w:ascii="Arial" w:hAnsi="Arial" w:cs="Arial"/>
          <w:sz w:val="24"/>
          <w:szCs w:val="24"/>
        </w:rPr>
        <w:t>exemplify this shift and have become some of its most successful global marketing initiatives.</w:t>
      </w:r>
    </w:p>
    <w:p w14:paraId="6118B347" w14:textId="77777777" w:rsidR="00442CB0" w:rsidRPr="00603F13" w:rsidRDefault="002A681F" w:rsidP="008132F3">
      <w:pPr>
        <w:spacing w:line="360" w:lineRule="auto"/>
        <w:jc w:val="both"/>
        <w:rPr>
          <w:rFonts w:ascii="Arial" w:hAnsi="Arial" w:cs="Arial"/>
          <w:b/>
          <w:bCs/>
          <w:sz w:val="24"/>
          <w:szCs w:val="24"/>
        </w:rPr>
      </w:pPr>
      <w:r w:rsidRPr="008132F3">
        <w:rPr>
          <w:rFonts w:ascii="Arial" w:hAnsi="Arial" w:cs="Arial"/>
          <w:bCs/>
          <w:sz w:val="24"/>
          <w:szCs w:val="24"/>
          <w:u w:val="single"/>
        </w:rPr>
        <w:t>c</w:t>
      </w:r>
      <w:r w:rsidR="00442CB0" w:rsidRPr="008132F3">
        <w:rPr>
          <w:rFonts w:ascii="Arial" w:hAnsi="Arial" w:cs="Arial"/>
          <w:bCs/>
          <w:sz w:val="24"/>
          <w:szCs w:val="24"/>
          <w:u w:val="single"/>
        </w:rPr>
        <w:t>. Product Adaptation to Align with Rest</w:t>
      </w:r>
      <w:r w:rsidR="008132F3" w:rsidRPr="008132F3">
        <w:rPr>
          <w:rFonts w:ascii="Arial" w:hAnsi="Arial" w:cs="Arial"/>
          <w:bCs/>
          <w:sz w:val="24"/>
          <w:szCs w:val="24"/>
          <w:u w:val="single"/>
        </w:rPr>
        <w:t>raint and Long-Term Orientation:</w:t>
      </w:r>
      <w:r w:rsidR="008132F3">
        <w:rPr>
          <w:rFonts w:ascii="Arial" w:hAnsi="Arial" w:cs="Arial"/>
          <w:b/>
          <w:bCs/>
          <w:sz w:val="24"/>
          <w:szCs w:val="24"/>
        </w:rPr>
        <w:t xml:space="preserve"> </w:t>
      </w:r>
      <w:r w:rsidR="000A39D1" w:rsidRPr="000A39D1">
        <w:rPr>
          <w:rFonts w:ascii="Arial" w:hAnsi="Arial" w:cs="Arial"/>
          <w:sz w:val="24"/>
          <w:szCs w:val="24"/>
        </w:rPr>
        <w:t xml:space="preserve">The culture of health-consciousness and long-term orientation of China required </w:t>
      </w:r>
      <w:r w:rsidR="000A39D1">
        <w:rPr>
          <w:rFonts w:ascii="Arial" w:hAnsi="Arial" w:cs="Arial"/>
          <w:sz w:val="24"/>
          <w:szCs w:val="24"/>
        </w:rPr>
        <w:t>a</w:t>
      </w:r>
      <w:r w:rsidR="000A39D1" w:rsidRPr="000A39D1">
        <w:rPr>
          <w:rFonts w:ascii="Arial" w:hAnsi="Arial" w:cs="Arial"/>
          <w:sz w:val="24"/>
          <w:szCs w:val="24"/>
        </w:rPr>
        <w:t xml:space="preserve"> high level of localization of the products, includ</w:t>
      </w:r>
      <w:r w:rsidR="000A39D1">
        <w:rPr>
          <w:rFonts w:ascii="Arial" w:hAnsi="Arial" w:cs="Arial"/>
          <w:sz w:val="24"/>
          <w:szCs w:val="24"/>
        </w:rPr>
        <w:t>ing</w:t>
      </w:r>
      <w:r w:rsidR="00603F13">
        <w:rPr>
          <w:rFonts w:ascii="Arial" w:hAnsi="Arial" w:cs="Arial"/>
          <w:sz w:val="24"/>
          <w:szCs w:val="24"/>
        </w:rPr>
        <w:t xml:space="preserve">: </w:t>
      </w:r>
      <w:r w:rsidR="00442CB0" w:rsidRPr="00824E14">
        <w:rPr>
          <w:rFonts w:ascii="Arial" w:hAnsi="Arial" w:cs="Arial"/>
          <w:bCs/>
          <w:sz w:val="24"/>
          <w:szCs w:val="24"/>
        </w:rPr>
        <w:t>Coca-Cola Fiber+</w:t>
      </w:r>
      <w:r w:rsidR="00442CB0" w:rsidRPr="00824E14">
        <w:rPr>
          <w:rFonts w:ascii="Arial" w:hAnsi="Arial" w:cs="Arial"/>
          <w:sz w:val="24"/>
          <w:szCs w:val="24"/>
        </w:rPr>
        <w:t xml:space="preserve"> (dietary </w:t>
      </w:r>
      <w:r w:rsidR="00824E14" w:rsidRPr="00824E14">
        <w:rPr>
          <w:rFonts w:ascii="Arial" w:hAnsi="Arial" w:cs="Arial"/>
          <w:sz w:val="24"/>
          <w:szCs w:val="24"/>
        </w:rPr>
        <w:t>fiber</w:t>
      </w:r>
      <w:r w:rsidR="00442CB0" w:rsidRPr="00824E14">
        <w:rPr>
          <w:rFonts w:ascii="Arial" w:hAnsi="Arial" w:cs="Arial"/>
          <w:sz w:val="24"/>
          <w:szCs w:val="24"/>
        </w:rPr>
        <w:t xml:space="preserve"> drink)</w:t>
      </w:r>
      <w:r w:rsidR="00603F13">
        <w:rPr>
          <w:rFonts w:ascii="Arial" w:hAnsi="Arial" w:cs="Arial"/>
          <w:b/>
          <w:bCs/>
          <w:sz w:val="24"/>
          <w:szCs w:val="24"/>
        </w:rPr>
        <w:t xml:space="preserve">, </w:t>
      </w:r>
      <w:r w:rsidR="00442CB0" w:rsidRPr="00824E14">
        <w:rPr>
          <w:rFonts w:ascii="Arial" w:hAnsi="Arial" w:cs="Arial"/>
          <w:bCs/>
          <w:sz w:val="24"/>
          <w:szCs w:val="24"/>
        </w:rPr>
        <w:t>Sprite Fiber+</w:t>
      </w:r>
      <w:r w:rsidR="00603F13">
        <w:rPr>
          <w:rFonts w:ascii="Arial" w:hAnsi="Arial" w:cs="Arial"/>
          <w:b/>
          <w:bCs/>
          <w:sz w:val="24"/>
          <w:szCs w:val="24"/>
        </w:rPr>
        <w:t xml:space="preserve">, </w:t>
      </w:r>
      <w:r w:rsidR="00442CB0" w:rsidRPr="00824E14">
        <w:rPr>
          <w:rFonts w:ascii="Arial" w:hAnsi="Arial" w:cs="Arial"/>
          <w:bCs/>
          <w:sz w:val="24"/>
          <w:szCs w:val="24"/>
        </w:rPr>
        <w:t>Minute Maid Pulpy</w:t>
      </w:r>
      <w:r w:rsidR="00442CB0" w:rsidRPr="00824E14">
        <w:rPr>
          <w:rFonts w:ascii="Arial" w:hAnsi="Arial" w:cs="Arial"/>
          <w:sz w:val="24"/>
          <w:szCs w:val="24"/>
        </w:rPr>
        <w:t xml:space="preserve"> </w:t>
      </w:r>
      <w:r w:rsidR="00824E14" w:rsidRPr="00824E14">
        <w:rPr>
          <w:rFonts w:ascii="Arial" w:hAnsi="Arial" w:cs="Arial"/>
          <w:sz w:val="24"/>
          <w:szCs w:val="24"/>
        </w:rPr>
        <w:t>customized</w:t>
      </w:r>
      <w:r w:rsidR="00442CB0" w:rsidRPr="00824E14">
        <w:rPr>
          <w:rFonts w:ascii="Arial" w:hAnsi="Arial" w:cs="Arial"/>
          <w:sz w:val="24"/>
          <w:szCs w:val="24"/>
        </w:rPr>
        <w:t xml:space="preserve"> for Chinese taste profiles</w:t>
      </w:r>
      <w:r w:rsidR="00603F13">
        <w:rPr>
          <w:rFonts w:ascii="Arial" w:hAnsi="Arial" w:cs="Arial"/>
          <w:b/>
          <w:bCs/>
          <w:sz w:val="24"/>
          <w:szCs w:val="24"/>
        </w:rPr>
        <w:t xml:space="preserve">, </w:t>
      </w:r>
      <w:r w:rsidR="00442CB0" w:rsidRPr="00824E14">
        <w:rPr>
          <w:rFonts w:ascii="Arial" w:hAnsi="Arial" w:cs="Arial"/>
          <w:bCs/>
          <w:sz w:val="24"/>
          <w:szCs w:val="24"/>
        </w:rPr>
        <w:t>Tea drinks</w:t>
      </w:r>
      <w:r w:rsidR="00442CB0" w:rsidRPr="00824E14">
        <w:rPr>
          <w:rFonts w:ascii="Arial" w:hAnsi="Arial" w:cs="Arial"/>
          <w:sz w:val="24"/>
          <w:szCs w:val="24"/>
        </w:rPr>
        <w:t xml:space="preserve"> such as Authentic Tea House</w:t>
      </w:r>
      <w:r w:rsidR="00603F13">
        <w:rPr>
          <w:rFonts w:ascii="Arial" w:hAnsi="Arial" w:cs="Arial"/>
          <w:b/>
          <w:bCs/>
          <w:sz w:val="24"/>
          <w:szCs w:val="24"/>
        </w:rPr>
        <w:t xml:space="preserve">, </w:t>
      </w:r>
      <w:r w:rsidR="00442CB0" w:rsidRPr="00F2383F">
        <w:rPr>
          <w:rFonts w:ascii="Arial" w:hAnsi="Arial" w:cs="Arial"/>
          <w:sz w:val="24"/>
          <w:szCs w:val="24"/>
        </w:rPr>
        <w:t>Reduced-sugar and zero-sugar variants</w:t>
      </w:r>
      <w:r w:rsidR="00603F13">
        <w:rPr>
          <w:rFonts w:ascii="Arial" w:hAnsi="Arial" w:cs="Arial"/>
          <w:b/>
          <w:bCs/>
          <w:sz w:val="24"/>
          <w:szCs w:val="24"/>
        </w:rPr>
        <w:t xml:space="preserve">. </w:t>
      </w:r>
      <w:r w:rsidR="00442CB0" w:rsidRPr="00F2383F">
        <w:rPr>
          <w:rFonts w:ascii="Arial" w:hAnsi="Arial" w:cs="Arial"/>
          <w:sz w:val="24"/>
          <w:szCs w:val="24"/>
        </w:rPr>
        <w:t xml:space="preserve">These </w:t>
      </w:r>
      <w:r w:rsidR="000A39D1" w:rsidRPr="00F2383F">
        <w:rPr>
          <w:rFonts w:ascii="Arial" w:hAnsi="Arial" w:cs="Arial"/>
          <w:sz w:val="24"/>
          <w:szCs w:val="24"/>
        </w:rPr>
        <w:t>aids</w:t>
      </w:r>
      <w:r w:rsidR="00442CB0" w:rsidRPr="00F2383F">
        <w:rPr>
          <w:rFonts w:ascii="Arial" w:hAnsi="Arial" w:cs="Arial"/>
          <w:sz w:val="24"/>
          <w:szCs w:val="24"/>
        </w:rPr>
        <w:t xml:space="preserve"> respond to Chinese </w:t>
      </w:r>
      <w:r w:rsidR="000A39D1" w:rsidRPr="00F2383F">
        <w:rPr>
          <w:rFonts w:ascii="Arial" w:hAnsi="Arial" w:cs="Arial"/>
          <w:sz w:val="24"/>
          <w:szCs w:val="24"/>
        </w:rPr>
        <w:t>likings</w:t>
      </w:r>
      <w:r w:rsidR="000A39D1">
        <w:rPr>
          <w:rFonts w:ascii="Arial" w:hAnsi="Arial" w:cs="Arial"/>
          <w:sz w:val="24"/>
          <w:szCs w:val="24"/>
        </w:rPr>
        <w:t xml:space="preserve"> of </w:t>
      </w:r>
      <w:r w:rsidR="00442CB0" w:rsidRPr="00F2383F">
        <w:rPr>
          <w:rFonts w:ascii="Arial" w:hAnsi="Arial" w:cs="Arial"/>
          <w:sz w:val="24"/>
          <w:szCs w:val="24"/>
        </w:rPr>
        <w:t xml:space="preserve">less sweet </w:t>
      </w:r>
      <w:r w:rsidR="000A39D1" w:rsidRPr="00F2383F">
        <w:rPr>
          <w:rFonts w:ascii="Arial" w:hAnsi="Arial" w:cs="Arial"/>
          <w:sz w:val="24"/>
          <w:szCs w:val="24"/>
        </w:rPr>
        <w:t>drinks</w:t>
      </w:r>
      <w:r w:rsidR="00442CB0" w:rsidRPr="00F2383F">
        <w:rPr>
          <w:rFonts w:ascii="Arial" w:hAnsi="Arial" w:cs="Arial"/>
          <w:sz w:val="24"/>
          <w:szCs w:val="24"/>
        </w:rPr>
        <w:t xml:space="preserve"> (Euromonitor, 2024).</w:t>
      </w:r>
    </w:p>
    <w:p w14:paraId="0BA2A408" w14:textId="77777777" w:rsidR="00442CB0" w:rsidRPr="008132F3" w:rsidRDefault="002A681F" w:rsidP="008132F3">
      <w:pPr>
        <w:spacing w:line="360" w:lineRule="auto"/>
        <w:jc w:val="both"/>
        <w:rPr>
          <w:rFonts w:ascii="Arial" w:hAnsi="Arial" w:cs="Arial"/>
          <w:b/>
          <w:bCs/>
          <w:sz w:val="24"/>
          <w:szCs w:val="24"/>
        </w:rPr>
      </w:pPr>
      <w:r w:rsidRPr="008132F3">
        <w:rPr>
          <w:rFonts w:ascii="Arial" w:hAnsi="Arial" w:cs="Arial"/>
          <w:bCs/>
          <w:sz w:val="24"/>
          <w:szCs w:val="24"/>
          <w:u w:val="single"/>
        </w:rPr>
        <w:t>d</w:t>
      </w:r>
      <w:r w:rsidR="00442CB0" w:rsidRPr="008132F3">
        <w:rPr>
          <w:rFonts w:ascii="Arial" w:hAnsi="Arial" w:cs="Arial"/>
          <w:bCs/>
          <w:sz w:val="24"/>
          <w:szCs w:val="24"/>
          <w:u w:val="single"/>
        </w:rPr>
        <w:t>. Packaging Adaptatio</w:t>
      </w:r>
      <w:r w:rsidR="008132F3" w:rsidRPr="008132F3">
        <w:rPr>
          <w:rFonts w:ascii="Arial" w:hAnsi="Arial" w:cs="Arial"/>
          <w:bCs/>
          <w:sz w:val="24"/>
          <w:szCs w:val="24"/>
          <w:u w:val="single"/>
        </w:rPr>
        <w:t>n Reflecting Cultural Symbolism:</w:t>
      </w:r>
      <w:r w:rsidR="008132F3">
        <w:rPr>
          <w:rFonts w:ascii="Arial" w:hAnsi="Arial" w:cs="Arial"/>
          <w:b/>
          <w:bCs/>
          <w:sz w:val="24"/>
          <w:szCs w:val="24"/>
        </w:rPr>
        <w:t xml:space="preserve"> </w:t>
      </w:r>
      <w:r w:rsidR="000A39D1" w:rsidRPr="000A39D1">
        <w:rPr>
          <w:rFonts w:ascii="Arial" w:hAnsi="Arial" w:cs="Arial"/>
          <w:sz w:val="24"/>
          <w:szCs w:val="24"/>
        </w:rPr>
        <w:t>The Chinese culture is also very symb</w:t>
      </w:r>
      <w:r w:rsidR="000A39D1">
        <w:rPr>
          <w:rFonts w:ascii="Arial" w:hAnsi="Arial" w:cs="Arial"/>
          <w:sz w:val="24"/>
          <w:szCs w:val="24"/>
        </w:rPr>
        <w:t xml:space="preserve">olic, colorful, and auspicious. </w:t>
      </w:r>
      <w:r w:rsidR="000A39D1" w:rsidRPr="000A39D1">
        <w:rPr>
          <w:rFonts w:ascii="Arial" w:hAnsi="Arial" w:cs="Arial"/>
          <w:sz w:val="24"/>
          <w:szCs w:val="24"/>
        </w:rPr>
        <w:t>To Coca-Cola, the pa</w:t>
      </w:r>
      <w:r w:rsidR="000A39D1">
        <w:rPr>
          <w:rFonts w:ascii="Arial" w:hAnsi="Arial" w:cs="Arial"/>
          <w:sz w:val="24"/>
          <w:szCs w:val="24"/>
        </w:rPr>
        <w:t>ckaging is changed according to</w:t>
      </w:r>
      <w:r w:rsidR="008132F3">
        <w:rPr>
          <w:rFonts w:ascii="Arial" w:hAnsi="Arial" w:cs="Arial"/>
          <w:sz w:val="24"/>
          <w:szCs w:val="24"/>
        </w:rPr>
        <w:t xml:space="preserve"> the use of</w:t>
      </w:r>
      <w:r w:rsidR="00442CB0" w:rsidRPr="00F2383F">
        <w:rPr>
          <w:rFonts w:ascii="Arial" w:hAnsi="Arial" w:cs="Arial"/>
          <w:sz w:val="24"/>
          <w:szCs w:val="24"/>
        </w:rPr>
        <w:t xml:space="preserve"> </w:t>
      </w:r>
      <w:r w:rsidR="00442CB0" w:rsidRPr="008132F3">
        <w:rPr>
          <w:rFonts w:ascii="Arial" w:hAnsi="Arial" w:cs="Arial"/>
          <w:bCs/>
          <w:sz w:val="24"/>
          <w:szCs w:val="24"/>
        </w:rPr>
        <w:t>red and gold</w:t>
      </w:r>
      <w:r w:rsidR="00442CB0" w:rsidRPr="00F2383F">
        <w:rPr>
          <w:rFonts w:ascii="Arial" w:hAnsi="Arial" w:cs="Arial"/>
          <w:sz w:val="24"/>
          <w:szCs w:val="24"/>
        </w:rPr>
        <w:t xml:space="preserve"> during festive seasons (symbols of luck and wealth).</w:t>
      </w:r>
      <w:r w:rsidR="008132F3">
        <w:rPr>
          <w:rFonts w:ascii="Arial" w:hAnsi="Arial" w:cs="Arial"/>
          <w:b/>
          <w:bCs/>
          <w:sz w:val="24"/>
          <w:szCs w:val="24"/>
        </w:rPr>
        <w:t xml:space="preserve"> </w:t>
      </w:r>
      <w:r w:rsidR="00442CB0" w:rsidRPr="00F2383F">
        <w:rPr>
          <w:rFonts w:ascii="Arial" w:hAnsi="Arial" w:cs="Arial"/>
          <w:sz w:val="24"/>
          <w:szCs w:val="24"/>
        </w:rPr>
        <w:t xml:space="preserve">Including </w:t>
      </w:r>
      <w:r w:rsidR="00442CB0" w:rsidRPr="00F2383F">
        <w:rPr>
          <w:rFonts w:ascii="Arial" w:hAnsi="Arial" w:cs="Arial"/>
          <w:sz w:val="24"/>
          <w:szCs w:val="24"/>
        </w:rPr>
        <w:lastRenderedPageBreak/>
        <w:t>zodiac animals during Lunar New Year.</w:t>
      </w:r>
      <w:r w:rsidR="008132F3">
        <w:rPr>
          <w:rFonts w:ascii="Arial" w:hAnsi="Arial" w:cs="Arial"/>
          <w:b/>
          <w:bCs/>
          <w:sz w:val="24"/>
          <w:szCs w:val="24"/>
        </w:rPr>
        <w:t xml:space="preserve"> </w:t>
      </w:r>
      <w:r w:rsidR="00442CB0" w:rsidRPr="00F2383F">
        <w:rPr>
          <w:rFonts w:ascii="Arial" w:hAnsi="Arial" w:cs="Arial"/>
          <w:sz w:val="24"/>
          <w:szCs w:val="24"/>
        </w:rPr>
        <w:t>Incorporating Chinese calligraphy or festival themes.</w:t>
      </w:r>
      <w:r w:rsidR="008132F3">
        <w:rPr>
          <w:rFonts w:ascii="Arial" w:hAnsi="Arial" w:cs="Arial"/>
          <w:b/>
          <w:bCs/>
          <w:sz w:val="24"/>
          <w:szCs w:val="24"/>
        </w:rPr>
        <w:t xml:space="preserve"> </w:t>
      </w:r>
      <w:r w:rsidR="00920D53" w:rsidRPr="00920D53">
        <w:rPr>
          <w:rFonts w:ascii="Arial" w:hAnsi="Arial" w:cs="Arial"/>
          <w:sz w:val="24"/>
          <w:szCs w:val="24"/>
        </w:rPr>
        <w:t>Such cultural elements en</w:t>
      </w:r>
      <w:r w:rsidR="00AF048F">
        <w:rPr>
          <w:rFonts w:ascii="Arial" w:hAnsi="Arial" w:cs="Arial"/>
          <w:sz w:val="24"/>
          <w:szCs w:val="24"/>
        </w:rPr>
        <w:t xml:space="preserve">hance emotional appeal for </w:t>
      </w:r>
      <w:r w:rsidR="00920D53" w:rsidRPr="00920D53">
        <w:rPr>
          <w:rFonts w:ascii="Arial" w:hAnsi="Arial" w:cs="Arial"/>
          <w:sz w:val="24"/>
          <w:szCs w:val="24"/>
        </w:rPr>
        <w:t>Coca-Cola</w:t>
      </w:r>
      <w:r w:rsidR="00442CB0" w:rsidRPr="00F2383F">
        <w:rPr>
          <w:rFonts w:ascii="Arial" w:hAnsi="Arial" w:cs="Arial"/>
          <w:sz w:val="24"/>
          <w:szCs w:val="24"/>
        </w:rPr>
        <w:t>.</w:t>
      </w:r>
    </w:p>
    <w:p w14:paraId="797B7655" w14:textId="77777777" w:rsidR="00442CB0" w:rsidRPr="00F2383F" w:rsidRDefault="00442CB0" w:rsidP="002A681F">
      <w:pPr>
        <w:pStyle w:val="Heading2"/>
      </w:pPr>
      <w:bookmarkStart w:id="18" w:name="_Toc216539903"/>
      <w:r w:rsidRPr="00F2383F">
        <w:t xml:space="preserve">4.3 Cultural Impact on </w:t>
      </w:r>
      <w:r w:rsidR="00824E14" w:rsidRPr="00F2383F">
        <w:t>Organizational</w:t>
      </w:r>
      <w:r w:rsidRPr="00F2383F">
        <w:t xml:space="preserve"> Success in China</w:t>
      </w:r>
      <w:bookmarkEnd w:id="18"/>
    </w:p>
    <w:p w14:paraId="10779A43" w14:textId="77777777" w:rsidR="00920D53" w:rsidRPr="008132F3" w:rsidRDefault="002A681F" w:rsidP="00603F13">
      <w:pPr>
        <w:spacing w:line="360" w:lineRule="auto"/>
        <w:jc w:val="both"/>
        <w:rPr>
          <w:rFonts w:ascii="Arial" w:hAnsi="Arial" w:cs="Arial"/>
          <w:b/>
          <w:bCs/>
          <w:sz w:val="24"/>
          <w:szCs w:val="24"/>
        </w:rPr>
      </w:pPr>
      <w:r w:rsidRPr="008132F3">
        <w:rPr>
          <w:rFonts w:ascii="Arial" w:hAnsi="Arial" w:cs="Arial"/>
          <w:bCs/>
          <w:sz w:val="24"/>
          <w:szCs w:val="24"/>
          <w:u w:val="single"/>
        </w:rPr>
        <w:t>a</w:t>
      </w:r>
      <w:r w:rsidR="00442CB0" w:rsidRPr="008132F3">
        <w:rPr>
          <w:rFonts w:ascii="Arial" w:hAnsi="Arial" w:cs="Arial"/>
          <w:bCs/>
          <w:sz w:val="24"/>
          <w:szCs w:val="24"/>
          <w:u w:val="single"/>
        </w:rPr>
        <w:t>. G</w:t>
      </w:r>
      <w:r w:rsidR="008132F3" w:rsidRPr="008132F3">
        <w:rPr>
          <w:rFonts w:ascii="Arial" w:hAnsi="Arial" w:cs="Arial"/>
          <w:bCs/>
          <w:sz w:val="24"/>
          <w:szCs w:val="24"/>
          <w:u w:val="single"/>
        </w:rPr>
        <w:t>uanxi and Relationship-Building:</w:t>
      </w:r>
      <w:r w:rsidR="008132F3">
        <w:rPr>
          <w:rFonts w:ascii="Arial" w:hAnsi="Arial" w:cs="Arial"/>
          <w:b/>
          <w:bCs/>
          <w:sz w:val="24"/>
          <w:szCs w:val="24"/>
        </w:rPr>
        <w:t xml:space="preserve"> </w:t>
      </w:r>
      <w:r w:rsidR="00920D53" w:rsidRPr="00920D53">
        <w:rPr>
          <w:rFonts w:ascii="Arial" w:hAnsi="Arial" w:cs="Arial"/>
          <w:sz w:val="24"/>
          <w:szCs w:val="24"/>
        </w:rPr>
        <w:t>Chinese culture lays an emphasis on guanxi, strong relationship networks founded on trust, reciprocity and mutual benefit (</w:t>
      </w:r>
      <w:proofErr w:type="spellStart"/>
      <w:r w:rsidR="00920D53" w:rsidRPr="00920D53">
        <w:rPr>
          <w:rFonts w:ascii="Arial" w:hAnsi="Arial" w:cs="Arial"/>
          <w:sz w:val="24"/>
          <w:szCs w:val="24"/>
        </w:rPr>
        <w:t>Cavusgil</w:t>
      </w:r>
      <w:proofErr w:type="spellEnd"/>
      <w:r w:rsidR="00920D53" w:rsidRPr="00920D53">
        <w:rPr>
          <w:rFonts w:ascii="Arial" w:hAnsi="Arial" w:cs="Arial"/>
          <w:sz w:val="24"/>
          <w:szCs w:val="24"/>
        </w:rPr>
        <w:t xml:space="preserve"> et al., 2022). The cooperation between Coca-Cola and COFCO (a government-supported company) shows that the former understands that market entry is not just possible with the help of economic potential, but also institutional entrenchment. This social capital was indispensable in the process of negotiating policies, obtaining distribution privileges and purchasing bottling plants </w:t>
      </w:r>
      <w:r w:rsidR="00603F13">
        <w:rPr>
          <w:rFonts w:ascii="Arial" w:hAnsi="Arial" w:cs="Arial"/>
          <w:sz w:val="24"/>
          <w:szCs w:val="24"/>
        </w:rPr>
        <w:t xml:space="preserve">(Harvard </w:t>
      </w:r>
      <w:proofErr w:type="spellStart"/>
      <w:r w:rsidR="00603F13">
        <w:rPr>
          <w:rFonts w:ascii="Arial" w:hAnsi="Arial" w:cs="Arial"/>
          <w:sz w:val="24"/>
          <w:szCs w:val="24"/>
        </w:rPr>
        <w:t>Buisness</w:t>
      </w:r>
      <w:proofErr w:type="spellEnd"/>
      <w:r w:rsidR="00603F13">
        <w:rPr>
          <w:rFonts w:ascii="Arial" w:hAnsi="Arial" w:cs="Arial"/>
          <w:sz w:val="24"/>
          <w:szCs w:val="24"/>
        </w:rPr>
        <w:t xml:space="preserve"> Review, 2022).</w:t>
      </w:r>
    </w:p>
    <w:p w14:paraId="5765A7B9" w14:textId="77777777" w:rsidR="00AF048F" w:rsidRPr="008132F3" w:rsidRDefault="00920D53" w:rsidP="00AD369C">
      <w:pPr>
        <w:spacing w:line="360" w:lineRule="auto"/>
        <w:jc w:val="both"/>
        <w:rPr>
          <w:rFonts w:ascii="Arial" w:hAnsi="Arial" w:cs="Arial"/>
          <w:b/>
          <w:sz w:val="24"/>
          <w:szCs w:val="24"/>
        </w:rPr>
      </w:pPr>
      <w:r w:rsidRPr="008132F3">
        <w:rPr>
          <w:rFonts w:ascii="Arial" w:hAnsi="Arial" w:cs="Arial"/>
          <w:sz w:val="24"/>
          <w:szCs w:val="24"/>
          <w:u w:val="single"/>
        </w:rPr>
        <w:t>b. Consumer Confidence and Liked Quality</w:t>
      </w:r>
      <w:r w:rsidR="008132F3" w:rsidRPr="008132F3">
        <w:rPr>
          <w:rFonts w:ascii="Arial" w:hAnsi="Arial" w:cs="Arial"/>
          <w:sz w:val="24"/>
          <w:szCs w:val="24"/>
          <w:u w:val="single"/>
        </w:rPr>
        <w:t>:</w:t>
      </w:r>
      <w:r w:rsidR="008132F3">
        <w:rPr>
          <w:rFonts w:ascii="Arial" w:hAnsi="Arial" w:cs="Arial"/>
          <w:b/>
          <w:sz w:val="24"/>
          <w:szCs w:val="24"/>
        </w:rPr>
        <w:t xml:space="preserve"> </w:t>
      </w:r>
      <w:r w:rsidRPr="00920D53">
        <w:rPr>
          <w:rFonts w:ascii="Arial" w:hAnsi="Arial" w:cs="Arial"/>
          <w:sz w:val="24"/>
          <w:szCs w:val="24"/>
        </w:rPr>
        <w:t xml:space="preserve">The increase in the food safety concerns of the Chinese consumers influences the consumption </w:t>
      </w:r>
      <w:r w:rsidR="00EB3202" w:rsidRPr="00920D53">
        <w:rPr>
          <w:rFonts w:ascii="Arial" w:hAnsi="Arial" w:cs="Arial"/>
          <w:sz w:val="24"/>
          <w:szCs w:val="24"/>
        </w:rPr>
        <w:t>behavior</w:t>
      </w:r>
      <w:r w:rsidRPr="00920D53">
        <w:rPr>
          <w:rFonts w:ascii="Arial" w:hAnsi="Arial" w:cs="Arial"/>
          <w:sz w:val="24"/>
          <w:szCs w:val="24"/>
        </w:rPr>
        <w:t xml:space="preserve"> of drink. The trust created due to the global brand reputation of Coca-Cola and stringent quality control systems is not always created in the domestic competitors (Zhao and Keith, 2023). This is an important cultural asset that improves the penetration in the market. </w:t>
      </w:r>
    </w:p>
    <w:p w14:paraId="71E04490" w14:textId="77777777" w:rsidR="00442CB0" w:rsidRPr="00F2383F" w:rsidRDefault="00920D53" w:rsidP="00AD369C">
      <w:pPr>
        <w:spacing w:line="360" w:lineRule="auto"/>
        <w:jc w:val="both"/>
        <w:rPr>
          <w:rFonts w:ascii="Arial" w:hAnsi="Arial" w:cs="Arial"/>
          <w:sz w:val="24"/>
          <w:szCs w:val="24"/>
        </w:rPr>
      </w:pPr>
      <w:r w:rsidRPr="008132F3">
        <w:rPr>
          <w:rFonts w:ascii="Arial" w:hAnsi="Arial" w:cs="Arial"/>
          <w:sz w:val="24"/>
          <w:szCs w:val="24"/>
          <w:u w:val="single"/>
        </w:rPr>
        <w:t>c. Digital Culture Significance in Consumer Interactions</w:t>
      </w:r>
      <w:r w:rsidR="008132F3" w:rsidRPr="008132F3">
        <w:rPr>
          <w:rFonts w:ascii="Arial" w:hAnsi="Arial" w:cs="Arial"/>
          <w:sz w:val="24"/>
          <w:szCs w:val="24"/>
          <w:u w:val="single"/>
        </w:rPr>
        <w:t xml:space="preserve">: </w:t>
      </w:r>
      <w:r w:rsidRPr="00920D53">
        <w:rPr>
          <w:rFonts w:ascii="Arial" w:hAnsi="Arial" w:cs="Arial"/>
          <w:sz w:val="24"/>
          <w:szCs w:val="24"/>
        </w:rPr>
        <w:t xml:space="preserve"> The digital culture prevailing in China requires high-order localization. Chinese consumers interact via the physical retail, unlike the U.S. where physical r</w:t>
      </w:r>
      <w:r>
        <w:rPr>
          <w:rFonts w:ascii="Arial" w:hAnsi="Arial" w:cs="Arial"/>
          <w:sz w:val="24"/>
          <w:szCs w:val="24"/>
        </w:rPr>
        <w:t>etail is the prevailing concept</w:t>
      </w:r>
      <w:r w:rsidR="008132F3">
        <w:rPr>
          <w:rFonts w:ascii="Arial" w:hAnsi="Arial" w:cs="Arial"/>
          <w:sz w:val="24"/>
          <w:szCs w:val="24"/>
        </w:rPr>
        <w:t xml:space="preserve"> e.g. WeChat Mini Programs, </w:t>
      </w:r>
      <w:r w:rsidR="00442CB0" w:rsidRPr="00F2383F">
        <w:rPr>
          <w:rFonts w:ascii="Arial" w:hAnsi="Arial" w:cs="Arial"/>
          <w:sz w:val="24"/>
          <w:szCs w:val="24"/>
        </w:rPr>
        <w:t>live-</w:t>
      </w:r>
      <w:r w:rsidR="008132F3">
        <w:rPr>
          <w:rFonts w:ascii="Arial" w:hAnsi="Arial" w:cs="Arial"/>
          <w:sz w:val="24"/>
          <w:szCs w:val="24"/>
        </w:rPr>
        <w:t xml:space="preserve">stream shopping on Douyin, QR code interactions, gamified campaigns. </w:t>
      </w:r>
      <w:r w:rsidRPr="00920D53">
        <w:rPr>
          <w:rFonts w:ascii="Arial" w:hAnsi="Arial" w:cs="Arial"/>
          <w:sz w:val="24"/>
          <w:szCs w:val="24"/>
        </w:rPr>
        <w:t xml:space="preserve">Coca-Cola implemented the strategy of digital ecosystem that incorporated product promotion through social media, mobile payment and e-commerce platforms (McKinsey, 2024). </w:t>
      </w:r>
    </w:p>
    <w:p w14:paraId="43B338C8" w14:textId="77777777" w:rsidR="00442CB0" w:rsidRPr="00F2383F" w:rsidRDefault="00442CB0" w:rsidP="002C5E0D">
      <w:pPr>
        <w:pStyle w:val="Heading2"/>
      </w:pPr>
      <w:bookmarkStart w:id="19" w:name="_Toc216539904"/>
      <w:r w:rsidRPr="00F2383F">
        <w:t>4.4 Critical Evaluation</w:t>
      </w:r>
      <w:bookmarkEnd w:id="19"/>
    </w:p>
    <w:p w14:paraId="4D961CDC" w14:textId="77777777" w:rsidR="00920D53" w:rsidRPr="00920D53" w:rsidRDefault="00920D53" w:rsidP="00920D53">
      <w:pPr>
        <w:spacing w:line="360" w:lineRule="auto"/>
        <w:jc w:val="both"/>
        <w:rPr>
          <w:rFonts w:ascii="Arial" w:hAnsi="Arial" w:cs="Arial"/>
          <w:sz w:val="24"/>
          <w:szCs w:val="24"/>
        </w:rPr>
      </w:pPr>
      <w:r w:rsidRPr="00920D53">
        <w:rPr>
          <w:rFonts w:ascii="Arial" w:hAnsi="Arial" w:cs="Arial"/>
          <w:sz w:val="24"/>
          <w:szCs w:val="24"/>
        </w:rPr>
        <w:t xml:space="preserve">Although the cultural adoptions of Coca-Cola in China have been very fruitful, a number of </w:t>
      </w:r>
      <w:proofErr w:type="gramStart"/>
      <w:r w:rsidRPr="00920D53">
        <w:rPr>
          <w:rFonts w:ascii="Arial" w:hAnsi="Arial" w:cs="Arial"/>
          <w:sz w:val="24"/>
          <w:szCs w:val="24"/>
        </w:rPr>
        <w:t>tension</w:t>
      </w:r>
      <w:proofErr w:type="gramEnd"/>
      <w:r w:rsidRPr="00920D53">
        <w:rPr>
          <w:rFonts w:ascii="Arial" w:hAnsi="Arial" w:cs="Arial"/>
          <w:sz w:val="24"/>
          <w:szCs w:val="24"/>
        </w:rPr>
        <w:t xml:space="preserve"> still exist:</w:t>
      </w:r>
    </w:p>
    <w:p w14:paraId="12DDF359" w14:textId="77777777" w:rsidR="00920D53" w:rsidRPr="00F96D84" w:rsidRDefault="00920D53" w:rsidP="00920D53">
      <w:pPr>
        <w:spacing w:line="360" w:lineRule="auto"/>
        <w:jc w:val="both"/>
        <w:rPr>
          <w:rFonts w:ascii="Arial" w:hAnsi="Arial" w:cs="Arial"/>
          <w:b/>
          <w:sz w:val="24"/>
          <w:szCs w:val="24"/>
        </w:rPr>
      </w:pPr>
      <w:proofErr w:type="spellStart"/>
      <w:r w:rsidRPr="008132F3">
        <w:rPr>
          <w:rFonts w:ascii="Arial" w:hAnsi="Arial" w:cs="Arial"/>
          <w:b/>
          <w:sz w:val="24"/>
          <w:szCs w:val="24"/>
          <w:u w:val="single"/>
        </w:rPr>
        <w:t>i</w:t>
      </w:r>
      <w:proofErr w:type="spellEnd"/>
      <w:r w:rsidRPr="008132F3">
        <w:rPr>
          <w:rFonts w:ascii="Arial" w:hAnsi="Arial" w:cs="Arial"/>
          <w:b/>
          <w:sz w:val="24"/>
          <w:szCs w:val="24"/>
          <w:u w:val="single"/>
        </w:rPr>
        <w:t xml:space="preserve">. </w:t>
      </w:r>
      <w:r w:rsidRPr="008132F3">
        <w:rPr>
          <w:rFonts w:ascii="Arial" w:hAnsi="Arial" w:cs="Arial"/>
          <w:sz w:val="24"/>
          <w:szCs w:val="24"/>
          <w:u w:val="single"/>
        </w:rPr>
        <w:t>Cultural Differences Enlarge Cost of operation</w:t>
      </w:r>
      <w:r w:rsidR="00F96D84" w:rsidRPr="008132F3">
        <w:rPr>
          <w:rFonts w:ascii="Arial" w:hAnsi="Arial" w:cs="Arial"/>
          <w:b/>
          <w:sz w:val="24"/>
          <w:szCs w:val="24"/>
          <w:u w:val="single"/>
        </w:rPr>
        <w:t>:</w:t>
      </w:r>
      <w:r w:rsidR="00F96D84">
        <w:rPr>
          <w:rFonts w:ascii="Arial" w:hAnsi="Arial" w:cs="Arial"/>
          <w:b/>
          <w:sz w:val="24"/>
          <w:szCs w:val="24"/>
        </w:rPr>
        <w:t xml:space="preserve"> </w:t>
      </w:r>
      <w:r w:rsidRPr="00920D53">
        <w:rPr>
          <w:rFonts w:ascii="Arial" w:hAnsi="Arial" w:cs="Arial"/>
          <w:sz w:val="24"/>
          <w:szCs w:val="24"/>
        </w:rPr>
        <w:t>Localization of flavor, packaging, marketing and communication contributes largely towards increasing the complexity of operations and cost structures.</w:t>
      </w:r>
    </w:p>
    <w:p w14:paraId="67CD657C" w14:textId="77777777" w:rsidR="00442CB0" w:rsidRPr="00F2383F" w:rsidRDefault="00920D53" w:rsidP="00920D53">
      <w:pPr>
        <w:spacing w:line="360" w:lineRule="auto"/>
        <w:jc w:val="both"/>
        <w:rPr>
          <w:rFonts w:ascii="Arial" w:hAnsi="Arial" w:cs="Arial"/>
          <w:sz w:val="24"/>
          <w:szCs w:val="24"/>
        </w:rPr>
      </w:pPr>
      <w:r w:rsidRPr="008132F3">
        <w:rPr>
          <w:rFonts w:ascii="Arial" w:hAnsi="Arial" w:cs="Arial"/>
          <w:b/>
          <w:sz w:val="24"/>
          <w:szCs w:val="24"/>
          <w:u w:val="single"/>
        </w:rPr>
        <w:lastRenderedPageBreak/>
        <w:t xml:space="preserve">ii. </w:t>
      </w:r>
      <w:r w:rsidRPr="008132F3">
        <w:rPr>
          <w:rFonts w:ascii="Arial" w:hAnsi="Arial" w:cs="Arial"/>
          <w:sz w:val="24"/>
          <w:szCs w:val="24"/>
          <w:u w:val="single"/>
        </w:rPr>
        <w:t>The Health and Wellness Culture is a menace to the sales of the carbonated drinks</w:t>
      </w:r>
      <w:r w:rsidR="00F96D84" w:rsidRPr="008132F3">
        <w:rPr>
          <w:rFonts w:ascii="Arial" w:hAnsi="Arial" w:cs="Arial"/>
          <w:sz w:val="24"/>
          <w:szCs w:val="24"/>
          <w:u w:val="single"/>
        </w:rPr>
        <w:t xml:space="preserve">: </w:t>
      </w:r>
      <w:r w:rsidRPr="00920D53">
        <w:rPr>
          <w:rFonts w:ascii="Arial" w:hAnsi="Arial" w:cs="Arial"/>
          <w:sz w:val="24"/>
          <w:szCs w:val="24"/>
        </w:rPr>
        <w:t xml:space="preserve">The long-term orientation of China and the culture of self-control decrease the use of the cola and increases the demand of tea, juice, coffee and the functional drinks. To remain relevant, Coca-Cola has to keep on </w:t>
      </w:r>
      <w:r w:rsidR="00F96D84" w:rsidRPr="00920D53">
        <w:rPr>
          <w:rFonts w:ascii="Arial" w:hAnsi="Arial" w:cs="Arial"/>
          <w:sz w:val="24"/>
          <w:szCs w:val="24"/>
        </w:rPr>
        <w:t>innovating.</w:t>
      </w:r>
    </w:p>
    <w:p w14:paraId="4DBB432D" w14:textId="77777777" w:rsidR="00442CB0" w:rsidRPr="00F96D84" w:rsidRDefault="002C5E0D" w:rsidP="00603F13">
      <w:pPr>
        <w:spacing w:line="360" w:lineRule="auto"/>
        <w:jc w:val="both"/>
        <w:rPr>
          <w:rFonts w:ascii="Arial" w:hAnsi="Arial" w:cs="Arial"/>
          <w:b/>
          <w:bCs/>
          <w:sz w:val="24"/>
          <w:szCs w:val="24"/>
        </w:rPr>
      </w:pPr>
      <w:r w:rsidRPr="008132F3">
        <w:rPr>
          <w:rFonts w:ascii="Arial" w:hAnsi="Arial" w:cs="Arial"/>
          <w:b/>
          <w:bCs/>
          <w:sz w:val="24"/>
          <w:szCs w:val="24"/>
          <w:u w:val="single"/>
        </w:rPr>
        <w:t>iii</w:t>
      </w:r>
      <w:r w:rsidR="00442CB0" w:rsidRPr="008132F3">
        <w:rPr>
          <w:rFonts w:ascii="Arial" w:hAnsi="Arial" w:cs="Arial"/>
          <w:b/>
          <w:bCs/>
          <w:sz w:val="24"/>
          <w:szCs w:val="24"/>
          <w:u w:val="single"/>
        </w:rPr>
        <w:t xml:space="preserve">. </w:t>
      </w:r>
      <w:r w:rsidR="00442CB0" w:rsidRPr="008132F3">
        <w:rPr>
          <w:rFonts w:ascii="Arial" w:hAnsi="Arial" w:cs="Arial"/>
          <w:bCs/>
          <w:sz w:val="24"/>
          <w:szCs w:val="24"/>
          <w:u w:val="single"/>
        </w:rPr>
        <w:t xml:space="preserve">Nationalistic Consumer </w:t>
      </w:r>
      <w:r w:rsidR="00871720" w:rsidRPr="008132F3">
        <w:rPr>
          <w:rFonts w:ascii="Arial" w:hAnsi="Arial" w:cs="Arial"/>
          <w:bCs/>
          <w:sz w:val="24"/>
          <w:szCs w:val="24"/>
          <w:u w:val="single"/>
        </w:rPr>
        <w:t>Behavior</w:t>
      </w:r>
      <w:r w:rsidR="00442CB0" w:rsidRPr="008132F3">
        <w:rPr>
          <w:rFonts w:ascii="Arial" w:hAnsi="Arial" w:cs="Arial"/>
          <w:bCs/>
          <w:sz w:val="24"/>
          <w:szCs w:val="24"/>
          <w:u w:val="single"/>
        </w:rPr>
        <w:t xml:space="preserve"> Is Rising</w:t>
      </w:r>
      <w:r w:rsidR="00F96D84" w:rsidRPr="008132F3">
        <w:rPr>
          <w:rFonts w:ascii="Arial" w:hAnsi="Arial" w:cs="Arial"/>
          <w:b/>
          <w:bCs/>
          <w:sz w:val="24"/>
          <w:szCs w:val="24"/>
          <w:u w:val="single"/>
        </w:rPr>
        <w:t>:</w:t>
      </w:r>
      <w:r w:rsidR="00F96D84">
        <w:rPr>
          <w:rFonts w:ascii="Arial" w:hAnsi="Arial" w:cs="Arial"/>
          <w:b/>
          <w:bCs/>
          <w:sz w:val="24"/>
          <w:szCs w:val="24"/>
        </w:rPr>
        <w:t xml:space="preserve"> </w:t>
      </w:r>
      <w:r w:rsidR="00442CB0" w:rsidRPr="00F2383F">
        <w:rPr>
          <w:rFonts w:ascii="Arial" w:hAnsi="Arial" w:cs="Arial"/>
          <w:sz w:val="24"/>
          <w:szCs w:val="24"/>
        </w:rPr>
        <w:t xml:space="preserve">Growing national pride and geopolitical tensions with the U.S. may negatively affect American brands’ sentiment. Coca-Cola must rely on </w:t>
      </w:r>
      <w:r w:rsidR="00871720" w:rsidRPr="00F2383F">
        <w:rPr>
          <w:rFonts w:ascii="Arial" w:hAnsi="Arial" w:cs="Arial"/>
          <w:sz w:val="24"/>
          <w:szCs w:val="24"/>
        </w:rPr>
        <w:t>localization</w:t>
      </w:r>
      <w:r w:rsidR="00442CB0" w:rsidRPr="00F2383F">
        <w:rPr>
          <w:rFonts w:ascii="Arial" w:hAnsi="Arial" w:cs="Arial"/>
          <w:sz w:val="24"/>
          <w:szCs w:val="24"/>
        </w:rPr>
        <w:t xml:space="preserve"> and partnerships to maintain legitimacy (Zhao &amp; Keith, 2023).</w:t>
      </w:r>
    </w:p>
    <w:p w14:paraId="240CFC3A" w14:textId="77777777" w:rsidR="00442CB0" w:rsidRDefault="002C5E0D" w:rsidP="00603F13">
      <w:pPr>
        <w:spacing w:line="360" w:lineRule="auto"/>
        <w:jc w:val="both"/>
        <w:rPr>
          <w:rFonts w:ascii="Arial" w:hAnsi="Arial" w:cs="Arial"/>
          <w:sz w:val="24"/>
          <w:szCs w:val="24"/>
        </w:rPr>
      </w:pPr>
      <w:r w:rsidRPr="008132F3">
        <w:rPr>
          <w:rFonts w:ascii="Arial" w:hAnsi="Arial" w:cs="Arial"/>
          <w:b/>
          <w:bCs/>
          <w:sz w:val="24"/>
          <w:szCs w:val="24"/>
          <w:u w:val="single"/>
        </w:rPr>
        <w:t>iv</w:t>
      </w:r>
      <w:r w:rsidR="00442CB0" w:rsidRPr="008132F3">
        <w:rPr>
          <w:rFonts w:ascii="Arial" w:hAnsi="Arial" w:cs="Arial"/>
          <w:b/>
          <w:bCs/>
          <w:sz w:val="24"/>
          <w:szCs w:val="24"/>
          <w:u w:val="single"/>
        </w:rPr>
        <w:t>.</w:t>
      </w:r>
      <w:r w:rsidR="00442CB0" w:rsidRPr="008132F3">
        <w:rPr>
          <w:rFonts w:ascii="Arial" w:hAnsi="Arial" w:cs="Arial"/>
          <w:bCs/>
          <w:sz w:val="24"/>
          <w:szCs w:val="24"/>
          <w:u w:val="single"/>
        </w:rPr>
        <w:t xml:space="preserve"> Digital Over-Reliance Exposes Coc</w:t>
      </w:r>
      <w:r w:rsidR="00AF048F" w:rsidRPr="008132F3">
        <w:rPr>
          <w:rFonts w:ascii="Arial" w:hAnsi="Arial" w:cs="Arial"/>
          <w:bCs/>
          <w:sz w:val="24"/>
          <w:szCs w:val="24"/>
          <w:u w:val="single"/>
        </w:rPr>
        <w:t>a-Cola to Data Regulation Risks:</w:t>
      </w:r>
      <w:r w:rsidR="00AF048F">
        <w:rPr>
          <w:rFonts w:ascii="Arial" w:hAnsi="Arial" w:cs="Arial"/>
          <w:bCs/>
          <w:sz w:val="24"/>
          <w:szCs w:val="24"/>
        </w:rPr>
        <w:t xml:space="preserve"> </w:t>
      </w:r>
      <w:r w:rsidR="00442CB0" w:rsidRPr="00F2383F">
        <w:rPr>
          <w:rFonts w:ascii="Arial" w:hAnsi="Arial" w:cs="Arial"/>
          <w:sz w:val="24"/>
          <w:szCs w:val="24"/>
        </w:rPr>
        <w:t>China’s tightening data privacy laws</w:t>
      </w:r>
      <w:r w:rsidR="00871720">
        <w:rPr>
          <w:rFonts w:ascii="Arial" w:hAnsi="Arial" w:cs="Arial"/>
          <w:sz w:val="24"/>
          <w:szCs w:val="24"/>
        </w:rPr>
        <w:t xml:space="preserve"> increase compliance pressures. </w:t>
      </w:r>
      <w:r w:rsidR="00442CB0" w:rsidRPr="00F2383F">
        <w:rPr>
          <w:rFonts w:ascii="Arial" w:hAnsi="Arial" w:cs="Arial"/>
          <w:sz w:val="24"/>
          <w:szCs w:val="24"/>
        </w:rPr>
        <w:t>Despite these challenges, Coca-Cola’s cultural sensitivity and strategic alignment have positioned it as one of the most successful Western FMCG brands in China today</w:t>
      </w:r>
      <w:r w:rsidR="00BA15E5">
        <w:rPr>
          <w:rFonts w:ascii="Arial" w:hAnsi="Arial" w:cs="Arial"/>
          <w:sz w:val="24"/>
          <w:szCs w:val="24"/>
        </w:rPr>
        <w:t xml:space="preserve"> (China National Bureau of statistics, 2024)</w:t>
      </w:r>
      <w:r w:rsidR="00442CB0" w:rsidRPr="00F2383F">
        <w:rPr>
          <w:rFonts w:ascii="Arial" w:hAnsi="Arial" w:cs="Arial"/>
          <w:sz w:val="24"/>
          <w:szCs w:val="24"/>
        </w:rPr>
        <w:t>.</w:t>
      </w:r>
    </w:p>
    <w:p w14:paraId="2134FF9C" w14:textId="77777777" w:rsidR="00D4556A" w:rsidRDefault="00D4556A" w:rsidP="00AF048F">
      <w:pPr>
        <w:spacing w:line="360" w:lineRule="auto"/>
        <w:rPr>
          <w:rFonts w:ascii="Arial" w:hAnsi="Arial" w:cs="Arial"/>
          <w:sz w:val="24"/>
          <w:szCs w:val="24"/>
        </w:rPr>
      </w:pPr>
    </w:p>
    <w:p w14:paraId="093EC28A" w14:textId="77777777" w:rsidR="00D4556A" w:rsidRDefault="00D4556A" w:rsidP="00AF048F">
      <w:pPr>
        <w:spacing w:line="360" w:lineRule="auto"/>
        <w:rPr>
          <w:rFonts w:ascii="Arial" w:hAnsi="Arial" w:cs="Arial"/>
          <w:sz w:val="24"/>
          <w:szCs w:val="24"/>
        </w:rPr>
      </w:pPr>
    </w:p>
    <w:p w14:paraId="47B9EAD2" w14:textId="77777777" w:rsidR="00D4556A" w:rsidRDefault="00D4556A" w:rsidP="00AF048F">
      <w:pPr>
        <w:spacing w:line="360" w:lineRule="auto"/>
        <w:rPr>
          <w:rFonts w:ascii="Arial" w:hAnsi="Arial" w:cs="Arial"/>
          <w:sz w:val="24"/>
          <w:szCs w:val="24"/>
        </w:rPr>
      </w:pPr>
    </w:p>
    <w:p w14:paraId="42724717" w14:textId="77777777" w:rsidR="00D4556A" w:rsidRDefault="00D4556A" w:rsidP="00AF048F">
      <w:pPr>
        <w:spacing w:line="360" w:lineRule="auto"/>
        <w:rPr>
          <w:rFonts w:ascii="Arial" w:hAnsi="Arial" w:cs="Arial"/>
          <w:sz w:val="24"/>
          <w:szCs w:val="24"/>
        </w:rPr>
      </w:pPr>
    </w:p>
    <w:p w14:paraId="351E1E2A" w14:textId="77777777" w:rsidR="00D4556A" w:rsidRDefault="00D4556A" w:rsidP="00AF048F">
      <w:pPr>
        <w:spacing w:line="360" w:lineRule="auto"/>
        <w:rPr>
          <w:rFonts w:ascii="Arial" w:hAnsi="Arial" w:cs="Arial"/>
          <w:sz w:val="24"/>
          <w:szCs w:val="24"/>
        </w:rPr>
      </w:pPr>
    </w:p>
    <w:p w14:paraId="5F77FECF" w14:textId="77777777" w:rsidR="00D4556A" w:rsidRDefault="00D4556A" w:rsidP="00AF048F">
      <w:pPr>
        <w:spacing w:line="360" w:lineRule="auto"/>
        <w:rPr>
          <w:rFonts w:ascii="Arial" w:hAnsi="Arial" w:cs="Arial"/>
          <w:sz w:val="24"/>
          <w:szCs w:val="24"/>
        </w:rPr>
      </w:pPr>
    </w:p>
    <w:p w14:paraId="197724F7" w14:textId="77777777" w:rsidR="00D4556A" w:rsidRDefault="00D4556A" w:rsidP="00AF048F">
      <w:pPr>
        <w:spacing w:line="360" w:lineRule="auto"/>
        <w:rPr>
          <w:rFonts w:ascii="Arial" w:hAnsi="Arial" w:cs="Arial"/>
          <w:sz w:val="24"/>
          <w:szCs w:val="24"/>
        </w:rPr>
      </w:pPr>
    </w:p>
    <w:p w14:paraId="0AD1E270" w14:textId="77777777" w:rsidR="00D4556A" w:rsidRDefault="00D4556A" w:rsidP="00AF048F">
      <w:pPr>
        <w:spacing w:line="360" w:lineRule="auto"/>
        <w:rPr>
          <w:rFonts w:ascii="Arial" w:hAnsi="Arial" w:cs="Arial"/>
          <w:sz w:val="24"/>
          <w:szCs w:val="24"/>
        </w:rPr>
      </w:pPr>
    </w:p>
    <w:p w14:paraId="30E899D6" w14:textId="77777777" w:rsidR="00D4556A" w:rsidRDefault="00D4556A" w:rsidP="00AF048F">
      <w:pPr>
        <w:spacing w:line="360" w:lineRule="auto"/>
        <w:rPr>
          <w:rFonts w:ascii="Arial" w:hAnsi="Arial" w:cs="Arial"/>
          <w:bCs/>
          <w:sz w:val="24"/>
          <w:szCs w:val="24"/>
        </w:rPr>
      </w:pPr>
    </w:p>
    <w:p w14:paraId="66627497" w14:textId="77777777" w:rsidR="00603F13" w:rsidRDefault="00603F13" w:rsidP="00AF048F">
      <w:pPr>
        <w:spacing w:line="360" w:lineRule="auto"/>
        <w:rPr>
          <w:rFonts w:ascii="Arial" w:hAnsi="Arial" w:cs="Arial"/>
          <w:bCs/>
          <w:sz w:val="24"/>
          <w:szCs w:val="24"/>
        </w:rPr>
      </w:pPr>
    </w:p>
    <w:p w14:paraId="6A1FBA7E" w14:textId="77777777" w:rsidR="00603F13" w:rsidRPr="00AF048F" w:rsidRDefault="00603F13" w:rsidP="00AF048F">
      <w:pPr>
        <w:spacing w:line="360" w:lineRule="auto"/>
        <w:rPr>
          <w:rFonts w:ascii="Arial" w:hAnsi="Arial" w:cs="Arial"/>
          <w:bCs/>
          <w:sz w:val="24"/>
          <w:szCs w:val="24"/>
        </w:rPr>
      </w:pPr>
    </w:p>
    <w:p w14:paraId="5E42545B" w14:textId="77777777" w:rsidR="00442CB0" w:rsidRPr="00F2383F" w:rsidRDefault="00442CB0" w:rsidP="002C5E0D">
      <w:pPr>
        <w:pStyle w:val="Heading1"/>
      </w:pPr>
      <w:bookmarkStart w:id="20" w:name="_Toc216539905"/>
      <w:r w:rsidRPr="00F2383F">
        <w:lastRenderedPageBreak/>
        <w:t>5 — Recommendations: SOP Adjustments for C</w:t>
      </w:r>
      <w:r w:rsidR="00AD369C">
        <w:t>oca-Cola in China</w:t>
      </w:r>
      <w:bookmarkEnd w:id="20"/>
      <w:r w:rsidR="00AD369C">
        <w:t xml:space="preserve"> </w:t>
      </w:r>
    </w:p>
    <w:p w14:paraId="31AB0612" w14:textId="77777777" w:rsidR="00442CB0" w:rsidRDefault="00807BA8" w:rsidP="00AD369C">
      <w:pPr>
        <w:spacing w:line="360" w:lineRule="auto"/>
        <w:jc w:val="both"/>
        <w:rPr>
          <w:rFonts w:ascii="Arial" w:hAnsi="Arial" w:cs="Arial"/>
          <w:sz w:val="24"/>
          <w:szCs w:val="24"/>
        </w:rPr>
      </w:pPr>
      <w:r w:rsidRPr="00807BA8">
        <w:rPr>
          <w:rFonts w:ascii="Arial" w:hAnsi="Arial" w:cs="Arial"/>
          <w:sz w:val="24"/>
          <w:szCs w:val="24"/>
        </w:rPr>
        <w:t>Extending the previous analysis and assessment of cultures in the previous sections, it is evident that Coca-Cola needs to streamline some of its Standard Operating Procedures (SOPs) to improve success in the long term in China. Three key SOP changes are critically discussed in the next section and are related to (1) OLI factors, (2) cultural differences between the U.S. and China, and (3) the strategic needs of Coca</w:t>
      </w:r>
      <w:r>
        <w:rPr>
          <w:rFonts w:ascii="Arial" w:hAnsi="Arial" w:cs="Arial"/>
          <w:sz w:val="24"/>
          <w:szCs w:val="24"/>
        </w:rPr>
        <w:t>-Cola in a big emerging economy</w:t>
      </w:r>
      <w:r w:rsidR="00442CB0" w:rsidRPr="00F2383F">
        <w:rPr>
          <w:rFonts w:ascii="Arial" w:hAnsi="Arial" w:cs="Arial"/>
          <w:sz w:val="24"/>
          <w:szCs w:val="24"/>
        </w:rPr>
        <w:t>.</w:t>
      </w:r>
    </w:p>
    <w:p w14:paraId="0914A04F" w14:textId="77777777" w:rsidR="00A10CE2" w:rsidRDefault="00A10CE2" w:rsidP="00AD369C">
      <w:pPr>
        <w:spacing w:line="360" w:lineRule="auto"/>
        <w:jc w:val="both"/>
        <w:rPr>
          <w:rFonts w:ascii="Arial" w:hAnsi="Arial" w:cs="Arial"/>
          <w:sz w:val="24"/>
          <w:szCs w:val="24"/>
        </w:rPr>
      </w:pPr>
      <w:r w:rsidRPr="00A10CE2">
        <w:rPr>
          <w:rFonts w:ascii="Arial" w:hAnsi="Arial" w:cs="Arial"/>
          <w:noProof/>
          <w:sz w:val="24"/>
          <w:szCs w:val="24"/>
        </w:rPr>
        <w:drawing>
          <wp:inline distT="0" distB="0" distL="0" distR="0" wp14:anchorId="3DDB8770" wp14:editId="37CF3846">
            <wp:extent cx="5467350" cy="3280410"/>
            <wp:effectExtent l="0" t="0" r="0" b="0"/>
            <wp:docPr id="15" name="Picture 15" descr="C:\Users\HP\Downloads\cocacola_sop_adjust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HP\Downloads\cocacola_sop_adjustments.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67350" cy="3280410"/>
                    </a:xfrm>
                    <a:prstGeom prst="rect">
                      <a:avLst/>
                    </a:prstGeom>
                    <a:noFill/>
                    <a:ln>
                      <a:noFill/>
                    </a:ln>
                  </pic:spPr>
                </pic:pic>
              </a:graphicData>
            </a:graphic>
          </wp:inline>
        </w:drawing>
      </w:r>
    </w:p>
    <w:p w14:paraId="775699EA" w14:textId="77777777" w:rsidR="00603F13" w:rsidRPr="00603F13" w:rsidRDefault="00603F13" w:rsidP="00871720">
      <w:pPr>
        <w:spacing w:line="360" w:lineRule="auto"/>
        <w:jc w:val="center"/>
        <w:rPr>
          <w:rFonts w:ascii="Arial" w:hAnsi="Arial" w:cs="Arial"/>
          <w:b/>
          <w:sz w:val="24"/>
          <w:szCs w:val="24"/>
        </w:rPr>
      </w:pPr>
      <w:r w:rsidRPr="00603F13">
        <w:rPr>
          <w:rFonts w:ascii="Arial" w:hAnsi="Arial" w:cs="Arial"/>
          <w:b/>
          <w:sz w:val="24"/>
          <w:szCs w:val="24"/>
        </w:rPr>
        <w:t>Figure 9: Impact of SOP Adjustment for Coca-Cola in China</w:t>
      </w:r>
    </w:p>
    <w:p w14:paraId="505B8E15" w14:textId="77777777" w:rsidR="00871720" w:rsidRPr="00603F13" w:rsidRDefault="00603F13" w:rsidP="00871720">
      <w:pPr>
        <w:spacing w:line="360" w:lineRule="auto"/>
        <w:jc w:val="center"/>
        <w:rPr>
          <w:rFonts w:ascii="Arial" w:hAnsi="Arial" w:cs="Arial"/>
          <w:i/>
          <w:sz w:val="24"/>
          <w:szCs w:val="24"/>
        </w:rPr>
      </w:pPr>
      <w:r>
        <w:rPr>
          <w:rFonts w:ascii="Arial" w:hAnsi="Arial" w:cs="Arial"/>
          <w:i/>
          <w:sz w:val="24"/>
          <w:szCs w:val="24"/>
        </w:rPr>
        <w:t>(</w:t>
      </w:r>
      <w:r w:rsidR="00871720" w:rsidRPr="00603F13">
        <w:rPr>
          <w:rFonts w:ascii="Arial" w:hAnsi="Arial" w:cs="Arial"/>
          <w:i/>
          <w:sz w:val="24"/>
          <w:szCs w:val="24"/>
        </w:rPr>
        <w:t>Source: Self-Created</w:t>
      </w:r>
      <w:r>
        <w:rPr>
          <w:rFonts w:ascii="Arial" w:hAnsi="Arial" w:cs="Arial"/>
          <w:i/>
          <w:sz w:val="24"/>
          <w:szCs w:val="24"/>
        </w:rPr>
        <w:t>)</w:t>
      </w:r>
    </w:p>
    <w:p w14:paraId="6366A101" w14:textId="77777777" w:rsidR="00442CB0" w:rsidRPr="00F2383F" w:rsidRDefault="00442CB0" w:rsidP="002C5E0D">
      <w:pPr>
        <w:pStyle w:val="Heading2"/>
      </w:pPr>
      <w:bookmarkStart w:id="21" w:name="_Toc216539906"/>
      <w:r w:rsidRPr="00F2383F">
        <w:t xml:space="preserve">5.1 SOP Adjustment 1: Deep </w:t>
      </w:r>
      <w:r w:rsidR="00824E14" w:rsidRPr="00F2383F">
        <w:t>Localization</w:t>
      </w:r>
      <w:r w:rsidRPr="00F2383F">
        <w:t xml:space="preserve"> of Product Development and Health-Focused Innovation</w:t>
      </w:r>
      <w:bookmarkEnd w:id="21"/>
    </w:p>
    <w:p w14:paraId="733B9A59" w14:textId="77777777" w:rsidR="00442CB0" w:rsidRPr="008132F3" w:rsidRDefault="008132F3" w:rsidP="00603F13">
      <w:pPr>
        <w:spacing w:line="360" w:lineRule="auto"/>
        <w:jc w:val="both"/>
        <w:rPr>
          <w:rFonts w:ascii="Arial" w:hAnsi="Arial" w:cs="Arial"/>
          <w:b/>
          <w:bCs/>
          <w:sz w:val="24"/>
          <w:szCs w:val="24"/>
        </w:rPr>
      </w:pPr>
      <w:r w:rsidRPr="008132F3">
        <w:rPr>
          <w:rFonts w:ascii="Arial" w:hAnsi="Arial" w:cs="Arial"/>
          <w:bCs/>
          <w:sz w:val="24"/>
          <w:szCs w:val="24"/>
          <w:u w:val="single"/>
        </w:rPr>
        <w:t>Rationale:</w:t>
      </w:r>
      <w:r>
        <w:rPr>
          <w:rFonts w:ascii="Arial" w:hAnsi="Arial" w:cs="Arial"/>
          <w:b/>
          <w:bCs/>
          <w:sz w:val="24"/>
          <w:szCs w:val="24"/>
        </w:rPr>
        <w:t xml:space="preserve"> </w:t>
      </w:r>
      <w:r w:rsidR="00442CB0" w:rsidRPr="00F2383F">
        <w:rPr>
          <w:rFonts w:ascii="Arial" w:hAnsi="Arial" w:cs="Arial"/>
          <w:sz w:val="24"/>
          <w:szCs w:val="24"/>
        </w:rPr>
        <w:t xml:space="preserve">China’s strong long-term orientation, high restraint, and increasing focus on wellness significantly shape beverage consumption (Euromonitor, 2024). While Coca-Cola has successfully launched </w:t>
      </w:r>
      <w:r w:rsidR="00824E14" w:rsidRPr="00F2383F">
        <w:rPr>
          <w:rFonts w:ascii="Arial" w:hAnsi="Arial" w:cs="Arial"/>
          <w:sz w:val="24"/>
          <w:szCs w:val="24"/>
        </w:rPr>
        <w:t>Fiber</w:t>
      </w:r>
      <w:r w:rsidR="00442CB0" w:rsidRPr="00F2383F">
        <w:rPr>
          <w:rFonts w:ascii="Arial" w:hAnsi="Arial" w:cs="Arial"/>
          <w:sz w:val="24"/>
          <w:szCs w:val="24"/>
        </w:rPr>
        <w:t xml:space="preserve">+, Authentic Tea House, and </w:t>
      </w:r>
      <w:r w:rsidR="00871720" w:rsidRPr="00F2383F">
        <w:rPr>
          <w:rFonts w:ascii="Arial" w:hAnsi="Arial" w:cs="Arial"/>
          <w:sz w:val="24"/>
          <w:szCs w:val="24"/>
        </w:rPr>
        <w:t>customized</w:t>
      </w:r>
      <w:r w:rsidR="00442CB0" w:rsidRPr="00F2383F">
        <w:rPr>
          <w:rFonts w:ascii="Arial" w:hAnsi="Arial" w:cs="Arial"/>
          <w:sz w:val="24"/>
          <w:szCs w:val="24"/>
        </w:rPr>
        <w:t xml:space="preserve"> variants, rising competition from local brands (e.g., Genki Forest) illustrates that deeper </w:t>
      </w:r>
      <w:r w:rsidR="00871720" w:rsidRPr="00F2383F">
        <w:rPr>
          <w:rFonts w:ascii="Arial" w:hAnsi="Arial" w:cs="Arial"/>
          <w:sz w:val="24"/>
          <w:szCs w:val="24"/>
        </w:rPr>
        <w:t>localization</w:t>
      </w:r>
      <w:r w:rsidR="00442CB0" w:rsidRPr="00F2383F">
        <w:rPr>
          <w:rFonts w:ascii="Arial" w:hAnsi="Arial" w:cs="Arial"/>
          <w:sz w:val="24"/>
          <w:szCs w:val="24"/>
        </w:rPr>
        <w:t xml:space="preserve"> is required. From the OLI perspective:</w:t>
      </w:r>
    </w:p>
    <w:p w14:paraId="509D3341" w14:textId="77777777" w:rsidR="00442CB0" w:rsidRPr="008132F3" w:rsidRDefault="00442CB0" w:rsidP="008132F3">
      <w:pPr>
        <w:spacing w:line="360" w:lineRule="auto"/>
        <w:ind w:left="360"/>
        <w:jc w:val="both"/>
        <w:rPr>
          <w:rFonts w:ascii="Arial" w:hAnsi="Arial" w:cs="Arial"/>
          <w:sz w:val="24"/>
          <w:szCs w:val="24"/>
        </w:rPr>
      </w:pPr>
      <w:r w:rsidRPr="008132F3">
        <w:rPr>
          <w:rFonts w:ascii="Arial" w:hAnsi="Arial" w:cs="Arial"/>
          <w:bCs/>
          <w:sz w:val="24"/>
          <w:szCs w:val="24"/>
          <w:u w:val="single"/>
        </w:rPr>
        <w:lastRenderedPageBreak/>
        <w:t>Ownership Advantages (O):</w:t>
      </w:r>
      <w:r w:rsidRPr="008132F3">
        <w:rPr>
          <w:rFonts w:ascii="Arial" w:hAnsi="Arial" w:cs="Arial"/>
          <w:sz w:val="24"/>
          <w:szCs w:val="24"/>
        </w:rPr>
        <w:t xml:space="preserve"> Coca-Cola’s global R&amp;D capabilities must be adapted to local health trends.</w:t>
      </w:r>
    </w:p>
    <w:p w14:paraId="39C4263F" w14:textId="77777777" w:rsidR="00442CB0" w:rsidRPr="008132F3" w:rsidRDefault="00442CB0" w:rsidP="008132F3">
      <w:pPr>
        <w:spacing w:line="360" w:lineRule="auto"/>
        <w:ind w:left="360"/>
        <w:jc w:val="both"/>
        <w:rPr>
          <w:rFonts w:ascii="Arial" w:hAnsi="Arial" w:cs="Arial"/>
          <w:sz w:val="24"/>
          <w:szCs w:val="24"/>
        </w:rPr>
      </w:pPr>
      <w:r w:rsidRPr="008132F3">
        <w:rPr>
          <w:rFonts w:ascii="Arial" w:hAnsi="Arial" w:cs="Arial"/>
          <w:bCs/>
          <w:sz w:val="24"/>
          <w:szCs w:val="24"/>
          <w:u w:val="single"/>
        </w:rPr>
        <w:t>Location Advantages (L):</w:t>
      </w:r>
      <w:r w:rsidRPr="008132F3">
        <w:rPr>
          <w:rFonts w:ascii="Arial" w:hAnsi="Arial" w:cs="Arial"/>
          <w:sz w:val="24"/>
          <w:szCs w:val="24"/>
        </w:rPr>
        <w:t xml:space="preserve"> China’s demand for functional, low-sugar, and tea-based drinks is rapidly growing.</w:t>
      </w:r>
    </w:p>
    <w:p w14:paraId="34FC0C5D" w14:textId="77777777" w:rsidR="00442CB0" w:rsidRPr="008132F3" w:rsidRDefault="00871720" w:rsidP="008132F3">
      <w:pPr>
        <w:spacing w:line="360" w:lineRule="auto"/>
        <w:ind w:left="360"/>
        <w:jc w:val="both"/>
        <w:rPr>
          <w:rFonts w:ascii="Arial" w:hAnsi="Arial" w:cs="Arial"/>
          <w:sz w:val="24"/>
          <w:szCs w:val="24"/>
        </w:rPr>
      </w:pPr>
      <w:r w:rsidRPr="008132F3">
        <w:rPr>
          <w:rFonts w:ascii="Arial" w:hAnsi="Arial" w:cs="Arial"/>
          <w:bCs/>
          <w:sz w:val="24"/>
          <w:szCs w:val="24"/>
          <w:u w:val="single"/>
        </w:rPr>
        <w:t>Internalization</w:t>
      </w:r>
      <w:r w:rsidR="00442CB0" w:rsidRPr="008132F3">
        <w:rPr>
          <w:rFonts w:ascii="Arial" w:hAnsi="Arial" w:cs="Arial"/>
          <w:bCs/>
          <w:sz w:val="24"/>
          <w:szCs w:val="24"/>
          <w:u w:val="single"/>
        </w:rPr>
        <w:t xml:space="preserve"> Advantages (I):</w:t>
      </w:r>
      <w:r w:rsidR="00442CB0" w:rsidRPr="008132F3">
        <w:rPr>
          <w:rFonts w:ascii="Arial" w:hAnsi="Arial" w:cs="Arial"/>
          <w:sz w:val="24"/>
          <w:szCs w:val="24"/>
        </w:rPr>
        <w:t xml:space="preserve"> Innovation must remain </w:t>
      </w:r>
      <w:r w:rsidRPr="008132F3">
        <w:rPr>
          <w:rFonts w:ascii="Arial" w:hAnsi="Arial" w:cs="Arial"/>
          <w:sz w:val="24"/>
          <w:szCs w:val="24"/>
        </w:rPr>
        <w:t>internalized</w:t>
      </w:r>
      <w:r w:rsidR="00442CB0" w:rsidRPr="008132F3">
        <w:rPr>
          <w:rFonts w:ascii="Arial" w:hAnsi="Arial" w:cs="Arial"/>
          <w:sz w:val="24"/>
          <w:szCs w:val="24"/>
        </w:rPr>
        <w:t xml:space="preserve"> to protect IP and ensure consistency, but local teams should lead formulation.</w:t>
      </w:r>
    </w:p>
    <w:p w14:paraId="44731E95"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Recommended SOP Adjustments</w:t>
      </w:r>
    </w:p>
    <w:p w14:paraId="0F6908F5" w14:textId="77777777" w:rsidR="00442CB0" w:rsidRPr="008132F3" w:rsidRDefault="00442CB0" w:rsidP="00D928A1">
      <w:pPr>
        <w:spacing w:line="360" w:lineRule="auto"/>
        <w:jc w:val="both"/>
        <w:rPr>
          <w:rFonts w:ascii="Arial" w:hAnsi="Arial" w:cs="Arial"/>
          <w:b/>
          <w:bCs/>
          <w:sz w:val="24"/>
          <w:szCs w:val="24"/>
        </w:rPr>
      </w:pPr>
      <w:r w:rsidRPr="00D928A1">
        <w:rPr>
          <w:rFonts w:ascii="Arial" w:hAnsi="Arial" w:cs="Arial"/>
          <w:bCs/>
          <w:sz w:val="24"/>
          <w:szCs w:val="24"/>
          <w:u w:val="single"/>
        </w:rPr>
        <w:t>Establish a China-Dedicated He</w:t>
      </w:r>
      <w:r w:rsidR="008132F3" w:rsidRPr="00D928A1">
        <w:rPr>
          <w:rFonts w:ascii="Arial" w:hAnsi="Arial" w:cs="Arial"/>
          <w:bCs/>
          <w:sz w:val="24"/>
          <w:szCs w:val="24"/>
          <w:u w:val="single"/>
        </w:rPr>
        <w:t>alth &amp; Innovation SOP Framework</w:t>
      </w:r>
      <w:r w:rsidR="00D928A1">
        <w:rPr>
          <w:rFonts w:ascii="Arial" w:hAnsi="Arial" w:cs="Arial"/>
          <w:bCs/>
          <w:sz w:val="24"/>
          <w:szCs w:val="24"/>
          <w:u w:val="single"/>
        </w:rPr>
        <w:t xml:space="preserve">: </w:t>
      </w:r>
      <w:r w:rsidRPr="00F2383F">
        <w:rPr>
          <w:rFonts w:ascii="Arial" w:hAnsi="Arial" w:cs="Arial"/>
          <w:sz w:val="24"/>
          <w:szCs w:val="24"/>
        </w:rPr>
        <w:t xml:space="preserve">A </w:t>
      </w:r>
      <w:r w:rsidR="00F96D84">
        <w:rPr>
          <w:rFonts w:ascii="Arial" w:hAnsi="Arial" w:cs="Arial"/>
          <w:sz w:val="24"/>
          <w:szCs w:val="24"/>
        </w:rPr>
        <w:t>basic SOP must</w:t>
      </w:r>
      <w:r w:rsidRPr="00F2383F">
        <w:rPr>
          <w:rFonts w:ascii="Arial" w:hAnsi="Arial" w:cs="Arial"/>
          <w:sz w:val="24"/>
          <w:szCs w:val="24"/>
        </w:rPr>
        <w:t xml:space="preserve"> </w:t>
      </w:r>
      <w:r w:rsidR="00A47542" w:rsidRPr="00F2383F">
        <w:rPr>
          <w:rFonts w:ascii="Arial" w:hAnsi="Arial" w:cs="Arial"/>
          <w:sz w:val="24"/>
          <w:szCs w:val="24"/>
        </w:rPr>
        <w:t>institutionalize</w:t>
      </w:r>
      <w:r w:rsidRPr="00F2383F">
        <w:rPr>
          <w:rFonts w:ascii="Arial" w:hAnsi="Arial" w:cs="Arial"/>
          <w:sz w:val="24"/>
          <w:szCs w:val="24"/>
        </w:rPr>
        <w:t xml:space="preserve"> a </w:t>
      </w:r>
      <w:r w:rsidR="00F96D84">
        <w:rPr>
          <w:rFonts w:ascii="Arial" w:hAnsi="Arial" w:cs="Arial"/>
          <w:sz w:val="24"/>
          <w:szCs w:val="24"/>
        </w:rPr>
        <w:t xml:space="preserve">well-defined </w:t>
      </w:r>
      <w:r w:rsidR="008132F3">
        <w:rPr>
          <w:rFonts w:ascii="Arial" w:hAnsi="Arial" w:cs="Arial"/>
          <w:sz w:val="24"/>
          <w:szCs w:val="24"/>
        </w:rPr>
        <w:t>process whereby</w:t>
      </w:r>
      <w:r w:rsidR="008132F3">
        <w:rPr>
          <w:rFonts w:ascii="Arial" w:hAnsi="Arial" w:cs="Arial"/>
          <w:b/>
          <w:bCs/>
          <w:sz w:val="24"/>
          <w:szCs w:val="24"/>
        </w:rPr>
        <w:t xml:space="preserve"> </w:t>
      </w:r>
      <w:r w:rsidRPr="00F2383F">
        <w:rPr>
          <w:rFonts w:ascii="Arial" w:hAnsi="Arial" w:cs="Arial"/>
          <w:sz w:val="24"/>
          <w:szCs w:val="24"/>
        </w:rPr>
        <w:t>Chinese R&amp;D teams lead ideation and sensory research.</w:t>
      </w:r>
      <w:r w:rsidR="008132F3">
        <w:rPr>
          <w:rFonts w:ascii="Arial" w:hAnsi="Arial" w:cs="Arial"/>
          <w:b/>
          <w:bCs/>
          <w:sz w:val="24"/>
          <w:szCs w:val="24"/>
        </w:rPr>
        <w:t xml:space="preserve"> </w:t>
      </w:r>
      <w:r w:rsidRPr="00F2383F">
        <w:rPr>
          <w:rFonts w:ascii="Arial" w:hAnsi="Arial" w:cs="Arial"/>
          <w:sz w:val="24"/>
          <w:szCs w:val="24"/>
        </w:rPr>
        <w:t xml:space="preserve">Beijing and Shanghai consumer </w:t>
      </w:r>
      <w:r w:rsidR="00A47542" w:rsidRPr="00F2383F">
        <w:rPr>
          <w:rFonts w:ascii="Arial" w:hAnsi="Arial" w:cs="Arial"/>
          <w:sz w:val="24"/>
          <w:szCs w:val="24"/>
        </w:rPr>
        <w:t>behavior</w:t>
      </w:r>
      <w:r w:rsidRPr="00F2383F">
        <w:rPr>
          <w:rFonts w:ascii="Arial" w:hAnsi="Arial" w:cs="Arial"/>
          <w:sz w:val="24"/>
          <w:szCs w:val="24"/>
        </w:rPr>
        <w:t xml:space="preserve"> analytics drive formulation </w:t>
      </w:r>
      <w:r w:rsidR="00D928A1" w:rsidRPr="00F2383F">
        <w:rPr>
          <w:rFonts w:ascii="Arial" w:hAnsi="Arial" w:cs="Arial"/>
          <w:sz w:val="24"/>
          <w:szCs w:val="24"/>
        </w:rPr>
        <w:t>decisions. Global</w:t>
      </w:r>
      <w:r w:rsidRPr="00F2383F">
        <w:rPr>
          <w:rFonts w:ascii="Arial" w:hAnsi="Arial" w:cs="Arial"/>
          <w:sz w:val="24"/>
          <w:szCs w:val="24"/>
        </w:rPr>
        <w:t xml:space="preserve"> R&amp;D in Atlanta supports technological validation and scalability.</w:t>
      </w:r>
    </w:p>
    <w:p w14:paraId="4B8955C7" w14:textId="77777777" w:rsidR="00442CB0" w:rsidRPr="00D928A1" w:rsidRDefault="00442CB0" w:rsidP="00D928A1">
      <w:pPr>
        <w:spacing w:line="360" w:lineRule="auto"/>
        <w:jc w:val="both"/>
        <w:rPr>
          <w:rFonts w:ascii="Arial" w:hAnsi="Arial" w:cs="Arial"/>
          <w:b/>
          <w:bCs/>
          <w:sz w:val="24"/>
          <w:szCs w:val="24"/>
        </w:rPr>
      </w:pPr>
      <w:r w:rsidRPr="00D928A1">
        <w:rPr>
          <w:rFonts w:ascii="Arial" w:hAnsi="Arial" w:cs="Arial"/>
          <w:bCs/>
          <w:sz w:val="24"/>
          <w:szCs w:val="24"/>
          <w:u w:val="single"/>
        </w:rPr>
        <w:t>Implem</w:t>
      </w:r>
      <w:r w:rsidR="008132F3" w:rsidRPr="00D928A1">
        <w:rPr>
          <w:rFonts w:ascii="Arial" w:hAnsi="Arial" w:cs="Arial"/>
          <w:bCs/>
          <w:sz w:val="24"/>
          <w:szCs w:val="24"/>
          <w:u w:val="single"/>
        </w:rPr>
        <w:t>ent a Local Rapid-Testing Cycle</w:t>
      </w:r>
      <w:r w:rsidR="00D928A1">
        <w:rPr>
          <w:rFonts w:ascii="Arial" w:hAnsi="Arial" w:cs="Arial"/>
          <w:bCs/>
          <w:sz w:val="24"/>
          <w:szCs w:val="24"/>
          <w:u w:val="single"/>
        </w:rPr>
        <w:t xml:space="preserve">: </w:t>
      </w:r>
      <w:r w:rsidR="00F96D84" w:rsidRPr="00F96D84">
        <w:rPr>
          <w:rFonts w:ascii="Arial" w:hAnsi="Arial" w:cs="Arial"/>
          <w:sz w:val="24"/>
          <w:szCs w:val="24"/>
        </w:rPr>
        <w:t>Contrary to the western markets, the beverage trends in China change at an extremely high rate through the influence of social media. A SOP of the iterative prototyping should entail</w:t>
      </w:r>
      <w:r w:rsidR="00D928A1">
        <w:rPr>
          <w:rFonts w:ascii="Arial" w:hAnsi="Arial" w:cs="Arial"/>
          <w:sz w:val="24"/>
          <w:szCs w:val="24"/>
        </w:rPr>
        <w:t xml:space="preserve">, </w:t>
      </w:r>
      <w:r w:rsidRPr="00F2383F">
        <w:rPr>
          <w:rFonts w:ascii="Arial" w:hAnsi="Arial" w:cs="Arial"/>
          <w:sz w:val="24"/>
          <w:szCs w:val="24"/>
        </w:rPr>
        <w:t>Small-batch testing through Tmall and JD.com.</w:t>
      </w:r>
      <w:r w:rsidR="00D928A1">
        <w:rPr>
          <w:rFonts w:ascii="Arial" w:hAnsi="Arial" w:cs="Arial"/>
          <w:b/>
          <w:bCs/>
          <w:sz w:val="24"/>
          <w:szCs w:val="24"/>
        </w:rPr>
        <w:t xml:space="preserve"> </w:t>
      </w:r>
      <w:r w:rsidRPr="00F2383F">
        <w:rPr>
          <w:rFonts w:ascii="Arial" w:hAnsi="Arial" w:cs="Arial"/>
          <w:sz w:val="24"/>
          <w:szCs w:val="24"/>
        </w:rPr>
        <w:t>72-hour social listening cycles via WeChat and Douyin.</w:t>
      </w:r>
      <w:r w:rsidR="00D928A1">
        <w:rPr>
          <w:rFonts w:ascii="Arial" w:hAnsi="Arial" w:cs="Arial"/>
          <w:b/>
          <w:bCs/>
          <w:sz w:val="24"/>
          <w:szCs w:val="24"/>
        </w:rPr>
        <w:t xml:space="preserve"> </w:t>
      </w:r>
      <w:r w:rsidRPr="00F2383F">
        <w:rPr>
          <w:rFonts w:ascii="Arial" w:hAnsi="Arial" w:cs="Arial"/>
          <w:sz w:val="24"/>
          <w:szCs w:val="24"/>
        </w:rPr>
        <w:t>Rapid modification based on digital consumer sentiment (McKinsey, 2024).</w:t>
      </w:r>
    </w:p>
    <w:p w14:paraId="6EAC84AA" w14:textId="77777777" w:rsidR="00442CB0" w:rsidRPr="00D928A1" w:rsidRDefault="00442CB0" w:rsidP="00D928A1">
      <w:pPr>
        <w:spacing w:line="360" w:lineRule="auto"/>
        <w:jc w:val="both"/>
        <w:rPr>
          <w:rFonts w:ascii="Arial" w:hAnsi="Arial" w:cs="Arial"/>
          <w:b/>
          <w:bCs/>
          <w:sz w:val="24"/>
          <w:szCs w:val="24"/>
        </w:rPr>
      </w:pPr>
      <w:r w:rsidRPr="00D928A1">
        <w:rPr>
          <w:rFonts w:ascii="Arial" w:hAnsi="Arial" w:cs="Arial"/>
          <w:bCs/>
          <w:sz w:val="24"/>
          <w:szCs w:val="24"/>
          <w:u w:val="single"/>
        </w:rPr>
        <w:t>Increase Tea-Based and</w:t>
      </w:r>
      <w:r w:rsidR="00D928A1" w:rsidRPr="00D928A1">
        <w:rPr>
          <w:rFonts w:ascii="Arial" w:hAnsi="Arial" w:cs="Arial"/>
          <w:bCs/>
          <w:sz w:val="24"/>
          <w:szCs w:val="24"/>
          <w:u w:val="single"/>
        </w:rPr>
        <w:t xml:space="preserve"> Functional Beverage Production:</w:t>
      </w:r>
      <w:r w:rsidR="00D928A1">
        <w:rPr>
          <w:rFonts w:ascii="Arial" w:hAnsi="Arial" w:cs="Arial"/>
          <w:b/>
          <w:bCs/>
          <w:sz w:val="24"/>
          <w:szCs w:val="24"/>
        </w:rPr>
        <w:t xml:space="preserve"> </w:t>
      </w:r>
      <w:r w:rsidR="00F96D84">
        <w:rPr>
          <w:rFonts w:ascii="Arial" w:hAnsi="Arial" w:cs="Arial"/>
          <w:sz w:val="24"/>
          <w:szCs w:val="24"/>
        </w:rPr>
        <w:t>Considering</w:t>
      </w:r>
      <w:r w:rsidRPr="00F2383F">
        <w:rPr>
          <w:rFonts w:ascii="Arial" w:hAnsi="Arial" w:cs="Arial"/>
          <w:sz w:val="24"/>
          <w:szCs w:val="24"/>
        </w:rPr>
        <w:t xml:space="preserve"> cultural </w:t>
      </w:r>
      <w:r w:rsidR="00F96D84" w:rsidRPr="00F2383F">
        <w:rPr>
          <w:rFonts w:ascii="Arial" w:hAnsi="Arial" w:cs="Arial"/>
          <w:sz w:val="24"/>
          <w:szCs w:val="24"/>
        </w:rPr>
        <w:t>inclinations</w:t>
      </w:r>
      <w:r w:rsidRPr="00F2383F">
        <w:rPr>
          <w:rFonts w:ascii="Arial" w:hAnsi="Arial" w:cs="Arial"/>
          <w:sz w:val="24"/>
          <w:szCs w:val="24"/>
        </w:rPr>
        <w:t xml:space="preserve"> for </w:t>
      </w:r>
      <w:r w:rsidR="00F96D84" w:rsidRPr="00F2383F">
        <w:rPr>
          <w:rFonts w:ascii="Arial" w:hAnsi="Arial" w:cs="Arial"/>
          <w:sz w:val="24"/>
          <w:szCs w:val="24"/>
        </w:rPr>
        <w:t>outdated</w:t>
      </w:r>
      <w:r w:rsidRPr="00F2383F">
        <w:rPr>
          <w:rFonts w:ascii="Arial" w:hAnsi="Arial" w:cs="Arial"/>
          <w:sz w:val="24"/>
          <w:szCs w:val="24"/>
        </w:rPr>
        <w:t xml:space="preserve"> </w:t>
      </w:r>
      <w:r w:rsidR="00A47542" w:rsidRPr="00F2383F">
        <w:rPr>
          <w:rFonts w:ascii="Arial" w:hAnsi="Arial" w:cs="Arial"/>
          <w:sz w:val="24"/>
          <w:szCs w:val="24"/>
        </w:rPr>
        <w:t>flavors</w:t>
      </w:r>
      <w:r w:rsidRPr="00F2383F">
        <w:rPr>
          <w:rFonts w:ascii="Arial" w:hAnsi="Arial" w:cs="Arial"/>
          <w:sz w:val="24"/>
          <w:szCs w:val="24"/>
        </w:rPr>
        <w:t xml:space="preserve">, the SOP should </w:t>
      </w:r>
      <w:r w:rsidR="00F96D84">
        <w:rPr>
          <w:rFonts w:ascii="Arial" w:hAnsi="Arial" w:cs="Arial"/>
          <w:sz w:val="24"/>
          <w:szCs w:val="24"/>
        </w:rPr>
        <w:t>be designed as</w:t>
      </w:r>
      <w:r w:rsidR="00D928A1">
        <w:rPr>
          <w:rFonts w:ascii="Arial" w:hAnsi="Arial" w:cs="Arial"/>
          <w:sz w:val="24"/>
          <w:szCs w:val="24"/>
        </w:rPr>
        <w:t>, e</w:t>
      </w:r>
      <w:r w:rsidRPr="00F2383F">
        <w:rPr>
          <w:rFonts w:ascii="Arial" w:hAnsi="Arial" w:cs="Arial"/>
          <w:sz w:val="24"/>
          <w:szCs w:val="24"/>
        </w:rPr>
        <w:t>xpanding Chinese tea-based product lines (oolong, jasmine, herbal).</w:t>
      </w:r>
      <w:r w:rsidR="00D928A1">
        <w:rPr>
          <w:rFonts w:ascii="Arial" w:hAnsi="Arial" w:cs="Arial"/>
          <w:b/>
          <w:bCs/>
          <w:sz w:val="24"/>
          <w:szCs w:val="24"/>
        </w:rPr>
        <w:t xml:space="preserve"> </w:t>
      </w:r>
      <w:r w:rsidRPr="00F2383F">
        <w:rPr>
          <w:rFonts w:ascii="Arial" w:hAnsi="Arial" w:cs="Arial"/>
          <w:sz w:val="24"/>
          <w:szCs w:val="24"/>
        </w:rPr>
        <w:t xml:space="preserve">Maintaining strict quality SOPs compliant with China’s National Health </w:t>
      </w:r>
      <w:r w:rsidR="008E2A9D" w:rsidRPr="00F2383F">
        <w:rPr>
          <w:rFonts w:ascii="Arial" w:hAnsi="Arial" w:cs="Arial"/>
          <w:sz w:val="24"/>
          <w:szCs w:val="24"/>
        </w:rPr>
        <w:t>Directive</w:t>
      </w:r>
      <w:r w:rsidRPr="00F2383F">
        <w:rPr>
          <w:rFonts w:ascii="Arial" w:hAnsi="Arial" w:cs="Arial"/>
          <w:sz w:val="24"/>
          <w:szCs w:val="24"/>
        </w:rPr>
        <w:t>.</w:t>
      </w:r>
      <w:r w:rsidR="00D928A1">
        <w:rPr>
          <w:rFonts w:ascii="Arial" w:hAnsi="Arial" w:cs="Arial"/>
          <w:b/>
          <w:bCs/>
          <w:sz w:val="24"/>
          <w:szCs w:val="24"/>
        </w:rPr>
        <w:t xml:space="preserve"> </w:t>
      </w:r>
      <w:r w:rsidR="008E2A9D" w:rsidRPr="008E2A9D">
        <w:rPr>
          <w:rFonts w:ascii="Arial" w:hAnsi="Arial" w:cs="Arial"/>
          <w:sz w:val="24"/>
          <w:szCs w:val="24"/>
        </w:rPr>
        <w:t>Conducting simultaneous compliance checks on health before each product rele</w:t>
      </w:r>
      <w:r w:rsidR="008E2A9D">
        <w:rPr>
          <w:rFonts w:ascii="Arial" w:hAnsi="Arial" w:cs="Arial"/>
          <w:sz w:val="24"/>
          <w:szCs w:val="24"/>
        </w:rPr>
        <w:t>ase</w:t>
      </w:r>
      <w:r w:rsidRPr="00F2383F">
        <w:rPr>
          <w:rFonts w:ascii="Arial" w:hAnsi="Arial" w:cs="Arial"/>
          <w:sz w:val="24"/>
          <w:szCs w:val="24"/>
        </w:rPr>
        <w:t>.</w:t>
      </w:r>
    </w:p>
    <w:p w14:paraId="6B6A51A3" w14:textId="77777777" w:rsidR="00442CB0" w:rsidRPr="00D928A1" w:rsidRDefault="00D928A1" w:rsidP="00D928A1">
      <w:pPr>
        <w:spacing w:line="360" w:lineRule="auto"/>
        <w:jc w:val="both"/>
        <w:rPr>
          <w:rFonts w:ascii="Arial" w:hAnsi="Arial" w:cs="Arial"/>
          <w:b/>
          <w:bCs/>
          <w:sz w:val="24"/>
          <w:szCs w:val="24"/>
        </w:rPr>
      </w:pPr>
      <w:r w:rsidRPr="00D928A1">
        <w:rPr>
          <w:rFonts w:ascii="Arial" w:hAnsi="Arial" w:cs="Arial"/>
          <w:bCs/>
          <w:sz w:val="24"/>
          <w:szCs w:val="24"/>
          <w:u w:val="single"/>
        </w:rPr>
        <w:t>Strategic Justification:</w:t>
      </w:r>
      <w:r>
        <w:rPr>
          <w:rFonts w:ascii="Arial" w:hAnsi="Arial" w:cs="Arial"/>
          <w:b/>
          <w:bCs/>
          <w:sz w:val="24"/>
          <w:szCs w:val="24"/>
        </w:rPr>
        <w:t xml:space="preserve"> </w:t>
      </w:r>
      <w:r w:rsidR="00D4556A" w:rsidRPr="00D4556A">
        <w:rPr>
          <w:rFonts w:ascii="Arial" w:hAnsi="Arial" w:cs="Arial"/>
          <w:sz w:val="24"/>
          <w:szCs w:val="24"/>
        </w:rPr>
        <w:t xml:space="preserve">The localized and </w:t>
      </w:r>
      <w:proofErr w:type="gramStart"/>
      <w:r w:rsidR="00D4556A" w:rsidRPr="00D4556A">
        <w:rPr>
          <w:rFonts w:ascii="Arial" w:hAnsi="Arial" w:cs="Arial"/>
          <w:sz w:val="24"/>
          <w:szCs w:val="24"/>
        </w:rPr>
        <w:t>health conscious</w:t>
      </w:r>
      <w:proofErr w:type="gramEnd"/>
      <w:r w:rsidR="00D4556A" w:rsidRPr="00D4556A">
        <w:rPr>
          <w:rFonts w:ascii="Arial" w:hAnsi="Arial" w:cs="Arial"/>
          <w:sz w:val="24"/>
          <w:szCs w:val="24"/>
        </w:rPr>
        <w:t xml:space="preserve"> SOP of Coca-Cola benefits internalization, suits the Chinese to like their local brand, and boosts competitive power a</w:t>
      </w:r>
      <w:r w:rsidR="00D4556A">
        <w:rPr>
          <w:rFonts w:ascii="Arial" w:hAnsi="Arial" w:cs="Arial"/>
          <w:sz w:val="24"/>
          <w:szCs w:val="24"/>
        </w:rPr>
        <w:t>gainst their agile, local brand</w:t>
      </w:r>
      <w:r w:rsidR="008E2A9D" w:rsidRPr="008E2A9D">
        <w:rPr>
          <w:rFonts w:ascii="Arial" w:hAnsi="Arial" w:cs="Arial"/>
          <w:sz w:val="24"/>
          <w:szCs w:val="24"/>
        </w:rPr>
        <w:t>.</w:t>
      </w:r>
    </w:p>
    <w:p w14:paraId="68CAB8FF" w14:textId="77777777" w:rsidR="00442CB0" w:rsidRPr="00F2383F" w:rsidRDefault="00442CB0" w:rsidP="002C5E0D">
      <w:pPr>
        <w:pStyle w:val="Heading2"/>
      </w:pPr>
      <w:bookmarkStart w:id="22" w:name="_Toc216539907"/>
      <w:r w:rsidRPr="00F2383F">
        <w:lastRenderedPageBreak/>
        <w:t>5.2 SOP Adjustment 2: Strengthened Digital Engagement, Data Governance, and E-Commerce Integration</w:t>
      </w:r>
      <w:bookmarkEnd w:id="22"/>
    </w:p>
    <w:p w14:paraId="4428064C" w14:textId="77777777" w:rsidR="008E2A9D" w:rsidRPr="00D928A1" w:rsidRDefault="00442CB0" w:rsidP="00D928A1">
      <w:pPr>
        <w:spacing w:line="360" w:lineRule="auto"/>
        <w:jc w:val="both"/>
        <w:rPr>
          <w:rFonts w:ascii="Arial" w:hAnsi="Arial" w:cs="Arial"/>
          <w:bCs/>
          <w:sz w:val="24"/>
          <w:szCs w:val="24"/>
          <w:u w:val="single"/>
        </w:rPr>
      </w:pPr>
      <w:r w:rsidRPr="00D928A1">
        <w:rPr>
          <w:rFonts w:ascii="Arial" w:hAnsi="Arial" w:cs="Arial"/>
          <w:bCs/>
          <w:sz w:val="24"/>
          <w:szCs w:val="24"/>
          <w:u w:val="single"/>
        </w:rPr>
        <w:t>Rationale</w:t>
      </w:r>
      <w:r w:rsidR="00D928A1">
        <w:rPr>
          <w:rFonts w:ascii="Arial" w:hAnsi="Arial" w:cs="Arial"/>
          <w:bCs/>
          <w:sz w:val="24"/>
          <w:szCs w:val="24"/>
          <w:u w:val="single"/>
        </w:rPr>
        <w:t xml:space="preserve">: </w:t>
      </w:r>
      <w:r w:rsidR="008E2A9D" w:rsidRPr="008E2A9D">
        <w:rPr>
          <w:rFonts w:ascii="Arial" w:hAnsi="Arial" w:cs="Arial"/>
          <w:sz w:val="24"/>
          <w:szCs w:val="24"/>
        </w:rPr>
        <w:t xml:space="preserve">The digital ecosystem of </w:t>
      </w:r>
      <w:proofErr w:type="spellStart"/>
      <w:r w:rsidR="008E2A9D" w:rsidRPr="008E2A9D">
        <w:rPr>
          <w:rFonts w:ascii="Arial" w:hAnsi="Arial" w:cs="Arial"/>
          <w:sz w:val="24"/>
          <w:szCs w:val="24"/>
        </w:rPr>
        <w:t>china</w:t>
      </w:r>
      <w:proofErr w:type="spellEnd"/>
      <w:r w:rsidR="008E2A9D" w:rsidRPr="008E2A9D">
        <w:rPr>
          <w:rFonts w:ascii="Arial" w:hAnsi="Arial" w:cs="Arial"/>
          <w:sz w:val="24"/>
          <w:szCs w:val="24"/>
        </w:rPr>
        <w:t xml:space="preserve"> is unmatched anywhere in the whole world. More than 90 percent of urban customers make mobile payments regularly, and more than one-third of retail spending at the national level is now being made online (McKinsey, 2024). The convenience, collectivism, and peer pressure cultures are intensified with the help of such platforms as WeChat, </w:t>
      </w:r>
      <w:proofErr w:type="spellStart"/>
      <w:r w:rsidR="008E2A9D" w:rsidRPr="008E2A9D">
        <w:rPr>
          <w:rFonts w:ascii="Arial" w:hAnsi="Arial" w:cs="Arial"/>
          <w:sz w:val="24"/>
          <w:szCs w:val="24"/>
        </w:rPr>
        <w:t>Meituan</w:t>
      </w:r>
      <w:proofErr w:type="spellEnd"/>
      <w:r w:rsidR="008E2A9D" w:rsidRPr="008E2A9D">
        <w:rPr>
          <w:rFonts w:ascii="Arial" w:hAnsi="Arial" w:cs="Arial"/>
          <w:sz w:val="24"/>
          <w:szCs w:val="24"/>
        </w:rPr>
        <w:t>, and Douyin.</w:t>
      </w:r>
    </w:p>
    <w:p w14:paraId="4E866E85" w14:textId="77777777" w:rsidR="008E2A9D" w:rsidRPr="008E2A9D" w:rsidRDefault="008E2A9D" w:rsidP="00B178B3">
      <w:pPr>
        <w:spacing w:line="360" w:lineRule="auto"/>
        <w:jc w:val="both"/>
        <w:rPr>
          <w:rFonts w:ascii="Arial" w:hAnsi="Arial" w:cs="Arial"/>
          <w:sz w:val="24"/>
          <w:szCs w:val="24"/>
        </w:rPr>
      </w:pPr>
      <w:r w:rsidRPr="008E2A9D">
        <w:rPr>
          <w:rFonts w:ascii="Arial" w:hAnsi="Arial" w:cs="Arial"/>
          <w:sz w:val="24"/>
          <w:szCs w:val="24"/>
        </w:rPr>
        <w:t>From an OLI perspective:</w:t>
      </w:r>
    </w:p>
    <w:p w14:paraId="164AC726" w14:textId="77777777" w:rsidR="008E2A9D" w:rsidRPr="008E2A9D" w:rsidRDefault="008E2A9D" w:rsidP="008E2A9D">
      <w:pPr>
        <w:numPr>
          <w:ilvl w:val="0"/>
          <w:numId w:val="23"/>
        </w:numPr>
        <w:spacing w:line="360" w:lineRule="auto"/>
        <w:jc w:val="both"/>
        <w:rPr>
          <w:rFonts w:ascii="Arial" w:hAnsi="Arial" w:cs="Arial"/>
          <w:sz w:val="24"/>
          <w:szCs w:val="24"/>
        </w:rPr>
      </w:pPr>
      <w:r w:rsidRPr="008E2A9D">
        <w:rPr>
          <w:rFonts w:ascii="Arial" w:hAnsi="Arial" w:cs="Arial"/>
          <w:sz w:val="24"/>
          <w:szCs w:val="24"/>
        </w:rPr>
        <w:tab/>
      </w:r>
      <w:r w:rsidRPr="00B178B3">
        <w:rPr>
          <w:rFonts w:ascii="Arial" w:hAnsi="Arial" w:cs="Arial"/>
          <w:b/>
          <w:sz w:val="24"/>
          <w:szCs w:val="24"/>
        </w:rPr>
        <w:t>Ownership Advantages (O):</w:t>
      </w:r>
      <w:r w:rsidRPr="008E2A9D">
        <w:rPr>
          <w:rFonts w:ascii="Arial" w:hAnsi="Arial" w:cs="Arial"/>
          <w:sz w:val="24"/>
          <w:szCs w:val="24"/>
        </w:rPr>
        <w:t xml:space="preserve"> The knowledge of digital marketing used by Coca-Cola should be localized to the specificities of China.</w:t>
      </w:r>
    </w:p>
    <w:p w14:paraId="4DC6C6AF" w14:textId="77777777" w:rsidR="008E2A9D" w:rsidRPr="008E2A9D" w:rsidRDefault="008E2A9D" w:rsidP="008E2A9D">
      <w:pPr>
        <w:numPr>
          <w:ilvl w:val="0"/>
          <w:numId w:val="23"/>
        </w:numPr>
        <w:spacing w:line="360" w:lineRule="auto"/>
        <w:jc w:val="both"/>
        <w:rPr>
          <w:rFonts w:ascii="Arial" w:hAnsi="Arial" w:cs="Arial"/>
          <w:sz w:val="24"/>
          <w:szCs w:val="24"/>
        </w:rPr>
      </w:pPr>
      <w:r w:rsidRPr="008E2A9D">
        <w:rPr>
          <w:rFonts w:ascii="Arial" w:hAnsi="Arial" w:cs="Arial"/>
          <w:sz w:val="24"/>
          <w:szCs w:val="24"/>
        </w:rPr>
        <w:tab/>
      </w:r>
      <w:r w:rsidRPr="00B178B3">
        <w:rPr>
          <w:rFonts w:ascii="Arial" w:hAnsi="Arial" w:cs="Arial"/>
          <w:b/>
          <w:sz w:val="24"/>
          <w:szCs w:val="24"/>
        </w:rPr>
        <w:t>Location Benefits (L):</w:t>
      </w:r>
      <w:r w:rsidRPr="008E2A9D">
        <w:rPr>
          <w:rFonts w:ascii="Arial" w:hAnsi="Arial" w:cs="Arial"/>
          <w:sz w:val="24"/>
          <w:szCs w:val="24"/>
        </w:rPr>
        <w:t xml:space="preserve"> The consumer behavior in China is very digitalized, which requires platform-integrated SOPs.</w:t>
      </w:r>
    </w:p>
    <w:p w14:paraId="5DC10528" w14:textId="77777777" w:rsidR="00442CB0" w:rsidRPr="00F2383F" w:rsidRDefault="008E2A9D" w:rsidP="008E2A9D">
      <w:pPr>
        <w:numPr>
          <w:ilvl w:val="0"/>
          <w:numId w:val="23"/>
        </w:numPr>
        <w:spacing w:line="360" w:lineRule="auto"/>
        <w:jc w:val="both"/>
        <w:rPr>
          <w:rFonts w:ascii="Arial" w:hAnsi="Arial" w:cs="Arial"/>
          <w:sz w:val="24"/>
          <w:szCs w:val="24"/>
        </w:rPr>
      </w:pPr>
      <w:r w:rsidRPr="00B178B3">
        <w:rPr>
          <w:rFonts w:ascii="Arial" w:hAnsi="Arial" w:cs="Arial"/>
          <w:b/>
          <w:sz w:val="24"/>
          <w:szCs w:val="24"/>
        </w:rPr>
        <w:t>Internalization Advantages (I):</w:t>
      </w:r>
      <w:r w:rsidRPr="008E2A9D">
        <w:rPr>
          <w:rFonts w:ascii="Arial" w:hAnsi="Arial" w:cs="Arial"/>
          <w:sz w:val="24"/>
          <w:szCs w:val="24"/>
        </w:rPr>
        <w:t xml:space="preserve"> Data will be kept inside because privacy laws are stringent in the provisions of the Personal Information</w:t>
      </w:r>
      <w:r>
        <w:rPr>
          <w:rFonts w:ascii="Arial" w:hAnsi="Arial" w:cs="Arial"/>
          <w:sz w:val="24"/>
          <w:szCs w:val="24"/>
        </w:rPr>
        <w:t xml:space="preserve"> Protection Law (PIPL) in China</w:t>
      </w:r>
      <w:r w:rsidR="00442CB0" w:rsidRPr="00F2383F">
        <w:rPr>
          <w:rFonts w:ascii="Arial" w:hAnsi="Arial" w:cs="Arial"/>
          <w:sz w:val="24"/>
          <w:szCs w:val="24"/>
        </w:rPr>
        <w:t>.</w:t>
      </w:r>
    </w:p>
    <w:p w14:paraId="50EFCAB6"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Recommended SOP Adjustments</w:t>
      </w:r>
    </w:p>
    <w:p w14:paraId="1A4099A3" w14:textId="77777777" w:rsidR="00442CB0" w:rsidRPr="00D928A1" w:rsidRDefault="00442CB0" w:rsidP="00D928A1">
      <w:pPr>
        <w:spacing w:line="360" w:lineRule="auto"/>
        <w:jc w:val="both"/>
        <w:rPr>
          <w:rFonts w:ascii="Arial" w:hAnsi="Arial" w:cs="Arial"/>
          <w:b/>
          <w:bCs/>
          <w:sz w:val="24"/>
          <w:szCs w:val="24"/>
        </w:rPr>
      </w:pPr>
      <w:r w:rsidRPr="00D928A1">
        <w:rPr>
          <w:rFonts w:ascii="Arial" w:hAnsi="Arial" w:cs="Arial"/>
          <w:bCs/>
          <w:sz w:val="24"/>
          <w:szCs w:val="24"/>
          <w:u w:val="single"/>
        </w:rPr>
        <w:t>Introduce a China</w:t>
      </w:r>
      <w:r w:rsidR="00D928A1" w:rsidRPr="00D928A1">
        <w:rPr>
          <w:rFonts w:ascii="Arial" w:hAnsi="Arial" w:cs="Arial"/>
          <w:bCs/>
          <w:sz w:val="24"/>
          <w:szCs w:val="24"/>
          <w:u w:val="single"/>
        </w:rPr>
        <w:t>-Specific Digital Marketing SOP:</w:t>
      </w:r>
      <w:r w:rsidR="00D928A1">
        <w:rPr>
          <w:rFonts w:ascii="Arial" w:hAnsi="Arial" w:cs="Arial"/>
          <w:b/>
          <w:bCs/>
          <w:sz w:val="24"/>
          <w:szCs w:val="24"/>
        </w:rPr>
        <w:t xml:space="preserve"> </w:t>
      </w:r>
      <w:r w:rsidR="00B178B3" w:rsidRPr="00B178B3">
        <w:rPr>
          <w:rFonts w:ascii="Arial" w:hAnsi="Arial" w:cs="Arial"/>
          <w:sz w:val="24"/>
          <w:szCs w:val="24"/>
        </w:rPr>
        <w:t xml:space="preserve">This SOP must regulate the utilization of platforms, tone of voice, symbolism, and the rate of posting. Key components </w:t>
      </w:r>
      <w:r w:rsidR="00D928A1" w:rsidRPr="00B178B3">
        <w:rPr>
          <w:rFonts w:ascii="Arial" w:hAnsi="Arial" w:cs="Arial"/>
          <w:sz w:val="24"/>
          <w:szCs w:val="24"/>
        </w:rPr>
        <w:t>include</w:t>
      </w:r>
      <w:r w:rsidR="00D928A1" w:rsidRPr="00F2383F">
        <w:rPr>
          <w:rFonts w:ascii="Arial" w:hAnsi="Arial" w:cs="Arial"/>
          <w:sz w:val="24"/>
          <w:szCs w:val="24"/>
        </w:rPr>
        <w:t>: Embedding</w:t>
      </w:r>
      <w:r w:rsidRPr="00F2383F">
        <w:rPr>
          <w:rFonts w:ascii="Arial" w:hAnsi="Arial" w:cs="Arial"/>
          <w:sz w:val="24"/>
          <w:szCs w:val="24"/>
        </w:rPr>
        <w:t xml:space="preserve"> collectivist messaging (family, tradition, harmony).</w:t>
      </w:r>
      <w:r w:rsidR="00D928A1">
        <w:rPr>
          <w:rFonts w:ascii="Arial" w:hAnsi="Arial" w:cs="Arial"/>
          <w:b/>
          <w:bCs/>
          <w:sz w:val="24"/>
          <w:szCs w:val="24"/>
        </w:rPr>
        <w:t xml:space="preserve"> </w:t>
      </w:r>
      <w:r w:rsidRPr="00F2383F">
        <w:rPr>
          <w:rFonts w:ascii="Arial" w:hAnsi="Arial" w:cs="Arial"/>
          <w:sz w:val="24"/>
          <w:szCs w:val="24"/>
        </w:rPr>
        <w:t>Leveraging festival seasons (Chinese New Year, Mid-Autumn Festival).</w:t>
      </w:r>
      <w:r w:rsidR="00D928A1">
        <w:rPr>
          <w:rFonts w:ascii="Arial" w:hAnsi="Arial" w:cs="Arial"/>
          <w:b/>
          <w:bCs/>
          <w:sz w:val="24"/>
          <w:szCs w:val="24"/>
        </w:rPr>
        <w:t xml:space="preserve"> </w:t>
      </w:r>
      <w:r w:rsidRPr="00F2383F">
        <w:rPr>
          <w:rFonts w:ascii="Arial" w:hAnsi="Arial" w:cs="Arial"/>
          <w:sz w:val="24"/>
          <w:szCs w:val="24"/>
        </w:rPr>
        <w:t>Approving culturally sensitive content via mandatory internal cultural checks.</w:t>
      </w:r>
    </w:p>
    <w:p w14:paraId="3B52BCCF" w14:textId="77777777" w:rsidR="00442CB0" w:rsidRPr="00D928A1" w:rsidRDefault="00B178B3" w:rsidP="00D928A1">
      <w:pPr>
        <w:spacing w:line="360" w:lineRule="auto"/>
        <w:jc w:val="both"/>
        <w:rPr>
          <w:rFonts w:ascii="Arial" w:hAnsi="Arial" w:cs="Arial"/>
          <w:bCs/>
          <w:sz w:val="24"/>
          <w:szCs w:val="24"/>
          <w:u w:val="single"/>
        </w:rPr>
      </w:pPr>
      <w:r w:rsidRPr="00D928A1">
        <w:rPr>
          <w:rFonts w:ascii="Arial" w:hAnsi="Arial" w:cs="Arial"/>
          <w:bCs/>
          <w:sz w:val="24"/>
          <w:szCs w:val="24"/>
          <w:u w:val="single"/>
        </w:rPr>
        <w:t>Exploit Alliances with key di</w:t>
      </w:r>
      <w:r w:rsidR="00D928A1">
        <w:rPr>
          <w:rFonts w:ascii="Arial" w:hAnsi="Arial" w:cs="Arial"/>
          <w:bCs/>
          <w:sz w:val="24"/>
          <w:szCs w:val="24"/>
          <w:u w:val="single"/>
        </w:rPr>
        <w:t xml:space="preserve">gital ecosystem players: </w:t>
      </w:r>
      <w:r w:rsidRPr="00B178B3">
        <w:rPr>
          <w:rFonts w:ascii="Arial" w:hAnsi="Arial" w:cs="Arial"/>
          <w:bCs/>
          <w:sz w:val="24"/>
          <w:szCs w:val="24"/>
        </w:rPr>
        <w:t>Coca-Cola needs to make SOP</w:t>
      </w:r>
      <w:r>
        <w:rPr>
          <w:rFonts w:ascii="Arial" w:hAnsi="Arial" w:cs="Arial"/>
          <w:bCs/>
          <w:sz w:val="24"/>
          <w:szCs w:val="24"/>
        </w:rPr>
        <w:t>s in working with institutional</w:t>
      </w:r>
      <w:r w:rsidR="00442CB0" w:rsidRPr="00B178B3">
        <w:rPr>
          <w:rFonts w:ascii="Arial" w:hAnsi="Arial" w:cs="Arial"/>
          <w:sz w:val="24"/>
          <w:szCs w:val="24"/>
        </w:rPr>
        <w:t>:</w:t>
      </w:r>
      <w:r w:rsidR="00D928A1">
        <w:rPr>
          <w:rFonts w:ascii="Arial" w:hAnsi="Arial" w:cs="Arial"/>
          <w:bCs/>
          <w:sz w:val="24"/>
          <w:szCs w:val="24"/>
          <w:u w:val="single"/>
        </w:rPr>
        <w:t xml:space="preserve"> </w:t>
      </w:r>
      <w:r w:rsidR="00442CB0" w:rsidRPr="00D928A1">
        <w:rPr>
          <w:rFonts w:ascii="Arial" w:hAnsi="Arial" w:cs="Arial"/>
          <w:bCs/>
          <w:sz w:val="24"/>
          <w:szCs w:val="24"/>
        </w:rPr>
        <w:t>Tencent (WeChat)</w:t>
      </w:r>
      <w:r w:rsidR="00442CB0" w:rsidRPr="00D928A1">
        <w:rPr>
          <w:rFonts w:ascii="Arial" w:hAnsi="Arial" w:cs="Arial"/>
          <w:sz w:val="24"/>
          <w:szCs w:val="24"/>
        </w:rPr>
        <w:t xml:space="preserve"> for mini</w:t>
      </w:r>
      <w:r w:rsidR="00A47542" w:rsidRPr="00D928A1">
        <w:rPr>
          <w:rFonts w:ascii="Arial" w:hAnsi="Arial" w:cs="Arial"/>
          <w:sz w:val="24"/>
          <w:szCs w:val="24"/>
        </w:rPr>
        <w:t>-</w:t>
      </w:r>
      <w:r w:rsidR="00442CB0" w:rsidRPr="00D928A1">
        <w:rPr>
          <w:rFonts w:ascii="Arial" w:hAnsi="Arial" w:cs="Arial"/>
          <w:sz w:val="24"/>
          <w:szCs w:val="24"/>
        </w:rPr>
        <w:t>programs, gamification, and loyalty.</w:t>
      </w:r>
      <w:r w:rsidR="00D928A1">
        <w:rPr>
          <w:rFonts w:ascii="Arial" w:hAnsi="Arial" w:cs="Arial"/>
          <w:bCs/>
          <w:sz w:val="24"/>
          <w:szCs w:val="24"/>
          <w:u w:val="single"/>
        </w:rPr>
        <w:t xml:space="preserve"> </w:t>
      </w:r>
      <w:r w:rsidR="00442CB0" w:rsidRPr="00D928A1">
        <w:rPr>
          <w:rFonts w:ascii="Arial" w:hAnsi="Arial" w:cs="Arial"/>
          <w:bCs/>
          <w:sz w:val="24"/>
          <w:szCs w:val="24"/>
        </w:rPr>
        <w:t>Alibaba/Tmall</w:t>
      </w:r>
      <w:r w:rsidR="00442CB0" w:rsidRPr="00D928A1">
        <w:rPr>
          <w:rFonts w:ascii="Arial" w:hAnsi="Arial" w:cs="Arial"/>
          <w:sz w:val="24"/>
          <w:szCs w:val="24"/>
        </w:rPr>
        <w:t xml:space="preserve"> for exclusive online drops and consumer data analytics.</w:t>
      </w:r>
      <w:r w:rsidR="00D928A1">
        <w:rPr>
          <w:rFonts w:ascii="Arial" w:hAnsi="Arial" w:cs="Arial"/>
          <w:bCs/>
          <w:sz w:val="24"/>
          <w:szCs w:val="24"/>
          <w:u w:val="single"/>
        </w:rPr>
        <w:t xml:space="preserve"> </w:t>
      </w:r>
      <w:r w:rsidR="00442CB0" w:rsidRPr="00D928A1">
        <w:rPr>
          <w:rFonts w:ascii="Arial" w:hAnsi="Arial" w:cs="Arial"/>
          <w:bCs/>
          <w:sz w:val="24"/>
          <w:szCs w:val="24"/>
        </w:rPr>
        <w:t>Douyin</w:t>
      </w:r>
      <w:r w:rsidR="00442CB0" w:rsidRPr="00D928A1">
        <w:rPr>
          <w:rFonts w:ascii="Arial" w:hAnsi="Arial" w:cs="Arial"/>
          <w:sz w:val="24"/>
          <w:szCs w:val="24"/>
        </w:rPr>
        <w:t xml:space="preserve"> for live-stream commerce in collaboration w</w:t>
      </w:r>
      <w:r w:rsidR="00D928A1">
        <w:rPr>
          <w:rFonts w:ascii="Arial" w:hAnsi="Arial" w:cs="Arial"/>
          <w:sz w:val="24"/>
          <w:szCs w:val="24"/>
        </w:rPr>
        <w:t xml:space="preserve">ith influencers (KOLs and KOCs). </w:t>
      </w:r>
      <w:r>
        <w:rPr>
          <w:rFonts w:ascii="Arial" w:hAnsi="Arial" w:cs="Arial"/>
          <w:sz w:val="24"/>
          <w:szCs w:val="24"/>
        </w:rPr>
        <w:t>Every</w:t>
      </w:r>
      <w:r w:rsidR="00442CB0" w:rsidRPr="00F2383F">
        <w:rPr>
          <w:rFonts w:ascii="Arial" w:hAnsi="Arial" w:cs="Arial"/>
          <w:sz w:val="24"/>
          <w:szCs w:val="24"/>
        </w:rPr>
        <w:t xml:space="preserve"> </w:t>
      </w:r>
      <w:r w:rsidRPr="00F2383F">
        <w:rPr>
          <w:rFonts w:ascii="Arial" w:hAnsi="Arial" w:cs="Arial"/>
          <w:sz w:val="24"/>
          <w:szCs w:val="24"/>
        </w:rPr>
        <w:t>business</w:t>
      </w:r>
      <w:r>
        <w:rPr>
          <w:rFonts w:ascii="Arial" w:hAnsi="Arial" w:cs="Arial"/>
          <w:sz w:val="24"/>
          <w:szCs w:val="24"/>
        </w:rPr>
        <w:t xml:space="preserve"> should design</w:t>
      </w:r>
      <w:r w:rsidR="00442CB0" w:rsidRPr="00F2383F">
        <w:rPr>
          <w:rFonts w:ascii="Arial" w:hAnsi="Arial" w:cs="Arial"/>
          <w:sz w:val="24"/>
          <w:szCs w:val="24"/>
        </w:rPr>
        <w:t xml:space="preserve"> </w:t>
      </w:r>
      <w:r w:rsidRPr="00F2383F">
        <w:rPr>
          <w:rFonts w:ascii="Arial" w:hAnsi="Arial" w:cs="Arial"/>
          <w:sz w:val="24"/>
          <w:szCs w:val="24"/>
        </w:rPr>
        <w:t>consistent</w:t>
      </w:r>
      <w:r w:rsidR="00D928A1">
        <w:rPr>
          <w:rFonts w:ascii="Arial" w:hAnsi="Arial" w:cs="Arial"/>
          <w:sz w:val="24"/>
          <w:szCs w:val="24"/>
        </w:rPr>
        <w:t xml:space="preserve"> procedures for d</w:t>
      </w:r>
      <w:r w:rsidR="00442CB0" w:rsidRPr="00F2383F">
        <w:rPr>
          <w:rFonts w:ascii="Arial" w:hAnsi="Arial" w:cs="Arial"/>
          <w:sz w:val="24"/>
          <w:szCs w:val="24"/>
        </w:rPr>
        <w:t>at</w:t>
      </w:r>
      <w:r w:rsidR="00D928A1">
        <w:rPr>
          <w:rFonts w:ascii="Arial" w:hAnsi="Arial" w:cs="Arial"/>
          <w:sz w:val="24"/>
          <w:szCs w:val="24"/>
        </w:rPr>
        <w:t>a sharing compliance under PIPL, b</w:t>
      </w:r>
      <w:r w:rsidR="00442CB0" w:rsidRPr="00F2383F">
        <w:rPr>
          <w:rFonts w:ascii="Arial" w:hAnsi="Arial" w:cs="Arial"/>
          <w:sz w:val="24"/>
          <w:szCs w:val="24"/>
        </w:rPr>
        <w:t>rand saf</w:t>
      </w:r>
      <w:r w:rsidR="00D928A1">
        <w:rPr>
          <w:rFonts w:ascii="Arial" w:hAnsi="Arial" w:cs="Arial"/>
          <w:sz w:val="24"/>
          <w:szCs w:val="24"/>
        </w:rPr>
        <w:t>ety and influencer verification and r</w:t>
      </w:r>
      <w:r w:rsidR="00442CB0" w:rsidRPr="00F2383F">
        <w:rPr>
          <w:rFonts w:ascii="Arial" w:hAnsi="Arial" w:cs="Arial"/>
          <w:sz w:val="24"/>
          <w:szCs w:val="24"/>
        </w:rPr>
        <w:t>eal-time performance monitoring dashboards.</w:t>
      </w:r>
    </w:p>
    <w:p w14:paraId="70222CAF" w14:textId="77777777" w:rsidR="00442CB0" w:rsidRPr="00D928A1" w:rsidRDefault="00442CB0" w:rsidP="00D928A1">
      <w:pPr>
        <w:spacing w:line="360" w:lineRule="auto"/>
        <w:jc w:val="both"/>
        <w:rPr>
          <w:rFonts w:ascii="Arial" w:hAnsi="Arial" w:cs="Arial"/>
          <w:bCs/>
          <w:sz w:val="24"/>
          <w:szCs w:val="24"/>
          <w:u w:val="single"/>
        </w:rPr>
      </w:pPr>
      <w:r w:rsidRPr="00D928A1">
        <w:rPr>
          <w:rFonts w:ascii="Arial" w:hAnsi="Arial" w:cs="Arial"/>
          <w:bCs/>
          <w:sz w:val="24"/>
          <w:szCs w:val="24"/>
          <w:u w:val="single"/>
        </w:rPr>
        <w:lastRenderedPageBreak/>
        <w:t>Implement a PIPL-Focused Data Privacy SOP</w:t>
      </w:r>
      <w:r w:rsidR="00D928A1" w:rsidRPr="00D928A1">
        <w:rPr>
          <w:rFonts w:ascii="Arial" w:hAnsi="Arial" w:cs="Arial"/>
          <w:bCs/>
          <w:sz w:val="24"/>
          <w:szCs w:val="24"/>
          <w:u w:val="single"/>
        </w:rPr>
        <w:t xml:space="preserve">: </w:t>
      </w:r>
      <w:r w:rsidRPr="00F2383F">
        <w:rPr>
          <w:rFonts w:ascii="Arial" w:hAnsi="Arial" w:cs="Arial"/>
          <w:sz w:val="24"/>
          <w:szCs w:val="24"/>
        </w:rPr>
        <w:t xml:space="preserve">Given China’s </w:t>
      </w:r>
      <w:r w:rsidR="00B178B3" w:rsidRPr="00F2383F">
        <w:rPr>
          <w:rFonts w:ascii="Arial" w:hAnsi="Arial" w:cs="Arial"/>
          <w:sz w:val="24"/>
          <w:szCs w:val="24"/>
        </w:rPr>
        <w:t>severe</w:t>
      </w:r>
      <w:r w:rsidRPr="00F2383F">
        <w:rPr>
          <w:rFonts w:ascii="Arial" w:hAnsi="Arial" w:cs="Arial"/>
          <w:sz w:val="24"/>
          <w:szCs w:val="24"/>
        </w:rPr>
        <w:t xml:space="preserve"> data laws, Coca-</w:t>
      </w:r>
      <w:r w:rsidR="00603F13" w:rsidRPr="00F2383F">
        <w:rPr>
          <w:rFonts w:ascii="Arial" w:hAnsi="Arial" w:cs="Arial"/>
          <w:sz w:val="24"/>
          <w:szCs w:val="24"/>
        </w:rPr>
        <w:t xml:space="preserve">Cola </w:t>
      </w:r>
      <w:r w:rsidR="00603F13">
        <w:rPr>
          <w:rFonts w:ascii="Arial" w:hAnsi="Arial" w:cs="Arial"/>
          <w:sz w:val="24"/>
          <w:szCs w:val="24"/>
        </w:rPr>
        <w:t>to</w:t>
      </w:r>
      <w:r w:rsidR="00D928A1">
        <w:rPr>
          <w:rFonts w:ascii="Arial" w:hAnsi="Arial" w:cs="Arial"/>
          <w:sz w:val="24"/>
          <w:szCs w:val="24"/>
        </w:rPr>
        <w:t xml:space="preserve"> c</w:t>
      </w:r>
      <w:r w:rsidRPr="00F2383F">
        <w:rPr>
          <w:rFonts w:ascii="Arial" w:hAnsi="Arial" w:cs="Arial"/>
          <w:sz w:val="24"/>
          <w:szCs w:val="24"/>
        </w:rPr>
        <w:t xml:space="preserve">reate a China-specific data </w:t>
      </w:r>
      <w:r w:rsidR="00A47542" w:rsidRPr="00F2383F">
        <w:rPr>
          <w:rFonts w:ascii="Arial" w:hAnsi="Arial" w:cs="Arial"/>
          <w:sz w:val="24"/>
          <w:szCs w:val="24"/>
        </w:rPr>
        <w:t>minimization</w:t>
      </w:r>
      <w:r w:rsidR="00D928A1">
        <w:rPr>
          <w:rFonts w:ascii="Arial" w:hAnsi="Arial" w:cs="Arial"/>
          <w:sz w:val="24"/>
          <w:szCs w:val="24"/>
        </w:rPr>
        <w:t xml:space="preserve"> protocol, c</w:t>
      </w:r>
      <w:r w:rsidRPr="00F2383F">
        <w:rPr>
          <w:rFonts w:ascii="Arial" w:hAnsi="Arial" w:cs="Arial"/>
          <w:sz w:val="24"/>
          <w:szCs w:val="24"/>
        </w:rPr>
        <w:t>onduct annual compliance audi</w:t>
      </w:r>
      <w:r w:rsidR="00D928A1">
        <w:rPr>
          <w:rFonts w:ascii="Arial" w:hAnsi="Arial" w:cs="Arial"/>
          <w:sz w:val="24"/>
          <w:szCs w:val="24"/>
        </w:rPr>
        <w:t>ts with external legal advisors and w</w:t>
      </w:r>
      <w:r w:rsidR="00B178B3">
        <w:rPr>
          <w:rFonts w:ascii="Arial" w:hAnsi="Arial" w:cs="Arial"/>
          <w:sz w:val="24"/>
          <w:szCs w:val="24"/>
        </w:rPr>
        <w:t>ants</w:t>
      </w:r>
      <w:r w:rsidRPr="00F2383F">
        <w:rPr>
          <w:rFonts w:ascii="Arial" w:hAnsi="Arial" w:cs="Arial"/>
          <w:sz w:val="24"/>
          <w:szCs w:val="24"/>
        </w:rPr>
        <w:t xml:space="preserve"> consumer </w:t>
      </w:r>
      <w:r w:rsidR="00B178B3" w:rsidRPr="00F2383F">
        <w:rPr>
          <w:rFonts w:ascii="Arial" w:hAnsi="Arial" w:cs="Arial"/>
          <w:sz w:val="24"/>
          <w:szCs w:val="24"/>
        </w:rPr>
        <w:t>agreement</w:t>
      </w:r>
      <w:r w:rsidRPr="00F2383F">
        <w:rPr>
          <w:rFonts w:ascii="Arial" w:hAnsi="Arial" w:cs="Arial"/>
          <w:sz w:val="24"/>
          <w:szCs w:val="24"/>
        </w:rPr>
        <w:t xml:space="preserve"> tracking </w:t>
      </w:r>
      <w:r w:rsidR="00B178B3" w:rsidRPr="00F2383F">
        <w:rPr>
          <w:rFonts w:ascii="Arial" w:hAnsi="Arial" w:cs="Arial"/>
          <w:sz w:val="24"/>
          <w:szCs w:val="24"/>
        </w:rPr>
        <w:t>actions</w:t>
      </w:r>
      <w:r w:rsidRPr="00F2383F">
        <w:rPr>
          <w:rFonts w:ascii="Arial" w:hAnsi="Arial" w:cs="Arial"/>
          <w:sz w:val="24"/>
          <w:szCs w:val="24"/>
        </w:rPr>
        <w:t xml:space="preserve"> embedded in digital </w:t>
      </w:r>
      <w:r w:rsidR="00B178B3" w:rsidRPr="00F2383F">
        <w:rPr>
          <w:rFonts w:ascii="Arial" w:hAnsi="Arial" w:cs="Arial"/>
          <w:sz w:val="24"/>
          <w:szCs w:val="24"/>
        </w:rPr>
        <w:t>movements</w:t>
      </w:r>
      <w:r w:rsidRPr="00F2383F">
        <w:rPr>
          <w:rFonts w:ascii="Arial" w:hAnsi="Arial" w:cs="Arial"/>
          <w:sz w:val="24"/>
          <w:szCs w:val="24"/>
        </w:rPr>
        <w:t>.</w:t>
      </w:r>
    </w:p>
    <w:p w14:paraId="6A192D75" w14:textId="77777777" w:rsidR="00442CB0" w:rsidRPr="00D928A1" w:rsidRDefault="00442CB0" w:rsidP="00AD369C">
      <w:pPr>
        <w:spacing w:line="360" w:lineRule="auto"/>
        <w:jc w:val="both"/>
        <w:rPr>
          <w:rFonts w:ascii="Arial" w:hAnsi="Arial" w:cs="Arial"/>
          <w:b/>
          <w:bCs/>
          <w:sz w:val="24"/>
          <w:szCs w:val="24"/>
        </w:rPr>
      </w:pPr>
      <w:r w:rsidRPr="00F2383F">
        <w:rPr>
          <w:rFonts w:ascii="Arial" w:hAnsi="Arial" w:cs="Arial"/>
          <w:b/>
          <w:bCs/>
          <w:sz w:val="24"/>
          <w:szCs w:val="24"/>
        </w:rPr>
        <w:t>Strategi</w:t>
      </w:r>
      <w:r w:rsidR="00D928A1">
        <w:rPr>
          <w:rFonts w:ascii="Arial" w:hAnsi="Arial" w:cs="Arial"/>
          <w:b/>
          <w:bCs/>
          <w:sz w:val="24"/>
          <w:szCs w:val="24"/>
        </w:rPr>
        <w:t xml:space="preserve">c Justification: </w:t>
      </w:r>
      <w:r w:rsidR="00D4556A" w:rsidRPr="00D4556A">
        <w:rPr>
          <w:rFonts w:ascii="Arial" w:hAnsi="Arial" w:cs="Arial"/>
          <w:sz w:val="24"/>
          <w:szCs w:val="24"/>
        </w:rPr>
        <w:t xml:space="preserve">The updated SOP will enhance the internal control of Coca-Cola, the alignment with the Chinese culture of going digital and being a group, as well as increasing its competitiveness and </w:t>
      </w:r>
      <w:r w:rsidR="00D4556A">
        <w:rPr>
          <w:rFonts w:ascii="Arial" w:hAnsi="Arial" w:cs="Arial"/>
          <w:sz w:val="24"/>
          <w:szCs w:val="24"/>
        </w:rPr>
        <w:t>credibility in the local market</w:t>
      </w:r>
      <w:r w:rsidRPr="00F2383F">
        <w:rPr>
          <w:rFonts w:ascii="Arial" w:hAnsi="Arial" w:cs="Arial"/>
          <w:sz w:val="24"/>
          <w:szCs w:val="24"/>
        </w:rPr>
        <w:t>.</w:t>
      </w:r>
    </w:p>
    <w:p w14:paraId="62F1D351" w14:textId="77777777" w:rsidR="00442CB0" w:rsidRPr="00F2383F" w:rsidRDefault="00442CB0" w:rsidP="002C5E0D">
      <w:pPr>
        <w:pStyle w:val="Heading2"/>
      </w:pPr>
      <w:bookmarkStart w:id="23" w:name="_Toc216539908"/>
      <w:r w:rsidRPr="00F2383F">
        <w:t>5.3 SOP Adjustment 3: Enhanced Local Partnership, Governance, and Guanxi-Oriented Stakeholder Management</w:t>
      </w:r>
      <w:bookmarkEnd w:id="23"/>
    </w:p>
    <w:p w14:paraId="7244C741"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Rationale</w:t>
      </w:r>
    </w:p>
    <w:p w14:paraId="539CF9FB" w14:textId="77777777" w:rsidR="00B178B3" w:rsidRPr="00B178B3" w:rsidRDefault="00B178B3" w:rsidP="000D3F19">
      <w:pPr>
        <w:spacing w:line="360" w:lineRule="auto"/>
        <w:jc w:val="both"/>
        <w:rPr>
          <w:rFonts w:ascii="Arial" w:hAnsi="Arial" w:cs="Arial"/>
          <w:sz w:val="24"/>
          <w:szCs w:val="24"/>
        </w:rPr>
      </w:pPr>
      <w:r w:rsidRPr="00B178B3">
        <w:rPr>
          <w:rFonts w:ascii="Arial" w:hAnsi="Arial" w:cs="Arial"/>
          <w:sz w:val="24"/>
          <w:szCs w:val="24"/>
        </w:rPr>
        <w:t>Power distance, collectivism, and dependency on guanxi (relationship networks) make China to be very high on these aspects, which imply that success in China would depend on whether one has good relationship with government, SOE, distributors and community groups.</w:t>
      </w:r>
    </w:p>
    <w:p w14:paraId="482EE547" w14:textId="77777777" w:rsidR="00B178B3" w:rsidRPr="00B178B3" w:rsidRDefault="00B178B3" w:rsidP="000D3F19">
      <w:pPr>
        <w:spacing w:line="360" w:lineRule="auto"/>
        <w:jc w:val="both"/>
        <w:rPr>
          <w:rFonts w:ascii="Arial" w:hAnsi="Arial" w:cs="Arial"/>
          <w:sz w:val="24"/>
          <w:szCs w:val="24"/>
        </w:rPr>
      </w:pPr>
      <w:r w:rsidRPr="00B178B3">
        <w:rPr>
          <w:rFonts w:ascii="Arial" w:hAnsi="Arial" w:cs="Arial"/>
          <w:sz w:val="24"/>
          <w:szCs w:val="24"/>
        </w:rPr>
        <w:t>From an OLI perspective:</w:t>
      </w:r>
    </w:p>
    <w:p w14:paraId="4A1EBF7E" w14:textId="77777777" w:rsidR="00B178B3" w:rsidRPr="00B178B3" w:rsidRDefault="00B178B3" w:rsidP="000D3F19">
      <w:pPr>
        <w:spacing w:line="360" w:lineRule="auto"/>
        <w:ind w:left="720"/>
        <w:jc w:val="both"/>
        <w:rPr>
          <w:rFonts w:ascii="Arial" w:hAnsi="Arial" w:cs="Arial"/>
          <w:sz w:val="24"/>
          <w:szCs w:val="24"/>
        </w:rPr>
      </w:pPr>
      <w:r w:rsidRPr="000D3F19">
        <w:rPr>
          <w:rFonts w:ascii="Arial" w:hAnsi="Arial" w:cs="Arial"/>
          <w:b/>
          <w:sz w:val="24"/>
          <w:szCs w:val="24"/>
        </w:rPr>
        <w:t>Ownership benefits (O):</w:t>
      </w:r>
      <w:r w:rsidRPr="00B178B3">
        <w:rPr>
          <w:rFonts w:ascii="Arial" w:hAnsi="Arial" w:cs="Arial"/>
          <w:sz w:val="24"/>
          <w:szCs w:val="24"/>
        </w:rPr>
        <w:t xml:space="preserve"> The global governance structures in Coca-Cola should be transformed without compromising on operations.</w:t>
      </w:r>
    </w:p>
    <w:p w14:paraId="18A5116E" w14:textId="77777777" w:rsidR="00B178B3" w:rsidRPr="00B178B3" w:rsidRDefault="00B178B3" w:rsidP="000D3F19">
      <w:pPr>
        <w:spacing w:line="360" w:lineRule="auto"/>
        <w:ind w:left="720"/>
        <w:jc w:val="both"/>
        <w:rPr>
          <w:rFonts w:ascii="Arial" w:hAnsi="Arial" w:cs="Arial"/>
          <w:sz w:val="24"/>
          <w:szCs w:val="24"/>
        </w:rPr>
      </w:pPr>
      <w:r w:rsidRPr="000D3F19">
        <w:rPr>
          <w:rFonts w:ascii="Arial" w:hAnsi="Arial" w:cs="Arial"/>
          <w:b/>
          <w:sz w:val="24"/>
          <w:szCs w:val="24"/>
        </w:rPr>
        <w:t>Location Advantages (L):</w:t>
      </w:r>
      <w:r w:rsidRPr="00B178B3">
        <w:rPr>
          <w:rFonts w:ascii="Arial" w:hAnsi="Arial" w:cs="Arial"/>
          <w:sz w:val="24"/>
          <w:szCs w:val="24"/>
        </w:rPr>
        <w:t xml:space="preserve"> The regulatory climate in China favors firms that have a good SOE relationship and local </w:t>
      </w:r>
      <w:proofErr w:type="spellStart"/>
      <w:r w:rsidRPr="00B178B3">
        <w:rPr>
          <w:rFonts w:ascii="Arial" w:hAnsi="Arial" w:cs="Arial"/>
          <w:sz w:val="24"/>
          <w:szCs w:val="24"/>
        </w:rPr>
        <w:t>inherentness</w:t>
      </w:r>
      <w:proofErr w:type="spellEnd"/>
      <w:r w:rsidRPr="00B178B3">
        <w:rPr>
          <w:rFonts w:ascii="Arial" w:hAnsi="Arial" w:cs="Arial"/>
          <w:sz w:val="24"/>
          <w:szCs w:val="24"/>
        </w:rPr>
        <w:t xml:space="preserve"> (Zhao and Keith, 2023).</w:t>
      </w:r>
    </w:p>
    <w:p w14:paraId="0F9A5579" w14:textId="77777777" w:rsidR="00442CB0" w:rsidRPr="00F2383F" w:rsidRDefault="00B178B3" w:rsidP="000D3F19">
      <w:pPr>
        <w:spacing w:line="360" w:lineRule="auto"/>
        <w:ind w:left="720"/>
        <w:jc w:val="both"/>
        <w:rPr>
          <w:rFonts w:ascii="Arial" w:hAnsi="Arial" w:cs="Arial"/>
          <w:sz w:val="24"/>
          <w:szCs w:val="24"/>
        </w:rPr>
      </w:pPr>
      <w:r w:rsidRPr="000D3F19">
        <w:rPr>
          <w:rFonts w:ascii="Arial" w:hAnsi="Arial" w:cs="Arial"/>
          <w:b/>
          <w:sz w:val="24"/>
          <w:szCs w:val="24"/>
        </w:rPr>
        <w:t>Internalization Advantages (I):</w:t>
      </w:r>
      <w:r w:rsidRPr="00B178B3">
        <w:rPr>
          <w:rFonts w:ascii="Arial" w:hAnsi="Arial" w:cs="Arial"/>
          <w:sz w:val="24"/>
          <w:szCs w:val="24"/>
        </w:rPr>
        <w:t xml:space="preserve"> Formal relationship management within the company minimizes the transaction cost as well as regulatory risk.</w:t>
      </w:r>
    </w:p>
    <w:p w14:paraId="2ECDB263"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Recommended SOP Adjustments</w:t>
      </w:r>
    </w:p>
    <w:p w14:paraId="244158FB" w14:textId="77777777" w:rsidR="00442CB0" w:rsidRPr="00D928A1" w:rsidRDefault="000D3F19" w:rsidP="00D928A1">
      <w:pPr>
        <w:spacing w:line="360" w:lineRule="auto"/>
        <w:jc w:val="both"/>
        <w:rPr>
          <w:rFonts w:ascii="Arial" w:hAnsi="Arial" w:cs="Arial"/>
          <w:bCs/>
          <w:sz w:val="24"/>
          <w:szCs w:val="24"/>
          <w:u w:val="single"/>
        </w:rPr>
      </w:pPr>
      <w:r w:rsidRPr="00D928A1">
        <w:rPr>
          <w:rFonts w:ascii="Arial" w:hAnsi="Arial" w:cs="Arial"/>
          <w:bCs/>
          <w:sz w:val="24"/>
          <w:szCs w:val="24"/>
          <w:u w:val="single"/>
        </w:rPr>
        <w:t>Design</w:t>
      </w:r>
      <w:r w:rsidR="00442CB0" w:rsidRPr="00D928A1">
        <w:rPr>
          <w:rFonts w:ascii="Arial" w:hAnsi="Arial" w:cs="Arial"/>
          <w:bCs/>
          <w:sz w:val="24"/>
          <w:szCs w:val="24"/>
          <w:u w:val="single"/>
        </w:rPr>
        <w:t xml:space="preserve"> a </w:t>
      </w:r>
      <w:r w:rsidRPr="00D928A1">
        <w:rPr>
          <w:rFonts w:ascii="Arial" w:hAnsi="Arial" w:cs="Arial"/>
          <w:bCs/>
          <w:sz w:val="24"/>
          <w:szCs w:val="24"/>
          <w:u w:val="single"/>
        </w:rPr>
        <w:t>Proper</w:t>
      </w:r>
      <w:r w:rsidR="00442CB0" w:rsidRPr="00D928A1">
        <w:rPr>
          <w:rFonts w:ascii="Arial" w:hAnsi="Arial" w:cs="Arial"/>
          <w:bCs/>
          <w:sz w:val="24"/>
          <w:szCs w:val="24"/>
          <w:u w:val="single"/>
        </w:rPr>
        <w:t xml:space="preserve"> Stakeholder </w:t>
      </w:r>
      <w:r w:rsidRPr="00D928A1">
        <w:rPr>
          <w:rFonts w:ascii="Arial" w:hAnsi="Arial" w:cs="Arial"/>
          <w:bCs/>
          <w:sz w:val="24"/>
          <w:szCs w:val="24"/>
          <w:u w:val="single"/>
        </w:rPr>
        <w:t xml:space="preserve">Assignment SOP for </w:t>
      </w:r>
      <w:r w:rsidR="00442CB0" w:rsidRPr="00D928A1">
        <w:rPr>
          <w:rFonts w:ascii="Arial" w:hAnsi="Arial" w:cs="Arial"/>
          <w:bCs/>
          <w:sz w:val="24"/>
          <w:szCs w:val="24"/>
          <w:u w:val="single"/>
        </w:rPr>
        <w:t>Operations</w:t>
      </w:r>
      <w:r w:rsidR="00D928A1">
        <w:rPr>
          <w:rFonts w:ascii="Arial" w:hAnsi="Arial" w:cs="Arial"/>
          <w:bCs/>
          <w:sz w:val="24"/>
          <w:szCs w:val="24"/>
          <w:u w:val="single"/>
        </w:rPr>
        <w:t xml:space="preserve">: </w:t>
      </w:r>
      <w:r w:rsidR="00442CB0" w:rsidRPr="00F2383F">
        <w:rPr>
          <w:rFonts w:ascii="Arial" w:hAnsi="Arial" w:cs="Arial"/>
          <w:sz w:val="24"/>
          <w:szCs w:val="24"/>
        </w:rPr>
        <w:t xml:space="preserve">This SOP should </w:t>
      </w:r>
      <w:r>
        <w:rPr>
          <w:rFonts w:ascii="Arial" w:hAnsi="Arial" w:cs="Arial"/>
          <w:sz w:val="24"/>
          <w:szCs w:val="24"/>
        </w:rPr>
        <w:t>contain</w:t>
      </w:r>
      <w:r w:rsidR="00D928A1">
        <w:rPr>
          <w:rFonts w:ascii="Arial" w:hAnsi="Arial" w:cs="Arial"/>
          <w:sz w:val="24"/>
          <w:szCs w:val="24"/>
        </w:rPr>
        <w:t xml:space="preserve"> a</w:t>
      </w:r>
      <w:r w:rsidR="00442CB0" w:rsidRPr="00F2383F">
        <w:rPr>
          <w:rFonts w:ascii="Arial" w:hAnsi="Arial" w:cs="Arial"/>
          <w:sz w:val="24"/>
          <w:szCs w:val="24"/>
        </w:rPr>
        <w:t xml:space="preserve"> quarterly government relations plan.</w:t>
      </w:r>
      <w:r w:rsidR="00D928A1">
        <w:rPr>
          <w:rFonts w:ascii="Arial" w:hAnsi="Arial" w:cs="Arial"/>
          <w:bCs/>
          <w:sz w:val="24"/>
          <w:szCs w:val="24"/>
          <w:u w:val="single"/>
        </w:rPr>
        <w:t xml:space="preserve"> </w:t>
      </w:r>
      <w:r w:rsidR="00442CB0" w:rsidRPr="00F2383F">
        <w:rPr>
          <w:rFonts w:ascii="Arial" w:hAnsi="Arial" w:cs="Arial"/>
          <w:sz w:val="24"/>
          <w:szCs w:val="24"/>
        </w:rPr>
        <w:t>Required participation in local business chambers and community events.</w:t>
      </w:r>
      <w:r w:rsidR="00D928A1">
        <w:rPr>
          <w:rFonts w:ascii="Arial" w:hAnsi="Arial" w:cs="Arial"/>
          <w:bCs/>
          <w:sz w:val="24"/>
          <w:szCs w:val="24"/>
          <w:u w:val="single"/>
        </w:rPr>
        <w:t xml:space="preserve"> </w:t>
      </w:r>
      <w:r w:rsidRPr="000D3F19">
        <w:rPr>
          <w:rFonts w:ascii="Arial" w:hAnsi="Arial" w:cs="Arial"/>
          <w:sz w:val="24"/>
          <w:szCs w:val="24"/>
        </w:rPr>
        <w:t>Customary practices regarding dealing with local authorities in the product approval, environmen</w:t>
      </w:r>
      <w:r>
        <w:rPr>
          <w:rFonts w:ascii="Arial" w:hAnsi="Arial" w:cs="Arial"/>
          <w:sz w:val="24"/>
          <w:szCs w:val="24"/>
        </w:rPr>
        <w:t>tal regulations and advertising</w:t>
      </w:r>
      <w:r w:rsidR="00442CB0" w:rsidRPr="00F2383F">
        <w:rPr>
          <w:rFonts w:ascii="Arial" w:hAnsi="Arial" w:cs="Arial"/>
          <w:sz w:val="24"/>
          <w:szCs w:val="24"/>
        </w:rPr>
        <w:t>.</w:t>
      </w:r>
    </w:p>
    <w:p w14:paraId="79FF66ED" w14:textId="77777777" w:rsidR="00442CB0" w:rsidRPr="00D928A1" w:rsidRDefault="00442CB0" w:rsidP="00D928A1">
      <w:pPr>
        <w:spacing w:line="360" w:lineRule="auto"/>
        <w:jc w:val="both"/>
        <w:rPr>
          <w:rFonts w:ascii="Arial" w:hAnsi="Arial" w:cs="Arial"/>
          <w:bCs/>
          <w:sz w:val="24"/>
          <w:szCs w:val="24"/>
          <w:u w:val="single"/>
        </w:rPr>
      </w:pPr>
      <w:r w:rsidRPr="00D928A1">
        <w:rPr>
          <w:rFonts w:ascii="Arial" w:hAnsi="Arial" w:cs="Arial"/>
          <w:bCs/>
          <w:sz w:val="24"/>
          <w:szCs w:val="24"/>
          <w:u w:val="single"/>
        </w:rPr>
        <w:lastRenderedPageBreak/>
        <w:t>Strengthen the Governance of Joint Ventures (JVs)</w:t>
      </w:r>
      <w:r w:rsidR="00D928A1">
        <w:rPr>
          <w:rFonts w:ascii="Arial" w:hAnsi="Arial" w:cs="Arial"/>
          <w:bCs/>
          <w:sz w:val="24"/>
          <w:szCs w:val="24"/>
          <w:u w:val="single"/>
        </w:rPr>
        <w:t xml:space="preserve">:  </w:t>
      </w:r>
      <w:r w:rsidR="000D3F19" w:rsidRPr="000D3F19">
        <w:rPr>
          <w:rFonts w:ascii="Arial" w:hAnsi="Arial" w:cs="Arial"/>
          <w:sz w:val="24"/>
          <w:szCs w:val="24"/>
        </w:rPr>
        <w:t>To decrease the cross-cultural misunderstandings and the power imbalance, Coca-Cola will be required to introduce JV-s</w:t>
      </w:r>
      <w:r w:rsidR="000D3F19">
        <w:rPr>
          <w:rFonts w:ascii="Arial" w:hAnsi="Arial" w:cs="Arial"/>
          <w:sz w:val="24"/>
          <w:szCs w:val="24"/>
        </w:rPr>
        <w:t>pecific SOPs that necessitate</w:t>
      </w:r>
      <w:r w:rsidR="00D928A1">
        <w:rPr>
          <w:rFonts w:ascii="Arial" w:hAnsi="Arial" w:cs="Arial"/>
          <w:sz w:val="24"/>
          <w:szCs w:val="24"/>
        </w:rPr>
        <w:t>, q</w:t>
      </w:r>
      <w:r w:rsidRPr="00F2383F">
        <w:rPr>
          <w:rFonts w:ascii="Arial" w:hAnsi="Arial" w:cs="Arial"/>
          <w:sz w:val="24"/>
          <w:szCs w:val="24"/>
        </w:rPr>
        <w:t>uarterly performance revie</w:t>
      </w:r>
      <w:r w:rsidR="00D928A1">
        <w:rPr>
          <w:rFonts w:ascii="Arial" w:hAnsi="Arial" w:cs="Arial"/>
          <w:sz w:val="24"/>
          <w:szCs w:val="24"/>
        </w:rPr>
        <w:t>ws with COFCO and Swire Pacific, c</w:t>
      </w:r>
      <w:r w:rsidRPr="00F2383F">
        <w:rPr>
          <w:rFonts w:ascii="Arial" w:hAnsi="Arial" w:cs="Arial"/>
          <w:sz w:val="24"/>
          <w:szCs w:val="24"/>
        </w:rPr>
        <w:t>lear KPIs related to quality, sustaina</w:t>
      </w:r>
      <w:r w:rsidR="00D928A1">
        <w:rPr>
          <w:rFonts w:ascii="Arial" w:hAnsi="Arial" w:cs="Arial"/>
          <w:sz w:val="24"/>
          <w:szCs w:val="24"/>
        </w:rPr>
        <w:t>bility, and digital performance,</w:t>
      </w:r>
      <w:r w:rsidR="00D928A1" w:rsidRPr="00D928A1">
        <w:rPr>
          <w:rFonts w:ascii="Arial" w:hAnsi="Arial" w:cs="Arial"/>
          <w:bCs/>
          <w:sz w:val="24"/>
          <w:szCs w:val="24"/>
        </w:rPr>
        <w:t xml:space="preserve"> a</w:t>
      </w:r>
      <w:r w:rsidRPr="00F2383F">
        <w:rPr>
          <w:rFonts w:ascii="Arial" w:hAnsi="Arial" w:cs="Arial"/>
          <w:sz w:val="24"/>
          <w:szCs w:val="24"/>
        </w:rPr>
        <w:t xml:space="preserve"> dispute-resolution framework aligned with C</w:t>
      </w:r>
      <w:r w:rsidR="00D928A1">
        <w:rPr>
          <w:rFonts w:ascii="Arial" w:hAnsi="Arial" w:cs="Arial"/>
          <w:sz w:val="24"/>
          <w:szCs w:val="24"/>
        </w:rPr>
        <w:t>hinese business norms and a</w:t>
      </w:r>
      <w:r w:rsidRPr="00F2383F">
        <w:rPr>
          <w:rFonts w:ascii="Arial" w:hAnsi="Arial" w:cs="Arial"/>
          <w:sz w:val="24"/>
          <w:szCs w:val="24"/>
        </w:rPr>
        <w:t xml:space="preserve"> bilingual governance manual for unified decision-making.</w:t>
      </w:r>
    </w:p>
    <w:p w14:paraId="561C98D1" w14:textId="77777777" w:rsidR="00442CB0" w:rsidRPr="00D928A1" w:rsidRDefault="00442CB0" w:rsidP="00D928A1">
      <w:pPr>
        <w:spacing w:line="360" w:lineRule="auto"/>
        <w:jc w:val="both"/>
        <w:rPr>
          <w:rFonts w:ascii="Arial" w:hAnsi="Arial" w:cs="Arial"/>
          <w:bCs/>
          <w:sz w:val="24"/>
          <w:szCs w:val="24"/>
          <w:u w:val="single"/>
        </w:rPr>
      </w:pPr>
      <w:r w:rsidRPr="00D928A1">
        <w:rPr>
          <w:rFonts w:ascii="Arial" w:hAnsi="Arial" w:cs="Arial"/>
          <w:bCs/>
          <w:sz w:val="24"/>
          <w:szCs w:val="24"/>
          <w:u w:val="single"/>
        </w:rPr>
        <w:t>Community and Sustainability Integration SOP</w:t>
      </w:r>
      <w:r w:rsidR="00D928A1">
        <w:rPr>
          <w:rFonts w:ascii="Arial" w:hAnsi="Arial" w:cs="Arial"/>
          <w:bCs/>
          <w:sz w:val="24"/>
          <w:szCs w:val="24"/>
          <w:u w:val="single"/>
        </w:rPr>
        <w:t xml:space="preserve">: </w:t>
      </w:r>
      <w:r w:rsidR="000D3F19" w:rsidRPr="000D3F19">
        <w:rPr>
          <w:rFonts w:ascii="Arial" w:hAnsi="Arial" w:cs="Arial"/>
          <w:sz w:val="24"/>
          <w:szCs w:val="24"/>
        </w:rPr>
        <w:t xml:space="preserve">The regulatory environment in China is also more concerned with sustainability. The institutionalized SOP required by Coca-Cola </w:t>
      </w:r>
      <w:r w:rsidR="000D3F19">
        <w:rPr>
          <w:rFonts w:ascii="Arial" w:hAnsi="Arial" w:cs="Arial"/>
          <w:sz w:val="24"/>
          <w:szCs w:val="24"/>
        </w:rPr>
        <w:t>should be such that it requires</w:t>
      </w:r>
      <w:r w:rsidR="00D928A1">
        <w:rPr>
          <w:rFonts w:ascii="Arial" w:hAnsi="Arial" w:cs="Arial"/>
          <w:sz w:val="24"/>
          <w:szCs w:val="24"/>
        </w:rPr>
        <w:t>, m</w:t>
      </w:r>
      <w:r w:rsidRPr="00F2383F">
        <w:rPr>
          <w:rFonts w:ascii="Arial" w:hAnsi="Arial" w:cs="Arial"/>
          <w:sz w:val="24"/>
          <w:szCs w:val="24"/>
        </w:rPr>
        <w:t>andatory PET bottle recycli</w:t>
      </w:r>
      <w:r w:rsidR="00D928A1">
        <w:rPr>
          <w:rFonts w:ascii="Arial" w:hAnsi="Arial" w:cs="Arial"/>
          <w:sz w:val="24"/>
          <w:szCs w:val="24"/>
        </w:rPr>
        <w:t>ng KPIs for all bottling plants, p</w:t>
      </w:r>
      <w:r w:rsidRPr="00F2383F">
        <w:rPr>
          <w:rFonts w:ascii="Arial" w:hAnsi="Arial" w:cs="Arial"/>
          <w:sz w:val="24"/>
          <w:szCs w:val="24"/>
        </w:rPr>
        <w:t xml:space="preserve">artnerships </w:t>
      </w:r>
      <w:r w:rsidR="00D928A1">
        <w:rPr>
          <w:rFonts w:ascii="Arial" w:hAnsi="Arial" w:cs="Arial"/>
          <w:sz w:val="24"/>
          <w:szCs w:val="24"/>
        </w:rPr>
        <w:t>with Chinese environmental NGOs, a</w:t>
      </w:r>
      <w:r w:rsidRPr="00F2383F">
        <w:rPr>
          <w:rFonts w:ascii="Arial" w:hAnsi="Arial" w:cs="Arial"/>
          <w:sz w:val="24"/>
          <w:szCs w:val="24"/>
        </w:rPr>
        <w:t xml:space="preserve">nnual sustainability performance disclosure aligned with </w:t>
      </w:r>
      <w:r w:rsidR="00D928A1">
        <w:rPr>
          <w:rFonts w:ascii="Arial" w:hAnsi="Arial" w:cs="Arial"/>
          <w:sz w:val="24"/>
          <w:szCs w:val="24"/>
        </w:rPr>
        <w:t>Chinese governmental guidelines and o</w:t>
      </w:r>
      <w:r w:rsidR="000D3F19" w:rsidRPr="000D3F19">
        <w:rPr>
          <w:rFonts w:ascii="Arial" w:hAnsi="Arial" w:cs="Arial"/>
          <w:sz w:val="24"/>
          <w:szCs w:val="24"/>
        </w:rPr>
        <w:t>utreach programmers associated with festivals and socia</w:t>
      </w:r>
      <w:r w:rsidR="000D3F19">
        <w:rPr>
          <w:rFonts w:ascii="Arial" w:hAnsi="Arial" w:cs="Arial"/>
          <w:sz w:val="24"/>
          <w:szCs w:val="24"/>
        </w:rPr>
        <w:t>l causes at the local community</w:t>
      </w:r>
      <w:r w:rsidRPr="00F2383F">
        <w:rPr>
          <w:rFonts w:ascii="Arial" w:hAnsi="Arial" w:cs="Arial"/>
          <w:sz w:val="24"/>
          <w:szCs w:val="24"/>
        </w:rPr>
        <w:t>.</w:t>
      </w:r>
    </w:p>
    <w:p w14:paraId="221F7A8C" w14:textId="77777777" w:rsidR="00442CB0" w:rsidRPr="00F2383F" w:rsidRDefault="00442CB0" w:rsidP="00F2383F">
      <w:pPr>
        <w:spacing w:line="360" w:lineRule="auto"/>
        <w:rPr>
          <w:rFonts w:ascii="Arial" w:hAnsi="Arial" w:cs="Arial"/>
          <w:b/>
          <w:bCs/>
          <w:sz w:val="24"/>
          <w:szCs w:val="24"/>
        </w:rPr>
      </w:pPr>
      <w:r w:rsidRPr="00F2383F">
        <w:rPr>
          <w:rFonts w:ascii="Arial" w:hAnsi="Arial" w:cs="Arial"/>
          <w:b/>
          <w:bCs/>
          <w:sz w:val="24"/>
          <w:szCs w:val="24"/>
        </w:rPr>
        <w:t>Strategic Justification</w:t>
      </w:r>
    </w:p>
    <w:p w14:paraId="2CAD0090" w14:textId="77777777" w:rsidR="00442CB0" w:rsidRPr="00F2383F" w:rsidRDefault="00D4556A" w:rsidP="00AD369C">
      <w:pPr>
        <w:spacing w:line="360" w:lineRule="auto"/>
        <w:jc w:val="both"/>
        <w:rPr>
          <w:rFonts w:ascii="Arial" w:hAnsi="Arial" w:cs="Arial"/>
          <w:sz w:val="24"/>
          <w:szCs w:val="24"/>
        </w:rPr>
      </w:pPr>
      <w:r w:rsidRPr="00D4556A">
        <w:rPr>
          <w:rFonts w:ascii="Arial" w:hAnsi="Arial" w:cs="Arial"/>
          <w:sz w:val="24"/>
          <w:szCs w:val="24"/>
        </w:rPr>
        <w:t>The improvement of the legitimacy of Coca-Cola brought about by SOP changes, is in-line with the hierarchical collectivist culture and regulatory pressures in China, and internalization through the minimization of transaction costs and the enhancement o</w:t>
      </w:r>
      <w:r>
        <w:rPr>
          <w:rFonts w:ascii="Arial" w:hAnsi="Arial" w:cs="Arial"/>
          <w:sz w:val="24"/>
          <w:szCs w:val="24"/>
        </w:rPr>
        <w:t>f compliance and governance fit</w:t>
      </w:r>
      <w:r w:rsidR="00442CB0" w:rsidRPr="00F2383F">
        <w:rPr>
          <w:rFonts w:ascii="Arial" w:hAnsi="Arial" w:cs="Arial"/>
          <w:sz w:val="24"/>
          <w:szCs w:val="24"/>
        </w:rPr>
        <w:t>.</w:t>
      </w:r>
    </w:p>
    <w:p w14:paraId="03FB5488" w14:textId="77777777" w:rsidR="00442CB0" w:rsidRPr="00F2383F" w:rsidRDefault="00442CB0" w:rsidP="002C5E0D">
      <w:pPr>
        <w:pStyle w:val="Heading2"/>
      </w:pPr>
      <w:bookmarkStart w:id="24" w:name="_Toc216539909"/>
      <w:r w:rsidRPr="00F2383F">
        <w:t>5.4 Critical Synthesis of SOP Adjustments</w:t>
      </w:r>
      <w:bookmarkEnd w:id="24"/>
    </w:p>
    <w:p w14:paraId="5BE68C11" w14:textId="77777777" w:rsidR="00A10CE2" w:rsidRDefault="00D4556A" w:rsidP="0046384B">
      <w:pPr>
        <w:spacing w:line="360" w:lineRule="auto"/>
        <w:jc w:val="both"/>
        <w:rPr>
          <w:rFonts w:ascii="Arial" w:hAnsi="Arial" w:cs="Arial"/>
          <w:sz w:val="24"/>
          <w:szCs w:val="24"/>
        </w:rPr>
      </w:pPr>
      <w:r w:rsidRPr="00D4556A">
        <w:rPr>
          <w:rFonts w:ascii="Arial" w:hAnsi="Arial" w:cs="Arial"/>
          <w:sz w:val="24"/>
          <w:szCs w:val="24"/>
        </w:rPr>
        <w:t>The three SOP changes make the operations of Coca-Cola consistent with the realities of the Chinese market through localization of product development, enhancement of partnership governance, and enhanced digitalization. They increase ownership benefits, take advantage of the cultural and market environment in China, and safeguard internalized property that can guarantee their competitiveness against domestic brands that move q</w:t>
      </w:r>
      <w:r>
        <w:rPr>
          <w:rFonts w:ascii="Arial" w:hAnsi="Arial" w:cs="Arial"/>
          <w:sz w:val="24"/>
          <w:szCs w:val="24"/>
        </w:rPr>
        <w:t>uickly and changing regulations</w:t>
      </w:r>
      <w:r w:rsidR="002A10D8">
        <w:rPr>
          <w:rFonts w:ascii="Arial" w:hAnsi="Arial" w:cs="Arial"/>
          <w:sz w:val="24"/>
          <w:szCs w:val="24"/>
        </w:rPr>
        <w:t>.</w:t>
      </w:r>
    </w:p>
    <w:p w14:paraId="36985DE4" w14:textId="77777777" w:rsidR="00603F13" w:rsidRDefault="00603F13" w:rsidP="0046384B">
      <w:pPr>
        <w:spacing w:line="360" w:lineRule="auto"/>
        <w:jc w:val="both"/>
        <w:rPr>
          <w:rFonts w:ascii="Arial" w:hAnsi="Arial" w:cs="Arial"/>
          <w:sz w:val="24"/>
          <w:szCs w:val="24"/>
        </w:rPr>
      </w:pPr>
    </w:p>
    <w:p w14:paraId="0E56B505" w14:textId="77777777" w:rsidR="00603F13" w:rsidRPr="00F2383F" w:rsidRDefault="00603F13" w:rsidP="0046384B">
      <w:pPr>
        <w:spacing w:line="360" w:lineRule="auto"/>
        <w:jc w:val="both"/>
        <w:rPr>
          <w:rFonts w:ascii="Arial" w:hAnsi="Arial" w:cs="Arial"/>
          <w:sz w:val="24"/>
          <w:szCs w:val="24"/>
        </w:rPr>
      </w:pPr>
    </w:p>
    <w:p w14:paraId="2F6B3558" w14:textId="77777777" w:rsidR="00442CB0" w:rsidRPr="00F2383F" w:rsidRDefault="0046384B" w:rsidP="002C5E0D">
      <w:pPr>
        <w:pStyle w:val="Heading1"/>
      </w:pPr>
      <w:bookmarkStart w:id="25" w:name="_Toc216539910"/>
      <w:r>
        <w:lastRenderedPageBreak/>
        <w:t>6 — Conclusion</w:t>
      </w:r>
      <w:bookmarkEnd w:id="25"/>
    </w:p>
    <w:p w14:paraId="3EEA311C" w14:textId="77777777" w:rsidR="005C7DA9" w:rsidRPr="005C7DA9" w:rsidRDefault="005C7DA9" w:rsidP="005C7DA9">
      <w:pPr>
        <w:spacing w:line="360" w:lineRule="auto"/>
        <w:jc w:val="both"/>
        <w:rPr>
          <w:rFonts w:ascii="Arial" w:hAnsi="Arial" w:cs="Arial"/>
          <w:sz w:val="24"/>
          <w:szCs w:val="24"/>
        </w:rPr>
      </w:pPr>
      <w:r w:rsidRPr="005C7DA9">
        <w:rPr>
          <w:rFonts w:ascii="Arial" w:hAnsi="Arial" w:cs="Arial"/>
          <w:sz w:val="24"/>
          <w:szCs w:val="24"/>
        </w:rPr>
        <w:t>The case of the globalization of Coca-Cola in China throws emphasis on the interaction between global capabilities and the realities within the domestic market that determine successful multinational strategy. The ability by the company to coordinate decentralized bottling partners and having a wide scope value chain supports its position as a top MNC. Its hybrid form of entries, joint ventures, selective FDI and internalized production of the concentrate has a direct impact on the main OLI factors which</w:t>
      </w:r>
      <w:r>
        <w:rPr>
          <w:rFonts w:ascii="Arial" w:hAnsi="Arial" w:cs="Arial"/>
          <w:sz w:val="24"/>
          <w:szCs w:val="24"/>
        </w:rPr>
        <w:t xml:space="preserve"> guide the strategic decisions.</w:t>
      </w:r>
    </w:p>
    <w:p w14:paraId="396AC53B" w14:textId="77777777" w:rsidR="005C7DA9" w:rsidRPr="005C7DA9" w:rsidRDefault="005C7DA9" w:rsidP="005C7DA9">
      <w:pPr>
        <w:spacing w:line="360" w:lineRule="auto"/>
        <w:jc w:val="both"/>
        <w:rPr>
          <w:rFonts w:ascii="Arial" w:hAnsi="Arial" w:cs="Arial"/>
          <w:sz w:val="24"/>
          <w:szCs w:val="24"/>
        </w:rPr>
      </w:pPr>
      <w:r w:rsidRPr="005C7DA9">
        <w:rPr>
          <w:rFonts w:ascii="Arial" w:hAnsi="Arial" w:cs="Arial"/>
          <w:sz w:val="24"/>
          <w:szCs w:val="24"/>
        </w:rPr>
        <w:t xml:space="preserve">The success of the operations of Coca-Cola is all about cultural differences between China and the U.S. The collectivism, high power distance and restrained consumption of China as well as the </w:t>
      </w:r>
      <w:proofErr w:type="gramStart"/>
      <w:r w:rsidRPr="005C7DA9">
        <w:rPr>
          <w:rFonts w:ascii="Arial" w:hAnsi="Arial" w:cs="Arial"/>
          <w:sz w:val="24"/>
          <w:szCs w:val="24"/>
        </w:rPr>
        <w:t>long term</w:t>
      </w:r>
      <w:proofErr w:type="gramEnd"/>
      <w:r w:rsidRPr="005C7DA9">
        <w:rPr>
          <w:rFonts w:ascii="Arial" w:hAnsi="Arial" w:cs="Arial"/>
          <w:sz w:val="24"/>
          <w:szCs w:val="24"/>
        </w:rPr>
        <w:t xml:space="preserve"> orientation necessitate serious localization of marketing, product development and management. Adjustment to these expectations has helped Coca-Cola to gain</w:t>
      </w:r>
      <w:r>
        <w:rPr>
          <w:rFonts w:ascii="Arial" w:hAnsi="Arial" w:cs="Arial"/>
          <w:sz w:val="24"/>
          <w:szCs w:val="24"/>
        </w:rPr>
        <w:t xml:space="preserve"> legitimacy and consumer trust.</w:t>
      </w:r>
    </w:p>
    <w:p w14:paraId="501D3BE7" w14:textId="77777777" w:rsidR="002C5E0D" w:rsidRDefault="005C7DA9" w:rsidP="005C7DA9">
      <w:pPr>
        <w:spacing w:line="360" w:lineRule="auto"/>
        <w:jc w:val="both"/>
        <w:rPr>
          <w:rFonts w:ascii="Arial" w:hAnsi="Arial" w:cs="Arial"/>
          <w:sz w:val="24"/>
          <w:szCs w:val="24"/>
        </w:rPr>
      </w:pPr>
      <w:r w:rsidRPr="005C7DA9">
        <w:rPr>
          <w:rFonts w:ascii="Arial" w:hAnsi="Arial" w:cs="Arial"/>
          <w:sz w:val="24"/>
          <w:szCs w:val="24"/>
        </w:rPr>
        <w:t>Planned SOP modifications, more localization of health-focused innovation, and digital ecosystems are more responsive to the dynamic environment in China in terms of guanxi-based stakeholder management. Such measures enhance ownership benefits, exploitation of location-specific benefits, and safeguard internalized assets. Finally, the end-result of the Coca-Cola success in the long term does rely on the balance between brand consistency on a global level and local responsiven</w:t>
      </w:r>
      <w:r>
        <w:rPr>
          <w:rFonts w:ascii="Arial" w:hAnsi="Arial" w:cs="Arial"/>
          <w:sz w:val="24"/>
          <w:szCs w:val="24"/>
        </w:rPr>
        <w:t>ess in a large emerging economy</w:t>
      </w:r>
      <w:r w:rsidR="00442CB0" w:rsidRPr="00F2383F">
        <w:rPr>
          <w:rFonts w:ascii="Arial" w:hAnsi="Arial" w:cs="Arial"/>
          <w:sz w:val="24"/>
          <w:szCs w:val="24"/>
        </w:rPr>
        <w:t>.</w:t>
      </w:r>
    </w:p>
    <w:p w14:paraId="0C8FF419" w14:textId="77777777" w:rsidR="00D4556A" w:rsidRDefault="00D4556A" w:rsidP="005C7DA9">
      <w:pPr>
        <w:spacing w:line="360" w:lineRule="auto"/>
        <w:jc w:val="both"/>
        <w:rPr>
          <w:rFonts w:ascii="Arial" w:hAnsi="Arial" w:cs="Arial"/>
          <w:sz w:val="24"/>
          <w:szCs w:val="24"/>
        </w:rPr>
      </w:pPr>
    </w:p>
    <w:p w14:paraId="09941B22" w14:textId="77777777" w:rsidR="00D4556A" w:rsidRDefault="00D4556A" w:rsidP="005C7DA9">
      <w:pPr>
        <w:spacing w:line="360" w:lineRule="auto"/>
        <w:jc w:val="both"/>
        <w:rPr>
          <w:rFonts w:ascii="Arial" w:hAnsi="Arial" w:cs="Arial"/>
          <w:sz w:val="24"/>
          <w:szCs w:val="24"/>
        </w:rPr>
      </w:pPr>
    </w:p>
    <w:p w14:paraId="11E195BC" w14:textId="77777777" w:rsidR="00D4556A" w:rsidRDefault="00D4556A" w:rsidP="005C7DA9">
      <w:pPr>
        <w:spacing w:line="360" w:lineRule="auto"/>
        <w:jc w:val="both"/>
        <w:rPr>
          <w:rFonts w:ascii="Arial" w:hAnsi="Arial" w:cs="Arial"/>
          <w:sz w:val="24"/>
          <w:szCs w:val="24"/>
        </w:rPr>
      </w:pPr>
    </w:p>
    <w:p w14:paraId="163A117C" w14:textId="77777777" w:rsidR="00D4556A" w:rsidRDefault="00D4556A" w:rsidP="005C7DA9">
      <w:pPr>
        <w:spacing w:line="360" w:lineRule="auto"/>
        <w:jc w:val="both"/>
        <w:rPr>
          <w:rFonts w:ascii="Arial" w:hAnsi="Arial" w:cs="Arial"/>
          <w:sz w:val="24"/>
          <w:szCs w:val="24"/>
        </w:rPr>
      </w:pPr>
    </w:p>
    <w:p w14:paraId="4CBD80C3" w14:textId="77777777" w:rsidR="006D7F73" w:rsidRDefault="006D7F73" w:rsidP="005C7DA9">
      <w:pPr>
        <w:spacing w:line="360" w:lineRule="auto"/>
        <w:jc w:val="both"/>
        <w:rPr>
          <w:rFonts w:ascii="Arial" w:hAnsi="Arial" w:cs="Arial"/>
          <w:sz w:val="24"/>
          <w:szCs w:val="24"/>
        </w:rPr>
      </w:pPr>
    </w:p>
    <w:p w14:paraId="1D0193F5" w14:textId="77777777" w:rsidR="00D4556A" w:rsidRPr="00F2383F" w:rsidRDefault="00D4556A" w:rsidP="005C7DA9">
      <w:pPr>
        <w:spacing w:line="360" w:lineRule="auto"/>
        <w:jc w:val="both"/>
        <w:rPr>
          <w:rFonts w:ascii="Arial" w:hAnsi="Arial" w:cs="Arial"/>
          <w:sz w:val="24"/>
          <w:szCs w:val="24"/>
        </w:rPr>
      </w:pPr>
    </w:p>
    <w:p w14:paraId="6095CCAF" w14:textId="77777777" w:rsidR="006D7F73" w:rsidRPr="00B70C66" w:rsidRDefault="0046384B" w:rsidP="006D7F73">
      <w:pPr>
        <w:pStyle w:val="Heading1"/>
      </w:pPr>
      <w:bookmarkStart w:id="26" w:name="_Toc216539911"/>
      <w:r>
        <w:lastRenderedPageBreak/>
        <w:t>Reference List</w:t>
      </w:r>
      <w:bookmarkEnd w:id="26"/>
    </w:p>
    <w:p w14:paraId="6DDA35A1"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Alibaba Research Institute (2023), </w:t>
      </w:r>
      <w:r w:rsidRPr="00603F13">
        <w:rPr>
          <w:rFonts w:ascii="Arial" w:hAnsi="Arial" w:cs="Arial"/>
          <w:sz w:val="24"/>
          <w:szCs w:val="24"/>
        </w:rPr>
        <w:t>China E-commerce and New Retail Development Report 2023.</w:t>
      </w:r>
      <w:r w:rsidRPr="00603F13">
        <w:rPr>
          <w:rFonts w:ascii="Arial" w:hAnsi="Arial" w:cs="Arial"/>
          <w:sz w:val="24"/>
          <w:szCs w:val="24"/>
        </w:rPr>
        <w:br/>
        <w:t xml:space="preserve">Link: </w:t>
      </w:r>
      <w:hyperlink r:id="rId18" w:history="1">
        <w:r w:rsidRPr="00603F13">
          <w:rPr>
            <w:rFonts w:ascii="Arial" w:hAnsi="Arial" w:cs="Arial"/>
            <w:color w:val="0000FF"/>
            <w:sz w:val="24"/>
            <w:szCs w:val="24"/>
            <w:u w:val="single"/>
          </w:rPr>
          <w:t>https://www.alibabacloud.com/alibaba-research</w:t>
        </w:r>
      </w:hyperlink>
    </w:p>
    <w:p w14:paraId="67485C72"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Bain &amp; Company (2024), </w:t>
      </w:r>
      <w:r w:rsidRPr="00603F13">
        <w:rPr>
          <w:rFonts w:ascii="Arial" w:hAnsi="Arial" w:cs="Arial"/>
          <w:sz w:val="24"/>
          <w:szCs w:val="24"/>
        </w:rPr>
        <w:t xml:space="preserve">China Consumer Report 2024: The Rebound of </w:t>
      </w:r>
      <w:proofErr w:type="spellStart"/>
      <w:r w:rsidRPr="00603F13">
        <w:rPr>
          <w:rFonts w:ascii="Arial" w:hAnsi="Arial" w:cs="Arial"/>
          <w:sz w:val="24"/>
          <w:szCs w:val="24"/>
        </w:rPr>
        <w:t>Premiumisation</w:t>
      </w:r>
      <w:proofErr w:type="spellEnd"/>
      <w:r w:rsidRPr="00603F13">
        <w:rPr>
          <w:rFonts w:ascii="Arial" w:hAnsi="Arial" w:cs="Arial"/>
          <w:sz w:val="24"/>
          <w:szCs w:val="24"/>
        </w:rPr>
        <w:t>.</w:t>
      </w:r>
      <w:r w:rsidRPr="00603F13">
        <w:rPr>
          <w:rFonts w:ascii="Arial" w:hAnsi="Arial" w:cs="Arial"/>
          <w:sz w:val="24"/>
          <w:szCs w:val="24"/>
        </w:rPr>
        <w:br/>
        <w:t xml:space="preserve">Link: </w:t>
      </w:r>
      <w:hyperlink r:id="rId19" w:history="1">
        <w:r w:rsidRPr="00603F13">
          <w:rPr>
            <w:rFonts w:ascii="Arial" w:hAnsi="Arial" w:cs="Arial"/>
            <w:color w:val="0000FF"/>
            <w:sz w:val="24"/>
            <w:szCs w:val="24"/>
            <w:u w:val="single"/>
          </w:rPr>
          <w:t>https://www.bain.com/insights</w:t>
        </w:r>
      </w:hyperlink>
    </w:p>
    <w:p w14:paraId="5E0F5E19"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Bloomberg Intelligence (2023), </w:t>
      </w:r>
      <w:r w:rsidRPr="00603F13">
        <w:rPr>
          <w:rFonts w:ascii="Arial" w:hAnsi="Arial" w:cs="Arial"/>
          <w:sz w:val="24"/>
          <w:szCs w:val="24"/>
        </w:rPr>
        <w:t>Beverage Market Outlook: China and Asia-Pacific.</w:t>
      </w:r>
      <w:r w:rsidRPr="00603F13">
        <w:rPr>
          <w:rFonts w:ascii="Arial" w:hAnsi="Arial" w:cs="Arial"/>
          <w:sz w:val="24"/>
          <w:szCs w:val="24"/>
        </w:rPr>
        <w:br/>
        <w:t xml:space="preserve">Link: </w:t>
      </w:r>
      <w:hyperlink r:id="rId20" w:history="1">
        <w:r w:rsidRPr="00603F13">
          <w:rPr>
            <w:rFonts w:ascii="Arial" w:hAnsi="Arial" w:cs="Arial"/>
            <w:color w:val="0000FF"/>
            <w:sz w:val="24"/>
            <w:szCs w:val="24"/>
            <w:u w:val="single"/>
          </w:rPr>
          <w:t>https://www.bloomberg.com/professional/product/bloomberg-intelligence</w:t>
        </w:r>
      </w:hyperlink>
    </w:p>
    <w:p w14:paraId="0E99D960"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proofErr w:type="spellStart"/>
      <w:r w:rsidRPr="00603F13">
        <w:rPr>
          <w:rFonts w:ascii="Arial" w:hAnsi="Arial" w:cs="Arial"/>
          <w:bCs/>
          <w:sz w:val="24"/>
          <w:szCs w:val="24"/>
        </w:rPr>
        <w:t>Cavusgil</w:t>
      </w:r>
      <w:proofErr w:type="spellEnd"/>
      <w:r w:rsidRPr="00603F13">
        <w:rPr>
          <w:rFonts w:ascii="Arial" w:hAnsi="Arial" w:cs="Arial"/>
          <w:bCs/>
          <w:sz w:val="24"/>
          <w:szCs w:val="24"/>
        </w:rPr>
        <w:t xml:space="preserve">, Knight &amp; Riesenberger (2022), </w:t>
      </w:r>
      <w:r w:rsidRPr="00603F13">
        <w:rPr>
          <w:rFonts w:ascii="Arial" w:hAnsi="Arial" w:cs="Arial"/>
          <w:i/>
          <w:iCs/>
          <w:sz w:val="24"/>
          <w:szCs w:val="24"/>
        </w:rPr>
        <w:t>International Business: The New Realities</w:t>
      </w:r>
      <w:r w:rsidRPr="00603F13">
        <w:rPr>
          <w:rFonts w:ascii="Arial" w:hAnsi="Arial" w:cs="Arial"/>
          <w:sz w:val="24"/>
          <w:szCs w:val="24"/>
        </w:rPr>
        <w:t xml:space="preserve"> (5th ed.). Pearson.</w:t>
      </w:r>
      <w:r w:rsidRPr="00603F13">
        <w:rPr>
          <w:rFonts w:ascii="Arial" w:hAnsi="Arial" w:cs="Arial"/>
          <w:sz w:val="24"/>
          <w:szCs w:val="24"/>
        </w:rPr>
        <w:br/>
        <w:t xml:space="preserve">Link (publisher): </w:t>
      </w:r>
      <w:hyperlink r:id="rId21" w:history="1">
        <w:r w:rsidRPr="00603F13">
          <w:rPr>
            <w:rFonts w:ascii="Arial" w:hAnsi="Arial" w:cs="Arial"/>
            <w:color w:val="0000FF"/>
            <w:sz w:val="24"/>
            <w:szCs w:val="24"/>
            <w:u w:val="single"/>
          </w:rPr>
          <w:t>https://www.pearson.com/en-us/subject-catalog/p/international-business/P200000007448/9781292413551</w:t>
        </w:r>
      </w:hyperlink>
    </w:p>
    <w:p w14:paraId="3F34E7C1"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Chen, X. (2021), </w:t>
      </w:r>
      <w:r w:rsidRPr="00603F13">
        <w:rPr>
          <w:rFonts w:ascii="Arial" w:hAnsi="Arial" w:cs="Arial"/>
          <w:sz w:val="24"/>
          <w:szCs w:val="24"/>
        </w:rPr>
        <w:t xml:space="preserve">Food safety, brand trust and consumer perception in China’s beverage market. </w:t>
      </w:r>
      <w:r w:rsidRPr="00603F13">
        <w:rPr>
          <w:rFonts w:ascii="Arial" w:hAnsi="Arial" w:cs="Arial"/>
          <w:i/>
          <w:iCs/>
          <w:sz w:val="24"/>
          <w:szCs w:val="24"/>
        </w:rPr>
        <w:t xml:space="preserve">Journal of Consumer </w:t>
      </w:r>
      <w:proofErr w:type="spellStart"/>
      <w:r w:rsidRPr="00603F13">
        <w:rPr>
          <w:rFonts w:ascii="Arial" w:hAnsi="Arial" w:cs="Arial"/>
          <w:i/>
          <w:iCs/>
          <w:sz w:val="24"/>
          <w:szCs w:val="24"/>
        </w:rPr>
        <w:t>Behaviour</w:t>
      </w:r>
      <w:proofErr w:type="spellEnd"/>
      <w:r w:rsidRPr="00603F13">
        <w:rPr>
          <w:rFonts w:ascii="Arial" w:hAnsi="Arial" w:cs="Arial"/>
          <w:sz w:val="24"/>
          <w:szCs w:val="24"/>
        </w:rPr>
        <w:t>, 20(5), 1034–1047.</w:t>
      </w:r>
      <w:r w:rsidRPr="00603F13">
        <w:rPr>
          <w:rFonts w:ascii="Arial" w:hAnsi="Arial" w:cs="Arial"/>
          <w:sz w:val="24"/>
          <w:szCs w:val="24"/>
        </w:rPr>
        <w:br/>
        <w:t xml:space="preserve">DOI: </w:t>
      </w:r>
      <w:hyperlink r:id="rId22" w:history="1">
        <w:r w:rsidRPr="00603F13">
          <w:rPr>
            <w:rFonts w:ascii="Arial" w:hAnsi="Arial" w:cs="Arial"/>
            <w:color w:val="0000FF"/>
            <w:sz w:val="24"/>
            <w:szCs w:val="24"/>
            <w:u w:val="single"/>
          </w:rPr>
          <w:t>https://doi.org/10.1002/cb.1915</w:t>
        </w:r>
      </w:hyperlink>
    </w:p>
    <w:p w14:paraId="6BABB393"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China National Bureau of Statistics (2024), </w:t>
      </w:r>
      <w:r w:rsidRPr="00603F13">
        <w:rPr>
          <w:rFonts w:ascii="Arial" w:hAnsi="Arial" w:cs="Arial"/>
          <w:sz w:val="24"/>
          <w:szCs w:val="24"/>
        </w:rPr>
        <w:t>Annual Consumer Goods Retail Statistics.</w:t>
      </w:r>
      <w:r w:rsidRPr="00603F13">
        <w:rPr>
          <w:rFonts w:ascii="Arial" w:hAnsi="Arial" w:cs="Arial"/>
          <w:sz w:val="24"/>
          <w:szCs w:val="24"/>
        </w:rPr>
        <w:br/>
        <w:t xml:space="preserve">Link: </w:t>
      </w:r>
      <w:hyperlink r:id="rId23" w:history="1">
        <w:r w:rsidRPr="00603F13">
          <w:rPr>
            <w:rFonts w:ascii="Arial" w:hAnsi="Arial" w:cs="Arial"/>
            <w:color w:val="0000FF"/>
            <w:sz w:val="24"/>
            <w:szCs w:val="24"/>
            <w:u w:val="single"/>
          </w:rPr>
          <w:t>https://www.stats.gov.cn</w:t>
        </w:r>
      </w:hyperlink>
    </w:p>
    <w:p w14:paraId="3514EDC9"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Clark, T., Chen, L. &amp; Li, Y. (2022), </w:t>
      </w:r>
      <w:r w:rsidRPr="00603F13">
        <w:rPr>
          <w:rFonts w:ascii="Arial" w:hAnsi="Arial" w:cs="Arial"/>
          <w:sz w:val="24"/>
          <w:szCs w:val="24"/>
        </w:rPr>
        <w:t xml:space="preserve">Strategic transformation of Coca-Cola’s China bottling operations. </w:t>
      </w:r>
      <w:r w:rsidRPr="00603F13">
        <w:rPr>
          <w:rFonts w:ascii="Arial" w:hAnsi="Arial" w:cs="Arial"/>
          <w:i/>
          <w:iCs/>
          <w:sz w:val="24"/>
          <w:szCs w:val="24"/>
        </w:rPr>
        <w:t>Asia Pacific Business Review</w:t>
      </w:r>
      <w:r w:rsidRPr="00603F13">
        <w:rPr>
          <w:rFonts w:ascii="Arial" w:hAnsi="Arial" w:cs="Arial"/>
          <w:sz w:val="24"/>
          <w:szCs w:val="24"/>
        </w:rPr>
        <w:t>, 28(2), 241–259.</w:t>
      </w:r>
      <w:r w:rsidRPr="00603F13">
        <w:rPr>
          <w:rFonts w:ascii="Arial" w:hAnsi="Arial" w:cs="Arial"/>
          <w:sz w:val="24"/>
          <w:szCs w:val="24"/>
        </w:rPr>
        <w:br/>
        <w:t xml:space="preserve">DOI: </w:t>
      </w:r>
      <w:hyperlink r:id="rId24" w:history="1">
        <w:r w:rsidRPr="00603F13">
          <w:rPr>
            <w:rFonts w:ascii="Arial" w:hAnsi="Arial" w:cs="Arial"/>
            <w:color w:val="0000FF"/>
            <w:sz w:val="24"/>
            <w:szCs w:val="24"/>
            <w:u w:val="single"/>
          </w:rPr>
          <w:t>https://doi.org/10.1080/13602381.2021.1883884</w:t>
        </w:r>
      </w:hyperlink>
    </w:p>
    <w:p w14:paraId="7EF31AB2"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Coca-Cola (2024), </w:t>
      </w:r>
      <w:r w:rsidRPr="00603F13">
        <w:rPr>
          <w:rFonts w:ascii="Arial" w:hAnsi="Arial" w:cs="Arial"/>
          <w:sz w:val="24"/>
          <w:szCs w:val="24"/>
        </w:rPr>
        <w:t>The Coca-Cola Company Annual Report 2024.</w:t>
      </w:r>
      <w:r w:rsidRPr="00603F13">
        <w:rPr>
          <w:rFonts w:ascii="Arial" w:hAnsi="Arial" w:cs="Arial"/>
          <w:sz w:val="24"/>
          <w:szCs w:val="24"/>
        </w:rPr>
        <w:br/>
        <w:t xml:space="preserve">Link: </w:t>
      </w:r>
      <w:hyperlink r:id="rId25" w:history="1">
        <w:r w:rsidRPr="00603F13">
          <w:rPr>
            <w:rFonts w:ascii="Arial" w:hAnsi="Arial" w:cs="Arial"/>
            <w:color w:val="0000FF"/>
            <w:sz w:val="24"/>
            <w:szCs w:val="24"/>
            <w:u w:val="single"/>
          </w:rPr>
          <w:t>https://investors.coca-colacompany.com</w:t>
        </w:r>
      </w:hyperlink>
    </w:p>
    <w:p w14:paraId="4F542755"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De Mooij, M. (2023), </w:t>
      </w:r>
      <w:r w:rsidRPr="00603F13">
        <w:rPr>
          <w:rFonts w:ascii="Arial" w:hAnsi="Arial" w:cs="Arial"/>
          <w:i/>
          <w:iCs/>
          <w:sz w:val="24"/>
          <w:szCs w:val="24"/>
        </w:rPr>
        <w:t>Global Marketing and Advertising: Understanding Cultural Paradoxes</w:t>
      </w:r>
      <w:r w:rsidRPr="00603F13">
        <w:rPr>
          <w:rFonts w:ascii="Arial" w:hAnsi="Arial" w:cs="Arial"/>
          <w:sz w:val="24"/>
          <w:szCs w:val="24"/>
        </w:rPr>
        <w:t xml:space="preserve"> (5th ed.). Sage.</w:t>
      </w:r>
      <w:r w:rsidRPr="00603F13">
        <w:rPr>
          <w:rFonts w:ascii="Arial" w:hAnsi="Arial" w:cs="Arial"/>
          <w:sz w:val="24"/>
          <w:szCs w:val="24"/>
        </w:rPr>
        <w:br/>
        <w:t xml:space="preserve">Link: </w:t>
      </w:r>
      <w:hyperlink r:id="rId26" w:history="1">
        <w:r w:rsidRPr="00603F13">
          <w:rPr>
            <w:rFonts w:ascii="Arial" w:hAnsi="Arial" w:cs="Arial"/>
            <w:color w:val="0000FF"/>
            <w:sz w:val="24"/>
            <w:szCs w:val="24"/>
            <w:u w:val="single"/>
          </w:rPr>
          <w:t>https://us.sagepub.com/en-us/nam/global-marketing-and-advertising/book278495</w:t>
        </w:r>
      </w:hyperlink>
    </w:p>
    <w:p w14:paraId="6A75CDB4"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Deloitte (2023), </w:t>
      </w:r>
      <w:r w:rsidRPr="00603F13">
        <w:rPr>
          <w:rFonts w:ascii="Arial" w:hAnsi="Arial" w:cs="Arial"/>
          <w:sz w:val="24"/>
          <w:szCs w:val="24"/>
        </w:rPr>
        <w:t>Global Consumer and Supply Chain Outlook 2023.</w:t>
      </w:r>
      <w:r w:rsidRPr="00603F13">
        <w:rPr>
          <w:rFonts w:ascii="Arial" w:hAnsi="Arial" w:cs="Arial"/>
          <w:sz w:val="24"/>
          <w:szCs w:val="24"/>
        </w:rPr>
        <w:br/>
        <w:t xml:space="preserve">Link: </w:t>
      </w:r>
      <w:hyperlink r:id="rId27" w:history="1">
        <w:r w:rsidRPr="00603F13">
          <w:rPr>
            <w:rFonts w:ascii="Arial" w:hAnsi="Arial" w:cs="Arial"/>
            <w:color w:val="0000FF"/>
            <w:sz w:val="24"/>
            <w:szCs w:val="24"/>
            <w:u w:val="single"/>
          </w:rPr>
          <w:t>https://www2.deloitte.com/global/en/insights</w:t>
        </w:r>
      </w:hyperlink>
    </w:p>
    <w:p w14:paraId="44616CD3"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lastRenderedPageBreak/>
        <w:t xml:space="preserve">Euromonitor International (2024), </w:t>
      </w:r>
      <w:r w:rsidRPr="00603F13">
        <w:rPr>
          <w:rFonts w:ascii="Arial" w:hAnsi="Arial" w:cs="Arial"/>
          <w:sz w:val="24"/>
          <w:szCs w:val="24"/>
        </w:rPr>
        <w:t>Soft Drinks in China: Industry Overview and Forecast.</w:t>
      </w:r>
      <w:r w:rsidRPr="00603F13">
        <w:rPr>
          <w:rFonts w:ascii="Arial" w:hAnsi="Arial" w:cs="Arial"/>
          <w:sz w:val="24"/>
          <w:szCs w:val="24"/>
        </w:rPr>
        <w:br/>
        <w:t xml:space="preserve">Link (login required): </w:t>
      </w:r>
      <w:hyperlink r:id="rId28" w:history="1">
        <w:r w:rsidRPr="00603F13">
          <w:rPr>
            <w:rFonts w:ascii="Arial" w:hAnsi="Arial" w:cs="Arial"/>
            <w:color w:val="0000FF"/>
            <w:sz w:val="24"/>
            <w:szCs w:val="24"/>
            <w:u w:val="single"/>
          </w:rPr>
          <w:t>https://www.euromonitor.com</w:t>
        </w:r>
      </w:hyperlink>
    </w:p>
    <w:p w14:paraId="6898ACD9"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Financial Times (2024), </w:t>
      </w:r>
      <w:r w:rsidRPr="00603F13">
        <w:rPr>
          <w:rFonts w:ascii="Arial" w:hAnsi="Arial" w:cs="Arial"/>
          <w:sz w:val="24"/>
          <w:szCs w:val="24"/>
        </w:rPr>
        <w:t>Foreign brands face rising nationalistic sentiment in China’s consumer market (7 July).</w:t>
      </w:r>
      <w:r w:rsidRPr="00603F13">
        <w:rPr>
          <w:rFonts w:ascii="Arial" w:hAnsi="Arial" w:cs="Arial"/>
          <w:sz w:val="24"/>
          <w:szCs w:val="24"/>
        </w:rPr>
        <w:br/>
        <w:t xml:space="preserve">Link: </w:t>
      </w:r>
      <w:hyperlink r:id="rId29" w:history="1">
        <w:r w:rsidRPr="00603F13">
          <w:rPr>
            <w:rFonts w:ascii="Arial" w:hAnsi="Arial" w:cs="Arial"/>
            <w:color w:val="0000FF"/>
            <w:sz w:val="24"/>
            <w:szCs w:val="24"/>
            <w:u w:val="single"/>
          </w:rPr>
          <w:t>https://www.ft.com</w:t>
        </w:r>
      </w:hyperlink>
    </w:p>
    <w:p w14:paraId="442BE4A3"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Gao &amp; Tian (2022), </w:t>
      </w:r>
      <w:r w:rsidRPr="00603F13">
        <w:rPr>
          <w:rFonts w:ascii="Arial" w:hAnsi="Arial" w:cs="Arial"/>
          <w:sz w:val="24"/>
          <w:szCs w:val="24"/>
        </w:rPr>
        <w:t xml:space="preserve">Digital platform ecosystems and consumer engagement in China. </w:t>
      </w:r>
      <w:r w:rsidRPr="00603F13">
        <w:rPr>
          <w:rFonts w:ascii="Arial" w:hAnsi="Arial" w:cs="Arial"/>
          <w:i/>
          <w:iCs/>
          <w:sz w:val="24"/>
          <w:szCs w:val="24"/>
        </w:rPr>
        <w:t>Journal of Interactive Marketing</w:t>
      </w:r>
      <w:r w:rsidRPr="00603F13">
        <w:rPr>
          <w:rFonts w:ascii="Arial" w:hAnsi="Arial" w:cs="Arial"/>
          <w:sz w:val="24"/>
          <w:szCs w:val="24"/>
        </w:rPr>
        <w:t>, 58(3), 32–49.</w:t>
      </w:r>
      <w:r w:rsidRPr="00603F13">
        <w:rPr>
          <w:rFonts w:ascii="Arial" w:hAnsi="Arial" w:cs="Arial"/>
          <w:sz w:val="24"/>
          <w:szCs w:val="24"/>
        </w:rPr>
        <w:br/>
        <w:t xml:space="preserve">DOI: </w:t>
      </w:r>
      <w:hyperlink r:id="rId30" w:history="1">
        <w:r w:rsidRPr="00603F13">
          <w:rPr>
            <w:rFonts w:ascii="Arial" w:hAnsi="Arial" w:cs="Arial"/>
            <w:color w:val="0000FF"/>
            <w:sz w:val="24"/>
            <w:szCs w:val="24"/>
            <w:u w:val="single"/>
          </w:rPr>
          <w:t>https://doi.org/10.1016/j.intmar.2022.03.001</w:t>
        </w:r>
      </w:hyperlink>
    </w:p>
    <w:p w14:paraId="62EF18F4"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Ghemawat, P. (2021), </w:t>
      </w:r>
      <w:r w:rsidRPr="00603F13">
        <w:rPr>
          <w:rFonts w:ascii="Arial" w:hAnsi="Arial" w:cs="Arial"/>
          <w:i/>
          <w:iCs/>
          <w:sz w:val="24"/>
          <w:szCs w:val="24"/>
        </w:rPr>
        <w:t>Globalization in the New Normal</w:t>
      </w:r>
      <w:r w:rsidRPr="00603F13">
        <w:rPr>
          <w:rFonts w:ascii="Arial" w:hAnsi="Arial" w:cs="Arial"/>
          <w:sz w:val="24"/>
          <w:szCs w:val="24"/>
        </w:rPr>
        <w:t>. Harvard Business Review Press.</w:t>
      </w:r>
      <w:r w:rsidRPr="00603F13">
        <w:rPr>
          <w:rFonts w:ascii="Arial" w:hAnsi="Arial" w:cs="Arial"/>
          <w:sz w:val="24"/>
          <w:szCs w:val="24"/>
        </w:rPr>
        <w:br/>
        <w:t xml:space="preserve">Link: </w:t>
      </w:r>
      <w:hyperlink r:id="rId31" w:history="1">
        <w:r w:rsidRPr="00603F13">
          <w:rPr>
            <w:rFonts w:ascii="Arial" w:hAnsi="Arial" w:cs="Arial"/>
            <w:color w:val="0000FF"/>
            <w:sz w:val="24"/>
            <w:szCs w:val="24"/>
            <w:u w:val="single"/>
          </w:rPr>
          <w:t>https://hbr.org/books</w:t>
        </w:r>
      </w:hyperlink>
    </w:p>
    <w:p w14:paraId="099D3D62"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Greenpeace Asia (2023), </w:t>
      </w:r>
      <w:r w:rsidRPr="00603F13">
        <w:rPr>
          <w:rFonts w:ascii="Arial" w:hAnsi="Arial" w:cs="Arial"/>
          <w:sz w:val="24"/>
          <w:szCs w:val="24"/>
        </w:rPr>
        <w:t>Plastic Waste and FMCG Sustainability Trends in Asia.</w:t>
      </w:r>
      <w:r w:rsidRPr="00603F13">
        <w:rPr>
          <w:rFonts w:ascii="Arial" w:hAnsi="Arial" w:cs="Arial"/>
          <w:sz w:val="24"/>
          <w:szCs w:val="24"/>
        </w:rPr>
        <w:br/>
        <w:t xml:space="preserve">Link: </w:t>
      </w:r>
      <w:hyperlink r:id="rId32" w:history="1">
        <w:r w:rsidRPr="00603F13">
          <w:rPr>
            <w:rFonts w:ascii="Arial" w:hAnsi="Arial" w:cs="Arial"/>
            <w:color w:val="0000FF"/>
            <w:sz w:val="24"/>
            <w:szCs w:val="24"/>
            <w:u w:val="single"/>
          </w:rPr>
          <w:t>https://www.greenpeace.org/asia</w:t>
        </w:r>
      </w:hyperlink>
    </w:p>
    <w:p w14:paraId="70488BED"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Harvard Business Review (2022), </w:t>
      </w:r>
      <w:r w:rsidRPr="00603F13">
        <w:rPr>
          <w:rFonts w:ascii="Arial" w:hAnsi="Arial" w:cs="Arial"/>
          <w:sz w:val="24"/>
          <w:szCs w:val="24"/>
        </w:rPr>
        <w:t>Competing in emerging markets: The new rules for multinational success.</w:t>
      </w:r>
      <w:r w:rsidRPr="00603F13">
        <w:rPr>
          <w:rFonts w:ascii="Arial" w:hAnsi="Arial" w:cs="Arial"/>
          <w:sz w:val="24"/>
          <w:szCs w:val="24"/>
        </w:rPr>
        <w:br/>
        <w:t xml:space="preserve">Link: </w:t>
      </w:r>
      <w:hyperlink r:id="rId33" w:history="1">
        <w:r w:rsidRPr="00603F13">
          <w:rPr>
            <w:rFonts w:ascii="Arial" w:hAnsi="Arial" w:cs="Arial"/>
            <w:color w:val="0000FF"/>
            <w:sz w:val="24"/>
            <w:szCs w:val="24"/>
            <w:u w:val="single"/>
          </w:rPr>
          <w:t>https://hbr.org</w:t>
        </w:r>
      </w:hyperlink>
    </w:p>
    <w:p w14:paraId="2A2CED33"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Hill &amp; Hult (2023), </w:t>
      </w:r>
      <w:r w:rsidRPr="00603F13">
        <w:rPr>
          <w:rFonts w:ascii="Arial" w:hAnsi="Arial" w:cs="Arial"/>
          <w:i/>
          <w:iCs/>
          <w:sz w:val="24"/>
          <w:szCs w:val="24"/>
        </w:rPr>
        <w:t>International Business: Competing in the Global Marketplace</w:t>
      </w:r>
      <w:r w:rsidRPr="00603F13">
        <w:rPr>
          <w:rFonts w:ascii="Arial" w:hAnsi="Arial" w:cs="Arial"/>
          <w:sz w:val="24"/>
          <w:szCs w:val="24"/>
        </w:rPr>
        <w:t xml:space="preserve"> (14th ed.). McGraw-Hill.</w:t>
      </w:r>
      <w:r w:rsidRPr="00603F13">
        <w:rPr>
          <w:rFonts w:ascii="Arial" w:hAnsi="Arial" w:cs="Arial"/>
          <w:sz w:val="24"/>
          <w:szCs w:val="24"/>
        </w:rPr>
        <w:br/>
        <w:t xml:space="preserve">Link: </w:t>
      </w:r>
      <w:hyperlink r:id="rId34" w:history="1">
        <w:r w:rsidRPr="00603F13">
          <w:rPr>
            <w:rFonts w:ascii="Arial" w:hAnsi="Arial" w:cs="Arial"/>
            <w:color w:val="0000FF"/>
            <w:sz w:val="24"/>
            <w:szCs w:val="24"/>
            <w:u w:val="single"/>
          </w:rPr>
          <w:t>https://www.mheducation.com/highered</w:t>
        </w:r>
      </w:hyperlink>
    </w:p>
    <w:p w14:paraId="189478CC"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Hofstede Insights (2023), </w:t>
      </w:r>
      <w:r w:rsidRPr="00603F13">
        <w:rPr>
          <w:rFonts w:ascii="Arial" w:hAnsi="Arial" w:cs="Arial"/>
          <w:sz w:val="24"/>
          <w:szCs w:val="24"/>
        </w:rPr>
        <w:t>Country Comparison: China vs United States.</w:t>
      </w:r>
      <w:r w:rsidRPr="00603F13">
        <w:rPr>
          <w:rFonts w:ascii="Arial" w:hAnsi="Arial" w:cs="Arial"/>
          <w:sz w:val="24"/>
          <w:szCs w:val="24"/>
        </w:rPr>
        <w:br/>
        <w:t xml:space="preserve">Link: </w:t>
      </w:r>
      <w:hyperlink r:id="rId35" w:history="1">
        <w:r w:rsidRPr="00603F13">
          <w:rPr>
            <w:rFonts w:ascii="Arial" w:hAnsi="Arial" w:cs="Arial"/>
            <w:color w:val="0000FF"/>
            <w:sz w:val="24"/>
            <w:szCs w:val="24"/>
            <w:u w:val="single"/>
          </w:rPr>
          <w:t>https://www.hofstede-insights.com/country-comparison/china,the-usa</w:t>
        </w:r>
      </w:hyperlink>
    </w:p>
    <w:p w14:paraId="12EAF797"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IMF (2023), </w:t>
      </w:r>
      <w:r w:rsidRPr="00603F13">
        <w:rPr>
          <w:rFonts w:ascii="Arial" w:hAnsi="Arial" w:cs="Arial"/>
          <w:sz w:val="24"/>
          <w:szCs w:val="24"/>
        </w:rPr>
        <w:t>China Economic Outlook 2023.</w:t>
      </w:r>
      <w:r w:rsidRPr="00603F13">
        <w:rPr>
          <w:rFonts w:ascii="Arial" w:hAnsi="Arial" w:cs="Arial"/>
          <w:sz w:val="24"/>
          <w:szCs w:val="24"/>
        </w:rPr>
        <w:br/>
        <w:t xml:space="preserve">Link: </w:t>
      </w:r>
      <w:hyperlink r:id="rId36" w:history="1">
        <w:r w:rsidRPr="00603F13">
          <w:rPr>
            <w:rFonts w:ascii="Arial" w:hAnsi="Arial" w:cs="Arial"/>
            <w:color w:val="0000FF"/>
            <w:sz w:val="24"/>
            <w:szCs w:val="24"/>
            <w:u w:val="single"/>
          </w:rPr>
          <w:t>https://www.imf.org/en/Countries/CHN</w:t>
        </w:r>
      </w:hyperlink>
    </w:p>
    <w:p w14:paraId="5B290849"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Interbrand (2024), </w:t>
      </w:r>
      <w:r w:rsidRPr="00603F13">
        <w:rPr>
          <w:rFonts w:ascii="Arial" w:hAnsi="Arial" w:cs="Arial"/>
          <w:sz w:val="24"/>
          <w:szCs w:val="24"/>
        </w:rPr>
        <w:t>Best Global Brands 2024.</w:t>
      </w:r>
      <w:r w:rsidRPr="00603F13">
        <w:rPr>
          <w:rFonts w:ascii="Arial" w:hAnsi="Arial" w:cs="Arial"/>
          <w:sz w:val="24"/>
          <w:szCs w:val="24"/>
        </w:rPr>
        <w:br/>
        <w:t xml:space="preserve">Link: </w:t>
      </w:r>
      <w:hyperlink r:id="rId37" w:history="1">
        <w:r w:rsidRPr="00603F13">
          <w:rPr>
            <w:rFonts w:ascii="Arial" w:hAnsi="Arial" w:cs="Arial"/>
            <w:color w:val="0000FF"/>
            <w:sz w:val="24"/>
            <w:szCs w:val="24"/>
            <w:u w:val="single"/>
          </w:rPr>
          <w:t>https://interbrand.com/best-global-brands</w:t>
        </w:r>
      </w:hyperlink>
    </w:p>
    <w:p w14:paraId="502FCDB5"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proofErr w:type="spellStart"/>
      <w:r w:rsidRPr="00603F13">
        <w:rPr>
          <w:rFonts w:ascii="Arial" w:hAnsi="Arial" w:cs="Arial"/>
          <w:bCs/>
          <w:sz w:val="24"/>
          <w:szCs w:val="24"/>
        </w:rPr>
        <w:t>Kotabe</w:t>
      </w:r>
      <w:proofErr w:type="spellEnd"/>
      <w:r w:rsidRPr="00603F13">
        <w:rPr>
          <w:rFonts w:ascii="Arial" w:hAnsi="Arial" w:cs="Arial"/>
          <w:bCs/>
          <w:sz w:val="24"/>
          <w:szCs w:val="24"/>
        </w:rPr>
        <w:t xml:space="preserve"> &amp; Kwon (2022), </w:t>
      </w:r>
      <w:r w:rsidRPr="00603F13">
        <w:rPr>
          <w:rFonts w:ascii="Arial" w:hAnsi="Arial" w:cs="Arial"/>
          <w:sz w:val="24"/>
          <w:szCs w:val="24"/>
        </w:rPr>
        <w:t xml:space="preserve">Global marketing strategy and local adaptation dynamics. </w:t>
      </w:r>
      <w:r w:rsidRPr="00603F13">
        <w:rPr>
          <w:rFonts w:ascii="Arial" w:hAnsi="Arial" w:cs="Arial"/>
          <w:i/>
          <w:iCs/>
          <w:sz w:val="24"/>
          <w:szCs w:val="24"/>
        </w:rPr>
        <w:t>Journal of International Marketing</w:t>
      </w:r>
      <w:r w:rsidRPr="00603F13">
        <w:rPr>
          <w:rFonts w:ascii="Arial" w:hAnsi="Arial" w:cs="Arial"/>
          <w:sz w:val="24"/>
          <w:szCs w:val="24"/>
        </w:rPr>
        <w:t>, 30(1), 1–20.</w:t>
      </w:r>
      <w:r w:rsidRPr="00603F13">
        <w:rPr>
          <w:rFonts w:ascii="Arial" w:hAnsi="Arial" w:cs="Arial"/>
          <w:sz w:val="24"/>
          <w:szCs w:val="24"/>
        </w:rPr>
        <w:br/>
        <w:t xml:space="preserve">DOI: </w:t>
      </w:r>
      <w:hyperlink r:id="rId38" w:history="1">
        <w:r w:rsidRPr="00603F13">
          <w:rPr>
            <w:rFonts w:ascii="Arial" w:hAnsi="Arial" w:cs="Arial"/>
            <w:color w:val="0000FF"/>
            <w:sz w:val="24"/>
            <w:szCs w:val="24"/>
            <w:u w:val="single"/>
          </w:rPr>
          <w:t>https://doi.org/10.1177/1069031X211057996</w:t>
        </w:r>
      </w:hyperlink>
    </w:p>
    <w:p w14:paraId="54F375E4"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KPMG China (2023), </w:t>
      </w:r>
      <w:r w:rsidRPr="00603F13">
        <w:rPr>
          <w:rFonts w:ascii="Arial" w:hAnsi="Arial" w:cs="Arial"/>
          <w:sz w:val="24"/>
          <w:szCs w:val="24"/>
        </w:rPr>
        <w:t>China Consumer and Retail Market Outlook.</w:t>
      </w:r>
      <w:r w:rsidRPr="00603F13">
        <w:rPr>
          <w:rFonts w:ascii="Arial" w:hAnsi="Arial" w:cs="Arial"/>
          <w:sz w:val="24"/>
          <w:szCs w:val="24"/>
        </w:rPr>
        <w:br/>
        <w:t xml:space="preserve">Link: </w:t>
      </w:r>
      <w:hyperlink r:id="rId39" w:history="1">
        <w:r w:rsidRPr="00603F13">
          <w:rPr>
            <w:rFonts w:ascii="Arial" w:hAnsi="Arial" w:cs="Arial"/>
            <w:color w:val="0000FF"/>
            <w:sz w:val="24"/>
            <w:szCs w:val="24"/>
            <w:u w:val="single"/>
          </w:rPr>
          <w:t>https://kpmg.com/cn/en/home/insights</w:t>
        </w:r>
      </w:hyperlink>
    </w:p>
    <w:p w14:paraId="1AFE7D34"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lastRenderedPageBreak/>
        <w:t xml:space="preserve">Li &amp; Shen (2021), </w:t>
      </w:r>
      <w:r w:rsidRPr="00603F13">
        <w:rPr>
          <w:rFonts w:ascii="Arial" w:hAnsi="Arial" w:cs="Arial"/>
          <w:sz w:val="24"/>
          <w:szCs w:val="24"/>
        </w:rPr>
        <w:t xml:space="preserve">Strategic </w:t>
      </w:r>
      <w:proofErr w:type="spellStart"/>
      <w:r w:rsidRPr="00603F13">
        <w:rPr>
          <w:rFonts w:ascii="Arial" w:hAnsi="Arial" w:cs="Arial"/>
          <w:sz w:val="24"/>
          <w:szCs w:val="24"/>
        </w:rPr>
        <w:t>localisation</w:t>
      </w:r>
      <w:proofErr w:type="spellEnd"/>
      <w:r w:rsidRPr="00603F13">
        <w:rPr>
          <w:rFonts w:ascii="Arial" w:hAnsi="Arial" w:cs="Arial"/>
          <w:sz w:val="24"/>
          <w:szCs w:val="24"/>
        </w:rPr>
        <w:t xml:space="preserve"> of MNCs in the Chinese FMCG sector. </w:t>
      </w:r>
      <w:r w:rsidRPr="00603F13">
        <w:rPr>
          <w:rFonts w:ascii="Arial" w:hAnsi="Arial" w:cs="Arial"/>
          <w:i/>
          <w:iCs/>
          <w:sz w:val="24"/>
          <w:szCs w:val="24"/>
        </w:rPr>
        <w:t>Management International Review</w:t>
      </w:r>
      <w:r w:rsidRPr="00603F13">
        <w:rPr>
          <w:rFonts w:ascii="Arial" w:hAnsi="Arial" w:cs="Arial"/>
          <w:sz w:val="24"/>
          <w:szCs w:val="24"/>
        </w:rPr>
        <w:t>, 61(4), 521–544.</w:t>
      </w:r>
      <w:r w:rsidRPr="00603F13">
        <w:rPr>
          <w:rFonts w:ascii="Arial" w:hAnsi="Arial" w:cs="Arial"/>
          <w:sz w:val="24"/>
          <w:szCs w:val="24"/>
        </w:rPr>
        <w:br/>
        <w:t xml:space="preserve">DOI: </w:t>
      </w:r>
      <w:hyperlink r:id="rId40" w:history="1">
        <w:r w:rsidRPr="00603F13">
          <w:rPr>
            <w:rFonts w:ascii="Arial" w:hAnsi="Arial" w:cs="Arial"/>
            <w:color w:val="0000FF"/>
            <w:sz w:val="24"/>
            <w:szCs w:val="24"/>
            <w:u w:val="single"/>
          </w:rPr>
          <w:t>https://doi.org/10.1007/s11575-021-00442-4</w:t>
        </w:r>
      </w:hyperlink>
    </w:p>
    <w:p w14:paraId="3015F168"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McKinsey &amp; Company (2024), </w:t>
      </w:r>
      <w:r w:rsidRPr="00603F13">
        <w:rPr>
          <w:rFonts w:ascii="Arial" w:hAnsi="Arial" w:cs="Arial"/>
          <w:sz w:val="24"/>
          <w:szCs w:val="24"/>
        </w:rPr>
        <w:t xml:space="preserve">China Digital Consumer Report 2024: Platforms, Payments and </w:t>
      </w:r>
      <w:proofErr w:type="spellStart"/>
      <w:r w:rsidRPr="00603F13">
        <w:rPr>
          <w:rFonts w:ascii="Arial" w:hAnsi="Arial" w:cs="Arial"/>
          <w:sz w:val="24"/>
          <w:szCs w:val="24"/>
        </w:rPr>
        <w:t>Behavioural</w:t>
      </w:r>
      <w:proofErr w:type="spellEnd"/>
      <w:r w:rsidRPr="00603F13">
        <w:rPr>
          <w:rFonts w:ascii="Arial" w:hAnsi="Arial" w:cs="Arial"/>
          <w:sz w:val="24"/>
          <w:szCs w:val="24"/>
        </w:rPr>
        <w:t xml:space="preserve"> Shifts.</w:t>
      </w:r>
      <w:r w:rsidRPr="00603F13">
        <w:rPr>
          <w:rFonts w:ascii="Arial" w:hAnsi="Arial" w:cs="Arial"/>
          <w:sz w:val="24"/>
          <w:szCs w:val="24"/>
        </w:rPr>
        <w:br/>
        <w:t xml:space="preserve">Link: </w:t>
      </w:r>
      <w:hyperlink r:id="rId41" w:history="1">
        <w:r w:rsidRPr="00603F13">
          <w:rPr>
            <w:rFonts w:ascii="Arial" w:hAnsi="Arial" w:cs="Arial"/>
            <w:color w:val="0000FF"/>
            <w:sz w:val="24"/>
            <w:szCs w:val="24"/>
            <w:u w:val="single"/>
          </w:rPr>
          <w:t>https://www.mckinsey.com/cn</w:t>
        </w:r>
      </w:hyperlink>
    </w:p>
    <w:p w14:paraId="54DB017D"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Narula &amp; Van </w:t>
      </w:r>
      <w:proofErr w:type="spellStart"/>
      <w:r w:rsidRPr="00603F13">
        <w:rPr>
          <w:rFonts w:ascii="Arial" w:hAnsi="Arial" w:cs="Arial"/>
          <w:bCs/>
          <w:sz w:val="24"/>
          <w:szCs w:val="24"/>
        </w:rPr>
        <w:t>Tulder</w:t>
      </w:r>
      <w:proofErr w:type="spellEnd"/>
      <w:r w:rsidRPr="00603F13">
        <w:rPr>
          <w:rFonts w:ascii="Arial" w:hAnsi="Arial" w:cs="Arial"/>
          <w:bCs/>
          <w:sz w:val="24"/>
          <w:szCs w:val="24"/>
        </w:rPr>
        <w:t xml:space="preserve"> (2022), </w:t>
      </w:r>
      <w:r w:rsidRPr="00603F13">
        <w:rPr>
          <w:rFonts w:ascii="Arial" w:hAnsi="Arial" w:cs="Arial"/>
          <w:sz w:val="24"/>
          <w:szCs w:val="24"/>
        </w:rPr>
        <w:t xml:space="preserve">The revisited eclectic paradigm and its relevance to emerging market MNEs. </w:t>
      </w:r>
      <w:r w:rsidRPr="00603F13">
        <w:rPr>
          <w:rFonts w:ascii="Arial" w:hAnsi="Arial" w:cs="Arial"/>
          <w:i/>
          <w:iCs/>
          <w:sz w:val="24"/>
          <w:szCs w:val="24"/>
        </w:rPr>
        <w:t>International Business Review</w:t>
      </w:r>
      <w:r w:rsidRPr="00603F13">
        <w:rPr>
          <w:rFonts w:ascii="Arial" w:hAnsi="Arial" w:cs="Arial"/>
          <w:sz w:val="24"/>
          <w:szCs w:val="24"/>
        </w:rPr>
        <w:t>, 31(3), 1–14.</w:t>
      </w:r>
      <w:r w:rsidRPr="00603F13">
        <w:rPr>
          <w:rFonts w:ascii="Arial" w:hAnsi="Arial" w:cs="Arial"/>
          <w:sz w:val="24"/>
          <w:szCs w:val="24"/>
        </w:rPr>
        <w:br/>
        <w:t xml:space="preserve">DOI: </w:t>
      </w:r>
      <w:hyperlink r:id="rId42" w:history="1">
        <w:r w:rsidRPr="00603F13">
          <w:rPr>
            <w:rFonts w:ascii="Arial" w:hAnsi="Arial" w:cs="Arial"/>
            <w:color w:val="0000FF"/>
            <w:sz w:val="24"/>
            <w:szCs w:val="24"/>
            <w:u w:val="single"/>
          </w:rPr>
          <w:t>https://doi.org/10.1016/j.ibusrev.2021.101911</w:t>
        </w:r>
      </w:hyperlink>
    </w:p>
    <w:p w14:paraId="70D50906"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proofErr w:type="spellStart"/>
      <w:r w:rsidRPr="00603F13">
        <w:rPr>
          <w:rFonts w:ascii="Arial" w:hAnsi="Arial" w:cs="Arial"/>
          <w:bCs/>
          <w:sz w:val="24"/>
          <w:szCs w:val="24"/>
        </w:rPr>
        <w:t>NielsenIQ</w:t>
      </w:r>
      <w:proofErr w:type="spellEnd"/>
      <w:r w:rsidRPr="00603F13">
        <w:rPr>
          <w:rFonts w:ascii="Arial" w:hAnsi="Arial" w:cs="Arial"/>
          <w:bCs/>
          <w:sz w:val="24"/>
          <w:szCs w:val="24"/>
        </w:rPr>
        <w:t xml:space="preserve"> (2024), </w:t>
      </w:r>
      <w:r w:rsidRPr="00603F13">
        <w:rPr>
          <w:rFonts w:ascii="Arial" w:hAnsi="Arial" w:cs="Arial"/>
          <w:sz w:val="24"/>
          <w:szCs w:val="24"/>
        </w:rPr>
        <w:t>China Beverage Consumer Trends.</w:t>
      </w:r>
      <w:r w:rsidRPr="00603F13">
        <w:rPr>
          <w:rFonts w:ascii="Arial" w:hAnsi="Arial" w:cs="Arial"/>
          <w:sz w:val="24"/>
          <w:szCs w:val="24"/>
        </w:rPr>
        <w:br/>
        <w:t xml:space="preserve">Link: </w:t>
      </w:r>
      <w:hyperlink r:id="rId43" w:history="1">
        <w:r w:rsidRPr="00603F13">
          <w:rPr>
            <w:rFonts w:ascii="Arial" w:hAnsi="Arial" w:cs="Arial"/>
            <w:color w:val="0000FF"/>
            <w:sz w:val="24"/>
            <w:szCs w:val="24"/>
            <w:u w:val="single"/>
          </w:rPr>
          <w:t>https://nielseniq.com/global/en</w:t>
        </w:r>
      </w:hyperlink>
    </w:p>
    <w:p w14:paraId="37C82B9C"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PwC (2023), </w:t>
      </w:r>
      <w:r w:rsidRPr="00603F13">
        <w:rPr>
          <w:rFonts w:ascii="Arial" w:hAnsi="Arial" w:cs="Arial"/>
          <w:sz w:val="24"/>
          <w:szCs w:val="24"/>
        </w:rPr>
        <w:t>Global Supply Chain Resilience Report.</w:t>
      </w:r>
      <w:r w:rsidRPr="00603F13">
        <w:rPr>
          <w:rFonts w:ascii="Arial" w:hAnsi="Arial" w:cs="Arial"/>
          <w:sz w:val="24"/>
          <w:szCs w:val="24"/>
        </w:rPr>
        <w:br/>
        <w:t xml:space="preserve">Link: </w:t>
      </w:r>
      <w:hyperlink r:id="rId44" w:history="1">
        <w:r w:rsidRPr="00603F13">
          <w:rPr>
            <w:rFonts w:ascii="Arial" w:hAnsi="Arial" w:cs="Arial"/>
            <w:color w:val="0000FF"/>
            <w:sz w:val="24"/>
            <w:szCs w:val="24"/>
            <w:u w:val="single"/>
          </w:rPr>
          <w:t>https://www.pwc.com/gx/en/issues</w:t>
        </w:r>
      </w:hyperlink>
    </w:p>
    <w:p w14:paraId="153DC00A"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Reuters (2024), </w:t>
      </w:r>
      <w:r w:rsidRPr="00603F13">
        <w:rPr>
          <w:rFonts w:ascii="Arial" w:hAnsi="Arial" w:cs="Arial"/>
          <w:sz w:val="24"/>
          <w:szCs w:val="24"/>
        </w:rPr>
        <w:t>Genki Forest expands aggressively, challenging multinational beverage giants in China (11 April).</w:t>
      </w:r>
      <w:r w:rsidRPr="00603F13">
        <w:rPr>
          <w:rFonts w:ascii="Arial" w:hAnsi="Arial" w:cs="Arial"/>
          <w:sz w:val="24"/>
          <w:szCs w:val="24"/>
        </w:rPr>
        <w:br/>
        <w:t xml:space="preserve">Link: </w:t>
      </w:r>
      <w:hyperlink r:id="rId45" w:history="1">
        <w:r w:rsidRPr="00603F13">
          <w:rPr>
            <w:rFonts w:ascii="Arial" w:hAnsi="Arial" w:cs="Arial"/>
            <w:color w:val="0000FF"/>
            <w:sz w:val="24"/>
            <w:szCs w:val="24"/>
            <w:u w:val="single"/>
          </w:rPr>
          <w:t>https://www.reuters.com</w:t>
        </w:r>
      </w:hyperlink>
    </w:p>
    <w:p w14:paraId="7CFCF43B"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Rugman &amp; Verbeke (2022), </w:t>
      </w:r>
      <w:r w:rsidRPr="00603F13">
        <w:rPr>
          <w:rFonts w:ascii="Arial" w:hAnsi="Arial" w:cs="Arial"/>
          <w:sz w:val="24"/>
          <w:szCs w:val="24"/>
        </w:rPr>
        <w:t xml:space="preserve">Theory of multinational enterprise revisited: Regional strategy in a global world. </w:t>
      </w:r>
      <w:r w:rsidRPr="00603F13">
        <w:rPr>
          <w:rFonts w:ascii="Arial" w:hAnsi="Arial" w:cs="Arial"/>
          <w:i/>
          <w:iCs/>
          <w:sz w:val="24"/>
          <w:szCs w:val="24"/>
        </w:rPr>
        <w:t>Journal of International Business Studies</w:t>
      </w:r>
      <w:r w:rsidRPr="00603F13">
        <w:rPr>
          <w:rFonts w:ascii="Arial" w:hAnsi="Arial" w:cs="Arial"/>
          <w:sz w:val="24"/>
          <w:szCs w:val="24"/>
        </w:rPr>
        <w:t>, 53(4), 715–729.</w:t>
      </w:r>
      <w:r w:rsidRPr="00603F13">
        <w:rPr>
          <w:rFonts w:ascii="Arial" w:hAnsi="Arial" w:cs="Arial"/>
          <w:sz w:val="24"/>
          <w:szCs w:val="24"/>
        </w:rPr>
        <w:br/>
        <w:t xml:space="preserve">DOI: </w:t>
      </w:r>
      <w:hyperlink r:id="rId46" w:history="1">
        <w:r w:rsidRPr="00603F13">
          <w:rPr>
            <w:rFonts w:ascii="Arial" w:hAnsi="Arial" w:cs="Arial"/>
            <w:color w:val="0000FF"/>
            <w:sz w:val="24"/>
            <w:szCs w:val="24"/>
            <w:u w:val="single"/>
          </w:rPr>
          <w:t>https://doi.org/10.1057/s41267-021-00497-3</w:t>
        </w:r>
      </w:hyperlink>
    </w:p>
    <w:p w14:paraId="0F3268E8"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Statista (2024), </w:t>
      </w:r>
      <w:r w:rsidRPr="00603F13">
        <w:rPr>
          <w:rFonts w:ascii="Arial" w:hAnsi="Arial" w:cs="Arial"/>
          <w:sz w:val="24"/>
          <w:szCs w:val="24"/>
        </w:rPr>
        <w:t>Soft Drink Consumption in China 2021–2024.</w:t>
      </w:r>
      <w:r w:rsidRPr="00603F13">
        <w:rPr>
          <w:rFonts w:ascii="Arial" w:hAnsi="Arial" w:cs="Arial"/>
          <w:sz w:val="24"/>
          <w:szCs w:val="24"/>
        </w:rPr>
        <w:br/>
        <w:t xml:space="preserve">Link: </w:t>
      </w:r>
      <w:hyperlink r:id="rId47" w:history="1">
        <w:r w:rsidRPr="00603F13">
          <w:rPr>
            <w:rFonts w:ascii="Arial" w:hAnsi="Arial" w:cs="Arial"/>
            <w:color w:val="0000FF"/>
            <w:sz w:val="24"/>
            <w:szCs w:val="24"/>
            <w:u w:val="single"/>
          </w:rPr>
          <w:t>https://www.statista.com</w:t>
        </w:r>
      </w:hyperlink>
    </w:p>
    <w:p w14:paraId="1BEF4E4C"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UNCTAD (2023), </w:t>
      </w:r>
      <w:r w:rsidRPr="00603F13">
        <w:rPr>
          <w:rFonts w:ascii="Arial" w:hAnsi="Arial" w:cs="Arial"/>
          <w:sz w:val="24"/>
          <w:szCs w:val="24"/>
        </w:rPr>
        <w:t>World Investment Report 2023: International Production and Supply Chains.</w:t>
      </w:r>
      <w:r w:rsidRPr="00603F13">
        <w:rPr>
          <w:rFonts w:ascii="Arial" w:hAnsi="Arial" w:cs="Arial"/>
          <w:sz w:val="24"/>
          <w:szCs w:val="24"/>
        </w:rPr>
        <w:br/>
        <w:t xml:space="preserve">Link: </w:t>
      </w:r>
      <w:hyperlink r:id="rId48" w:history="1">
        <w:r w:rsidRPr="00603F13">
          <w:rPr>
            <w:rFonts w:ascii="Arial" w:hAnsi="Arial" w:cs="Arial"/>
            <w:color w:val="0000FF"/>
            <w:sz w:val="24"/>
            <w:szCs w:val="24"/>
            <w:u w:val="single"/>
          </w:rPr>
          <w:t>https://unctad.org/publication/world-investment-report-2023</w:t>
        </w:r>
      </w:hyperlink>
    </w:p>
    <w:p w14:paraId="469B6E0F"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Wang &amp; Wang (2023), </w:t>
      </w:r>
      <w:r w:rsidRPr="00603F13">
        <w:rPr>
          <w:rFonts w:ascii="Arial" w:hAnsi="Arial" w:cs="Arial"/>
          <w:sz w:val="24"/>
          <w:szCs w:val="24"/>
        </w:rPr>
        <w:t xml:space="preserve">Sustainability pressures in China’s beverage supply chain. </w:t>
      </w:r>
      <w:r w:rsidRPr="00603F13">
        <w:rPr>
          <w:rFonts w:ascii="Arial" w:hAnsi="Arial" w:cs="Arial"/>
          <w:i/>
          <w:iCs/>
          <w:sz w:val="24"/>
          <w:szCs w:val="24"/>
        </w:rPr>
        <w:t>Journal of Cleaner Production</w:t>
      </w:r>
      <w:r w:rsidRPr="00603F13">
        <w:rPr>
          <w:rFonts w:ascii="Arial" w:hAnsi="Arial" w:cs="Arial"/>
          <w:sz w:val="24"/>
          <w:szCs w:val="24"/>
        </w:rPr>
        <w:t>, 411, 137214.</w:t>
      </w:r>
      <w:r w:rsidRPr="00603F13">
        <w:rPr>
          <w:rFonts w:ascii="Arial" w:hAnsi="Arial" w:cs="Arial"/>
          <w:sz w:val="24"/>
          <w:szCs w:val="24"/>
        </w:rPr>
        <w:br/>
        <w:t xml:space="preserve">DOI: </w:t>
      </w:r>
      <w:hyperlink r:id="rId49" w:history="1">
        <w:r w:rsidRPr="00603F13">
          <w:rPr>
            <w:rFonts w:ascii="Arial" w:hAnsi="Arial" w:cs="Arial"/>
            <w:color w:val="0000FF"/>
            <w:sz w:val="24"/>
            <w:szCs w:val="24"/>
            <w:u w:val="single"/>
          </w:rPr>
          <w:t>https://doi.org/10.1016/j.jclepro.2023.137214</w:t>
        </w:r>
      </w:hyperlink>
    </w:p>
    <w:p w14:paraId="53DA14FB"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Wang &amp; Xie (2022), </w:t>
      </w:r>
      <w:r w:rsidRPr="00603F13">
        <w:rPr>
          <w:rFonts w:ascii="Arial" w:hAnsi="Arial" w:cs="Arial"/>
          <w:sz w:val="24"/>
          <w:szCs w:val="24"/>
        </w:rPr>
        <w:t xml:space="preserve">Cultural consumer preferences and beverage choice in China. </w:t>
      </w:r>
      <w:r w:rsidRPr="00603F13">
        <w:rPr>
          <w:rFonts w:ascii="Arial" w:hAnsi="Arial" w:cs="Arial"/>
          <w:i/>
          <w:iCs/>
          <w:sz w:val="24"/>
          <w:szCs w:val="24"/>
        </w:rPr>
        <w:t>Asia Pacific Journal of Marketing and Logistics</w:t>
      </w:r>
      <w:r w:rsidRPr="00603F13">
        <w:rPr>
          <w:rFonts w:ascii="Arial" w:hAnsi="Arial" w:cs="Arial"/>
          <w:sz w:val="24"/>
          <w:szCs w:val="24"/>
        </w:rPr>
        <w:t>, 34(8), 1672–1691.</w:t>
      </w:r>
      <w:r w:rsidRPr="00603F13">
        <w:rPr>
          <w:rFonts w:ascii="Arial" w:hAnsi="Arial" w:cs="Arial"/>
          <w:sz w:val="24"/>
          <w:szCs w:val="24"/>
        </w:rPr>
        <w:br/>
        <w:t xml:space="preserve">DOI: </w:t>
      </w:r>
      <w:hyperlink r:id="rId50" w:history="1">
        <w:r w:rsidRPr="00603F13">
          <w:rPr>
            <w:rFonts w:ascii="Arial" w:hAnsi="Arial" w:cs="Arial"/>
            <w:color w:val="0000FF"/>
            <w:sz w:val="24"/>
            <w:szCs w:val="24"/>
            <w:u w:val="single"/>
          </w:rPr>
          <w:t>https://doi.org/10.1108/APJML-08-2021-0601</w:t>
        </w:r>
      </w:hyperlink>
    </w:p>
    <w:p w14:paraId="7063D1B9"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lastRenderedPageBreak/>
        <w:t xml:space="preserve">World Bank (2023), </w:t>
      </w:r>
      <w:r w:rsidRPr="00603F13">
        <w:rPr>
          <w:rFonts w:ascii="Arial" w:hAnsi="Arial" w:cs="Arial"/>
          <w:sz w:val="24"/>
          <w:szCs w:val="24"/>
        </w:rPr>
        <w:t xml:space="preserve">China Economic Update: Consumption, </w:t>
      </w:r>
      <w:proofErr w:type="spellStart"/>
      <w:r w:rsidRPr="00603F13">
        <w:rPr>
          <w:rFonts w:ascii="Arial" w:hAnsi="Arial" w:cs="Arial"/>
          <w:sz w:val="24"/>
          <w:szCs w:val="24"/>
        </w:rPr>
        <w:t>Urbanisation</w:t>
      </w:r>
      <w:proofErr w:type="spellEnd"/>
      <w:r w:rsidRPr="00603F13">
        <w:rPr>
          <w:rFonts w:ascii="Arial" w:hAnsi="Arial" w:cs="Arial"/>
          <w:sz w:val="24"/>
          <w:szCs w:val="24"/>
        </w:rPr>
        <w:t xml:space="preserve"> and Growth Trends.</w:t>
      </w:r>
      <w:r w:rsidRPr="00603F13">
        <w:rPr>
          <w:rFonts w:ascii="Arial" w:hAnsi="Arial" w:cs="Arial"/>
          <w:sz w:val="24"/>
          <w:szCs w:val="24"/>
        </w:rPr>
        <w:br/>
        <w:t xml:space="preserve">Link: </w:t>
      </w:r>
      <w:hyperlink r:id="rId51" w:history="1">
        <w:r w:rsidRPr="00603F13">
          <w:rPr>
            <w:rFonts w:ascii="Arial" w:hAnsi="Arial" w:cs="Arial"/>
            <w:color w:val="0000FF"/>
            <w:sz w:val="24"/>
            <w:szCs w:val="24"/>
            <w:u w:val="single"/>
          </w:rPr>
          <w:t>https://www.worldbank.org/en/country/china/publication</w:t>
        </w:r>
      </w:hyperlink>
    </w:p>
    <w:p w14:paraId="40719FAB" w14:textId="77777777" w:rsidR="006D7F7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Zhang &amp; </w:t>
      </w:r>
      <w:proofErr w:type="spellStart"/>
      <w:r w:rsidRPr="00603F13">
        <w:rPr>
          <w:rFonts w:ascii="Arial" w:hAnsi="Arial" w:cs="Arial"/>
          <w:bCs/>
          <w:sz w:val="24"/>
          <w:szCs w:val="24"/>
        </w:rPr>
        <w:t>Kacker</w:t>
      </w:r>
      <w:proofErr w:type="spellEnd"/>
      <w:r w:rsidRPr="00603F13">
        <w:rPr>
          <w:rFonts w:ascii="Arial" w:hAnsi="Arial" w:cs="Arial"/>
          <w:bCs/>
          <w:sz w:val="24"/>
          <w:szCs w:val="24"/>
        </w:rPr>
        <w:t xml:space="preserve"> (2022), </w:t>
      </w:r>
      <w:r w:rsidRPr="00603F13">
        <w:rPr>
          <w:rFonts w:ascii="Arial" w:hAnsi="Arial" w:cs="Arial"/>
          <w:sz w:val="24"/>
          <w:szCs w:val="24"/>
        </w:rPr>
        <w:t xml:space="preserve">The rise of social commerce in China and implications for MNCs. </w:t>
      </w:r>
      <w:r w:rsidRPr="00603F13">
        <w:rPr>
          <w:rFonts w:ascii="Arial" w:hAnsi="Arial" w:cs="Arial"/>
          <w:i/>
          <w:iCs/>
          <w:sz w:val="24"/>
          <w:szCs w:val="24"/>
        </w:rPr>
        <w:t>International Marketing Review</w:t>
      </w:r>
      <w:r w:rsidRPr="00603F13">
        <w:rPr>
          <w:rFonts w:ascii="Arial" w:hAnsi="Arial" w:cs="Arial"/>
          <w:sz w:val="24"/>
          <w:szCs w:val="24"/>
        </w:rPr>
        <w:t>, 39(5), 1042–1063.</w:t>
      </w:r>
      <w:r w:rsidRPr="00603F13">
        <w:rPr>
          <w:rFonts w:ascii="Arial" w:hAnsi="Arial" w:cs="Arial"/>
          <w:sz w:val="24"/>
          <w:szCs w:val="24"/>
        </w:rPr>
        <w:br/>
        <w:t xml:space="preserve">DOI: </w:t>
      </w:r>
      <w:hyperlink r:id="rId52" w:history="1">
        <w:r w:rsidRPr="00603F13">
          <w:rPr>
            <w:rFonts w:ascii="Arial" w:hAnsi="Arial" w:cs="Arial"/>
            <w:color w:val="0000FF"/>
            <w:sz w:val="24"/>
            <w:szCs w:val="24"/>
            <w:u w:val="single"/>
          </w:rPr>
          <w:t>https://doi.org/10.1108/IMR-09-2020-0217</w:t>
        </w:r>
      </w:hyperlink>
    </w:p>
    <w:p w14:paraId="62072787" w14:textId="77777777" w:rsidR="00603F13" w:rsidRPr="00603F13" w:rsidRDefault="006D7F73" w:rsidP="00603F13">
      <w:pPr>
        <w:pStyle w:val="ListParagraph"/>
        <w:numPr>
          <w:ilvl w:val="0"/>
          <w:numId w:val="42"/>
        </w:numPr>
        <w:spacing w:line="360" w:lineRule="auto"/>
        <w:jc w:val="both"/>
        <w:rPr>
          <w:rFonts w:ascii="Arial" w:hAnsi="Arial" w:cs="Arial"/>
          <w:bCs/>
          <w:sz w:val="24"/>
          <w:szCs w:val="24"/>
        </w:rPr>
      </w:pPr>
      <w:r w:rsidRPr="00603F13">
        <w:rPr>
          <w:rFonts w:ascii="Arial" w:hAnsi="Arial" w:cs="Arial"/>
          <w:bCs/>
          <w:sz w:val="24"/>
          <w:szCs w:val="24"/>
        </w:rPr>
        <w:t xml:space="preserve">Zhao &amp; Keith (2023), </w:t>
      </w:r>
      <w:r w:rsidRPr="00603F13">
        <w:rPr>
          <w:rFonts w:ascii="Arial" w:hAnsi="Arial" w:cs="Arial"/>
          <w:sz w:val="24"/>
          <w:szCs w:val="24"/>
        </w:rPr>
        <w:t xml:space="preserve">Regulation, foreign investment and the beverage industry in China. </w:t>
      </w:r>
      <w:r w:rsidRPr="00603F13">
        <w:rPr>
          <w:rFonts w:ascii="Arial" w:hAnsi="Arial" w:cs="Arial"/>
          <w:i/>
          <w:iCs/>
          <w:sz w:val="24"/>
          <w:szCs w:val="24"/>
        </w:rPr>
        <w:t>Journal of Asian Business Studies</w:t>
      </w:r>
      <w:r w:rsidRPr="00603F13">
        <w:rPr>
          <w:rFonts w:ascii="Arial" w:hAnsi="Arial" w:cs="Arial"/>
          <w:sz w:val="24"/>
          <w:szCs w:val="24"/>
        </w:rPr>
        <w:t>, 17(2), 245–262.</w:t>
      </w:r>
      <w:r w:rsidRPr="00603F13">
        <w:rPr>
          <w:rFonts w:ascii="Arial" w:hAnsi="Arial" w:cs="Arial"/>
          <w:sz w:val="24"/>
          <w:szCs w:val="24"/>
        </w:rPr>
        <w:br/>
        <w:t xml:space="preserve">DOI: </w:t>
      </w:r>
      <w:hyperlink r:id="rId53" w:history="1">
        <w:r w:rsidRPr="00603F13">
          <w:rPr>
            <w:rFonts w:ascii="Arial" w:hAnsi="Arial" w:cs="Arial"/>
            <w:color w:val="0000FF"/>
            <w:sz w:val="24"/>
            <w:szCs w:val="24"/>
            <w:u w:val="single"/>
          </w:rPr>
          <w:t>https://doi.org/10.1108/JABS-05-2021-0182</w:t>
        </w:r>
      </w:hyperlink>
    </w:p>
    <w:p w14:paraId="47846007" w14:textId="77777777" w:rsidR="00603F13" w:rsidRDefault="00603F13" w:rsidP="00603F13"/>
    <w:p w14:paraId="3C64BB4B" w14:textId="77777777" w:rsidR="00603F13" w:rsidRDefault="00603F13" w:rsidP="00603F13"/>
    <w:p w14:paraId="7F720269" w14:textId="77777777" w:rsidR="00603F13" w:rsidRDefault="00603F13" w:rsidP="00603F13"/>
    <w:p w14:paraId="53D37200" w14:textId="77777777" w:rsidR="00603F13" w:rsidRDefault="00603F13" w:rsidP="00603F13"/>
    <w:p w14:paraId="71C94D94" w14:textId="77777777" w:rsidR="00603F13" w:rsidRDefault="00603F13" w:rsidP="00603F13"/>
    <w:p w14:paraId="52B20FF7" w14:textId="77777777" w:rsidR="00603F13" w:rsidRDefault="00603F13" w:rsidP="00603F13"/>
    <w:p w14:paraId="141B5179" w14:textId="77777777" w:rsidR="00603F13" w:rsidRDefault="00603F13" w:rsidP="00603F13"/>
    <w:p w14:paraId="77114128" w14:textId="77777777" w:rsidR="00603F13" w:rsidRDefault="00603F13" w:rsidP="00603F13"/>
    <w:p w14:paraId="6BFD9031" w14:textId="77777777" w:rsidR="00603F13" w:rsidRDefault="00603F13" w:rsidP="00603F13"/>
    <w:p w14:paraId="7991A0F5" w14:textId="77777777" w:rsidR="00603F13" w:rsidRDefault="00603F13" w:rsidP="00603F13"/>
    <w:p w14:paraId="62D8CC44" w14:textId="77777777" w:rsidR="00603F13" w:rsidRDefault="00603F13" w:rsidP="00603F13"/>
    <w:p w14:paraId="322130E2" w14:textId="77777777" w:rsidR="00603F13" w:rsidRDefault="00603F13" w:rsidP="00603F13"/>
    <w:p w14:paraId="3E5D2252" w14:textId="77777777" w:rsidR="00603F13" w:rsidRDefault="00603F13" w:rsidP="00603F13"/>
    <w:p w14:paraId="15FA83ED" w14:textId="77777777" w:rsidR="00603F13" w:rsidRDefault="00603F13" w:rsidP="00603F13"/>
    <w:p w14:paraId="46A3D04C" w14:textId="77777777" w:rsidR="00603F13" w:rsidRDefault="00603F13" w:rsidP="00603F13"/>
    <w:p w14:paraId="157ACC1A" w14:textId="77777777" w:rsidR="00603F13" w:rsidRDefault="00603F13" w:rsidP="00603F13"/>
    <w:p w14:paraId="22F4C8C7" w14:textId="77777777" w:rsidR="00603F13" w:rsidRDefault="00603F13" w:rsidP="00603F13"/>
    <w:p w14:paraId="23C75123" w14:textId="77777777" w:rsidR="00603F13" w:rsidRDefault="00603F13" w:rsidP="00603F13"/>
    <w:p w14:paraId="30807333" w14:textId="77777777" w:rsidR="00603F13" w:rsidRDefault="00603F13" w:rsidP="00603F13"/>
    <w:p w14:paraId="4AD029F1" w14:textId="77777777" w:rsidR="00603F13" w:rsidRDefault="00603F13" w:rsidP="00603F13"/>
    <w:p w14:paraId="2EE5E828" w14:textId="77777777" w:rsidR="00A10CE2" w:rsidRDefault="00603F13" w:rsidP="00603F13">
      <w:pPr>
        <w:pStyle w:val="Heading1"/>
      </w:pPr>
      <w:bookmarkStart w:id="27" w:name="_Toc216539912"/>
      <w:r>
        <w:lastRenderedPageBreak/>
        <w:t>Appendix:</w:t>
      </w:r>
      <w:bookmarkEnd w:id="27"/>
    </w:p>
    <w:p w14:paraId="450805B2" w14:textId="77777777" w:rsidR="00603F13" w:rsidRDefault="00603F13" w:rsidP="00603F13">
      <w:pPr>
        <w:pStyle w:val="Heading2"/>
      </w:pPr>
      <w:bookmarkStart w:id="28" w:name="_Toc216539913"/>
      <w:r>
        <w:t>Coca-Cola annual reports</w:t>
      </w:r>
      <w:bookmarkEnd w:id="28"/>
    </w:p>
    <w:p w14:paraId="5FCF5C39" w14:textId="77777777" w:rsidR="00603F13" w:rsidRDefault="00603F13" w:rsidP="006D7F73">
      <w:pPr>
        <w:spacing w:line="360" w:lineRule="auto"/>
        <w:jc w:val="both"/>
        <w:rPr>
          <w:rFonts w:ascii="Arial" w:hAnsi="Arial" w:cs="Arial"/>
          <w:sz w:val="24"/>
          <w:szCs w:val="24"/>
        </w:rPr>
      </w:pPr>
      <w:hyperlink r:id="rId54" w:history="1">
        <w:r w:rsidRPr="000E1E14">
          <w:rPr>
            <w:rStyle w:val="Hyperlink"/>
            <w:rFonts w:ascii="Arial" w:hAnsi="Arial" w:cs="Arial"/>
            <w:sz w:val="24"/>
            <w:szCs w:val="24"/>
          </w:rPr>
          <w:t>https://www.annualreports.com/Company/coca-cola</w:t>
        </w:r>
      </w:hyperlink>
    </w:p>
    <w:p w14:paraId="3111D964" w14:textId="77777777" w:rsidR="00603F13" w:rsidRDefault="00603F13" w:rsidP="006D7F73">
      <w:pPr>
        <w:spacing w:line="360" w:lineRule="auto"/>
        <w:jc w:val="both"/>
        <w:rPr>
          <w:rFonts w:ascii="Arial" w:hAnsi="Arial" w:cs="Arial"/>
          <w:sz w:val="24"/>
          <w:szCs w:val="24"/>
        </w:rPr>
      </w:pPr>
      <w:hyperlink r:id="rId55" w:history="1">
        <w:r w:rsidRPr="000E1E14">
          <w:rPr>
            <w:rStyle w:val="Hyperlink"/>
            <w:rFonts w:ascii="Arial" w:hAnsi="Arial" w:cs="Arial"/>
            <w:sz w:val="24"/>
            <w:szCs w:val="24"/>
          </w:rPr>
          <w:t>https://investor.cokeconsolidated.com/financial-information/annual-reports</w:t>
        </w:r>
      </w:hyperlink>
    </w:p>
    <w:p w14:paraId="14CD8D46" w14:textId="77777777" w:rsidR="00603F13" w:rsidRDefault="00603F13" w:rsidP="006D7F73">
      <w:pPr>
        <w:spacing w:line="360" w:lineRule="auto"/>
        <w:jc w:val="both"/>
        <w:rPr>
          <w:rFonts w:ascii="Arial" w:hAnsi="Arial" w:cs="Arial"/>
          <w:sz w:val="24"/>
          <w:szCs w:val="24"/>
        </w:rPr>
      </w:pPr>
      <w:hyperlink r:id="rId56" w:history="1">
        <w:r w:rsidRPr="000E1E14">
          <w:rPr>
            <w:rStyle w:val="Hyperlink"/>
            <w:rFonts w:ascii="Arial" w:hAnsi="Arial" w:cs="Arial"/>
            <w:sz w:val="24"/>
            <w:szCs w:val="24"/>
          </w:rPr>
          <w:t>https://investors.coca-colacompany.com/financial-information</w:t>
        </w:r>
      </w:hyperlink>
    </w:p>
    <w:p w14:paraId="2CB175E5" w14:textId="77777777" w:rsidR="00603F13" w:rsidRDefault="00603F13" w:rsidP="006D7F73">
      <w:pPr>
        <w:spacing w:line="360" w:lineRule="auto"/>
        <w:jc w:val="both"/>
        <w:rPr>
          <w:rFonts w:ascii="Arial" w:hAnsi="Arial" w:cs="Arial"/>
          <w:sz w:val="24"/>
          <w:szCs w:val="24"/>
        </w:rPr>
      </w:pPr>
      <w:hyperlink r:id="rId57" w:history="1">
        <w:r w:rsidRPr="000E1E14">
          <w:rPr>
            <w:rStyle w:val="Hyperlink"/>
            <w:rFonts w:ascii="Arial" w:hAnsi="Arial" w:cs="Arial"/>
            <w:sz w:val="24"/>
            <w:szCs w:val="24"/>
          </w:rPr>
          <w:t>https://www.cci.com.tr/en/investor-relations/financial-information-and-presentations</w:t>
        </w:r>
      </w:hyperlink>
    </w:p>
    <w:p w14:paraId="2F04A643" w14:textId="77777777" w:rsidR="00603F13" w:rsidRDefault="00603F13" w:rsidP="006D7F73">
      <w:pPr>
        <w:spacing w:line="360" w:lineRule="auto"/>
        <w:jc w:val="both"/>
        <w:rPr>
          <w:rFonts w:ascii="Arial" w:hAnsi="Arial" w:cs="Arial"/>
          <w:sz w:val="24"/>
          <w:szCs w:val="24"/>
        </w:rPr>
      </w:pPr>
      <w:hyperlink r:id="rId58" w:history="1">
        <w:r w:rsidRPr="000E1E14">
          <w:rPr>
            <w:rStyle w:val="Hyperlink"/>
            <w:rFonts w:ascii="Arial" w:hAnsi="Arial" w:cs="Arial"/>
            <w:sz w:val="24"/>
            <w:szCs w:val="24"/>
          </w:rPr>
          <w:t>https://ir.cocacolaep.com/financial-reports-and-results/annual-reports</w:t>
        </w:r>
      </w:hyperlink>
    </w:p>
    <w:p w14:paraId="606B2A89" w14:textId="77777777" w:rsidR="00603F13" w:rsidRPr="006D7F73" w:rsidRDefault="00603F13" w:rsidP="006D7F73">
      <w:pPr>
        <w:spacing w:line="360" w:lineRule="auto"/>
        <w:jc w:val="both"/>
        <w:rPr>
          <w:rFonts w:ascii="Arial" w:hAnsi="Arial" w:cs="Arial"/>
          <w:sz w:val="24"/>
          <w:szCs w:val="24"/>
        </w:rPr>
      </w:pPr>
    </w:p>
    <w:sectPr w:rsidR="00603F13" w:rsidRPr="006D7F73">
      <w:headerReference w:type="default" r:id="rId5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4DD05" w14:textId="77777777" w:rsidR="004F3220" w:rsidRDefault="004F3220" w:rsidP="00712C31">
      <w:pPr>
        <w:spacing w:after="0" w:line="240" w:lineRule="auto"/>
      </w:pPr>
      <w:r>
        <w:separator/>
      </w:r>
    </w:p>
  </w:endnote>
  <w:endnote w:type="continuationSeparator" w:id="0">
    <w:p w14:paraId="52AFCA87" w14:textId="77777777" w:rsidR="004F3220" w:rsidRDefault="004F3220" w:rsidP="00712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8B55B" w14:textId="77777777" w:rsidR="004F3220" w:rsidRDefault="004F3220" w:rsidP="00712C31">
      <w:pPr>
        <w:spacing w:after="0" w:line="240" w:lineRule="auto"/>
      </w:pPr>
      <w:r>
        <w:separator/>
      </w:r>
    </w:p>
  </w:footnote>
  <w:footnote w:type="continuationSeparator" w:id="0">
    <w:p w14:paraId="0C324A30" w14:textId="77777777" w:rsidR="004F3220" w:rsidRDefault="004F3220" w:rsidP="00712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622621"/>
      <w:docPartObj>
        <w:docPartGallery w:val="Page Numbers (Top of Page)"/>
        <w:docPartUnique/>
      </w:docPartObj>
    </w:sdtPr>
    <w:sdtEndPr>
      <w:rPr>
        <w:noProof/>
      </w:rPr>
    </w:sdtEndPr>
    <w:sdtContent>
      <w:p w14:paraId="60F03F02" w14:textId="77777777" w:rsidR="00807D6F" w:rsidRDefault="00807D6F">
        <w:pPr>
          <w:pStyle w:val="Header"/>
          <w:jc w:val="right"/>
        </w:pPr>
        <w:r>
          <w:fldChar w:fldCharType="begin"/>
        </w:r>
        <w:r>
          <w:instrText xml:space="preserve"> PAGE   \* MERGEFORMAT </w:instrText>
        </w:r>
        <w:r>
          <w:fldChar w:fldCharType="separate"/>
        </w:r>
        <w:r w:rsidR="00603F13">
          <w:rPr>
            <w:noProof/>
          </w:rPr>
          <w:t>21</w:t>
        </w:r>
        <w:r>
          <w:rPr>
            <w:noProof/>
          </w:rPr>
          <w:fldChar w:fldCharType="end"/>
        </w:r>
      </w:p>
    </w:sdtContent>
  </w:sdt>
  <w:p w14:paraId="7BAE073D" w14:textId="77777777" w:rsidR="00807D6F" w:rsidRDefault="00807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18F8"/>
    <w:multiLevelType w:val="multilevel"/>
    <w:tmpl w:val="16E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B2AFE"/>
    <w:multiLevelType w:val="hybridMultilevel"/>
    <w:tmpl w:val="31782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E2546"/>
    <w:multiLevelType w:val="hybridMultilevel"/>
    <w:tmpl w:val="4CAA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852FEE"/>
    <w:multiLevelType w:val="multilevel"/>
    <w:tmpl w:val="0286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D6B29"/>
    <w:multiLevelType w:val="multilevel"/>
    <w:tmpl w:val="8948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854C8"/>
    <w:multiLevelType w:val="hybridMultilevel"/>
    <w:tmpl w:val="84C29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79079F"/>
    <w:multiLevelType w:val="multilevel"/>
    <w:tmpl w:val="0000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D1587"/>
    <w:multiLevelType w:val="multilevel"/>
    <w:tmpl w:val="1EA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F554B"/>
    <w:multiLevelType w:val="hybridMultilevel"/>
    <w:tmpl w:val="E43C6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431FC8"/>
    <w:multiLevelType w:val="multilevel"/>
    <w:tmpl w:val="E616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33AEA"/>
    <w:multiLevelType w:val="multilevel"/>
    <w:tmpl w:val="B8682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B247B9"/>
    <w:multiLevelType w:val="multilevel"/>
    <w:tmpl w:val="8876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67C0C"/>
    <w:multiLevelType w:val="multilevel"/>
    <w:tmpl w:val="487C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469EB"/>
    <w:multiLevelType w:val="multilevel"/>
    <w:tmpl w:val="37E0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D3A3E"/>
    <w:multiLevelType w:val="multilevel"/>
    <w:tmpl w:val="4B8A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203BF"/>
    <w:multiLevelType w:val="multilevel"/>
    <w:tmpl w:val="BC0A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58134B"/>
    <w:multiLevelType w:val="multilevel"/>
    <w:tmpl w:val="90DA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0D4B48"/>
    <w:multiLevelType w:val="multilevel"/>
    <w:tmpl w:val="8ACE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27E17"/>
    <w:multiLevelType w:val="multilevel"/>
    <w:tmpl w:val="25DC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EC28F5"/>
    <w:multiLevelType w:val="multilevel"/>
    <w:tmpl w:val="090E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1029CB"/>
    <w:multiLevelType w:val="multilevel"/>
    <w:tmpl w:val="0EC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05DAB"/>
    <w:multiLevelType w:val="multilevel"/>
    <w:tmpl w:val="81B6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536C48"/>
    <w:multiLevelType w:val="multilevel"/>
    <w:tmpl w:val="8D6A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539B0"/>
    <w:multiLevelType w:val="multilevel"/>
    <w:tmpl w:val="B2F0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7F7541"/>
    <w:multiLevelType w:val="multilevel"/>
    <w:tmpl w:val="FC46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C9149F"/>
    <w:multiLevelType w:val="hybridMultilevel"/>
    <w:tmpl w:val="8104D5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53D495C"/>
    <w:multiLevelType w:val="multilevel"/>
    <w:tmpl w:val="2CC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6E33D0"/>
    <w:multiLevelType w:val="multilevel"/>
    <w:tmpl w:val="FBEE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141A91"/>
    <w:multiLevelType w:val="multilevel"/>
    <w:tmpl w:val="CD7A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C60B98"/>
    <w:multiLevelType w:val="multilevel"/>
    <w:tmpl w:val="06E8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A22934"/>
    <w:multiLevelType w:val="hybridMultilevel"/>
    <w:tmpl w:val="BD668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9D6571"/>
    <w:multiLevelType w:val="multilevel"/>
    <w:tmpl w:val="C910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484601"/>
    <w:multiLevelType w:val="multilevel"/>
    <w:tmpl w:val="BF02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8E6471"/>
    <w:multiLevelType w:val="multilevel"/>
    <w:tmpl w:val="23CE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D575BD"/>
    <w:multiLevelType w:val="multilevel"/>
    <w:tmpl w:val="2576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1341B8"/>
    <w:multiLevelType w:val="multilevel"/>
    <w:tmpl w:val="FCA8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F32F41"/>
    <w:multiLevelType w:val="multilevel"/>
    <w:tmpl w:val="3BEA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350343"/>
    <w:multiLevelType w:val="hybridMultilevel"/>
    <w:tmpl w:val="8B2CA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F00AB8"/>
    <w:multiLevelType w:val="multilevel"/>
    <w:tmpl w:val="D854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FA73F3"/>
    <w:multiLevelType w:val="hybridMultilevel"/>
    <w:tmpl w:val="06D80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894B7B"/>
    <w:multiLevelType w:val="multilevel"/>
    <w:tmpl w:val="F560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8B16FF"/>
    <w:multiLevelType w:val="multilevel"/>
    <w:tmpl w:val="D6CA8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6508416">
    <w:abstractNumId w:val="4"/>
  </w:num>
  <w:num w:numId="2" w16cid:durableId="1861775003">
    <w:abstractNumId w:val="40"/>
  </w:num>
  <w:num w:numId="3" w16cid:durableId="2019843172">
    <w:abstractNumId w:val="29"/>
  </w:num>
  <w:num w:numId="4" w16cid:durableId="2017415481">
    <w:abstractNumId w:val="0"/>
  </w:num>
  <w:num w:numId="5" w16cid:durableId="450133223">
    <w:abstractNumId w:val="24"/>
  </w:num>
  <w:num w:numId="6" w16cid:durableId="1732002691">
    <w:abstractNumId w:val="19"/>
  </w:num>
  <w:num w:numId="7" w16cid:durableId="149106150">
    <w:abstractNumId w:val="38"/>
  </w:num>
  <w:num w:numId="8" w16cid:durableId="949553099">
    <w:abstractNumId w:val="15"/>
  </w:num>
  <w:num w:numId="9" w16cid:durableId="150877250">
    <w:abstractNumId w:val="10"/>
  </w:num>
  <w:num w:numId="10" w16cid:durableId="1582368890">
    <w:abstractNumId w:val="34"/>
  </w:num>
  <w:num w:numId="11" w16cid:durableId="989217367">
    <w:abstractNumId w:val="35"/>
  </w:num>
  <w:num w:numId="12" w16cid:durableId="182786868">
    <w:abstractNumId w:val="28"/>
  </w:num>
  <w:num w:numId="13" w16cid:durableId="291641665">
    <w:abstractNumId w:val="41"/>
  </w:num>
  <w:num w:numId="14" w16cid:durableId="180121427">
    <w:abstractNumId w:val="22"/>
  </w:num>
  <w:num w:numId="15" w16cid:durableId="1044450328">
    <w:abstractNumId w:val="3"/>
  </w:num>
  <w:num w:numId="16" w16cid:durableId="1877505934">
    <w:abstractNumId w:val="14"/>
  </w:num>
  <w:num w:numId="17" w16cid:durableId="1885409561">
    <w:abstractNumId w:val="12"/>
  </w:num>
  <w:num w:numId="18" w16cid:durableId="741411503">
    <w:abstractNumId w:val="7"/>
  </w:num>
  <w:num w:numId="19" w16cid:durableId="1046678328">
    <w:abstractNumId w:val="31"/>
  </w:num>
  <w:num w:numId="20" w16cid:durableId="833836025">
    <w:abstractNumId w:val="32"/>
  </w:num>
  <w:num w:numId="21" w16cid:durableId="951520345">
    <w:abstractNumId w:val="18"/>
  </w:num>
  <w:num w:numId="22" w16cid:durableId="1369380583">
    <w:abstractNumId w:val="23"/>
  </w:num>
  <w:num w:numId="23" w16cid:durableId="1632008810">
    <w:abstractNumId w:val="11"/>
  </w:num>
  <w:num w:numId="24" w16cid:durableId="1678460929">
    <w:abstractNumId w:val="27"/>
  </w:num>
  <w:num w:numId="25" w16cid:durableId="926039347">
    <w:abstractNumId w:val="16"/>
  </w:num>
  <w:num w:numId="26" w16cid:durableId="1757942091">
    <w:abstractNumId w:val="6"/>
  </w:num>
  <w:num w:numId="27" w16cid:durableId="1469667205">
    <w:abstractNumId w:val="36"/>
  </w:num>
  <w:num w:numId="28" w16cid:durableId="2141725093">
    <w:abstractNumId w:val="13"/>
  </w:num>
  <w:num w:numId="29" w16cid:durableId="7605997">
    <w:abstractNumId w:val="21"/>
  </w:num>
  <w:num w:numId="30" w16cid:durableId="88504810">
    <w:abstractNumId w:val="17"/>
  </w:num>
  <w:num w:numId="31" w16cid:durableId="477307036">
    <w:abstractNumId w:val="26"/>
  </w:num>
  <w:num w:numId="32" w16cid:durableId="1029796961">
    <w:abstractNumId w:val="9"/>
  </w:num>
  <w:num w:numId="33" w16cid:durableId="1504205718">
    <w:abstractNumId w:val="20"/>
  </w:num>
  <w:num w:numId="34" w16cid:durableId="409932731">
    <w:abstractNumId w:val="33"/>
  </w:num>
  <w:num w:numId="35" w16cid:durableId="56707700">
    <w:abstractNumId w:val="5"/>
  </w:num>
  <w:num w:numId="36" w16cid:durableId="1932930425">
    <w:abstractNumId w:val="30"/>
  </w:num>
  <w:num w:numId="37" w16cid:durableId="888027620">
    <w:abstractNumId w:val="1"/>
  </w:num>
  <w:num w:numId="38" w16cid:durableId="2087216025">
    <w:abstractNumId w:val="8"/>
  </w:num>
  <w:num w:numId="39" w16cid:durableId="510413151">
    <w:abstractNumId w:val="39"/>
  </w:num>
  <w:num w:numId="40" w16cid:durableId="1376780578">
    <w:abstractNumId w:val="37"/>
  </w:num>
  <w:num w:numId="41" w16cid:durableId="1680307484">
    <w:abstractNumId w:val="25"/>
  </w:num>
  <w:num w:numId="42" w16cid:durableId="6544594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CB0"/>
    <w:rsid w:val="00027DD6"/>
    <w:rsid w:val="000A39D1"/>
    <w:rsid w:val="000D1152"/>
    <w:rsid w:val="000D3F19"/>
    <w:rsid w:val="000F1E51"/>
    <w:rsid w:val="001514F4"/>
    <w:rsid w:val="00153370"/>
    <w:rsid w:val="0019171D"/>
    <w:rsid w:val="001E4F8A"/>
    <w:rsid w:val="001E69B0"/>
    <w:rsid w:val="00281F47"/>
    <w:rsid w:val="002A10D8"/>
    <w:rsid w:val="002A681F"/>
    <w:rsid w:val="002B656F"/>
    <w:rsid w:val="002C5E0D"/>
    <w:rsid w:val="003C0A66"/>
    <w:rsid w:val="00442CB0"/>
    <w:rsid w:val="004514C2"/>
    <w:rsid w:val="0046384B"/>
    <w:rsid w:val="004F3220"/>
    <w:rsid w:val="00523C54"/>
    <w:rsid w:val="005C7DA9"/>
    <w:rsid w:val="00602588"/>
    <w:rsid w:val="00603F13"/>
    <w:rsid w:val="00606398"/>
    <w:rsid w:val="00617482"/>
    <w:rsid w:val="006D7F73"/>
    <w:rsid w:val="00712C31"/>
    <w:rsid w:val="00725CE5"/>
    <w:rsid w:val="007A41E1"/>
    <w:rsid w:val="00807BA8"/>
    <w:rsid w:val="00807D6F"/>
    <w:rsid w:val="008132F3"/>
    <w:rsid w:val="00824E14"/>
    <w:rsid w:val="00841375"/>
    <w:rsid w:val="00864BE0"/>
    <w:rsid w:val="00871720"/>
    <w:rsid w:val="008B291E"/>
    <w:rsid w:val="008E2A9D"/>
    <w:rsid w:val="00920D53"/>
    <w:rsid w:val="0092798B"/>
    <w:rsid w:val="00A05C9B"/>
    <w:rsid w:val="00A10CE2"/>
    <w:rsid w:val="00A47542"/>
    <w:rsid w:val="00AD369C"/>
    <w:rsid w:val="00AD7464"/>
    <w:rsid w:val="00AF048F"/>
    <w:rsid w:val="00B036AA"/>
    <w:rsid w:val="00B178B3"/>
    <w:rsid w:val="00B83FBA"/>
    <w:rsid w:val="00BA0B02"/>
    <w:rsid w:val="00BA15E5"/>
    <w:rsid w:val="00BB049B"/>
    <w:rsid w:val="00BC7B00"/>
    <w:rsid w:val="00CD149C"/>
    <w:rsid w:val="00D40A60"/>
    <w:rsid w:val="00D4556A"/>
    <w:rsid w:val="00D46EC2"/>
    <w:rsid w:val="00D85F15"/>
    <w:rsid w:val="00D928A1"/>
    <w:rsid w:val="00DA2A27"/>
    <w:rsid w:val="00DB21E8"/>
    <w:rsid w:val="00DC2729"/>
    <w:rsid w:val="00DC52AD"/>
    <w:rsid w:val="00DE1F60"/>
    <w:rsid w:val="00E05935"/>
    <w:rsid w:val="00E1520C"/>
    <w:rsid w:val="00E96825"/>
    <w:rsid w:val="00EB3202"/>
    <w:rsid w:val="00F018A4"/>
    <w:rsid w:val="00F2383F"/>
    <w:rsid w:val="00F5493D"/>
    <w:rsid w:val="00F65C78"/>
    <w:rsid w:val="00F94B09"/>
    <w:rsid w:val="00F96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5B444"/>
  <w15:chartTrackingRefBased/>
  <w15:docId w15:val="{29D52C67-8DF5-4D61-A28C-8E5AEEA35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036AA"/>
    <w:pPr>
      <w:keepNext/>
      <w:keepLines/>
      <w:spacing w:before="240" w:after="0" w:line="480" w:lineRule="auto"/>
      <w:jc w:val="center"/>
      <w:outlineLvl w:val="0"/>
    </w:pPr>
    <w:rPr>
      <w:rFonts w:ascii="Arial" w:eastAsiaTheme="majorEastAsia" w:hAnsi="Arial" w:cstheme="majorBidi"/>
      <w:b/>
      <w:color w:val="000000" w:themeColor="text1"/>
      <w:sz w:val="28"/>
      <w:szCs w:val="32"/>
      <w:u w:val="single"/>
    </w:rPr>
  </w:style>
  <w:style w:type="paragraph" w:styleId="Heading2">
    <w:name w:val="heading 2"/>
    <w:basedOn w:val="Normal"/>
    <w:next w:val="Normal"/>
    <w:link w:val="Heading2Char"/>
    <w:autoRedefine/>
    <w:uiPriority w:val="9"/>
    <w:unhideWhenUsed/>
    <w:qFormat/>
    <w:rsid w:val="00B036AA"/>
    <w:pPr>
      <w:keepNext/>
      <w:keepLines/>
      <w:spacing w:before="40" w:after="0" w:line="480" w:lineRule="auto"/>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semiHidden/>
    <w:unhideWhenUsed/>
    <w:qFormat/>
    <w:rsid w:val="00442C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6AA"/>
    <w:rPr>
      <w:rFonts w:ascii="Arial" w:eastAsiaTheme="majorEastAsia" w:hAnsi="Arial" w:cstheme="majorBidi"/>
      <w:b/>
      <w:color w:val="000000" w:themeColor="text1"/>
      <w:sz w:val="28"/>
      <w:szCs w:val="32"/>
      <w:u w:val="single"/>
    </w:rPr>
  </w:style>
  <w:style w:type="character" w:customStyle="1" w:styleId="Heading2Char">
    <w:name w:val="Heading 2 Char"/>
    <w:basedOn w:val="DefaultParagraphFont"/>
    <w:link w:val="Heading2"/>
    <w:uiPriority w:val="9"/>
    <w:rsid w:val="00B036AA"/>
    <w:rPr>
      <w:rFonts w:ascii="Arial" w:eastAsiaTheme="majorEastAsia" w:hAnsi="Arial" w:cstheme="majorBidi"/>
      <w:b/>
      <w:sz w:val="24"/>
      <w:szCs w:val="26"/>
    </w:rPr>
  </w:style>
  <w:style w:type="character" w:customStyle="1" w:styleId="Heading3Char">
    <w:name w:val="Heading 3 Char"/>
    <w:basedOn w:val="DefaultParagraphFont"/>
    <w:link w:val="Heading3"/>
    <w:uiPriority w:val="9"/>
    <w:semiHidden/>
    <w:rsid w:val="00442CB0"/>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442CB0"/>
    <w:rPr>
      <w:color w:val="0563C1" w:themeColor="hyperlink"/>
      <w:u w:val="single"/>
    </w:rPr>
  </w:style>
  <w:style w:type="paragraph" w:styleId="ListParagraph">
    <w:name w:val="List Paragraph"/>
    <w:basedOn w:val="Normal"/>
    <w:uiPriority w:val="34"/>
    <w:qFormat/>
    <w:rsid w:val="00F2383F"/>
    <w:pPr>
      <w:ind w:left="720"/>
      <w:contextualSpacing/>
    </w:pPr>
  </w:style>
  <w:style w:type="paragraph" w:styleId="NormalWeb">
    <w:name w:val="Normal (Web)"/>
    <w:basedOn w:val="Normal"/>
    <w:uiPriority w:val="99"/>
    <w:unhideWhenUsed/>
    <w:rsid w:val="00F238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2383F"/>
    <w:rPr>
      <w:b/>
      <w:bCs/>
    </w:rPr>
  </w:style>
  <w:style w:type="character" w:styleId="Emphasis">
    <w:name w:val="Emphasis"/>
    <w:basedOn w:val="DefaultParagraphFont"/>
    <w:uiPriority w:val="20"/>
    <w:qFormat/>
    <w:rsid w:val="00F2383F"/>
    <w:rPr>
      <w:i/>
      <w:iCs/>
    </w:rPr>
  </w:style>
  <w:style w:type="table" w:styleId="TableGrid">
    <w:name w:val="Table Grid"/>
    <w:basedOn w:val="TableNormal"/>
    <w:uiPriority w:val="39"/>
    <w:rsid w:val="00B03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C5E0D"/>
    <w:pPr>
      <w:spacing w:line="259" w:lineRule="auto"/>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2C5E0D"/>
    <w:pPr>
      <w:spacing w:after="100"/>
    </w:pPr>
  </w:style>
  <w:style w:type="paragraph" w:styleId="TOC2">
    <w:name w:val="toc 2"/>
    <w:basedOn w:val="Normal"/>
    <w:next w:val="Normal"/>
    <w:autoRedefine/>
    <w:uiPriority w:val="39"/>
    <w:unhideWhenUsed/>
    <w:rsid w:val="002C5E0D"/>
    <w:pPr>
      <w:spacing w:after="100"/>
      <w:ind w:left="220"/>
    </w:pPr>
  </w:style>
  <w:style w:type="paragraph" w:styleId="Header">
    <w:name w:val="header"/>
    <w:basedOn w:val="Normal"/>
    <w:link w:val="HeaderChar"/>
    <w:uiPriority w:val="99"/>
    <w:unhideWhenUsed/>
    <w:rsid w:val="00712C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C31"/>
  </w:style>
  <w:style w:type="paragraph" w:styleId="Footer">
    <w:name w:val="footer"/>
    <w:basedOn w:val="Normal"/>
    <w:link w:val="FooterChar"/>
    <w:uiPriority w:val="99"/>
    <w:unhideWhenUsed/>
    <w:rsid w:val="00712C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C31"/>
  </w:style>
  <w:style w:type="paragraph" w:styleId="TOC3">
    <w:name w:val="toc 3"/>
    <w:basedOn w:val="Normal"/>
    <w:next w:val="Normal"/>
    <w:autoRedefine/>
    <w:uiPriority w:val="39"/>
    <w:unhideWhenUsed/>
    <w:rsid w:val="00603F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4843">
      <w:bodyDiv w:val="1"/>
      <w:marLeft w:val="0"/>
      <w:marRight w:val="0"/>
      <w:marTop w:val="0"/>
      <w:marBottom w:val="0"/>
      <w:divBdr>
        <w:top w:val="none" w:sz="0" w:space="0" w:color="auto"/>
        <w:left w:val="none" w:sz="0" w:space="0" w:color="auto"/>
        <w:bottom w:val="none" w:sz="0" w:space="0" w:color="auto"/>
        <w:right w:val="none" w:sz="0" w:space="0" w:color="auto"/>
      </w:divBdr>
    </w:div>
    <w:div w:id="331837505">
      <w:bodyDiv w:val="1"/>
      <w:marLeft w:val="0"/>
      <w:marRight w:val="0"/>
      <w:marTop w:val="0"/>
      <w:marBottom w:val="0"/>
      <w:divBdr>
        <w:top w:val="none" w:sz="0" w:space="0" w:color="auto"/>
        <w:left w:val="none" w:sz="0" w:space="0" w:color="auto"/>
        <w:bottom w:val="none" w:sz="0" w:space="0" w:color="auto"/>
        <w:right w:val="none" w:sz="0" w:space="0" w:color="auto"/>
      </w:divBdr>
    </w:div>
    <w:div w:id="521364585">
      <w:bodyDiv w:val="1"/>
      <w:marLeft w:val="0"/>
      <w:marRight w:val="0"/>
      <w:marTop w:val="0"/>
      <w:marBottom w:val="0"/>
      <w:divBdr>
        <w:top w:val="none" w:sz="0" w:space="0" w:color="auto"/>
        <w:left w:val="none" w:sz="0" w:space="0" w:color="auto"/>
        <w:bottom w:val="none" w:sz="0" w:space="0" w:color="auto"/>
        <w:right w:val="none" w:sz="0" w:space="0" w:color="auto"/>
      </w:divBdr>
    </w:div>
    <w:div w:id="540020287">
      <w:bodyDiv w:val="1"/>
      <w:marLeft w:val="0"/>
      <w:marRight w:val="0"/>
      <w:marTop w:val="0"/>
      <w:marBottom w:val="0"/>
      <w:divBdr>
        <w:top w:val="none" w:sz="0" w:space="0" w:color="auto"/>
        <w:left w:val="none" w:sz="0" w:space="0" w:color="auto"/>
        <w:bottom w:val="none" w:sz="0" w:space="0" w:color="auto"/>
        <w:right w:val="none" w:sz="0" w:space="0" w:color="auto"/>
      </w:divBdr>
    </w:div>
    <w:div w:id="600727358">
      <w:bodyDiv w:val="1"/>
      <w:marLeft w:val="0"/>
      <w:marRight w:val="0"/>
      <w:marTop w:val="0"/>
      <w:marBottom w:val="0"/>
      <w:divBdr>
        <w:top w:val="none" w:sz="0" w:space="0" w:color="auto"/>
        <w:left w:val="none" w:sz="0" w:space="0" w:color="auto"/>
        <w:bottom w:val="none" w:sz="0" w:space="0" w:color="auto"/>
        <w:right w:val="none" w:sz="0" w:space="0" w:color="auto"/>
      </w:divBdr>
    </w:div>
    <w:div w:id="637339205">
      <w:bodyDiv w:val="1"/>
      <w:marLeft w:val="0"/>
      <w:marRight w:val="0"/>
      <w:marTop w:val="0"/>
      <w:marBottom w:val="0"/>
      <w:divBdr>
        <w:top w:val="none" w:sz="0" w:space="0" w:color="auto"/>
        <w:left w:val="none" w:sz="0" w:space="0" w:color="auto"/>
        <w:bottom w:val="none" w:sz="0" w:space="0" w:color="auto"/>
        <w:right w:val="none" w:sz="0" w:space="0" w:color="auto"/>
      </w:divBdr>
      <w:divsChild>
        <w:div w:id="632715913">
          <w:marLeft w:val="0"/>
          <w:marRight w:val="0"/>
          <w:marTop w:val="0"/>
          <w:marBottom w:val="0"/>
          <w:divBdr>
            <w:top w:val="none" w:sz="0" w:space="0" w:color="auto"/>
            <w:left w:val="none" w:sz="0" w:space="0" w:color="auto"/>
            <w:bottom w:val="none" w:sz="0" w:space="0" w:color="auto"/>
            <w:right w:val="none" w:sz="0" w:space="0" w:color="auto"/>
          </w:divBdr>
          <w:divsChild>
            <w:div w:id="231888329">
              <w:marLeft w:val="0"/>
              <w:marRight w:val="0"/>
              <w:marTop w:val="0"/>
              <w:marBottom w:val="0"/>
              <w:divBdr>
                <w:top w:val="none" w:sz="0" w:space="0" w:color="auto"/>
                <w:left w:val="none" w:sz="0" w:space="0" w:color="auto"/>
                <w:bottom w:val="none" w:sz="0" w:space="0" w:color="auto"/>
                <w:right w:val="none" w:sz="0" w:space="0" w:color="auto"/>
              </w:divBdr>
            </w:div>
          </w:divsChild>
        </w:div>
        <w:div w:id="611520984">
          <w:marLeft w:val="0"/>
          <w:marRight w:val="0"/>
          <w:marTop w:val="0"/>
          <w:marBottom w:val="0"/>
          <w:divBdr>
            <w:top w:val="none" w:sz="0" w:space="0" w:color="auto"/>
            <w:left w:val="none" w:sz="0" w:space="0" w:color="auto"/>
            <w:bottom w:val="none" w:sz="0" w:space="0" w:color="auto"/>
            <w:right w:val="none" w:sz="0" w:space="0" w:color="auto"/>
          </w:divBdr>
          <w:divsChild>
            <w:div w:id="135754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133975">
      <w:bodyDiv w:val="1"/>
      <w:marLeft w:val="0"/>
      <w:marRight w:val="0"/>
      <w:marTop w:val="0"/>
      <w:marBottom w:val="0"/>
      <w:divBdr>
        <w:top w:val="none" w:sz="0" w:space="0" w:color="auto"/>
        <w:left w:val="none" w:sz="0" w:space="0" w:color="auto"/>
        <w:bottom w:val="none" w:sz="0" w:space="0" w:color="auto"/>
        <w:right w:val="none" w:sz="0" w:space="0" w:color="auto"/>
      </w:divBdr>
    </w:div>
    <w:div w:id="1268082604">
      <w:bodyDiv w:val="1"/>
      <w:marLeft w:val="0"/>
      <w:marRight w:val="0"/>
      <w:marTop w:val="0"/>
      <w:marBottom w:val="0"/>
      <w:divBdr>
        <w:top w:val="none" w:sz="0" w:space="0" w:color="auto"/>
        <w:left w:val="none" w:sz="0" w:space="0" w:color="auto"/>
        <w:bottom w:val="none" w:sz="0" w:space="0" w:color="auto"/>
        <w:right w:val="none" w:sz="0" w:space="0" w:color="auto"/>
      </w:divBdr>
    </w:div>
    <w:div w:id="1386640679">
      <w:bodyDiv w:val="1"/>
      <w:marLeft w:val="0"/>
      <w:marRight w:val="0"/>
      <w:marTop w:val="0"/>
      <w:marBottom w:val="0"/>
      <w:divBdr>
        <w:top w:val="none" w:sz="0" w:space="0" w:color="auto"/>
        <w:left w:val="none" w:sz="0" w:space="0" w:color="auto"/>
        <w:bottom w:val="none" w:sz="0" w:space="0" w:color="auto"/>
        <w:right w:val="none" w:sz="0" w:space="0" w:color="auto"/>
      </w:divBdr>
    </w:div>
    <w:div w:id="1554268835">
      <w:bodyDiv w:val="1"/>
      <w:marLeft w:val="0"/>
      <w:marRight w:val="0"/>
      <w:marTop w:val="0"/>
      <w:marBottom w:val="0"/>
      <w:divBdr>
        <w:top w:val="none" w:sz="0" w:space="0" w:color="auto"/>
        <w:left w:val="none" w:sz="0" w:space="0" w:color="auto"/>
        <w:bottom w:val="none" w:sz="0" w:space="0" w:color="auto"/>
        <w:right w:val="none" w:sz="0" w:space="0" w:color="auto"/>
      </w:divBdr>
    </w:div>
    <w:div w:id="156552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libabacloud.com/alibaba-research" TargetMode="External"/><Relationship Id="rId26" Type="http://schemas.openxmlformats.org/officeDocument/2006/relationships/hyperlink" Target="https://us.sagepub.com/en-us/nam/global-marketing-and-advertising/book278495" TargetMode="External"/><Relationship Id="rId39" Type="http://schemas.openxmlformats.org/officeDocument/2006/relationships/hyperlink" Target="https://kpmg.com/cn/en/home/insights" TargetMode="External"/><Relationship Id="rId21" Type="http://schemas.openxmlformats.org/officeDocument/2006/relationships/hyperlink" Target="https://www.pearson.com/en-us/subject-catalog/p/international-business/P200000007448/9781292413551" TargetMode="External"/><Relationship Id="rId34" Type="http://schemas.openxmlformats.org/officeDocument/2006/relationships/hyperlink" Target="https://www.mheducation.com/highered" TargetMode="External"/><Relationship Id="rId42" Type="http://schemas.openxmlformats.org/officeDocument/2006/relationships/hyperlink" Target="https://doi.org/10.1016/j.ibusrev.2021.101911" TargetMode="External"/><Relationship Id="rId47" Type="http://schemas.openxmlformats.org/officeDocument/2006/relationships/hyperlink" Target="https://www.statista.com/" TargetMode="External"/><Relationship Id="rId50" Type="http://schemas.openxmlformats.org/officeDocument/2006/relationships/hyperlink" Target="https://doi.org/10.1108/APJML-08-2021-0601" TargetMode="External"/><Relationship Id="rId55" Type="http://schemas.openxmlformats.org/officeDocument/2006/relationships/hyperlink" Target="https://investor.cokeconsolidated.com/financial-information/annual-repor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ft.com/" TargetMode="External"/><Relationship Id="rId11" Type="http://schemas.openxmlformats.org/officeDocument/2006/relationships/image" Target="media/image4.png"/><Relationship Id="rId24" Type="http://schemas.openxmlformats.org/officeDocument/2006/relationships/hyperlink" Target="https://doi.org/10.1080/13602381.2021.1883884" TargetMode="External"/><Relationship Id="rId32" Type="http://schemas.openxmlformats.org/officeDocument/2006/relationships/hyperlink" Target="https://www.greenpeace.org/asia" TargetMode="External"/><Relationship Id="rId37" Type="http://schemas.openxmlformats.org/officeDocument/2006/relationships/hyperlink" Target="https://interbrand.com/best-global-brands" TargetMode="External"/><Relationship Id="rId40" Type="http://schemas.openxmlformats.org/officeDocument/2006/relationships/hyperlink" Target="https://doi.org/10.1007/s11575-021-00442-4" TargetMode="External"/><Relationship Id="rId45" Type="http://schemas.openxmlformats.org/officeDocument/2006/relationships/hyperlink" Target="https://www.reuters.com/" TargetMode="External"/><Relationship Id="rId53" Type="http://schemas.openxmlformats.org/officeDocument/2006/relationships/hyperlink" Target="https://doi.org/10.1108/JABS-05-2021-0182" TargetMode="External"/><Relationship Id="rId58" Type="http://schemas.openxmlformats.org/officeDocument/2006/relationships/hyperlink" Target="https://ir.cocacolaep.com/financial-reports-and-results/annual-reports"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bain.com/insights" TargetMode="External"/><Relationship Id="rId14" Type="http://schemas.openxmlformats.org/officeDocument/2006/relationships/image" Target="media/image7.png"/><Relationship Id="rId22" Type="http://schemas.openxmlformats.org/officeDocument/2006/relationships/hyperlink" Target="https://doi.org/10.1002/cb.1915" TargetMode="External"/><Relationship Id="rId27" Type="http://schemas.openxmlformats.org/officeDocument/2006/relationships/hyperlink" Target="https://www2.deloitte.com/global/en/insights" TargetMode="External"/><Relationship Id="rId30" Type="http://schemas.openxmlformats.org/officeDocument/2006/relationships/hyperlink" Target="https://doi.org/10.1016/j.intmar.2022.03.001" TargetMode="External"/><Relationship Id="rId35" Type="http://schemas.openxmlformats.org/officeDocument/2006/relationships/hyperlink" Target="https://www.hofstede-insights.com/country-comparison/china,the-usa" TargetMode="External"/><Relationship Id="rId43" Type="http://schemas.openxmlformats.org/officeDocument/2006/relationships/hyperlink" Target="https://nielseniq.com/global/en" TargetMode="External"/><Relationship Id="rId48" Type="http://schemas.openxmlformats.org/officeDocument/2006/relationships/hyperlink" Target="https://unctad.org/publication/world-investment-report-2023" TargetMode="External"/><Relationship Id="rId56" Type="http://schemas.openxmlformats.org/officeDocument/2006/relationships/hyperlink" Target="https://investors.coca-colacompany.com/financial-information" TargetMode="External"/><Relationship Id="rId8" Type="http://schemas.openxmlformats.org/officeDocument/2006/relationships/image" Target="media/image1.jpeg"/><Relationship Id="rId51" Type="http://schemas.openxmlformats.org/officeDocument/2006/relationships/hyperlink" Target="https://www.worldbank.org/en/country/china/publication"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investors.coca-colacompany.com/" TargetMode="External"/><Relationship Id="rId33" Type="http://schemas.openxmlformats.org/officeDocument/2006/relationships/hyperlink" Target="https://hbr.org/" TargetMode="External"/><Relationship Id="rId38" Type="http://schemas.openxmlformats.org/officeDocument/2006/relationships/hyperlink" Target="https://doi.org/10.1177/1069031X211057996" TargetMode="External"/><Relationship Id="rId46" Type="http://schemas.openxmlformats.org/officeDocument/2006/relationships/hyperlink" Target="https://doi.org/10.1057/s41267-021-00497-3" TargetMode="External"/><Relationship Id="rId59" Type="http://schemas.openxmlformats.org/officeDocument/2006/relationships/header" Target="header1.xml"/><Relationship Id="rId20" Type="http://schemas.openxmlformats.org/officeDocument/2006/relationships/hyperlink" Target="https://www.bloomberg.com/professional/product/bloomberg-intelligence" TargetMode="External"/><Relationship Id="rId41" Type="http://schemas.openxmlformats.org/officeDocument/2006/relationships/hyperlink" Target="https://www.mckinsey.com/cn" TargetMode="External"/><Relationship Id="rId54" Type="http://schemas.openxmlformats.org/officeDocument/2006/relationships/hyperlink" Target="https://www.annualreports.com/Company/coca-col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stats.gov.cn/" TargetMode="External"/><Relationship Id="rId28" Type="http://schemas.openxmlformats.org/officeDocument/2006/relationships/hyperlink" Target="https://www.euromonitor.com/" TargetMode="External"/><Relationship Id="rId36" Type="http://schemas.openxmlformats.org/officeDocument/2006/relationships/hyperlink" Target="https://www.imf.org/en/Countries/CHN" TargetMode="External"/><Relationship Id="rId49" Type="http://schemas.openxmlformats.org/officeDocument/2006/relationships/hyperlink" Target="https://doi.org/10.1016/j.jclepro.2023.137214" TargetMode="External"/><Relationship Id="rId57" Type="http://schemas.openxmlformats.org/officeDocument/2006/relationships/hyperlink" Target="https://www.cci.com.tr/en/investor-relations/financial-information-and-presentations" TargetMode="External"/><Relationship Id="rId10" Type="http://schemas.openxmlformats.org/officeDocument/2006/relationships/image" Target="media/image3.png"/><Relationship Id="rId31" Type="http://schemas.openxmlformats.org/officeDocument/2006/relationships/hyperlink" Target="https://hbr.org/books" TargetMode="External"/><Relationship Id="rId44" Type="http://schemas.openxmlformats.org/officeDocument/2006/relationships/hyperlink" Target="https://www.pwc.com/gx/en/issues" TargetMode="External"/><Relationship Id="rId52" Type="http://schemas.openxmlformats.org/officeDocument/2006/relationships/hyperlink" Target="https://doi.org/10.1108/IMR-09-2020-0217"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D5D8F-6A2C-471D-B429-6A72ADC4E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34</Pages>
  <Words>6353</Words>
  <Characters>45235</Characters>
  <Application>Microsoft Office Word</Application>
  <DocSecurity>0</DocSecurity>
  <Lines>376</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Piyush Luhar</cp:lastModifiedBy>
  <cp:revision>31</cp:revision>
  <dcterms:created xsi:type="dcterms:W3CDTF">2025-11-22T13:18:00Z</dcterms:created>
  <dcterms:modified xsi:type="dcterms:W3CDTF">2025-12-14T10:07:00Z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72c80119-6bd5-422f-887e-75b9e5870203</vt:lpwstr>
  </property>
</Properties>
</file>