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644119139"/>
        <w:docPartObj>
          <w:docPartGallery w:val="Cover Pages"/>
          <w:docPartUnique/>
        </w:docPartObj>
      </w:sdtPr>
      <w:sdtEndPr>
        <w:rPr>
          <w:rFonts w:ascii="Arial" w:hAnsi="Arial" w:cs="Arial"/>
          <w:b/>
          <w:bCs/>
          <w:color w:val="365F91" w:themeColor="accent1" w:themeShade="BF"/>
          <w:sz w:val="22"/>
        </w:rPr>
      </w:sdtEndPr>
      <w:sdtContent>
        <w:p w14:paraId="7407B5D7" w14:textId="0134507D" w:rsidR="003F5968" w:rsidRDefault="003F5968">
          <w:pPr>
            <w:pStyle w:val="NoSpacing"/>
            <w:rPr>
              <w:sz w:val="2"/>
            </w:rPr>
          </w:pPr>
        </w:p>
        <w:p w14:paraId="66D7ECDE" w14:textId="2993AFCB" w:rsidR="003F5968" w:rsidRDefault="003F5968">
          <w:r>
            <w:rPr>
              <w:noProof/>
            </w:rPr>
            <mc:AlternateContent>
              <mc:Choice Requires="wps">
                <w:drawing>
                  <wp:anchor distT="0" distB="0" distL="114300" distR="114300" simplePos="0" relativeHeight="251659776" behindDoc="0" locked="0" layoutInCell="1" allowOverlap="1" wp14:anchorId="04A6F2EB" wp14:editId="13C1D4ED">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11C2F" w14:textId="77777777" w:rsidR="003F5968" w:rsidRPr="00DD7F57" w:rsidRDefault="003F5968" w:rsidP="003F5968">
                                <w:pPr>
                                  <w:pStyle w:val="Title"/>
                                </w:pPr>
                                <w:r w:rsidRPr="00DD7F57">
                                  <w:t>BMHP5019 – Component 2 Research Report</w:t>
                                </w:r>
                              </w:p>
                              <w:p w14:paraId="3A52EE12" w14:textId="77777777" w:rsidR="003F5968" w:rsidRDefault="003F5968" w:rsidP="003F5968">
                                <w:pPr>
                                  <w:pStyle w:val="Title"/>
                                </w:pPr>
                                <w:r w:rsidRPr="00DD7F57">
                                  <w:t xml:space="preserve">Barriers Affecting Access to Mental Health Support Through Primary Care Services Among Adults in the United Kingdom: </w:t>
                                </w:r>
                              </w:p>
                              <w:p w14:paraId="1A840ED2" w14:textId="77777777" w:rsidR="003F5968" w:rsidRPr="00DD7F57" w:rsidRDefault="003F5968" w:rsidP="003F5968">
                                <w:pPr>
                                  <w:pStyle w:val="Title"/>
                                </w:pPr>
                                <w:r w:rsidRPr="00DD7F57">
                                  <w:t>A Scoping Review</w:t>
                                </w:r>
                              </w:p>
                              <w:p w14:paraId="447190F0" w14:textId="77777777" w:rsidR="003F5968" w:rsidRDefault="003F59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4A6F2EB" id="_x0000_t202" coordsize="21600,21600" o:spt="202" path="m,l,21600r21600,l21600,xe">
                    <v:stroke joinstyle="miter"/>
                    <v:path gradientshapeok="t" o:connecttype="rect"/>
                  </v:shapetype>
                  <v:shape id="Text Box 15" o:spid="_x0000_s1026" type="#_x0000_t202" style="position:absolute;margin-left:0;margin-top:0;width:468pt;height:1in;z-index:25165977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1C711C2F" w14:textId="77777777" w:rsidR="003F5968" w:rsidRPr="00DD7F57" w:rsidRDefault="003F5968" w:rsidP="003F5968">
                          <w:pPr>
                            <w:pStyle w:val="Title"/>
                          </w:pPr>
                          <w:r w:rsidRPr="00DD7F57">
                            <w:t>BMHP5019 – Component 2 Research Report</w:t>
                          </w:r>
                        </w:p>
                        <w:p w14:paraId="3A52EE12" w14:textId="77777777" w:rsidR="003F5968" w:rsidRDefault="003F5968" w:rsidP="003F5968">
                          <w:pPr>
                            <w:pStyle w:val="Title"/>
                          </w:pPr>
                          <w:r w:rsidRPr="00DD7F57">
                            <w:t xml:space="preserve">Barriers Affecting Access to Mental Health Support Through Primary Care Services Among Adults in the United Kingdom: </w:t>
                          </w:r>
                        </w:p>
                        <w:p w14:paraId="1A840ED2" w14:textId="77777777" w:rsidR="003F5968" w:rsidRPr="00DD7F57" w:rsidRDefault="003F5968" w:rsidP="003F5968">
                          <w:pPr>
                            <w:pStyle w:val="Title"/>
                          </w:pPr>
                          <w:r w:rsidRPr="00DD7F57">
                            <w:t>A Scoping Review</w:t>
                          </w:r>
                        </w:p>
                        <w:p w14:paraId="447190F0" w14:textId="77777777" w:rsidR="003F5968" w:rsidRDefault="003F5968"/>
                      </w:txbxContent>
                    </v:textbox>
                    <w10:wrap anchorx="page" anchory="margin"/>
                  </v:shape>
                </w:pict>
              </mc:Fallback>
            </mc:AlternateContent>
          </w:r>
          <w:r>
            <w:rPr>
              <w:noProof/>
              <w:color w:val="4F81BD" w:themeColor="accent1"/>
              <w:sz w:val="36"/>
              <w:szCs w:val="36"/>
            </w:rPr>
            <mc:AlternateContent>
              <mc:Choice Requires="wpg">
                <w:drawing>
                  <wp:anchor distT="0" distB="0" distL="114300" distR="114300" simplePos="0" relativeHeight="251658752" behindDoc="1" locked="0" layoutInCell="1" allowOverlap="1" wp14:anchorId="0E123A61" wp14:editId="6C564A24">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F804C07" id="Group 2" o:spid="_x0000_s1026" style="position:absolute;margin-left:0;margin-top:0;width:432.65pt;height:448.55pt;z-index:-2516577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34A1627" w14:textId="21CBCA50" w:rsidR="003F5968" w:rsidRDefault="003F5968">
          <w:pPr>
            <w:spacing w:line="276" w:lineRule="auto"/>
            <w:rPr>
              <w:rFonts w:eastAsiaTheme="majorEastAsia" w:cs="Arial"/>
              <w:b/>
              <w:bCs/>
              <w:color w:val="365F91" w:themeColor="accent1" w:themeShade="BF"/>
            </w:rPr>
          </w:pPr>
          <w:r>
            <w:rPr>
              <w:noProof/>
            </w:rPr>
            <mc:AlternateContent>
              <mc:Choice Requires="wps">
                <w:drawing>
                  <wp:anchor distT="0" distB="0" distL="114300" distR="114300" simplePos="0" relativeHeight="251657728" behindDoc="0" locked="0" layoutInCell="1" allowOverlap="1" wp14:anchorId="45673C0B" wp14:editId="26390246">
                    <wp:simplePos x="0" y="0"/>
                    <wp:positionH relativeFrom="page">
                      <wp:posOffset>-420718</wp:posOffset>
                    </wp:positionH>
                    <wp:positionV relativeFrom="margin">
                      <wp:posOffset>1886134</wp:posOffset>
                    </wp:positionV>
                    <wp:extent cx="4456553" cy="2882777"/>
                    <wp:effectExtent l="0" t="0" r="1270" b="13335"/>
                    <wp:wrapNone/>
                    <wp:docPr id="69" name="Text Box 16"/>
                    <wp:cNvGraphicFramePr/>
                    <a:graphic xmlns:a="http://schemas.openxmlformats.org/drawingml/2006/main">
                      <a:graphicData uri="http://schemas.microsoft.com/office/word/2010/wordprocessingShape">
                        <wps:wsp>
                          <wps:cNvSpPr txBox="1"/>
                          <wps:spPr>
                            <a:xfrm>
                              <a:off x="0" y="0"/>
                              <a:ext cx="4456553" cy="28827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0FC9D" w14:textId="77777777" w:rsidR="003F5968" w:rsidRPr="00DD7F57" w:rsidRDefault="003F5968" w:rsidP="003F5968">
                                <w:pPr>
                                  <w:jc w:val="center"/>
                                  <w:rPr>
                                    <w:rFonts w:cs="Arial"/>
                                  </w:rPr>
                                </w:pPr>
                                <w:bookmarkStart w:id="0" w:name="_Toc235437816"/>
                                <w:r w:rsidRPr="00592D7D">
                                  <w:rPr>
                                    <w:rStyle w:val="Heading1Char"/>
                                  </w:rPr>
                                  <w:t>Student Name:</w:t>
                                </w:r>
                                <w:bookmarkEnd w:id="0"/>
                                <w:r w:rsidRPr="00DD7F57">
                                  <w:rPr>
                                    <w:rFonts w:cs="Arial"/>
                                  </w:rPr>
                                  <w:t xml:space="preserve"> Sadaf Hassan</w:t>
                                </w:r>
                              </w:p>
                              <w:p w14:paraId="5CB7EA07" w14:textId="77777777" w:rsidR="003F5968" w:rsidRPr="00DD7F57" w:rsidRDefault="003F5968" w:rsidP="003F5968">
                                <w:pPr>
                                  <w:jc w:val="center"/>
                                  <w:rPr>
                                    <w:rFonts w:cs="Arial"/>
                                  </w:rPr>
                                </w:pPr>
                                <w:bookmarkStart w:id="1" w:name="_Toc235437817"/>
                                <w:r w:rsidRPr="00592D7D">
                                  <w:rPr>
                                    <w:rStyle w:val="Heading1Char"/>
                                  </w:rPr>
                                  <w:t>Student Number:</w:t>
                                </w:r>
                                <w:bookmarkEnd w:id="1"/>
                                <w:r w:rsidRPr="00DD7F57">
                                  <w:rPr>
                                    <w:rFonts w:cs="Arial"/>
                                  </w:rPr>
                                  <w:t xml:space="preserve"> 2247725</w:t>
                                </w:r>
                              </w:p>
                              <w:p w14:paraId="1699E3F7" w14:textId="77777777" w:rsidR="003F5968" w:rsidRPr="00DD7F57" w:rsidRDefault="003F5968" w:rsidP="003F5968">
                                <w:pPr>
                                  <w:jc w:val="center"/>
                                  <w:rPr>
                                    <w:rFonts w:cs="Arial"/>
                                  </w:rPr>
                                </w:pPr>
                                <w:bookmarkStart w:id="2" w:name="_Toc235437818"/>
                                <w:r w:rsidRPr="00592D7D">
                                  <w:rPr>
                                    <w:rStyle w:val="Heading1Char"/>
                                  </w:rPr>
                                  <w:t>Module:</w:t>
                                </w:r>
                                <w:bookmarkEnd w:id="2"/>
                                <w:r w:rsidRPr="00DD7F57">
                                  <w:rPr>
                                    <w:rFonts w:cs="Arial"/>
                                  </w:rPr>
                                  <w:t xml:space="preserve"> BMHP5019</w:t>
                                </w:r>
                              </w:p>
                              <w:p w14:paraId="28CB30E8" w14:textId="77777777" w:rsidR="003F5968" w:rsidRDefault="003F5968" w:rsidP="003F5968">
                                <w:pPr>
                                  <w:jc w:val="center"/>
                                  <w:rPr>
                                    <w:rFonts w:cs="Arial"/>
                                  </w:rPr>
                                </w:pPr>
                                <w:bookmarkStart w:id="3" w:name="_Toc235437819"/>
                                <w:r w:rsidRPr="00592D7D">
                                  <w:rPr>
                                    <w:rStyle w:val="Heading1Char"/>
                                  </w:rPr>
                                  <w:t>Assessment:</w:t>
                                </w:r>
                                <w:bookmarkEnd w:id="3"/>
                                <w:r w:rsidRPr="00DD7F57">
                                  <w:rPr>
                                    <w:rFonts w:cs="Arial"/>
                                  </w:rPr>
                                  <w:t xml:space="preserve"> Component 2 – Research Report</w:t>
                                </w:r>
                              </w:p>
                              <w:p w14:paraId="161FF446" w14:textId="77777777" w:rsidR="003F5968" w:rsidRPr="00DD7F57" w:rsidRDefault="003F5968" w:rsidP="003F5968">
                                <w:pPr>
                                  <w:jc w:val="center"/>
                                  <w:rPr>
                                    <w:rFonts w:cs="Arial"/>
                                  </w:rPr>
                                </w:pPr>
                                <w:r w:rsidRPr="00263A7C">
                                  <w:rPr>
                                    <w:rStyle w:val="Heading1Char"/>
                                  </w:rPr>
                                  <w:t xml:space="preserve"> </w:t>
                                </w:r>
                                <w:bookmarkStart w:id="4" w:name="_Toc235437820"/>
                                <w:r w:rsidRPr="00263A7C">
                                  <w:rPr>
                                    <w:rStyle w:val="Heading1Char"/>
                                  </w:rPr>
                                  <w:t>Lecturer:</w:t>
                                </w:r>
                                <w:bookmarkEnd w:id="4"/>
                                <w:r w:rsidRPr="00263A7C">
                                  <w:rPr>
                                    <w:rFonts w:eastAsia="Arial" w:cs="Arial"/>
                                    <w:b/>
                                    <w:bCs/>
                                    <w:color w:val="000000" w:themeColor="text1"/>
                                  </w:rPr>
                                  <w:t xml:space="preserve"> </w:t>
                                </w:r>
                                <w:r w:rsidRPr="00263A7C">
                                  <w:t>Philip Jones</w:t>
                                </w:r>
                              </w:p>
                              <w:p w14:paraId="3C785BAD" w14:textId="642D8616" w:rsidR="003F5968" w:rsidRDefault="003F5968">
                                <w:pPr>
                                  <w:pStyle w:val="NoSpacing"/>
                                  <w:jc w:val="right"/>
                                  <w:rPr>
                                    <w:color w:val="4F81BD"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5673C0B" id="Text Box 16" o:spid="_x0000_s1027" type="#_x0000_t202" style="position:absolute;margin-left:-33.15pt;margin-top:148.5pt;width:350.9pt;height:22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A0rYgIAADUFAAAOAAAAZHJzL2Uyb0RvYy54bWysVN9v2jAQfp+0/8Hy+xqgpSDUULFWnSah&#10;thqd+mwcG6I5Pu9sSNhfv7OTAOr20mkvzsX33Xe/fXPbVIbtFfoSbM6HFwPOlJVQlHaT8+8vD5+m&#10;nPkgbCEMWJXzg/L8dv7xw03tZmoEWzCFQkYk1s9ql/NtCG6WZV5uVSX8BThlSakBKxHoFzdZgaIm&#10;9spko8HgOqsBC4cglfd0e98q+Tzxa61keNLaq8BMzim2kE5M5zqe2fxGzDYo3LaUXRjiH6KoRGnJ&#10;6ZHqXgTBdlj+QVWVEsGDDhcSqgy0LqVKOVA2w8GbbFZb4VTKhYrj3bFM/v/Rysf9yj0jC81naKiB&#10;sSC18zNPlzGfRmMVvxQpIz2V8HAsm2oCk3R5dTW+Ho8vOZOkG02no8lkEnmyk7lDH74oqFgUco7U&#10;l1QusV/60EJ7SPRm4aE0JvXGWFbn/PpyPEgGRw2RGxuxKnW5ozmFnqRwMCpijP2mNCuLlEG8SPOl&#10;7gyyvaDJEFIqG1LyiZfQEaUpiPcYdvhTVO8xbvPoPYMNR+OqtIAp+zdhFz/6kHWLp5qf5R3F0Kwb&#10;Svyss2soDtRwhHYXvJMPJTVlKXx4FkjDTz2mhQ5PdGgDVHzoJM62gL/+dh/xNJOk5aymZcq5/7kT&#10;qDgzXy1Na9y8XsBeWPeC3VV3QF0Y0lPhZBLJAIPpRY1QvdKeL6IXUgkryVfO1714F9qVpndCqsUi&#10;gWi/nAhLu3IyUsemxBF7aV4Fum4OA43wI/RrJmZvxrHFRksLi10AXaZZjXVtq9jVm3YzTXv3jsTl&#10;P/9PqNNrN/8NAAD//wMAUEsDBBQABgAIAAAAIQBeTVW94gAAAAsBAAAPAAAAZHJzL2Rvd25yZXYu&#10;eG1sTI/LTsMwEEX3SPyDNUjsWieN4kLIpEJUCCGxoOWxduIhiRrbUew8ytdjVrAczdG95+a7RXds&#10;osG11iDE6wgYmcqq1tQI72+PqxtgzkujZGcNIZzJwa64vMhlpuxsDjQdfc1CiHGZRGi87zPOXdWQ&#10;lm5tezLh92UHLX04h5qrQc4hXHd8E0WCa9ma0NDInh4aqk7HUSO8fpcf4uVzPM/75/10oNPTmMYJ&#10;4vXVcn8HzNPi/2D41Q/qUASn0o5GOdYhrIRIAoqwud2GUYEQSZoCKxG2aRwBL3L+f0PxAwAA//8D&#10;AFBLAQItABQABgAIAAAAIQC2gziS/gAAAOEBAAATAAAAAAAAAAAAAAAAAAAAAABbQ29udGVudF9U&#10;eXBlc10ueG1sUEsBAi0AFAAGAAgAAAAhADj9If/WAAAAlAEAAAsAAAAAAAAAAAAAAAAALwEAAF9y&#10;ZWxzLy5yZWxzUEsBAi0AFAAGAAgAAAAhADjEDStiAgAANQUAAA4AAAAAAAAAAAAAAAAALgIAAGRy&#10;cy9lMm9Eb2MueG1sUEsBAi0AFAAGAAgAAAAhAF5NVb3iAAAACwEAAA8AAAAAAAAAAAAAAAAAvAQA&#10;AGRycy9kb3ducmV2LnhtbFBLBQYAAAAABAAEAPMAAADLBQAAAAA=&#10;" filled="f" stroked="f" strokeweight=".5pt">
                    <v:textbox inset="0,0,0,0">
                      <w:txbxContent>
                        <w:p w14:paraId="2E10FC9D" w14:textId="77777777" w:rsidR="003F5968" w:rsidRPr="00DD7F57" w:rsidRDefault="003F5968" w:rsidP="003F5968">
                          <w:pPr>
                            <w:jc w:val="center"/>
                            <w:rPr>
                              <w:rFonts w:cs="Arial"/>
                            </w:rPr>
                          </w:pPr>
                          <w:bookmarkStart w:id="5" w:name="_Toc235437816"/>
                          <w:r w:rsidRPr="00592D7D">
                            <w:rPr>
                              <w:rStyle w:val="Heading1Char"/>
                            </w:rPr>
                            <w:t>Student Name:</w:t>
                          </w:r>
                          <w:bookmarkEnd w:id="5"/>
                          <w:r w:rsidRPr="00DD7F57">
                            <w:rPr>
                              <w:rFonts w:cs="Arial"/>
                            </w:rPr>
                            <w:t xml:space="preserve"> Sadaf Hassan</w:t>
                          </w:r>
                        </w:p>
                        <w:p w14:paraId="5CB7EA07" w14:textId="77777777" w:rsidR="003F5968" w:rsidRPr="00DD7F57" w:rsidRDefault="003F5968" w:rsidP="003F5968">
                          <w:pPr>
                            <w:jc w:val="center"/>
                            <w:rPr>
                              <w:rFonts w:cs="Arial"/>
                            </w:rPr>
                          </w:pPr>
                          <w:bookmarkStart w:id="6" w:name="_Toc235437817"/>
                          <w:r w:rsidRPr="00592D7D">
                            <w:rPr>
                              <w:rStyle w:val="Heading1Char"/>
                            </w:rPr>
                            <w:t>Student Number:</w:t>
                          </w:r>
                          <w:bookmarkEnd w:id="6"/>
                          <w:r w:rsidRPr="00DD7F57">
                            <w:rPr>
                              <w:rFonts w:cs="Arial"/>
                            </w:rPr>
                            <w:t xml:space="preserve"> 2247725</w:t>
                          </w:r>
                        </w:p>
                        <w:p w14:paraId="1699E3F7" w14:textId="77777777" w:rsidR="003F5968" w:rsidRPr="00DD7F57" w:rsidRDefault="003F5968" w:rsidP="003F5968">
                          <w:pPr>
                            <w:jc w:val="center"/>
                            <w:rPr>
                              <w:rFonts w:cs="Arial"/>
                            </w:rPr>
                          </w:pPr>
                          <w:bookmarkStart w:id="7" w:name="_Toc235437818"/>
                          <w:r w:rsidRPr="00592D7D">
                            <w:rPr>
                              <w:rStyle w:val="Heading1Char"/>
                            </w:rPr>
                            <w:t>Module:</w:t>
                          </w:r>
                          <w:bookmarkEnd w:id="7"/>
                          <w:r w:rsidRPr="00DD7F57">
                            <w:rPr>
                              <w:rFonts w:cs="Arial"/>
                            </w:rPr>
                            <w:t xml:space="preserve"> BMHP5019</w:t>
                          </w:r>
                        </w:p>
                        <w:p w14:paraId="28CB30E8" w14:textId="77777777" w:rsidR="003F5968" w:rsidRDefault="003F5968" w:rsidP="003F5968">
                          <w:pPr>
                            <w:jc w:val="center"/>
                            <w:rPr>
                              <w:rFonts w:cs="Arial"/>
                            </w:rPr>
                          </w:pPr>
                          <w:bookmarkStart w:id="8" w:name="_Toc235437819"/>
                          <w:r w:rsidRPr="00592D7D">
                            <w:rPr>
                              <w:rStyle w:val="Heading1Char"/>
                            </w:rPr>
                            <w:t>Assessment:</w:t>
                          </w:r>
                          <w:bookmarkEnd w:id="8"/>
                          <w:r w:rsidRPr="00DD7F57">
                            <w:rPr>
                              <w:rFonts w:cs="Arial"/>
                            </w:rPr>
                            <w:t xml:space="preserve"> Component 2 – Research Report</w:t>
                          </w:r>
                        </w:p>
                        <w:p w14:paraId="161FF446" w14:textId="77777777" w:rsidR="003F5968" w:rsidRPr="00DD7F57" w:rsidRDefault="003F5968" w:rsidP="003F5968">
                          <w:pPr>
                            <w:jc w:val="center"/>
                            <w:rPr>
                              <w:rFonts w:cs="Arial"/>
                            </w:rPr>
                          </w:pPr>
                          <w:r w:rsidRPr="00263A7C">
                            <w:rPr>
                              <w:rStyle w:val="Heading1Char"/>
                            </w:rPr>
                            <w:t xml:space="preserve"> </w:t>
                          </w:r>
                          <w:bookmarkStart w:id="9" w:name="_Toc235437820"/>
                          <w:r w:rsidRPr="00263A7C">
                            <w:rPr>
                              <w:rStyle w:val="Heading1Char"/>
                            </w:rPr>
                            <w:t>Lecturer:</w:t>
                          </w:r>
                          <w:bookmarkEnd w:id="9"/>
                          <w:r w:rsidRPr="00263A7C">
                            <w:rPr>
                              <w:rFonts w:eastAsia="Arial" w:cs="Arial"/>
                              <w:b/>
                              <w:bCs/>
                              <w:color w:val="000000" w:themeColor="text1"/>
                            </w:rPr>
                            <w:t xml:space="preserve"> </w:t>
                          </w:r>
                          <w:r w:rsidRPr="00263A7C">
                            <w:t>Philip Jones</w:t>
                          </w:r>
                        </w:p>
                        <w:p w14:paraId="3C785BAD" w14:textId="642D8616" w:rsidR="003F5968" w:rsidRDefault="003F5968">
                          <w:pPr>
                            <w:pStyle w:val="NoSpacing"/>
                            <w:jc w:val="right"/>
                            <w:rPr>
                              <w:color w:val="4F81BD" w:themeColor="accent1"/>
                              <w:sz w:val="36"/>
                              <w:szCs w:val="36"/>
                            </w:rPr>
                          </w:pPr>
                        </w:p>
                      </w:txbxContent>
                    </v:textbox>
                    <w10:wrap anchorx="page" anchory="margin"/>
                  </v:shape>
                </w:pict>
              </mc:Fallback>
            </mc:AlternateContent>
          </w:r>
          <w:r>
            <w:rPr>
              <w:rFonts w:cs="Arial"/>
              <w:b/>
              <w:bCs/>
              <w:color w:val="365F91" w:themeColor="accent1" w:themeShade="BF"/>
            </w:rPr>
            <w:br w:type="page"/>
          </w:r>
        </w:p>
      </w:sdtContent>
    </w:sdt>
    <w:p w14:paraId="47BCE45A" w14:textId="77777777" w:rsidR="00FD2478" w:rsidRPr="00DD7F57" w:rsidRDefault="005D5934" w:rsidP="00731BF4">
      <w:pPr>
        <w:rPr>
          <w:rFonts w:cs="Arial"/>
        </w:rPr>
      </w:pPr>
      <w:r w:rsidRPr="00DD7F57">
        <w:rPr>
          <w:rFonts w:cs="Arial"/>
        </w:rPr>
        <w:lastRenderedPageBreak/>
        <w:br w:type="page"/>
      </w:r>
    </w:p>
    <w:sdt>
      <w:sdtPr>
        <w:rPr>
          <w:lang w:val="en-GB"/>
        </w:rPr>
        <w:id w:val="903034750"/>
        <w:docPartObj>
          <w:docPartGallery w:val="Table of Contents"/>
          <w:docPartUnique/>
        </w:docPartObj>
      </w:sdtPr>
      <w:sdtEndPr>
        <w:rPr>
          <w:rFonts w:ascii="Arial" w:eastAsiaTheme="minorEastAsia" w:hAnsi="Arial" w:cstheme="minorBidi"/>
          <w:color w:val="auto"/>
          <w:sz w:val="22"/>
          <w:szCs w:val="22"/>
          <w:lang w:val="en-US"/>
        </w:rPr>
      </w:sdtEndPr>
      <w:sdtContent>
        <w:p w14:paraId="58CF8967" w14:textId="71EFE325" w:rsidR="001B23E7" w:rsidRDefault="001B23E7">
          <w:pPr>
            <w:pStyle w:val="TOCHeading"/>
          </w:pPr>
          <w:r>
            <w:rPr>
              <w:lang w:val="en-GB"/>
            </w:rPr>
            <w:t>Table of Contents</w:t>
          </w:r>
        </w:p>
        <w:p w14:paraId="3A8D1426" w14:textId="09C5D66C" w:rsidR="0058049D" w:rsidRDefault="001B23E7">
          <w:pPr>
            <w:pStyle w:val="TOC1"/>
            <w:tabs>
              <w:tab w:val="right" w:leader="dot" w:pos="9350"/>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5437816" w:history="1">
            <w:r w:rsidR="0058049D" w:rsidRPr="00974318">
              <w:rPr>
                <w:rStyle w:val="Hyperlink"/>
                <w:noProof/>
              </w:rPr>
              <w:t>Student Name:</w:t>
            </w:r>
            <w:r w:rsidR="0058049D">
              <w:rPr>
                <w:noProof/>
                <w:webHidden/>
              </w:rPr>
              <w:tab/>
            </w:r>
            <w:r w:rsidR="0058049D">
              <w:rPr>
                <w:noProof/>
                <w:webHidden/>
              </w:rPr>
              <w:fldChar w:fldCharType="begin"/>
            </w:r>
            <w:r w:rsidR="0058049D">
              <w:rPr>
                <w:noProof/>
                <w:webHidden/>
              </w:rPr>
              <w:instrText xml:space="preserve"> PAGEREF _Toc235437816 \h </w:instrText>
            </w:r>
            <w:r w:rsidR="0058049D">
              <w:rPr>
                <w:noProof/>
                <w:webHidden/>
              </w:rPr>
            </w:r>
            <w:r w:rsidR="0058049D">
              <w:rPr>
                <w:noProof/>
                <w:webHidden/>
              </w:rPr>
              <w:fldChar w:fldCharType="separate"/>
            </w:r>
            <w:r w:rsidR="0058049D">
              <w:rPr>
                <w:noProof/>
                <w:webHidden/>
              </w:rPr>
              <w:t>0</w:t>
            </w:r>
            <w:r w:rsidR="0058049D">
              <w:rPr>
                <w:noProof/>
                <w:webHidden/>
              </w:rPr>
              <w:fldChar w:fldCharType="end"/>
            </w:r>
          </w:hyperlink>
        </w:p>
        <w:p w14:paraId="514AD231" w14:textId="243A4FA5"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17" w:history="1">
            <w:r w:rsidRPr="00974318">
              <w:rPr>
                <w:rStyle w:val="Hyperlink"/>
                <w:noProof/>
              </w:rPr>
              <w:t>Student Number:</w:t>
            </w:r>
            <w:r>
              <w:rPr>
                <w:noProof/>
                <w:webHidden/>
              </w:rPr>
              <w:tab/>
            </w:r>
            <w:r>
              <w:rPr>
                <w:noProof/>
                <w:webHidden/>
              </w:rPr>
              <w:fldChar w:fldCharType="begin"/>
            </w:r>
            <w:r>
              <w:rPr>
                <w:noProof/>
                <w:webHidden/>
              </w:rPr>
              <w:instrText xml:space="preserve"> PAGEREF _Toc235437817 \h </w:instrText>
            </w:r>
            <w:r>
              <w:rPr>
                <w:noProof/>
                <w:webHidden/>
              </w:rPr>
            </w:r>
            <w:r>
              <w:rPr>
                <w:noProof/>
                <w:webHidden/>
              </w:rPr>
              <w:fldChar w:fldCharType="separate"/>
            </w:r>
            <w:r>
              <w:rPr>
                <w:noProof/>
                <w:webHidden/>
              </w:rPr>
              <w:t>0</w:t>
            </w:r>
            <w:r>
              <w:rPr>
                <w:noProof/>
                <w:webHidden/>
              </w:rPr>
              <w:fldChar w:fldCharType="end"/>
            </w:r>
          </w:hyperlink>
        </w:p>
        <w:p w14:paraId="3E6E7A37" w14:textId="76434BED"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18" w:history="1">
            <w:r w:rsidRPr="00974318">
              <w:rPr>
                <w:rStyle w:val="Hyperlink"/>
                <w:noProof/>
              </w:rPr>
              <w:t>Module:</w:t>
            </w:r>
            <w:r>
              <w:rPr>
                <w:noProof/>
                <w:webHidden/>
              </w:rPr>
              <w:tab/>
            </w:r>
            <w:r>
              <w:rPr>
                <w:noProof/>
                <w:webHidden/>
              </w:rPr>
              <w:fldChar w:fldCharType="begin"/>
            </w:r>
            <w:r>
              <w:rPr>
                <w:noProof/>
                <w:webHidden/>
              </w:rPr>
              <w:instrText xml:space="preserve"> PAGEREF _Toc235437818 \h </w:instrText>
            </w:r>
            <w:r>
              <w:rPr>
                <w:noProof/>
                <w:webHidden/>
              </w:rPr>
            </w:r>
            <w:r>
              <w:rPr>
                <w:noProof/>
                <w:webHidden/>
              </w:rPr>
              <w:fldChar w:fldCharType="separate"/>
            </w:r>
            <w:r>
              <w:rPr>
                <w:noProof/>
                <w:webHidden/>
              </w:rPr>
              <w:t>0</w:t>
            </w:r>
            <w:r>
              <w:rPr>
                <w:noProof/>
                <w:webHidden/>
              </w:rPr>
              <w:fldChar w:fldCharType="end"/>
            </w:r>
          </w:hyperlink>
        </w:p>
        <w:p w14:paraId="2F5376B5" w14:textId="2CAABC8D"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19" w:history="1">
            <w:r w:rsidRPr="00974318">
              <w:rPr>
                <w:rStyle w:val="Hyperlink"/>
                <w:noProof/>
              </w:rPr>
              <w:t>Assessment:</w:t>
            </w:r>
            <w:r>
              <w:rPr>
                <w:noProof/>
                <w:webHidden/>
              </w:rPr>
              <w:tab/>
            </w:r>
            <w:r>
              <w:rPr>
                <w:noProof/>
                <w:webHidden/>
              </w:rPr>
              <w:fldChar w:fldCharType="begin"/>
            </w:r>
            <w:r>
              <w:rPr>
                <w:noProof/>
                <w:webHidden/>
              </w:rPr>
              <w:instrText xml:space="preserve"> PAGEREF _Toc235437819 \h </w:instrText>
            </w:r>
            <w:r>
              <w:rPr>
                <w:noProof/>
                <w:webHidden/>
              </w:rPr>
            </w:r>
            <w:r>
              <w:rPr>
                <w:noProof/>
                <w:webHidden/>
              </w:rPr>
              <w:fldChar w:fldCharType="separate"/>
            </w:r>
            <w:r>
              <w:rPr>
                <w:noProof/>
                <w:webHidden/>
              </w:rPr>
              <w:t>0</w:t>
            </w:r>
            <w:r>
              <w:rPr>
                <w:noProof/>
                <w:webHidden/>
              </w:rPr>
              <w:fldChar w:fldCharType="end"/>
            </w:r>
          </w:hyperlink>
        </w:p>
        <w:p w14:paraId="2FFDD8B8" w14:textId="60AECE95"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20" w:history="1">
            <w:r w:rsidRPr="00974318">
              <w:rPr>
                <w:rStyle w:val="Hyperlink"/>
                <w:noProof/>
              </w:rPr>
              <w:t>Lecturer:</w:t>
            </w:r>
            <w:r>
              <w:rPr>
                <w:noProof/>
                <w:webHidden/>
              </w:rPr>
              <w:tab/>
            </w:r>
            <w:r>
              <w:rPr>
                <w:noProof/>
                <w:webHidden/>
              </w:rPr>
              <w:fldChar w:fldCharType="begin"/>
            </w:r>
            <w:r>
              <w:rPr>
                <w:noProof/>
                <w:webHidden/>
              </w:rPr>
              <w:instrText xml:space="preserve"> PAGEREF _Toc235437820 \h </w:instrText>
            </w:r>
            <w:r>
              <w:rPr>
                <w:noProof/>
                <w:webHidden/>
              </w:rPr>
            </w:r>
            <w:r>
              <w:rPr>
                <w:noProof/>
                <w:webHidden/>
              </w:rPr>
              <w:fldChar w:fldCharType="separate"/>
            </w:r>
            <w:r>
              <w:rPr>
                <w:noProof/>
                <w:webHidden/>
              </w:rPr>
              <w:t>0</w:t>
            </w:r>
            <w:r>
              <w:rPr>
                <w:noProof/>
                <w:webHidden/>
              </w:rPr>
              <w:fldChar w:fldCharType="end"/>
            </w:r>
          </w:hyperlink>
        </w:p>
        <w:p w14:paraId="386FD1F4" w14:textId="5C8C49C5"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21" w:history="1">
            <w:r w:rsidRPr="00974318">
              <w:rPr>
                <w:rStyle w:val="Hyperlink"/>
                <w:noProof/>
              </w:rPr>
              <w:t>1. Introduction</w:t>
            </w:r>
            <w:r>
              <w:rPr>
                <w:noProof/>
                <w:webHidden/>
              </w:rPr>
              <w:tab/>
            </w:r>
            <w:r>
              <w:rPr>
                <w:noProof/>
                <w:webHidden/>
              </w:rPr>
              <w:fldChar w:fldCharType="begin"/>
            </w:r>
            <w:r>
              <w:rPr>
                <w:noProof/>
                <w:webHidden/>
              </w:rPr>
              <w:instrText xml:space="preserve"> PAGEREF _Toc235437821 \h </w:instrText>
            </w:r>
            <w:r>
              <w:rPr>
                <w:noProof/>
                <w:webHidden/>
              </w:rPr>
            </w:r>
            <w:r>
              <w:rPr>
                <w:noProof/>
                <w:webHidden/>
              </w:rPr>
              <w:fldChar w:fldCharType="separate"/>
            </w:r>
            <w:r>
              <w:rPr>
                <w:noProof/>
                <w:webHidden/>
              </w:rPr>
              <w:t>3</w:t>
            </w:r>
            <w:r>
              <w:rPr>
                <w:noProof/>
                <w:webHidden/>
              </w:rPr>
              <w:fldChar w:fldCharType="end"/>
            </w:r>
          </w:hyperlink>
        </w:p>
        <w:p w14:paraId="34D63F94" w14:textId="76465FB8"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22" w:history="1">
            <w:r w:rsidRPr="00974318">
              <w:rPr>
                <w:rStyle w:val="Hyperlink"/>
                <w:noProof/>
              </w:rPr>
              <w:t>2. Background</w:t>
            </w:r>
            <w:r>
              <w:rPr>
                <w:noProof/>
                <w:webHidden/>
              </w:rPr>
              <w:tab/>
            </w:r>
            <w:r>
              <w:rPr>
                <w:noProof/>
                <w:webHidden/>
              </w:rPr>
              <w:fldChar w:fldCharType="begin"/>
            </w:r>
            <w:r>
              <w:rPr>
                <w:noProof/>
                <w:webHidden/>
              </w:rPr>
              <w:instrText xml:space="preserve"> PAGEREF _Toc235437822 \h </w:instrText>
            </w:r>
            <w:r>
              <w:rPr>
                <w:noProof/>
                <w:webHidden/>
              </w:rPr>
            </w:r>
            <w:r>
              <w:rPr>
                <w:noProof/>
                <w:webHidden/>
              </w:rPr>
              <w:fldChar w:fldCharType="separate"/>
            </w:r>
            <w:r>
              <w:rPr>
                <w:noProof/>
                <w:webHidden/>
              </w:rPr>
              <w:t>4</w:t>
            </w:r>
            <w:r>
              <w:rPr>
                <w:noProof/>
                <w:webHidden/>
              </w:rPr>
              <w:fldChar w:fldCharType="end"/>
            </w:r>
          </w:hyperlink>
        </w:p>
        <w:p w14:paraId="1A51E49D" w14:textId="2E529AF1"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23" w:history="1">
            <w:r w:rsidRPr="00974318">
              <w:rPr>
                <w:rStyle w:val="Hyperlink"/>
                <w:noProof/>
              </w:rPr>
              <w:t>3. Methods</w:t>
            </w:r>
            <w:r>
              <w:rPr>
                <w:noProof/>
                <w:webHidden/>
              </w:rPr>
              <w:tab/>
            </w:r>
            <w:r>
              <w:rPr>
                <w:noProof/>
                <w:webHidden/>
              </w:rPr>
              <w:fldChar w:fldCharType="begin"/>
            </w:r>
            <w:r>
              <w:rPr>
                <w:noProof/>
                <w:webHidden/>
              </w:rPr>
              <w:instrText xml:space="preserve"> PAGEREF _Toc235437823 \h </w:instrText>
            </w:r>
            <w:r>
              <w:rPr>
                <w:noProof/>
                <w:webHidden/>
              </w:rPr>
            </w:r>
            <w:r>
              <w:rPr>
                <w:noProof/>
                <w:webHidden/>
              </w:rPr>
              <w:fldChar w:fldCharType="separate"/>
            </w:r>
            <w:r>
              <w:rPr>
                <w:noProof/>
                <w:webHidden/>
              </w:rPr>
              <w:t>6</w:t>
            </w:r>
            <w:r>
              <w:rPr>
                <w:noProof/>
                <w:webHidden/>
              </w:rPr>
              <w:fldChar w:fldCharType="end"/>
            </w:r>
          </w:hyperlink>
        </w:p>
        <w:p w14:paraId="52BC1853" w14:textId="7F2B295F"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24" w:history="1">
            <w:r w:rsidRPr="00974318">
              <w:rPr>
                <w:rStyle w:val="Hyperlink"/>
                <w:noProof/>
              </w:rPr>
              <w:t>4. Results</w:t>
            </w:r>
            <w:r>
              <w:rPr>
                <w:noProof/>
                <w:webHidden/>
              </w:rPr>
              <w:tab/>
            </w:r>
            <w:r>
              <w:rPr>
                <w:noProof/>
                <w:webHidden/>
              </w:rPr>
              <w:fldChar w:fldCharType="begin"/>
            </w:r>
            <w:r>
              <w:rPr>
                <w:noProof/>
                <w:webHidden/>
              </w:rPr>
              <w:instrText xml:space="preserve"> PAGEREF _Toc235437824 \h </w:instrText>
            </w:r>
            <w:r>
              <w:rPr>
                <w:noProof/>
                <w:webHidden/>
              </w:rPr>
            </w:r>
            <w:r>
              <w:rPr>
                <w:noProof/>
                <w:webHidden/>
              </w:rPr>
              <w:fldChar w:fldCharType="separate"/>
            </w:r>
            <w:r>
              <w:rPr>
                <w:noProof/>
                <w:webHidden/>
              </w:rPr>
              <w:t>7</w:t>
            </w:r>
            <w:r>
              <w:rPr>
                <w:noProof/>
                <w:webHidden/>
              </w:rPr>
              <w:fldChar w:fldCharType="end"/>
            </w:r>
          </w:hyperlink>
        </w:p>
        <w:p w14:paraId="14FE1853" w14:textId="49A7B779"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25" w:history="1">
            <w:r w:rsidRPr="00974318">
              <w:rPr>
                <w:rStyle w:val="Hyperlink"/>
                <w:noProof/>
              </w:rPr>
              <w:t>Table 1. Summary of included studies and thematic contribution</w:t>
            </w:r>
            <w:r>
              <w:rPr>
                <w:noProof/>
                <w:webHidden/>
              </w:rPr>
              <w:tab/>
            </w:r>
            <w:r>
              <w:rPr>
                <w:noProof/>
                <w:webHidden/>
              </w:rPr>
              <w:fldChar w:fldCharType="begin"/>
            </w:r>
            <w:r>
              <w:rPr>
                <w:noProof/>
                <w:webHidden/>
              </w:rPr>
              <w:instrText xml:space="preserve"> PAGEREF _Toc235437825 \h </w:instrText>
            </w:r>
            <w:r>
              <w:rPr>
                <w:noProof/>
                <w:webHidden/>
              </w:rPr>
            </w:r>
            <w:r>
              <w:rPr>
                <w:noProof/>
                <w:webHidden/>
              </w:rPr>
              <w:fldChar w:fldCharType="separate"/>
            </w:r>
            <w:r>
              <w:rPr>
                <w:noProof/>
                <w:webHidden/>
              </w:rPr>
              <w:t>7</w:t>
            </w:r>
            <w:r>
              <w:rPr>
                <w:noProof/>
                <w:webHidden/>
              </w:rPr>
              <w:fldChar w:fldCharType="end"/>
            </w:r>
          </w:hyperlink>
        </w:p>
        <w:p w14:paraId="72F7D867" w14:textId="416C3FC5" w:rsidR="0058049D" w:rsidRDefault="0058049D">
          <w:pPr>
            <w:pStyle w:val="TOC2"/>
            <w:tabs>
              <w:tab w:val="right" w:leader="dot" w:pos="9350"/>
            </w:tabs>
            <w:rPr>
              <w:rFonts w:asciiTheme="minorHAnsi" w:hAnsiTheme="minorHAnsi"/>
              <w:noProof/>
              <w:kern w:val="2"/>
              <w:sz w:val="24"/>
              <w:szCs w:val="24"/>
              <w:lang w:val="en-GB" w:eastAsia="en-GB"/>
              <w14:ligatures w14:val="standardContextual"/>
            </w:rPr>
          </w:pPr>
          <w:hyperlink w:anchor="_Toc235437826" w:history="1">
            <w:r w:rsidRPr="00974318">
              <w:rPr>
                <w:rStyle w:val="Hyperlink"/>
                <w:noProof/>
              </w:rPr>
              <w:t>4.1 Thematic findings</w:t>
            </w:r>
            <w:r>
              <w:rPr>
                <w:noProof/>
                <w:webHidden/>
              </w:rPr>
              <w:tab/>
            </w:r>
            <w:r>
              <w:rPr>
                <w:noProof/>
                <w:webHidden/>
              </w:rPr>
              <w:fldChar w:fldCharType="begin"/>
            </w:r>
            <w:r>
              <w:rPr>
                <w:noProof/>
                <w:webHidden/>
              </w:rPr>
              <w:instrText xml:space="preserve"> PAGEREF _Toc235437826 \h </w:instrText>
            </w:r>
            <w:r>
              <w:rPr>
                <w:noProof/>
                <w:webHidden/>
              </w:rPr>
            </w:r>
            <w:r>
              <w:rPr>
                <w:noProof/>
                <w:webHidden/>
              </w:rPr>
              <w:fldChar w:fldCharType="separate"/>
            </w:r>
            <w:r>
              <w:rPr>
                <w:noProof/>
                <w:webHidden/>
              </w:rPr>
              <w:t>8</w:t>
            </w:r>
            <w:r>
              <w:rPr>
                <w:noProof/>
                <w:webHidden/>
              </w:rPr>
              <w:fldChar w:fldCharType="end"/>
            </w:r>
          </w:hyperlink>
        </w:p>
        <w:p w14:paraId="2935E6B9" w14:textId="0B9752EA"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27" w:history="1">
            <w:r w:rsidRPr="00974318">
              <w:rPr>
                <w:rStyle w:val="Hyperlink"/>
                <w:noProof/>
              </w:rPr>
              <w:t>5. Discussion</w:t>
            </w:r>
            <w:r>
              <w:rPr>
                <w:noProof/>
                <w:webHidden/>
              </w:rPr>
              <w:tab/>
            </w:r>
            <w:r>
              <w:rPr>
                <w:noProof/>
                <w:webHidden/>
              </w:rPr>
              <w:fldChar w:fldCharType="begin"/>
            </w:r>
            <w:r>
              <w:rPr>
                <w:noProof/>
                <w:webHidden/>
              </w:rPr>
              <w:instrText xml:space="preserve"> PAGEREF _Toc235437827 \h </w:instrText>
            </w:r>
            <w:r>
              <w:rPr>
                <w:noProof/>
                <w:webHidden/>
              </w:rPr>
            </w:r>
            <w:r>
              <w:rPr>
                <w:noProof/>
                <w:webHidden/>
              </w:rPr>
              <w:fldChar w:fldCharType="separate"/>
            </w:r>
            <w:r>
              <w:rPr>
                <w:noProof/>
                <w:webHidden/>
              </w:rPr>
              <w:t>9</w:t>
            </w:r>
            <w:r>
              <w:rPr>
                <w:noProof/>
                <w:webHidden/>
              </w:rPr>
              <w:fldChar w:fldCharType="end"/>
            </w:r>
          </w:hyperlink>
        </w:p>
        <w:p w14:paraId="13E11210" w14:textId="14BF5C22" w:rsidR="0058049D" w:rsidRDefault="0058049D">
          <w:pPr>
            <w:pStyle w:val="TOC2"/>
            <w:tabs>
              <w:tab w:val="right" w:leader="dot" w:pos="9350"/>
            </w:tabs>
            <w:rPr>
              <w:rFonts w:asciiTheme="minorHAnsi" w:hAnsiTheme="minorHAnsi"/>
              <w:noProof/>
              <w:kern w:val="2"/>
              <w:sz w:val="24"/>
              <w:szCs w:val="24"/>
              <w:lang w:val="en-GB" w:eastAsia="en-GB"/>
              <w14:ligatures w14:val="standardContextual"/>
            </w:rPr>
          </w:pPr>
          <w:hyperlink w:anchor="_Toc235437828" w:history="1">
            <w:r w:rsidRPr="00974318">
              <w:rPr>
                <w:rStyle w:val="Hyperlink"/>
                <w:noProof/>
              </w:rPr>
              <w:t>Theme 1: Stigma, recognition and the decision to seek help</w:t>
            </w:r>
            <w:r>
              <w:rPr>
                <w:noProof/>
                <w:webHidden/>
              </w:rPr>
              <w:tab/>
            </w:r>
            <w:r>
              <w:rPr>
                <w:noProof/>
                <w:webHidden/>
              </w:rPr>
              <w:fldChar w:fldCharType="begin"/>
            </w:r>
            <w:r>
              <w:rPr>
                <w:noProof/>
                <w:webHidden/>
              </w:rPr>
              <w:instrText xml:space="preserve"> PAGEREF _Toc235437828 \h </w:instrText>
            </w:r>
            <w:r>
              <w:rPr>
                <w:noProof/>
                <w:webHidden/>
              </w:rPr>
            </w:r>
            <w:r>
              <w:rPr>
                <w:noProof/>
                <w:webHidden/>
              </w:rPr>
              <w:fldChar w:fldCharType="separate"/>
            </w:r>
            <w:r>
              <w:rPr>
                <w:noProof/>
                <w:webHidden/>
              </w:rPr>
              <w:t>9</w:t>
            </w:r>
            <w:r>
              <w:rPr>
                <w:noProof/>
                <w:webHidden/>
              </w:rPr>
              <w:fldChar w:fldCharType="end"/>
            </w:r>
          </w:hyperlink>
        </w:p>
        <w:p w14:paraId="3C7EB4E6" w14:textId="4977D71E" w:rsidR="0058049D" w:rsidRDefault="0058049D">
          <w:pPr>
            <w:pStyle w:val="TOC2"/>
            <w:tabs>
              <w:tab w:val="right" w:leader="dot" w:pos="9350"/>
            </w:tabs>
            <w:rPr>
              <w:rFonts w:asciiTheme="minorHAnsi" w:hAnsiTheme="minorHAnsi"/>
              <w:noProof/>
              <w:kern w:val="2"/>
              <w:sz w:val="24"/>
              <w:szCs w:val="24"/>
              <w:lang w:val="en-GB" w:eastAsia="en-GB"/>
              <w14:ligatures w14:val="standardContextual"/>
            </w:rPr>
          </w:pPr>
          <w:hyperlink w:anchor="_Toc235437829" w:history="1">
            <w:r w:rsidRPr="00974318">
              <w:rPr>
                <w:rStyle w:val="Hyperlink"/>
                <w:noProof/>
              </w:rPr>
              <w:t>Theme 2: Communication, trust and cultural responsiveness</w:t>
            </w:r>
            <w:r>
              <w:rPr>
                <w:noProof/>
                <w:webHidden/>
              </w:rPr>
              <w:tab/>
            </w:r>
            <w:r>
              <w:rPr>
                <w:noProof/>
                <w:webHidden/>
              </w:rPr>
              <w:fldChar w:fldCharType="begin"/>
            </w:r>
            <w:r>
              <w:rPr>
                <w:noProof/>
                <w:webHidden/>
              </w:rPr>
              <w:instrText xml:space="preserve"> PAGEREF _Toc235437829 \h </w:instrText>
            </w:r>
            <w:r>
              <w:rPr>
                <w:noProof/>
                <w:webHidden/>
              </w:rPr>
            </w:r>
            <w:r>
              <w:rPr>
                <w:noProof/>
                <w:webHidden/>
              </w:rPr>
              <w:fldChar w:fldCharType="separate"/>
            </w:r>
            <w:r>
              <w:rPr>
                <w:noProof/>
                <w:webHidden/>
              </w:rPr>
              <w:t>10</w:t>
            </w:r>
            <w:r>
              <w:rPr>
                <w:noProof/>
                <w:webHidden/>
              </w:rPr>
              <w:fldChar w:fldCharType="end"/>
            </w:r>
          </w:hyperlink>
        </w:p>
        <w:p w14:paraId="63EEA129" w14:textId="1838CA3A" w:rsidR="0058049D" w:rsidRDefault="0058049D">
          <w:pPr>
            <w:pStyle w:val="TOC2"/>
            <w:tabs>
              <w:tab w:val="right" w:leader="dot" w:pos="9350"/>
            </w:tabs>
            <w:rPr>
              <w:rFonts w:asciiTheme="minorHAnsi" w:hAnsiTheme="minorHAnsi"/>
              <w:noProof/>
              <w:kern w:val="2"/>
              <w:sz w:val="24"/>
              <w:szCs w:val="24"/>
              <w:lang w:val="en-GB" w:eastAsia="en-GB"/>
              <w14:ligatures w14:val="standardContextual"/>
            </w:rPr>
          </w:pPr>
          <w:hyperlink w:anchor="_Toc235437830" w:history="1">
            <w:r w:rsidRPr="00974318">
              <w:rPr>
                <w:rStyle w:val="Hyperlink"/>
                <w:noProof/>
              </w:rPr>
              <w:t>Theme 3: Organisational and socioeconomic inequalities</w:t>
            </w:r>
            <w:r>
              <w:rPr>
                <w:noProof/>
                <w:webHidden/>
              </w:rPr>
              <w:tab/>
            </w:r>
            <w:r>
              <w:rPr>
                <w:noProof/>
                <w:webHidden/>
              </w:rPr>
              <w:fldChar w:fldCharType="begin"/>
            </w:r>
            <w:r>
              <w:rPr>
                <w:noProof/>
                <w:webHidden/>
              </w:rPr>
              <w:instrText xml:space="preserve"> PAGEREF _Toc235437830 \h </w:instrText>
            </w:r>
            <w:r>
              <w:rPr>
                <w:noProof/>
                <w:webHidden/>
              </w:rPr>
            </w:r>
            <w:r>
              <w:rPr>
                <w:noProof/>
                <w:webHidden/>
              </w:rPr>
              <w:fldChar w:fldCharType="separate"/>
            </w:r>
            <w:r>
              <w:rPr>
                <w:noProof/>
                <w:webHidden/>
              </w:rPr>
              <w:t>11</w:t>
            </w:r>
            <w:r>
              <w:rPr>
                <w:noProof/>
                <w:webHidden/>
              </w:rPr>
              <w:fldChar w:fldCharType="end"/>
            </w:r>
          </w:hyperlink>
        </w:p>
        <w:p w14:paraId="54A99848" w14:textId="49465A33" w:rsidR="0058049D" w:rsidRDefault="0058049D">
          <w:pPr>
            <w:pStyle w:val="TOC2"/>
            <w:tabs>
              <w:tab w:val="right" w:leader="dot" w:pos="9350"/>
            </w:tabs>
            <w:rPr>
              <w:rFonts w:asciiTheme="minorHAnsi" w:hAnsiTheme="minorHAnsi"/>
              <w:noProof/>
              <w:kern w:val="2"/>
              <w:sz w:val="24"/>
              <w:szCs w:val="24"/>
              <w:lang w:val="en-GB" w:eastAsia="en-GB"/>
              <w14:ligatures w14:val="standardContextual"/>
            </w:rPr>
          </w:pPr>
          <w:hyperlink w:anchor="_Toc235437831" w:history="1">
            <w:r w:rsidRPr="00974318">
              <w:rPr>
                <w:rStyle w:val="Hyperlink"/>
                <w:noProof/>
              </w:rPr>
              <w:t>Theme 4: Digital access, remote care and patient choice</w:t>
            </w:r>
            <w:r>
              <w:rPr>
                <w:noProof/>
                <w:webHidden/>
              </w:rPr>
              <w:tab/>
            </w:r>
            <w:r>
              <w:rPr>
                <w:noProof/>
                <w:webHidden/>
              </w:rPr>
              <w:fldChar w:fldCharType="begin"/>
            </w:r>
            <w:r>
              <w:rPr>
                <w:noProof/>
                <w:webHidden/>
              </w:rPr>
              <w:instrText xml:space="preserve"> PAGEREF _Toc235437831 \h </w:instrText>
            </w:r>
            <w:r>
              <w:rPr>
                <w:noProof/>
                <w:webHidden/>
              </w:rPr>
            </w:r>
            <w:r>
              <w:rPr>
                <w:noProof/>
                <w:webHidden/>
              </w:rPr>
              <w:fldChar w:fldCharType="separate"/>
            </w:r>
            <w:r>
              <w:rPr>
                <w:noProof/>
                <w:webHidden/>
              </w:rPr>
              <w:t>12</w:t>
            </w:r>
            <w:r>
              <w:rPr>
                <w:noProof/>
                <w:webHidden/>
              </w:rPr>
              <w:fldChar w:fldCharType="end"/>
            </w:r>
          </w:hyperlink>
        </w:p>
        <w:p w14:paraId="0943DBB3" w14:textId="1BB2CF07"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32" w:history="1">
            <w:r w:rsidRPr="00974318">
              <w:rPr>
                <w:rStyle w:val="Hyperlink"/>
                <w:noProof/>
              </w:rPr>
              <w:t>6. Strengths and Limitations</w:t>
            </w:r>
            <w:r>
              <w:rPr>
                <w:noProof/>
                <w:webHidden/>
              </w:rPr>
              <w:tab/>
            </w:r>
            <w:r>
              <w:rPr>
                <w:noProof/>
                <w:webHidden/>
              </w:rPr>
              <w:fldChar w:fldCharType="begin"/>
            </w:r>
            <w:r>
              <w:rPr>
                <w:noProof/>
                <w:webHidden/>
              </w:rPr>
              <w:instrText xml:space="preserve"> PAGEREF _Toc235437832 \h </w:instrText>
            </w:r>
            <w:r>
              <w:rPr>
                <w:noProof/>
                <w:webHidden/>
              </w:rPr>
            </w:r>
            <w:r>
              <w:rPr>
                <w:noProof/>
                <w:webHidden/>
              </w:rPr>
              <w:fldChar w:fldCharType="separate"/>
            </w:r>
            <w:r>
              <w:rPr>
                <w:noProof/>
                <w:webHidden/>
              </w:rPr>
              <w:t>14</w:t>
            </w:r>
            <w:r>
              <w:rPr>
                <w:noProof/>
                <w:webHidden/>
              </w:rPr>
              <w:fldChar w:fldCharType="end"/>
            </w:r>
          </w:hyperlink>
        </w:p>
        <w:p w14:paraId="0B5017D4" w14:textId="30B1EB3A"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33" w:history="1">
            <w:r w:rsidRPr="00974318">
              <w:rPr>
                <w:rStyle w:val="Hyperlink"/>
                <w:noProof/>
              </w:rPr>
              <w:t>7. Conclusion and Recommendations</w:t>
            </w:r>
            <w:r>
              <w:rPr>
                <w:noProof/>
                <w:webHidden/>
              </w:rPr>
              <w:tab/>
            </w:r>
            <w:r>
              <w:rPr>
                <w:noProof/>
                <w:webHidden/>
              </w:rPr>
              <w:fldChar w:fldCharType="begin"/>
            </w:r>
            <w:r>
              <w:rPr>
                <w:noProof/>
                <w:webHidden/>
              </w:rPr>
              <w:instrText xml:space="preserve"> PAGEREF _Toc235437833 \h </w:instrText>
            </w:r>
            <w:r>
              <w:rPr>
                <w:noProof/>
                <w:webHidden/>
              </w:rPr>
            </w:r>
            <w:r>
              <w:rPr>
                <w:noProof/>
                <w:webHidden/>
              </w:rPr>
              <w:fldChar w:fldCharType="separate"/>
            </w:r>
            <w:r>
              <w:rPr>
                <w:noProof/>
                <w:webHidden/>
              </w:rPr>
              <w:t>15</w:t>
            </w:r>
            <w:r>
              <w:rPr>
                <w:noProof/>
                <w:webHidden/>
              </w:rPr>
              <w:fldChar w:fldCharType="end"/>
            </w:r>
          </w:hyperlink>
        </w:p>
        <w:p w14:paraId="1AAEE387" w14:textId="0C2E89AB" w:rsidR="0058049D" w:rsidRDefault="0058049D">
          <w:pPr>
            <w:pStyle w:val="TOC1"/>
            <w:tabs>
              <w:tab w:val="right" w:leader="dot" w:pos="9350"/>
            </w:tabs>
            <w:rPr>
              <w:rFonts w:asciiTheme="minorHAnsi" w:hAnsiTheme="minorHAnsi"/>
              <w:noProof/>
              <w:kern w:val="2"/>
              <w:sz w:val="24"/>
              <w:szCs w:val="24"/>
              <w:lang w:val="en-GB" w:eastAsia="en-GB"/>
              <w14:ligatures w14:val="standardContextual"/>
            </w:rPr>
          </w:pPr>
          <w:hyperlink w:anchor="_Toc235437834" w:history="1">
            <w:r w:rsidRPr="00974318">
              <w:rPr>
                <w:rStyle w:val="Hyperlink"/>
                <w:noProof/>
              </w:rPr>
              <w:t>8. Reference List</w:t>
            </w:r>
            <w:r>
              <w:rPr>
                <w:noProof/>
                <w:webHidden/>
              </w:rPr>
              <w:tab/>
            </w:r>
            <w:r>
              <w:rPr>
                <w:noProof/>
                <w:webHidden/>
              </w:rPr>
              <w:fldChar w:fldCharType="begin"/>
            </w:r>
            <w:r>
              <w:rPr>
                <w:noProof/>
                <w:webHidden/>
              </w:rPr>
              <w:instrText xml:space="preserve"> PAGEREF _Toc235437834 \h </w:instrText>
            </w:r>
            <w:r>
              <w:rPr>
                <w:noProof/>
                <w:webHidden/>
              </w:rPr>
            </w:r>
            <w:r>
              <w:rPr>
                <w:noProof/>
                <w:webHidden/>
              </w:rPr>
              <w:fldChar w:fldCharType="separate"/>
            </w:r>
            <w:r>
              <w:rPr>
                <w:noProof/>
                <w:webHidden/>
              </w:rPr>
              <w:t>16</w:t>
            </w:r>
            <w:r>
              <w:rPr>
                <w:noProof/>
                <w:webHidden/>
              </w:rPr>
              <w:fldChar w:fldCharType="end"/>
            </w:r>
          </w:hyperlink>
        </w:p>
        <w:p w14:paraId="2CD72051" w14:textId="425B7EC5" w:rsidR="001B23E7" w:rsidRDefault="001B23E7">
          <w:r>
            <w:rPr>
              <w:b/>
              <w:bCs/>
            </w:rPr>
            <w:fldChar w:fldCharType="end"/>
          </w:r>
        </w:p>
      </w:sdtContent>
    </w:sdt>
    <w:p w14:paraId="60B35C78" w14:textId="77777777" w:rsidR="00FD2478" w:rsidRPr="00DD7F57" w:rsidRDefault="005D5934" w:rsidP="00731BF4">
      <w:pPr>
        <w:rPr>
          <w:rFonts w:cs="Arial"/>
        </w:rPr>
      </w:pPr>
      <w:r w:rsidRPr="00DD7F57">
        <w:rPr>
          <w:rFonts w:cs="Arial"/>
        </w:rPr>
        <w:br w:type="page"/>
      </w:r>
    </w:p>
    <w:p w14:paraId="643A30AD" w14:textId="77777777" w:rsidR="003E2DF4" w:rsidRDefault="003E2DF4" w:rsidP="00731BF4">
      <w:pPr>
        <w:pStyle w:val="Heading1"/>
        <w:rPr>
          <w:rFonts w:ascii="Arial" w:hAnsi="Arial" w:cs="Arial"/>
          <w:sz w:val="22"/>
          <w:szCs w:val="22"/>
        </w:rPr>
      </w:pPr>
    </w:p>
    <w:p w14:paraId="5BEF616D" w14:textId="3498C7EA" w:rsidR="00FD2478" w:rsidRPr="006770F5" w:rsidRDefault="005D5934" w:rsidP="006770F5">
      <w:pPr>
        <w:pStyle w:val="Heading1"/>
      </w:pPr>
      <w:bookmarkStart w:id="10" w:name="_Toc235437821"/>
      <w:r w:rsidRPr="006770F5">
        <w:t>1. Introduction</w:t>
      </w:r>
      <w:bookmarkEnd w:id="10"/>
    </w:p>
    <w:p w14:paraId="097979C7" w14:textId="77777777" w:rsidR="00FD2478" w:rsidRPr="00DD7F57" w:rsidRDefault="005D5934" w:rsidP="00731BF4">
      <w:pPr>
        <w:rPr>
          <w:rFonts w:cs="Arial"/>
        </w:rPr>
      </w:pPr>
      <w:r w:rsidRPr="00DD7F57">
        <w:rPr>
          <w:rFonts w:cs="Arial"/>
        </w:rPr>
        <w:t xml:space="preserve">Mental health support refers to assessment, treatment and continuing help provided to people experiencing psychological distress or mental illness. Primary care includes general practice and other first-contact community services. In the United Kingdom, general practitioners (GPs) </w:t>
      </w:r>
      <w:proofErr w:type="gramStart"/>
      <w:r w:rsidRPr="00DD7F57">
        <w:rPr>
          <w:rFonts w:cs="Arial"/>
        </w:rPr>
        <w:t>frequently</w:t>
      </w:r>
      <w:proofErr w:type="gramEnd"/>
      <w:r w:rsidRPr="00DD7F57">
        <w:rPr>
          <w:rFonts w:cs="Arial"/>
        </w:rPr>
        <w:t xml:space="preserve"> </w:t>
      </w:r>
      <w:proofErr w:type="gramStart"/>
      <w:r w:rsidRPr="00DD7F57">
        <w:rPr>
          <w:rFonts w:cs="Arial"/>
        </w:rPr>
        <w:t>identify</w:t>
      </w:r>
      <w:proofErr w:type="gramEnd"/>
      <w:r w:rsidRPr="00DD7F57">
        <w:rPr>
          <w:rFonts w:cs="Arial"/>
        </w:rPr>
        <w:t xml:space="preserve"> common mental health problems, begin treatment and refer patients to NHS Talking Therapies or specialist services. Access, however, is more than the availability of an appointment. It also includes recognising a need for help, knowing where to seek support, being able to communicate concerns, receiving </w:t>
      </w:r>
      <w:proofErr w:type="gramStart"/>
      <w:r w:rsidRPr="00DD7F57">
        <w:rPr>
          <w:rFonts w:cs="Arial"/>
        </w:rPr>
        <w:t>an appropriate response</w:t>
      </w:r>
      <w:proofErr w:type="gramEnd"/>
      <w:r w:rsidRPr="00DD7F57">
        <w:rPr>
          <w:rFonts w:cs="Arial"/>
        </w:rPr>
        <w:t xml:space="preserve"> and continuing with care.</w:t>
      </w:r>
    </w:p>
    <w:p w14:paraId="14417F58" w14:textId="77777777" w:rsidR="00FD2478" w:rsidRPr="00DD7F57" w:rsidRDefault="005D5934" w:rsidP="00731BF4">
      <w:pPr>
        <w:rPr>
          <w:rFonts w:cs="Arial"/>
        </w:rPr>
      </w:pPr>
      <w:r w:rsidRPr="00DD7F57">
        <w:rPr>
          <w:rFonts w:cs="Arial"/>
        </w:rPr>
        <w:t>The topic is important because untreated depression, anxiety and other mental health difficulties can affect physical health, employment, relationships and quality of life. Delayed support may also allow problems to become more severe. Although primary care is designed to provide an accessible entry point, evidence shows that adults do not experience this pathway equally. Stigma, cultural beliefs, limited consultation time, waiting lists, fragmented referrals and digital exclusion can combine to make help-s</w:t>
      </w:r>
      <w:r w:rsidRPr="00DD7F57">
        <w:rPr>
          <w:rFonts w:cs="Arial"/>
        </w:rPr>
        <w:t>eeking difficult (Bristow et al., 2011; Memon et al., 2016; Greer et al., 2019).</w:t>
      </w:r>
    </w:p>
    <w:p w14:paraId="2FBF015A" w14:textId="0EA7594D" w:rsidR="00FD2478" w:rsidRPr="00DD7F57" w:rsidRDefault="005D5934" w:rsidP="00731BF4">
      <w:pPr>
        <w:rPr>
          <w:rFonts w:cs="Arial"/>
        </w:rPr>
      </w:pPr>
      <w:r w:rsidRPr="00DD7F57">
        <w:rPr>
          <w:rFonts w:cs="Arial"/>
        </w:rPr>
        <w:t xml:space="preserve">A scoping review is suitable because </w:t>
      </w:r>
      <w:r w:rsidR="00736567">
        <w:rPr>
          <w:rFonts w:cs="Arial"/>
        </w:rPr>
        <w:t>access to research</w:t>
      </w:r>
      <w:r w:rsidRPr="00DD7F57">
        <w:rPr>
          <w:rFonts w:cs="Arial"/>
        </w:rPr>
        <w:t xml:space="preserve"> is diverse. It includes qualitative interviews, national datasets, systematic reviews and service evaluations. Scoping reviews map the breadth of evidence and </w:t>
      </w:r>
      <w:proofErr w:type="gramStart"/>
      <w:r w:rsidRPr="00DD7F57">
        <w:rPr>
          <w:rFonts w:cs="Arial"/>
        </w:rPr>
        <w:t>identify</w:t>
      </w:r>
      <w:proofErr w:type="gramEnd"/>
      <w:r w:rsidRPr="00DD7F57">
        <w:rPr>
          <w:rFonts w:cs="Arial"/>
        </w:rPr>
        <w:t xml:space="preserve"> patterns and gaps rather than </w:t>
      </w:r>
      <w:proofErr w:type="gramStart"/>
      <w:r w:rsidRPr="00DD7F57">
        <w:rPr>
          <w:rFonts w:cs="Arial"/>
        </w:rPr>
        <w:t>testing</w:t>
      </w:r>
      <w:proofErr w:type="gramEnd"/>
      <w:r w:rsidRPr="00DD7F57">
        <w:rPr>
          <w:rFonts w:cs="Arial"/>
        </w:rPr>
        <w:t xml:space="preserve"> one narrowly defined intervention (Arksey and O'Malley, 2005; Levac, Colquhoun and O'Brien, 2010).</w:t>
      </w:r>
    </w:p>
    <w:p w14:paraId="4DA39DE1" w14:textId="77777777" w:rsidR="00FD2478" w:rsidRPr="00DD7F57" w:rsidRDefault="005D5934" w:rsidP="00731BF4">
      <w:pPr>
        <w:rPr>
          <w:rFonts w:cs="Arial"/>
        </w:rPr>
      </w:pPr>
      <w:r w:rsidRPr="00DD7F57">
        <w:rPr>
          <w:rFonts w:cs="Arial"/>
        </w:rPr>
        <w:t>The review question is: What barriers affect adults' access to mental health support through primary care services in the United Kingdom?</w:t>
      </w:r>
    </w:p>
    <w:p w14:paraId="18ECA5D2" w14:textId="77777777" w:rsidR="00FD2478" w:rsidRDefault="005D5934" w:rsidP="00731BF4">
      <w:pPr>
        <w:rPr>
          <w:rFonts w:cs="Arial"/>
        </w:rPr>
      </w:pPr>
      <w:r w:rsidRPr="00DD7F57">
        <w:rPr>
          <w:rFonts w:cs="Arial"/>
        </w:rPr>
        <w:t>The objectives are to identify the main personal, professional and organisational barriers; examine how stigma, culture and communication influence help-seeking; explore inequalities linked to socioeconomic position, ethnicity and disability; assess how digital and remote systems affect access; and develop implications for future research, policy and practice.</w:t>
      </w:r>
    </w:p>
    <w:p w14:paraId="1DCBE188" w14:textId="77777777" w:rsidR="003E2DF4" w:rsidRDefault="003E2DF4" w:rsidP="00731BF4">
      <w:pPr>
        <w:rPr>
          <w:rFonts w:cs="Arial"/>
        </w:rPr>
      </w:pPr>
    </w:p>
    <w:p w14:paraId="282D9ED8" w14:textId="77777777" w:rsidR="003E2DF4" w:rsidRDefault="003E2DF4" w:rsidP="00731BF4">
      <w:pPr>
        <w:rPr>
          <w:rFonts w:cs="Arial"/>
        </w:rPr>
      </w:pPr>
    </w:p>
    <w:p w14:paraId="1F2CB9F1" w14:textId="77777777" w:rsidR="003E2DF4" w:rsidRDefault="003E2DF4" w:rsidP="00731BF4">
      <w:pPr>
        <w:rPr>
          <w:rFonts w:cs="Arial"/>
        </w:rPr>
      </w:pPr>
    </w:p>
    <w:p w14:paraId="3AA01973" w14:textId="77777777" w:rsidR="003E2DF4" w:rsidRPr="00DD7F57" w:rsidRDefault="003E2DF4" w:rsidP="00731BF4">
      <w:pPr>
        <w:rPr>
          <w:rFonts w:cs="Arial"/>
        </w:rPr>
      </w:pPr>
    </w:p>
    <w:p w14:paraId="32367ECC" w14:textId="77777777" w:rsidR="003E2DF4" w:rsidRDefault="003E2DF4" w:rsidP="00731BF4">
      <w:pPr>
        <w:pStyle w:val="Heading1"/>
        <w:rPr>
          <w:rFonts w:ascii="Arial" w:hAnsi="Arial" w:cs="Arial"/>
          <w:sz w:val="22"/>
          <w:szCs w:val="22"/>
        </w:rPr>
      </w:pPr>
    </w:p>
    <w:p w14:paraId="49A21E0A" w14:textId="6FAB32D8" w:rsidR="00FD2478" w:rsidRPr="006770F5" w:rsidRDefault="005D5934" w:rsidP="006770F5">
      <w:pPr>
        <w:pStyle w:val="Heading1"/>
      </w:pPr>
      <w:bookmarkStart w:id="11" w:name="_Toc235437822"/>
      <w:r w:rsidRPr="006770F5">
        <w:t>2. Background</w:t>
      </w:r>
      <w:bookmarkEnd w:id="11"/>
    </w:p>
    <w:p w14:paraId="6B673AAD" w14:textId="77777777" w:rsidR="00FD2478" w:rsidRPr="00DD7F57" w:rsidRDefault="005D5934" w:rsidP="00731BF4">
      <w:pPr>
        <w:rPr>
          <w:rFonts w:cs="Arial"/>
        </w:rPr>
      </w:pPr>
      <w:r w:rsidRPr="00DD7F57">
        <w:rPr>
          <w:rFonts w:cs="Arial"/>
        </w:rPr>
        <w:t xml:space="preserve">Primary care has </w:t>
      </w:r>
      <w:proofErr w:type="gramStart"/>
      <w:r w:rsidRPr="00DD7F57">
        <w:rPr>
          <w:rFonts w:cs="Arial"/>
        </w:rPr>
        <w:t>a central role</w:t>
      </w:r>
      <w:proofErr w:type="gramEnd"/>
      <w:r w:rsidRPr="00DD7F57">
        <w:rPr>
          <w:rFonts w:cs="Arial"/>
        </w:rPr>
        <w:t xml:space="preserve"> in mental healthcare because it is often the first service approached when distress becomes difficult to manage. GPs can assess risk, provide information, prescribe medication, offer follow-up and make referrals. Nevertheless, the formal existence of services does not guarantee meaningful access. Access is shaped by the relationship between population need, service design and the ability of individuals to navigate the system.</w:t>
      </w:r>
    </w:p>
    <w:p w14:paraId="7242DEE7" w14:textId="77777777" w:rsidR="00FD2478" w:rsidRPr="00DD7F57" w:rsidRDefault="005D5934" w:rsidP="00731BF4">
      <w:pPr>
        <w:rPr>
          <w:rFonts w:cs="Arial"/>
        </w:rPr>
      </w:pPr>
      <w:r w:rsidRPr="00DD7F57">
        <w:rPr>
          <w:rFonts w:cs="Arial"/>
        </w:rPr>
        <w:t xml:space="preserve">Stigma is a major personal and social barrier. Clement et al. (2015) found that </w:t>
      </w:r>
      <w:proofErr w:type="gramStart"/>
      <w:r w:rsidRPr="00DD7F57">
        <w:rPr>
          <w:rFonts w:cs="Arial"/>
        </w:rPr>
        <w:t>anticipated</w:t>
      </w:r>
      <w:proofErr w:type="gramEnd"/>
      <w:r w:rsidRPr="00DD7F57">
        <w:rPr>
          <w:rFonts w:cs="Arial"/>
        </w:rPr>
        <w:t xml:space="preserve"> discrimination, shame and a wish to manage problems alone commonly reduced help-seeking. Stigma may </w:t>
      </w:r>
      <w:proofErr w:type="gramStart"/>
      <w:r w:rsidRPr="00DD7F57">
        <w:rPr>
          <w:rFonts w:cs="Arial"/>
        </w:rPr>
        <w:t>operate</w:t>
      </w:r>
      <w:proofErr w:type="gramEnd"/>
      <w:r w:rsidRPr="00DD7F57">
        <w:rPr>
          <w:rFonts w:cs="Arial"/>
        </w:rPr>
        <w:t xml:space="preserve"> before contact with services through fear of being labelled, but it can also be reinforced by </w:t>
      </w:r>
      <w:proofErr w:type="gramStart"/>
      <w:r w:rsidRPr="00DD7F57">
        <w:rPr>
          <w:rFonts w:cs="Arial"/>
        </w:rPr>
        <w:t>previous</w:t>
      </w:r>
      <w:proofErr w:type="gramEnd"/>
      <w:r w:rsidRPr="00DD7F57">
        <w:rPr>
          <w:rFonts w:cs="Arial"/>
        </w:rPr>
        <w:t xml:space="preserve"> dismissive or insensitive encounters. Therefore, awareness campaigns alone are unlikely to be sufficient unless healthcare interactions are also respectful and confidential.</w:t>
      </w:r>
    </w:p>
    <w:p w14:paraId="0A6E3F07" w14:textId="77777777" w:rsidR="00FD2478" w:rsidRPr="00DD7F57" w:rsidRDefault="005D5934" w:rsidP="00731BF4">
      <w:pPr>
        <w:rPr>
          <w:rFonts w:cs="Arial"/>
        </w:rPr>
      </w:pPr>
      <w:r w:rsidRPr="00DD7F57">
        <w:rPr>
          <w:rFonts w:cs="Arial"/>
        </w:rPr>
        <w:t xml:space="preserve">Mental health literacy influences whether symptoms are recognised as requiring professional help. Bristow et al. (2011) showed that people from groups described as difficult to reach did not always interpret distress in biomedical terms. </w:t>
      </w:r>
      <w:proofErr w:type="gramStart"/>
      <w:r w:rsidRPr="00DD7F57">
        <w:rPr>
          <w:rFonts w:cs="Arial"/>
        </w:rPr>
        <w:t>Some</w:t>
      </w:r>
      <w:proofErr w:type="gramEnd"/>
      <w:r w:rsidRPr="00DD7F57">
        <w:rPr>
          <w:rFonts w:cs="Arial"/>
        </w:rPr>
        <w:t xml:space="preserve"> connected emotional difficulties with social pressures, loss or practical hardship and therefore did not view a GP consultation as </w:t>
      </w:r>
      <w:proofErr w:type="gramStart"/>
      <w:r w:rsidRPr="00DD7F57">
        <w:rPr>
          <w:rFonts w:cs="Arial"/>
        </w:rPr>
        <w:t>appropriate</w:t>
      </w:r>
      <w:proofErr w:type="gramEnd"/>
      <w:r w:rsidRPr="00DD7F57">
        <w:rPr>
          <w:rFonts w:cs="Arial"/>
        </w:rPr>
        <w:t>. This finding is important because services may wrongly interpret low attendance as low need. Flexible responses that acknowledge social and cultural explanations may be more accessible than a purely diagnostic approach.</w:t>
      </w:r>
    </w:p>
    <w:p w14:paraId="4274B3CE" w14:textId="77777777" w:rsidR="00FD2478" w:rsidRPr="00DD7F57" w:rsidRDefault="005D5934" w:rsidP="00731BF4">
      <w:pPr>
        <w:rPr>
          <w:rFonts w:cs="Arial"/>
        </w:rPr>
      </w:pPr>
      <w:r w:rsidRPr="00DD7F57">
        <w:rPr>
          <w:rFonts w:cs="Arial"/>
        </w:rPr>
        <w:t xml:space="preserve">Communication can either enable or obstruct access. Buszewicz et al. (2006) found that patients valued being listened to, understood and involved in decisions during consultations about psychological problems. Conversely, rushed encounters or an overemphasis on medication could leave patients feeling unheard. Communication is also affected by language, professional power and cultural understanding. Memon et al. (2016) </w:t>
      </w:r>
      <w:proofErr w:type="gramStart"/>
      <w:r w:rsidRPr="00DD7F57">
        <w:rPr>
          <w:rFonts w:cs="Arial"/>
        </w:rPr>
        <w:t>identified</w:t>
      </w:r>
      <w:proofErr w:type="gramEnd"/>
      <w:r w:rsidRPr="00DD7F57">
        <w:rPr>
          <w:rFonts w:cs="Arial"/>
        </w:rPr>
        <w:t xml:space="preserve"> language barriers, poor communication, cultural insensitivity and limited knowledge of services among adults from minority ethnic communities. These barriers interacted with stigma and mistrust rather than </w:t>
      </w:r>
      <w:proofErr w:type="gramStart"/>
      <w:r w:rsidRPr="00DD7F57">
        <w:rPr>
          <w:rFonts w:cs="Arial"/>
        </w:rPr>
        <w:t>operating</w:t>
      </w:r>
      <w:proofErr w:type="gramEnd"/>
      <w:r w:rsidRPr="00DD7F57">
        <w:rPr>
          <w:rFonts w:cs="Arial"/>
        </w:rPr>
        <w:t xml:space="preserve"> independently.</w:t>
      </w:r>
    </w:p>
    <w:p w14:paraId="1222AB86" w14:textId="77777777" w:rsidR="00FD2478" w:rsidRPr="00DD7F57" w:rsidRDefault="005D5934" w:rsidP="00731BF4">
      <w:pPr>
        <w:rPr>
          <w:rFonts w:cs="Arial"/>
        </w:rPr>
      </w:pPr>
      <w:r w:rsidRPr="00DD7F57">
        <w:rPr>
          <w:rFonts w:cs="Arial"/>
        </w:rPr>
        <w:t xml:space="preserve">Organisational pressures create further difficulties. Demand can exceed available appointments and psychological therapy capacity. Referral thresholds, repeated assessments and weak coordination may cause patients to move between services without receiving </w:t>
      </w:r>
      <w:proofErr w:type="gramStart"/>
      <w:r w:rsidRPr="00DD7F57">
        <w:rPr>
          <w:rFonts w:cs="Arial"/>
        </w:rPr>
        <w:t>timely</w:t>
      </w:r>
      <w:proofErr w:type="gramEnd"/>
      <w:r w:rsidRPr="00DD7F57">
        <w:rPr>
          <w:rFonts w:cs="Arial"/>
        </w:rPr>
        <w:t xml:space="preserve"> support. </w:t>
      </w:r>
      <w:r w:rsidRPr="00DD7F57">
        <w:rPr>
          <w:rFonts w:cs="Arial"/>
        </w:rPr>
        <w:lastRenderedPageBreak/>
        <w:t xml:space="preserve">Finazzi and MacBeth (2022) found that service users' experiences of psychological interventions in primary care were strongly influenced by therapeutic relationships, expectations and the fit between treatment and individual needs. This </w:t>
      </w:r>
      <w:proofErr w:type="gramStart"/>
      <w:r w:rsidRPr="00DD7F57">
        <w:rPr>
          <w:rFonts w:cs="Arial"/>
        </w:rPr>
        <w:t>indicates</w:t>
      </w:r>
      <w:proofErr w:type="gramEnd"/>
      <w:r w:rsidRPr="00DD7F57">
        <w:rPr>
          <w:rFonts w:cs="Arial"/>
        </w:rPr>
        <w:t xml:space="preserve"> that access should be judged by whether suitable care is reached, not simply by whether a referral is made.</w:t>
      </w:r>
    </w:p>
    <w:p w14:paraId="571AE44F" w14:textId="77777777" w:rsidR="00FD2478" w:rsidRPr="00DD7F57" w:rsidRDefault="005D5934" w:rsidP="00731BF4">
      <w:pPr>
        <w:rPr>
          <w:rFonts w:cs="Arial"/>
        </w:rPr>
      </w:pPr>
      <w:r w:rsidRPr="00DD7F57">
        <w:rPr>
          <w:rFonts w:cs="Arial"/>
        </w:rPr>
        <w:t xml:space="preserve">Inequalities are </w:t>
      </w:r>
      <w:proofErr w:type="gramStart"/>
      <w:r w:rsidRPr="00DD7F57">
        <w:rPr>
          <w:rFonts w:cs="Arial"/>
        </w:rPr>
        <w:t>evident</w:t>
      </w:r>
      <w:proofErr w:type="gramEnd"/>
      <w:r w:rsidRPr="00DD7F57">
        <w:rPr>
          <w:rFonts w:cs="Arial"/>
        </w:rPr>
        <w:t xml:space="preserve"> in national data. Sharland et al. (2023) </w:t>
      </w:r>
      <w:proofErr w:type="gramStart"/>
      <w:r w:rsidRPr="00DD7F57">
        <w:rPr>
          <w:rFonts w:cs="Arial"/>
        </w:rPr>
        <w:t>demonstrated</w:t>
      </w:r>
      <w:proofErr w:type="gramEnd"/>
      <w:r w:rsidRPr="00DD7F57">
        <w:rPr>
          <w:rFonts w:cs="Arial"/>
        </w:rPr>
        <w:t xml:space="preserve"> sociodemographic differences in access to psychological treatment services in England. Such differences can reflect varying awareness and preferences, but they can also </w:t>
      </w:r>
      <w:proofErr w:type="gramStart"/>
      <w:r w:rsidRPr="00DD7F57">
        <w:rPr>
          <w:rFonts w:cs="Arial"/>
        </w:rPr>
        <w:t>indicate</w:t>
      </w:r>
      <w:proofErr w:type="gramEnd"/>
      <w:r w:rsidRPr="00DD7F57">
        <w:rPr>
          <w:rFonts w:cs="Arial"/>
        </w:rPr>
        <w:t xml:space="preserve"> unequal referral, practical obstacles or service designs that work better for </w:t>
      </w:r>
      <w:proofErr w:type="gramStart"/>
      <w:r w:rsidRPr="00DD7F57">
        <w:rPr>
          <w:rFonts w:cs="Arial"/>
        </w:rPr>
        <w:t>some</w:t>
      </w:r>
      <w:proofErr w:type="gramEnd"/>
      <w:r w:rsidRPr="00DD7F57">
        <w:rPr>
          <w:rFonts w:cs="Arial"/>
        </w:rPr>
        <w:t xml:space="preserve"> groups than others. Winsper et al. (2023) similarly showed the importance of co-designed changes to improve mental healthcare access and experience for minority ethnic communities.</w:t>
      </w:r>
    </w:p>
    <w:p w14:paraId="3DB5801E" w14:textId="77777777" w:rsidR="00FD2478" w:rsidRPr="00DD7F57" w:rsidRDefault="005D5934" w:rsidP="00731BF4">
      <w:pPr>
        <w:rPr>
          <w:rFonts w:cs="Arial"/>
        </w:rPr>
      </w:pPr>
      <w:r w:rsidRPr="00DD7F57">
        <w:rPr>
          <w:rFonts w:cs="Arial"/>
        </w:rPr>
        <w:t xml:space="preserve">Digital transformation has created both opportunities and risks. Remote consultations may reduce travel and make initial disclosure easier for </w:t>
      </w:r>
      <w:proofErr w:type="gramStart"/>
      <w:r w:rsidRPr="00DD7F57">
        <w:rPr>
          <w:rFonts w:cs="Arial"/>
        </w:rPr>
        <w:t>some</w:t>
      </w:r>
      <w:proofErr w:type="gramEnd"/>
      <w:r w:rsidRPr="00DD7F57">
        <w:rPr>
          <w:rFonts w:cs="Arial"/>
        </w:rPr>
        <w:t xml:space="preserve"> patients. However, digital access depends on devices, connectivity, skills, privacy and confidence. Greer et al. (2019) found that material deprivation, limited knowledge and symptoms of mental illness contributed to digital exclusion. Oliver, Chandler and Gillard (2024) showed that providing devices, connectivity and personalised support could improve engagement, suggesting that exclusion is not an individual failure but a service-design issue. A systematic review by Antonio et al. (2024) found that r</w:t>
      </w:r>
      <w:r w:rsidRPr="00DD7F57">
        <w:rPr>
          <w:rFonts w:cs="Arial"/>
        </w:rPr>
        <w:t>emote consultations could be acceptable, although face-to-face care remained important for relational or complex discussions.</w:t>
      </w:r>
    </w:p>
    <w:p w14:paraId="7700DB6F" w14:textId="77777777" w:rsidR="00FD2478" w:rsidRDefault="005D5934" w:rsidP="00731BF4">
      <w:pPr>
        <w:rPr>
          <w:rFonts w:cs="Arial"/>
        </w:rPr>
      </w:pPr>
      <w:r w:rsidRPr="00DD7F57">
        <w:rPr>
          <w:rFonts w:cs="Arial"/>
        </w:rPr>
        <w:t xml:space="preserve">Overall, the evidence suggests that barriers occur across a pathway: recognising distress, deciding to seek help, obtaining an appointment, communicating needs, receiving a referral and </w:t>
      </w:r>
      <w:proofErr w:type="gramStart"/>
      <w:r w:rsidRPr="00DD7F57">
        <w:rPr>
          <w:rFonts w:cs="Arial"/>
        </w:rPr>
        <w:t>remaining</w:t>
      </w:r>
      <w:proofErr w:type="gramEnd"/>
      <w:r w:rsidRPr="00DD7F57">
        <w:rPr>
          <w:rFonts w:cs="Arial"/>
        </w:rPr>
        <w:t xml:space="preserve"> engaged. A thematic scoping review can show how these stages and barriers interact.</w:t>
      </w:r>
    </w:p>
    <w:p w14:paraId="7A6D8F84" w14:textId="77777777" w:rsidR="003E2DF4" w:rsidRDefault="003E2DF4" w:rsidP="00731BF4">
      <w:pPr>
        <w:rPr>
          <w:rFonts w:cs="Arial"/>
        </w:rPr>
      </w:pPr>
    </w:p>
    <w:p w14:paraId="2941BE75" w14:textId="77777777" w:rsidR="003E2DF4" w:rsidRDefault="003E2DF4" w:rsidP="00731BF4">
      <w:pPr>
        <w:rPr>
          <w:rFonts w:cs="Arial"/>
        </w:rPr>
      </w:pPr>
    </w:p>
    <w:p w14:paraId="209C1FE1" w14:textId="77777777" w:rsidR="007810DF" w:rsidRDefault="007810DF" w:rsidP="00731BF4">
      <w:pPr>
        <w:pStyle w:val="Heading1"/>
        <w:rPr>
          <w:rFonts w:ascii="Arial" w:hAnsi="Arial" w:cs="Arial"/>
          <w:sz w:val="22"/>
          <w:szCs w:val="22"/>
        </w:rPr>
      </w:pPr>
    </w:p>
    <w:p w14:paraId="5EFEECEB" w14:textId="77777777" w:rsidR="007810DF" w:rsidRDefault="007810DF" w:rsidP="00731BF4">
      <w:pPr>
        <w:pStyle w:val="Heading1"/>
        <w:rPr>
          <w:rFonts w:ascii="Arial" w:hAnsi="Arial" w:cs="Arial"/>
          <w:sz w:val="22"/>
          <w:szCs w:val="22"/>
        </w:rPr>
      </w:pPr>
    </w:p>
    <w:p w14:paraId="76EF17AC" w14:textId="26DF48F7" w:rsidR="00FD2478" w:rsidRPr="006770F5" w:rsidRDefault="005D5934" w:rsidP="006770F5">
      <w:pPr>
        <w:pStyle w:val="Heading1"/>
      </w:pPr>
      <w:bookmarkStart w:id="12" w:name="_Toc235437823"/>
      <w:r w:rsidRPr="006770F5">
        <w:t>3. Methods</w:t>
      </w:r>
      <w:bookmarkEnd w:id="12"/>
    </w:p>
    <w:p w14:paraId="4D6C267B" w14:textId="77777777" w:rsidR="00FD2478" w:rsidRPr="00DD7F57" w:rsidRDefault="005D5934" w:rsidP="00731BF4">
      <w:pPr>
        <w:rPr>
          <w:rFonts w:cs="Arial"/>
        </w:rPr>
      </w:pPr>
      <w:r w:rsidRPr="00DD7F57">
        <w:rPr>
          <w:rFonts w:cs="Arial"/>
        </w:rPr>
        <w:t>This study used a scoping review design based on the framework of Arksey and O'Malley (2005), with later recommendations from Levac, Colquhoun and O'Brien (2010). Reporting principles were informed by the PRISMA extension for scoping reviews (Tricco et al., 2018).</w:t>
      </w:r>
    </w:p>
    <w:p w14:paraId="490D2668" w14:textId="6D1E1096" w:rsidR="00FD2478" w:rsidRPr="00DD7F57" w:rsidRDefault="005D5934" w:rsidP="00731BF4">
      <w:pPr>
        <w:rPr>
          <w:rFonts w:cs="Arial"/>
        </w:rPr>
      </w:pPr>
      <w:r w:rsidRPr="00DD7F57">
        <w:rPr>
          <w:rFonts w:cs="Arial"/>
        </w:rPr>
        <w:t xml:space="preserve">Searches were undertaken through UWTSD Library Search, PubMed, EBSCOhost, ScienceDirect and SAGE Journals. Search terms were combined using AND and OR. Examples included: “mental health” AND “primary care” AND access AND </w:t>
      </w:r>
      <w:r w:rsidR="00E7586F" w:rsidRPr="00DD7F57">
        <w:rPr>
          <w:rFonts w:cs="Arial"/>
        </w:rPr>
        <w:t>barrier</w:t>
      </w:r>
      <w:r w:rsidR="00E7586F">
        <w:rPr>
          <w:rFonts w:cs="Arial"/>
        </w:rPr>
        <w:t xml:space="preserve"> </w:t>
      </w:r>
      <w:r w:rsidR="00E7586F" w:rsidRPr="00DD7F57">
        <w:rPr>
          <w:rFonts w:cs="Arial"/>
        </w:rPr>
        <w:t>AND</w:t>
      </w:r>
      <w:r w:rsidRPr="00DD7F57">
        <w:rPr>
          <w:rFonts w:cs="Arial"/>
        </w:rPr>
        <w:t xml:space="preserve"> UK; stigma AND help-seeking AND mental health; ethnic </w:t>
      </w:r>
      <w:r w:rsidR="00DA6862">
        <w:rPr>
          <w:rFonts w:cs="Arial"/>
        </w:rPr>
        <w:t xml:space="preserve">minority </w:t>
      </w:r>
      <w:r w:rsidR="00DA6862" w:rsidRPr="00DD7F57">
        <w:rPr>
          <w:rFonts w:cs="Arial"/>
        </w:rPr>
        <w:t>AND</w:t>
      </w:r>
      <w:r w:rsidRPr="00DD7F57">
        <w:rPr>
          <w:rFonts w:cs="Arial"/>
        </w:rPr>
        <w:t xml:space="preserve"> mental health </w:t>
      </w:r>
      <w:r w:rsidR="00DA6862" w:rsidRPr="00DD7F57">
        <w:rPr>
          <w:rFonts w:cs="Arial"/>
        </w:rPr>
        <w:t>service</w:t>
      </w:r>
      <w:r w:rsidR="00DA6862">
        <w:rPr>
          <w:rFonts w:cs="Arial"/>
        </w:rPr>
        <w:t xml:space="preserve"> </w:t>
      </w:r>
      <w:r w:rsidR="00DA6862" w:rsidRPr="00DD7F57">
        <w:rPr>
          <w:rFonts w:cs="Arial"/>
        </w:rPr>
        <w:t>AND</w:t>
      </w:r>
      <w:r w:rsidRPr="00DD7F57">
        <w:rPr>
          <w:rFonts w:cs="Arial"/>
        </w:rPr>
        <w:t xml:space="preserve"> England; and digital exclusion AND mental health. Reference lists of relevant papers were also checked.</w:t>
      </w:r>
    </w:p>
    <w:p w14:paraId="188748F0" w14:textId="26FCF943" w:rsidR="00FD2478" w:rsidRPr="00DD7F57" w:rsidRDefault="005D5934" w:rsidP="00731BF4">
      <w:pPr>
        <w:rPr>
          <w:rFonts w:cs="Arial"/>
        </w:rPr>
      </w:pPr>
      <w:r w:rsidRPr="00DD7F57">
        <w:rPr>
          <w:rFonts w:cs="Arial"/>
        </w:rPr>
        <w:t xml:space="preserve">Studies were included when they were peer-reviewed, published in English, concerned adults aged 18 or over and provided evidence relevant to access to mental health support in </w:t>
      </w:r>
      <w:r w:rsidR="00DA6862">
        <w:rPr>
          <w:rFonts w:cs="Arial"/>
        </w:rPr>
        <w:t xml:space="preserve">the </w:t>
      </w:r>
      <w:r w:rsidRPr="00DD7F57">
        <w:rPr>
          <w:rFonts w:cs="Arial"/>
        </w:rPr>
        <w:t>UK primary or community pathways. Primary qualitative, quantitative and mixed-method studies were eligible, as were systematic reviews that directly addressed the review question. Studies focused only on children, inpatient treatment, physical healthcare or countries with no clear UK relevance were excluded.</w:t>
      </w:r>
    </w:p>
    <w:p w14:paraId="1905DAE8" w14:textId="77777777" w:rsidR="00FD2478" w:rsidRPr="00DD7F57" w:rsidRDefault="005D5934" w:rsidP="00731BF4">
      <w:pPr>
        <w:rPr>
          <w:rFonts w:cs="Arial"/>
        </w:rPr>
      </w:pPr>
      <w:r w:rsidRPr="00DD7F57">
        <w:rPr>
          <w:rFonts w:cs="Arial"/>
        </w:rPr>
        <w:t>Titles and abstracts were screened for relevance, followed by full-text assessment. Nine key studies were selected for detailed thematic comparison. Data were charted under author, design, participants, setting, findings and limitations. Analysis followed Braun and Clarke's (2006) thematic approach. Initial codes included fear of judgement, symptom recognition, trust, consultation time, cultural understanding, waiting, referral fragmentation, affordability, digital skills and preference for face-to-face con</w:t>
      </w:r>
      <w:r w:rsidRPr="00DD7F57">
        <w:rPr>
          <w:rFonts w:cs="Arial"/>
        </w:rPr>
        <w:t>tact. Related codes were grouped into four themes: stigma and recognition of need; communication, trust and cultural responsiveness; organisational and socioeconomic inequalities; and digital access and choice.</w:t>
      </w:r>
    </w:p>
    <w:p w14:paraId="10ABC735" w14:textId="06192874" w:rsidR="00FD2478" w:rsidRPr="00DD7F57" w:rsidRDefault="005D5934" w:rsidP="00731BF4">
      <w:pPr>
        <w:rPr>
          <w:rFonts w:cs="Arial"/>
        </w:rPr>
      </w:pPr>
      <w:r w:rsidRPr="00DD7F57">
        <w:rPr>
          <w:rFonts w:cs="Arial"/>
        </w:rPr>
        <w:t xml:space="preserve">No new participants were recruited, so formal ethical approval was not </w:t>
      </w:r>
      <w:proofErr w:type="gramStart"/>
      <w:r w:rsidRPr="00DD7F57">
        <w:rPr>
          <w:rFonts w:cs="Arial"/>
        </w:rPr>
        <w:t>required</w:t>
      </w:r>
      <w:proofErr w:type="gramEnd"/>
      <w:r w:rsidRPr="00DD7F57">
        <w:rPr>
          <w:rFonts w:cs="Arial"/>
        </w:rPr>
        <w:t xml:space="preserve">. Ethical practice still </w:t>
      </w:r>
      <w:r w:rsidR="00DA6862" w:rsidRPr="00DD7F57">
        <w:rPr>
          <w:rFonts w:cs="Arial"/>
        </w:rPr>
        <w:t>involves</w:t>
      </w:r>
      <w:r w:rsidRPr="00DD7F57">
        <w:rPr>
          <w:rFonts w:cs="Arial"/>
        </w:rPr>
        <w:t xml:space="preserve"> </w:t>
      </w:r>
      <w:proofErr w:type="gramStart"/>
      <w:r w:rsidRPr="00DD7F57">
        <w:rPr>
          <w:rFonts w:cs="Arial"/>
        </w:rPr>
        <w:t>accurate</w:t>
      </w:r>
      <w:proofErr w:type="gramEnd"/>
      <w:r w:rsidRPr="00DD7F57">
        <w:rPr>
          <w:rFonts w:cs="Arial"/>
        </w:rPr>
        <w:t xml:space="preserve"> representation of findings, transparent inclusion criteria, avoidance of plagiarism and recognition of study limitations. A limitation of the method is that screening and coding were conducted by one student reviewer, which increases the possibility of selection and interpretation bias.</w:t>
      </w:r>
    </w:p>
    <w:p w14:paraId="2905F653" w14:textId="77777777" w:rsidR="00FD2478" w:rsidRPr="007F3CEA" w:rsidRDefault="005D5934" w:rsidP="007F3CEA">
      <w:pPr>
        <w:pStyle w:val="Heading1"/>
      </w:pPr>
      <w:bookmarkStart w:id="13" w:name="_Toc235437824"/>
      <w:r w:rsidRPr="007F3CEA">
        <w:lastRenderedPageBreak/>
        <w:t>4. Results</w:t>
      </w:r>
      <w:bookmarkEnd w:id="13"/>
    </w:p>
    <w:p w14:paraId="64C79F39" w14:textId="77777777" w:rsidR="00FD2478" w:rsidRDefault="005D5934" w:rsidP="00731BF4">
      <w:pPr>
        <w:rPr>
          <w:rFonts w:cs="Arial"/>
        </w:rPr>
      </w:pPr>
      <w:r w:rsidRPr="00DD7F57">
        <w:rPr>
          <w:rFonts w:cs="Arial"/>
        </w:rPr>
        <w:t xml:space="preserve">Nine key peer-reviewed studies were included. They </w:t>
      </w:r>
      <w:proofErr w:type="gramStart"/>
      <w:r w:rsidRPr="00DD7F57">
        <w:rPr>
          <w:rFonts w:cs="Arial"/>
        </w:rPr>
        <w:t>represented</w:t>
      </w:r>
      <w:proofErr w:type="gramEnd"/>
      <w:r w:rsidRPr="00DD7F57">
        <w:rPr>
          <w:rFonts w:cs="Arial"/>
        </w:rPr>
        <w:t xml:space="preserve"> qualitative interviews and focus groups, national cohort analysis, systematic review and service evaluation. The coding process produced four connected themes. The results table summarises how the selected studies contributed to these themes.</w:t>
      </w:r>
    </w:p>
    <w:p w14:paraId="7A34EB8B" w14:textId="77777777" w:rsidR="006770F5" w:rsidRPr="00DD7F57" w:rsidRDefault="006770F5" w:rsidP="00731BF4">
      <w:pPr>
        <w:rPr>
          <w:rFonts w:cs="Arial"/>
        </w:rPr>
      </w:pPr>
    </w:p>
    <w:p w14:paraId="59343C13" w14:textId="77777777" w:rsidR="00FD2478" w:rsidRPr="00004B31" w:rsidRDefault="005D5934" w:rsidP="00004B31">
      <w:pPr>
        <w:pStyle w:val="Heading1"/>
      </w:pPr>
      <w:bookmarkStart w:id="14" w:name="_Toc235437825"/>
      <w:r w:rsidRPr="00004B31">
        <w:t>Table 1. Summary of included studies and thematic contribution</w:t>
      </w:r>
      <w:bookmarkEnd w:id="14"/>
    </w:p>
    <w:p w14:paraId="3A233E5D" w14:textId="77777777" w:rsidR="006770F5" w:rsidRPr="006770F5" w:rsidRDefault="006770F5" w:rsidP="006770F5"/>
    <w:tbl>
      <w:tblPr>
        <w:tblStyle w:val="TableGrid"/>
        <w:tblW w:w="0" w:type="auto"/>
        <w:jc w:val="center"/>
        <w:tblLook w:val="04A0" w:firstRow="1" w:lastRow="0" w:firstColumn="1" w:lastColumn="0" w:noHBand="0" w:noVBand="1"/>
      </w:tblPr>
      <w:tblGrid>
        <w:gridCol w:w="2340"/>
        <w:gridCol w:w="2340"/>
        <w:gridCol w:w="2340"/>
        <w:gridCol w:w="2340"/>
      </w:tblGrid>
      <w:tr w:rsidR="00FD2478" w:rsidRPr="00DD7F57" w14:paraId="2A4AFDFC" w14:textId="77777777">
        <w:trPr>
          <w:tblHeader/>
          <w:jc w:val="center"/>
        </w:trPr>
        <w:tc>
          <w:tcPr>
            <w:tcW w:w="2340" w:type="dxa"/>
            <w:vAlign w:val="center"/>
          </w:tcPr>
          <w:p w14:paraId="43F19419" w14:textId="77777777" w:rsidR="00FD2478" w:rsidRPr="00DD7F57" w:rsidRDefault="005D5934" w:rsidP="00731BF4">
            <w:pPr>
              <w:rPr>
                <w:rFonts w:cs="Arial"/>
              </w:rPr>
            </w:pPr>
            <w:r w:rsidRPr="00DD7F57">
              <w:rPr>
                <w:rFonts w:cs="Arial"/>
              </w:rPr>
              <w:t>Study</w:t>
            </w:r>
          </w:p>
        </w:tc>
        <w:tc>
          <w:tcPr>
            <w:tcW w:w="2340" w:type="dxa"/>
            <w:vAlign w:val="center"/>
          </w:tcPr>
          <w:p w14:paraId="25CB4BD7" w14:textId="77777777" w:rsidR="00FD2478" w:rsidRPr="00DD7F57" w:rsidRDefault="005D5934" w:rsidP="00731BF4">
            <w:pPr>
              <w:rPr>
                <w:rFonts w:cs="Arial"/>
              </w:rPr>
            </w:pPr>
            <w:r w:rsidRPr="00DD7F57">
              <w:rPr>
                <w:rFonts w:cs="Arial"/>
              </w:rPr>
              <w:t>Design/sample</w:t>
            </w:r>
          </w:p>
        </w:tc>
        <w:tc>
          <w:tcPr>
            <w:tcW w:w="2340" w:type="dxa"/>
            <w:vAlign w:val="center"/>
          </w:tcPr>
          <w:p w14:paraId="032938E6" w14:textId="77777777" w:rsidR="00FD2478" w:rsidRPr="00DD7F57" w:rsidRDefault="005D5934" w:rsidP="00731BF4">
            <w:pPr>
              <w:rPr>
                <w:rFonts w:cs="Arial"/>
              </w:rPr>
            </w:pPr>
            <w:r w:rsidRPr="00DD7F57">
              <w:rPr>
                <w:rFonts w:cs="Arial"/>
              </w:rPr>
              <w:t>Main contribution</w:t>
            </w:r>
          </w:p>
        </w:tc>
        <w:tc>
          <w:tcPr>
            <w:tcW w:w="2340" w:type="dxa"/>
            <w:vAlign w:val="center"/>
          </w:tcPr>
          <w:p w14:paraId="5F786F19" w14:textId="77777777" w:rsidR="00FD2478" w:rsidRPr="00DD7F57" w:rsidRDefault="005D5934" w:rsidP="00731BF4">
            <w:pPr>
              <w:rPr>
                <w:rFonts w:cs="Arial"/>
              </w:rPr>
            </w:pPr>
            <w:r w:rsidRPr="00DD7F57">
              <w:rPr>
                <w:rFonts w:cs="Arial"/>
              </w:rPr>
              <w:t>Theme(s)</w:t>
            </w:r>
          </w:p>
        </w:tc>
      </w:tr>
      <w:tr w:rsidR="00FD2478" w:rsidRPr="00DD7F57" w14:paraId="6B88F138" w14:textId="77777777">
        <w:trPr>
          <w:jc w:val="center"/>
        </w:trPr>
        <w:tc>
          <w:tcPr>
            <w:tcW w:w="2340" w:type="dxa"/>
            <w:vAlign w:val="center"/>
          </w:tcPr>
          <w:p w14:paraId="19FE663F" w14:textId="77777777" w:rsidR="00FD2478" w:rsidRPr="00DD7F57" w:rsidRDefault="005D5934" w:rsidP="00731BF4">
            <w:pPr>
              <w:rPr>
                <w:rFonts w:cs="Arial"/>
              </w:rPr>
            </w:pPr>
            <w:r w:rsidRPr="00DD7F57">
              <w:rPr>
                <w:rFonts w:cs="Arial"/>
              </w:rPr>
              <w:t>Bristow et al. (2011)</w:t>
            </w:r>
          </w:p>
        </w:tc>
        <w:tc>
          <w:tcPr>
            <w:tcW w:w="2340" w:type="dxa"/>
            <w:vAlign w:val="center"/>
          </w:tcPr>
          <w:p w14:paraId="4FA52D1E" w14:textId="77777777" w:rsidR="00FD2478" w:rsidRPr="00DD7F57" w:rsidRDefault="005D5934" w:rsidP="00731BF4">
            <w:pPr>
              <w:rPr>
                <w:rFonts w:cs="Arial"/>
              </w:rPr>
            </w:pPr>
            <w:r w:rsidRPr="00DD7F57">
              <w:rPr>
                <w:rFonts w:cs="Arial"/>
              </w:rPr>
              <w:t>Qualitative interviews; hard-to-reach groups</w:t>
            </w:r>
          </w:p>
        </w:tc>
        <w:tc>
          <w:tcPr>
            <w:tcW w:w="2340" w:type="dxa"/>
            <w:vAlign w:val="center"/>
          </w:tcPr>
          <w:p w14:paraId="0EC0B483" w14:textId="77777777" w:rsidR="00FD2478" w:rsidRPr="00DD7F57" w:rsidRDefault="005D5934" w:rsidP="00731BF4">
            <w:pPr>
              <w:rPr>
                <w:rFonts w:cs="Arial"/>
              </w:rPr>
            </w:pPr>
            <w:r w:rsidRPr="00DD7F57">
              <w:rPr>
                <w:rFonts w:cs="Arial"/>
              </w:rPr>
              <w:t>Recognition of distress, decision to seek help, service navigation</w:t>
            </w:r>
          </w:p>
        </w:tc>
        <w:tc>
          <w:tcPr>
            <w:tcW w:w="2340" w:type="dxa"/>
            <w:vAlign w:val="center"/>
          </w:tcPr>
          <w:p w14:paraId="11D9CC8D" w14:textId="77777777" w:rsidR="00FD2478" w:rsidRPr="00DD7F57" w:rsidRDefault="005D5934" w:rsidP="00731BF4">
            <w:pPr>
              <w:rPr>
                <w:rFonts w:cs="Arial"/>
              </w:rPr>
            </w:pPr>
            <w:r w:rsidRPr="00DD7F57">
              <w:rPr>
                <w:rFonts w:cs="Arial"/>
              </w:rPr>
              <w:t>Stigma/recognition; organisation</w:t>
            </w:r>
          </w:p>
        </w:tc>
      </w:tr>
      <w:tr w:rsidR="00FD2478" w:rsidRPr="00DD7F57" w14:paraId="74F1AD07" w14:textId="77777777">
        <w:trPr>
          <w:jc w:val="center"/>
        </w:trPr>
        <w:tc>
          <w:tcPr>
            <w:tcW w:w="2340" w:type="dxa"/>
            <w:vAlign w:val="center"/>
          </w:tcPr>
          <w:p w14:paraId="7F9AF3CA" w14:textId="77777777" w:rsidR="00FD2478" w:rsidRPr="00DD7F57" w:rsidRDefault="005D5934" w:rsidP="00731BF4">
            <w:pPr>
              <w:rPr>
                <w:rFonts w:cs="Arial"/>
              </w:rPr>
            </w:pPr>
            <w:r w:rsidRPr="00DD7F57">
              <w:rPr>
                <w:rFonts w:cs="Arial"/>
              </w:rPr>
              <w:t>Buszewicz et al. (2006)</w:t>
            </w:r>
          </w:p>
        </w:tc>
        <w:tc>
          <w:tcPr>
            <w:tcW w:w="2340" w:type="dxa"/>
            <w:vAlign w:val="center"/>
          </w:tcPr>
          <w:p w14:paraId="768795B9" w14:textId="4A5811B3" w:rsidR="00FD2478" w:rsidRPr="00DD7F57" w:rsidRDefault="005D5934" w:rsidP="00731BF4">
            <w:pPr>
              <w:rPr>
                <w:rFonts w:cs="Arial"/>
              </w:rPr>
            </w:pPr>
            <w:r w:rsidRPr="00DD7F57">
              <w:rPr>
                <w:rFonts w:cs="Arial"/>
              </w:rPr>
              <w:t>Qualitative study</w:t>
            </w:r>
            <w:r w:rsidR="00AA5559">
              <w:rPr>
                <w:rFonts w:cs="Arial"/>
              </w:rPr>
              <w:t>:</w:t>
            </w:r>
            <w:r w:rsidRPr="00DD7F57">
              <w:rPr>
                <w:rFonts w:cs="Arial"/>
              </w:rPr>
              <w:t xml:space="preserve"> 20 primary care patients</w:t>
            </w:r>
          </w:p>
        </w:tc>
        <w:tc>
          <w:tcPr>
            <w:tcW w:w="2340" w:type="dxa"/>
            <w:vAlign w:val="center"/>
          </w:tcPr>
          <w:p w14:paraId="4A87D876" w14:textId="66D3E176" w:rsidR="00FD2478" w:rsidRPr="00DD7F57" w:rsidRDefault="005D5934" w:rsidP="00731BF4">
            <w:pPr>
              <w:rPr>
                <w:rFonts w:cs="Arial"/>
              </w:rPr>
            </w:pPr>
            <w:r w:rsidRPr="00DD7F57">
              <w:rPr>
                <w:rFonts w:cs="Arial"/>
              </w:rPr>
              <w:t xml:space="preserve">Listening, empathy and involvement shaped </w:t>
            </w:r>
            <w:r w:rsidR="00AA5559">
              <w:rPr>
                <w:rFonts w:cs="Arial"/>
              </w:rPr>
              <w:t xml:space="preserve">the </w:t>
            </w:r>
            <w:r w:rsidRPr="00DD7F57">
              <w:rPr>
                <w:rFonts w:cs="Arial"/>
              </w:rPr>
              <w:t>consultation experience</w:t>
            </w:r>
          </w:p>
        </w:tc>
        <w:tc>
          <w:tcPr>
            <w:tcW w:w="2340" w:type="dxa"/>
            <w:vAlign w:val="center"/>
          </w:tcPr>
          <w:p w14:paraId="58880341" w14:textId="77777777" w:rsidR="00FD2478" w:rsidRPr="00DD7F57" w:rsidRDefault="005D5934" w:rsidP="00731BF4">
            <w:pPr>
              <w:rPr>
                <w:rFonts w:cs="Arial"/>
              </w:rPr>
            </w:pPr>
            <w:r w:rsidRPr="00DD7F57">
              <w:rPr>
                <w:rFonts w:cs="Arial"/>
              </w:rPr>
              <w:t>Communication/trust</w:t>
            </w:r>
          </w:p>
        </w:tc>
      </w:tr>
      <w:tr w:rsidR="00FD2478" w:rsidRPr="00DD7F57" w14:paraId="360B6944" w14:textId="77777777">
        <w:trPr>
          <w:jc w:val="center"/>
        </w:trPr>
        <w:tc>
          <w:tcPr>
            <w:tcW w:w="2340" w:type="dxa"/>
            <w:vAlign w:val="center"/>
          </w:tcPr>
          <w:p w14:paraId="7687CC44" w14:textId="77777777" w:rsidR="00FD2478" w:rsidRPr="00DD7F57" w:rsidRDefault="005D5934" w:rsidP="00731BF4">
            <w:pPr>
              <w:rPr>
                <w:rFonts w:cs="Arial"/>
              </w:rPr>
            </w:pPr>
            <w:r w:rsidRPr="00DD7F57">
              <w:rPr>
                <w:rFonts w:cs="Arial"/>
              </w:rPr>
              <w:t>Memon et al. (2016)</w:t>
            </w:r>
          </w:p>
        </w:tc>
        <w:tc>
          <w:tcPr>
            <w:tcW w:w="2340" w:type="dxa"/>
            <w:vAlign w:val="center"/>
          </w:tcPr>
          <w:p w14:paraId="52B44E1A" w14:textId="26F169AC" w:rsidR="00FD2478" w:rsidRPr="00DD7F57" w:rsidRDefault="005D5934" w:rsidP="00731BF4">
            <w:pPr>
              <w:rPr>
                <w:rFonts w:cs="Arial"/>
              </w:rPr>
            </w:pPr>
            <w:r w:rsidRPr="00DD7F57">
              <w:rPr>
                <w:rFonts w:cs="Arial"/>
              </w:rPr>
              <w:t>Qualitative focus groups</w:t>
            </w:r>
            <w:r w:rsidR="00AA5559">
              <w:rPr>
                <w:rFonts w:cs="Arial"/>
              </w:rPr>
              <w:t>:</w:t>
            </w:r>
            <w:r w:rsidRPr="00DD7F57">
              <w:rPr>
                <w:rFonts w:cs="Arial"/>
              </w:rPr>
              <w:t xml:space="preserve"> 26 minority ethnic adults</w:t>
            </w:r>
          </w:p>
        </w:tc>
        <w:tc>
          <w:tcPr>
            <w:tcW w:w="2340" w:type="dxa"/>
            <w:vAlign w:val="center"/>
          </w:tcPr>
          <w:p w14:paraId="6A252FF5" w14:textId="77777777" w:rsidR="00FD2478" w:rsidRPr="00DD7F57" w:rsidRDefault="005D5934" w:rsidP="00731BF4">
            <w:pPr>
              <w:rPr>
                <w:rFonts w:cs="Arial"/>
              </w:rPr>
            </w:pPr>
            <w:r w:rsidRPr="00DD7F57">
              <w:rPr>
                <w:rFonts w:cs="Arial"/>
              </w:rPr>
              <w:t>Stigma, language, cultural insensitivity, waiting and poor information</w:t>
            </w:r>
          </w:p>
        </w:tc>
        <w:tc>
          <w:tcPr>
            <w:tcW w:w="2340" w:type="dxa"/>
            <w:vAlign w:val="center"/>
          </w:tcPr>
          <w:p w14:paraId="2FADB527" w14:textId="77777777" w:rsidR="00FD2478" w:rsidRPr="00DD7F57" w:rsidRDefault="005D5934" w:rsidP="00731BF4">
            <w:pPr>
              <w:rPr>
                <w:rFonts w:cs="Arial"/>
              </w:rPr>
            </w:pPr>
            <w:r w:rsidRPr="00DD7F57">
              <w:rPr>
                <w:rFonts w:cs="Arial"/>
              </w:rPr>
              <w:t>Stigma; culture; organisation</w:t>
            </w:r>
          </w:p>
        </w:tc>
      </w:tr>
      <w:tr w:rsidR="00FD2478" w:rsidRPr="00DD7F57" w14:paraId="261F55E9" w14:textId="77777777">
        <w:trPr>
          <w:jc w:val="center"/>
        </w:trPr>
        <w:tc>
          <w:tcPr>
            <w:tcW w:w="2340" w:type="dxa"/>
            <w:vAlign w:val="center"/>
          </w:tcPr>
          <w:p w14:paraId="6ED23635" w14:textId="77777777" w:rsidR="00FD2478" w:rsidRPr="00DD7F57" w:rsidRDefault="005D5934" w:rsidP="00731BF4">
            <w:pPr>
              <w:rPr>
                <w:rFonts w:cs="Arial"/>
              </w:rPr>
            </w:pPr>
            <w:r w:rsidRPr="00DD7F57">
              <w:rPr>
                <w:rFonts w:cs="Arial"/>
              </w:rPr>
              <w:t>Greer et al. (2019)</w:t>
            </w:r>
          </w:p>
        </w:tc>
        <w:tc>
          <w:tcPr>
            <w:tcW w:w="2340" w:type="dxa"/>
            <w:vAlign w:val="center"/>
          </w:tcPr>
          <w:p w14:paraId="11768DA9" w14:textId="004B78E5" w:rsidR="00FD2478" w:rsidRPr="00DD7F57" w:rsidRDefault="005D5934" w:rsidP="00731BF4">
            <w:pPr>
              <w:rPr>
                <w:rFonts w:cs="Arial"/>
              </w:rPr>
            </w:pPr>
            <w:r w:rsidRPr="00DD7F57">
              <w:rPr>
                <w:rFonts w:cs="Arial"/>
              </w:rPr>
              <w:t>Qualitative interviews</w:t>
            </w:r>
            <w:r w:rsidR="00AA5559">
              <w:rPr>
                <w:rFonts w:cs="Arial"/>
              </w:rPr>
              <w:t>:</w:t>
            </w:r>
            <w:r w:rsidRPr="00DD7F57">
              <w:rPr>
                <w:rFonts w:cs="Arial"/>
              </w:rPr>
              <w:t xml:space="preserve"> 20 digitally excluded service users</w:t>
            </w:r>
          </w:p>
        </w:tc>
        <w:tc>
          <w:tcPr>
            <w:tcW w:w="2340" w:type="dxa"/>
            <w:vAlign w:val="center"/>
          </w:tcPr>
          <w:p w14:paraId="0C25505C" w14:textId="4B275988" w:rsidR="00FD2478" w:rsidRPr="00DD7F57" w:rsidRDefault="005D5934" w:rsidP="00731BF4">
            <w:pPr>
              <w:rPr>
                <w:rFonts w:cs="Arial"/>
              </w:rPr>
            </w:pPr>
            <w:r w:rsidRPr="00DD7F57">
              <w:rPr>
                <w:rFonts w:cs="Arial"/>
              </w:rPr>
              <w:t xml:space="preserve">Cost, technology, skills and </w:t>
            </w:r>
            <w:r w:rsidR="00AA5559" w:rsidRPr="00DD7F57">
              <w:rPr>
                <w:rFonts w:cs="Arial"/>
              </w:rPr>
              <w:t>symptoms-maintained</w:t>
            </w:r>
            <w:r w:rsidRPr="00DD7F57">
              <w:rPr>
                <w:rFonts w:cs="Arial"/>
              </w:rPr>
              <w:t xml:space="preserve"> exclusion</w:t>
            </w:r>
          </w:p>
        </w:tc>
        <w:tc>
          <w:tcPr>
            <w:tcW w:w="2340" w:type="dxa"/>
            <w:vAlign w:val="center"/>
          </w:tcPr>
          <w:p w14:paraId="0E88833C" w14:textId="77777777" w:rsidR="00FD2478" w:rsidRPr="00DD7F57" w:rsidRDefault="005D5934" w:rsidP="00731BF4">
            <w:pPr>
              <w:rPr>
                <w:rFonts w:cs="Arial"/>
              </w:rPr>
            </w:pPr>
            <w:r w:rsidRPr="00DD7F57">
              <w:rPr>
                <w:rFonts w:cs="Arial"/>
              </w:rPr>
              <w:t>Digital exclusion</w:t>
            </w:r>
          </w:p>
        </w:tc>
      </w:tr>
      <w:tr w:rsidR="00FD2478" w:rsidRPr="00DD7F57" w14:paraId="7FACD6C7" w14:textId="77777777">
        <w:trPr>
          <w:jc w:val="center"/>
        </w:trPr>
        <w:tc>
          <w:tcPr>
            <w:tcW w:w="2340" w:type="dxa"/>
            <w:vAlign w:val="center"/>
          </w:tcPr>
          <w:p w14:paraId="1B2F9F91" w14:textId="77777777" w:rsidR="00FD2478" w:rsidRPr="00DD7F57" w:rsidRDefault="005D5934" w:rsidP="00731BF4">
            <w:pPr>
              <w:rPr>
                <w:rFonts w:cs="Arial"/>
              </w:rPr>
            </w:pPr>
            <w:r w:rsidRPr="00DD7F57">
              <w:rPr>
                <w:rFonts w:cs="Arial"/>
              </w:rPr>
              <w:t>Sharland et al. (2023)</w:t>
            </w:r>
          </w:p>
        </w:tc>
        <w:tc>
          <w:tcPr>
            <w:tcW w:w="2340" w:type="dxa"/>
            <w:vAlign w:val="center"/>
          </w:tcPr>
          <w:p w14:paraId="0D0941F0" w14:textId="77777777" w:rsidR="00FD2478" w:rsidRPr="00DD7F57" w:rsidRDefault="005D5934" w:rsidP="00731BF4">
            <w:pPr>
              <w:rPr>
                <w:rFonts w:cs="Arial"/>
              </w:rPr>
            </w:pPr>
            <w:r w:rsidRPr="00DD7F57">
              <w:rPr>
                <w:rFonts w:cs="Arial"/>
              </w:rPr>
              <w:t>National linked cohort study</w:t>
            </w:r>
          </w:p>
        </w:tc>
        <w:tc>
          <w:tcPr>
            <w:tcW w:w="2340" w:type="dxa"/>
            <w:vAlign w:val="center"/>
          </w:tcPr>
          <w:p w14:paraId="373359DF" w14:textId="77777777" w:rsidR="00FD2478" w:rsidRPr="00DD7F57" w:rsidRDefault="005D5934" w:rsidP="00731BF4">
            <w:pPr>
              <w:rPr>
                <w:rFonts w:cs="Arial"/>
              </w:rPr>
            </w:pPr>
            <w:r w:rsidRPr="00DD7F57">
              <w:rPr>
                <w:rFonts w:cs="Arial"/>
              </w:rPr>
              <w:t>Sociodemographic differences in access to psychological therapy</w:t>
            </w:r>
          </w:p>
        </w:tc>
        <w:tc>
          <w:tcPr>
            <w:tcW w:w="2340" w:type="dxa"/>
            <w:vAlign w:val="center"/>
          </w:tcPr>
          <w:p w14:paraId="480B9701" w14:textId="77777777" w:rsidR="00FD2478" w:rsidRPr="00DD7F57" w:rsidRDefault="005D5934" w:rsidP="00731BF4">
            <w:pPr>
              <w:rPr>
                <w:rFonts w:cs="Arial"/>
              </w:rPr>
            </w:pPr>
            <w:r w:rsidRPr="00DD7F57">
              <w:rPr>
                <w:rFonts w:cs="Arial"/>
              </w:rPr>
              <w:t>Inequality</w:t>
            </w:r>
          </w:p>
        </w:tc>
      </w:tr>
      <w:tr w:rsidR="00FD2478" w:rsidRPr="00DD7F57" w14:paraId="066FF8DF" w14:textId="77777777">
        <w:trPr>
          <w:jc w:val="center"/>
        </w:trPr>
        <w:tc>
          <w:tcPr>
            <w:tcW w:w="2340" w:type="dxa"/>
            <w:vAlign w:val="center"/>
          </w:tcPr>
          <w:p w14:paraId="24B89332" w14:textId="77777777" w:rsidR="00FD2478" w:rsidRPr="00DD7F57" w:rsidRDefault="005D5934" w:rsidP="00731BF4">
            <w:pPr>
              <w:rPr>
                <w:rFonts w:cs="Arial"/>
              </w:rPr>
            </w:pPr>
            <w:r w:rsidRPr="00DD7F57">
              <w:rPr>
                <w:rFonts w:cs="Arial"/>
              </w:rPr>
              <w:t>Winsper et al. (2023)</w:t>
            </w:r>
          </w:p>
        </w:tc>
        <w:tc>
          <w:tcPr>
            <w:tcW w:w="2340" w:type="dxa"/>
            <w:vAlign w:val="center"/>
          </w:tcPr>
          <w:p w14:paraId="57F3A53A" w14:textId="77777777" w:rsidR="00FD2478" w:rsidRPr="00DD7F57" w:rsidRDefault="005D5934" w:rsidP="00731BF4">
            <w:pPr>
              <w:rPr>
                <w:rFonts w:cs="Arial"/>
              </w:rPr>
            </w:pPr>
            <w:r w:rsidRPr="00DD7F57">
              <w:rPr>
                <w:rFonts w:cs="Arial"/>
              </w:rPr>
              <w:t>Multisite experience-based co-design</w:t>
            </w:r>
          </w:p>
        </w:tc>
        <w:tc>
          <w:tcPr>
            <w:tcW w:w="2340" w:type="dxa"/>
            <w:vAlign w:val="center"/>
          </w:tcPr>
          <w:p w14:paraId="39168786" w14:textId="77777777" w:rsidR="00FD2478" w:rsidRPr="00DD7F57" w:rsidRDefault="005D5934" w:rsidP="00731BF4">
            <w:pPr>
              <w:rPr>
                <w:rFonts w:cs="Arial"/>
              </w:rPr>
            </w:pPr>
            <w:r w:rsidRPr="00DD7F57">
              <w:rPr>
                <w:rFonts w:cs="Arial"/>
              </w:rPr>
              <w:t xml:space="preserve">Co-produced priorities for </w:t>
            </w:r>
            <w:r w:rsidRPr="00DD7F57">
              <w:rPr>
                <w:rFonts w:cs="Arial"/>
              </w:rPr>
              <w:lastRenderedPageBreak/>
              <w:t>improving ethnic minority access and experience</w:t>
            </w:r>
          </w:p>
        </w:tc>
        <w:tc>
          <w:tcPr>
            <w:tcW w:w="2340" w:type="dxa"/>
            <w:vAlign w:val="center"/>
          </w:tcPr>
          <w:p w14:paraId="3059F746" w14:textId="77777777" w:rsidR="00FD2478" w:rsidRPr="00DD7F57" w:rsidRDefault="005D5934" w:rsidP="00731BF4">
            <w:pPr>
              <w:rPr>
                <w:rFonts w:cs="Arial"/>
              </w:rPr>
            </w:pPr>
            <w:r w:rsidRPr="00DD7F57">
              <w:rPr>
                <w:rFonts w:cs="Arial"/>
              </w:rPr>
              <w:lastRenderedPageBreak/>
              <w:t>Culture; service redesign</w:t>
            </w:r>
          </w:p>
        </w:tc>
      </w:tr>
      <w:tr w:rsidR="00FD2478" w:rsidRPr="00DD7F57" w14:paraId="3102F19A" w14:textId="77777777">
        <w:trPr>
          <w:jc w:val="center"/>
        </w:trPr>
        <w:tc>
          <w:tcPr>
            <w:tcW w:w="2340" w:type="dxa"/>
            <w:vAlign w:val="center"/>
          </w:tcPr>
          <w:p w14:paraId="10AB3E95" w14:textId="77777777" w:rsidR="00FD2478" w:rsidRPr="00DD7F57" w:rsidRDefault="005D5934" w:rsidP="00731BF4">
            <w:pPr>
              <w:rPr>
                <w:rFonts w:cs="Arial"/>
              </w:rPr>
            </w:pPr>
            <w:r w:rsidRPr="00DD7F57">
              <w:rPr>
                <w:rFonts w:cs="Arial"/>
              </w:rPr>
              <w:t>Oliver et al. (2024)</w:t>
            </w:r>
          </w:p>
        </w:tc>
        <w:tc>
          <w:tcPr>
            <w:tcW w:w="2340" w:type="dxa"/>
            <w:vAlign w:val="center"/>
          </w:tcPr>
          <w:p w14:paraId="148C9D1E" w14:textId="77777777" w:rsidR="00FD2478" w:rsidRPr="00DD7F57" w:rsidRDefault="005D5934" w:rsidP="00731BF4">
            <w:pPr>
              <w:rPr>
                <w:rFonts w:cs="Arial"/>
              </w:rPr>
            </w:pPr>
            <w:r w:rsidRPr="00DD7F57">
              <w:rPr>
                <w:rFonts w:cs="Arial"/>
              </w:rPr>
              <w:t>Service-user interview evaluation</w:t>
            </w:r>
          </w:p>
        </w:tc>
        <w:tc>
          <w:tcPr>
            <w:tcW w:w="2340" w:type="dxa"/>
            <w:vAlign w:val="center"/>
          </w:tcPr>
          <w:p w14:paraId="71744A35" w14:textId="77777777" w:rsidR="00FD2478" w:rsidRPr="00DD7F57" w:rsidRDefault="005D5934" w:rsidP="00731BF4">
            <w:pPr>
              <w:rPr>
                <w:rFonts w:cs="Arial"/>
              </w:rPr>
            </w:pPr>
            <w:r w:rsidRPr="00DD7F57">
              <w:rPr>
                <w:rFonts w:cs="Arial"/>
              </w:rPr>
              <w:t xml:space="preserve">Devices, connectivity and tailored support </w:t>
            </w:r>
            <w:proofErr w:type="gramStart"/>
            <w:r w:rsidRPr="00DD7F57">
              <w:rPr>
                <w:rFonts w:cs="Arial"/>
              </w:rPr>
              <w:t>facilitated</w:t>
            </w:r>
            <w:proofErr w:type="gramEnd"/>
            <w:r w:rsidRPr="00DD7F57">
              <w:rPr>
                <w:rFonts w:cs="Arial"/>
              </w:rPr>
              <w:t xml:space="preserve"> digital access</w:t>
            </w:r>
          </w:p>
        </w:tc>
        <w:tc>
          <w:tcPr>
            <w:tcW w:w="2340" w:type="dxa"/>
            <w:vAlign w:val="center"/>
          </w:tcPr>
          <w:p w14:paraId="154FC9F1" w14:textId="77777777" w:rsidR="00FD2478" w:rsidRPr="00DD7F57" w:rsidRDefault="005D5934" w:rsidP="00731BF4">
            <w:pPr>
              <w:rPr>
                <w:rFonts w:cs="Arial"/>
              </w:rPr>
            </w:pPr>
            <w:r w:rsidRPr="00DD7F57">
              <w:rPr>
                <w:rFonts w:cs="Arial"/>
              </w:rPr>
              <w:t>Digital inclusion</w:t>
            </w:r>
          </w:p>
        </w:tc>
      </w:tr>
      <w:tr w:rsidR="00FD2478" w:rsidRPr="00DD7F57" w14:paraId="24EB6B22" w14:textId="77777777">
        <w:trPr>
          <w:jc w:val="center"/>
        </w:trPr>
        <w:tc>
          <w:tcPr>
            <w:tcW w:w="2340" w:type="dxa"/>
            <w:vAlign w:val="center"/>
          </w:tcPr>
          <w:p w14:paraId="58FB6C9F" w14:textId="77777777" w:rsidR="00FD2478" w:rsidRPr="00DD7F57" w:rsidRDefault="005D5934" w:rsidP="00731BF4">
            <w:pPr>
              <w:rPr>
                <w:rFonts w:cs="Arial"/>
              </w:rPr>
            </w:pPr>
            <w:r w:rsidRPr="00DD7F57">
              <w:rPr>
                <w:rFonts w:cs="Arial"/>
              </w:rPr>
              <w:t>Archer et al. (2026)</w:t>
            </w:r>
          </w:p>
        </w:tc>
        <w:tc>
          <w:tcPr>
            <w:tcW w:w="2340" w:type="dxa"/>
            <w:vAlign w:val="center"/>
          </w:tcPr>
          <w:p w14:paraId="4082FB22" w14:textId="77777777" w:rsidR="00FD2478" w:rsidRPr="00DD7F57" w:rsidRDefault="005D5934" w:rsidP="00731BF4">
            <w:pPr>
              <w:rPr>
                <w:rFonts w:cs="Arial"/>
              </w:rPr>
            </w:pPr>
            <w:r w:rsidRPr="00DD7F57">
              <w:rPr>
                <w:rFonts w:cs="Arial"/>
              </w:rPr>
              <w:t>Qualitative interviews with patients and practitioners</w:t>
            </w:r>
          </w:p>
        </w:tc>
        <w:tc>
          <w:tcPr>
            <w:tcW w:w="2340" w:type="dxa"/>
            <w:vAlign w:val="center"/>
          </w:tcPr>
          <w:p w14:paraId="7BE92C5A" w14:textId="77777777" w:rsidR="00FD2478" w:rsidRPr="00DD7F57" w:rsidRDefault="005D5934" w:rsidP="00731BF4">
            <w:pPr>
              <w:rPr>
                <w:rFonts w:cs="Arial"/>
              </w:rPr>
            </w:pPr>
            <w:r w:rsidRPr="00DD7F57">
              <w:rPr>
                <w:rFonts w:cs="Arial"/>
              </w:rPr>
              <w:t>Online tools supported reflection but created privacy and disclosure concerns</w:t>
            </w:r>
          </w:p>
        </w:tc>
        <w:tc>
          <w:tcPr>
            <w:tcW w:w="2340" w:type="dxa"/>
            <w:vAlign w:val="center"/>
          </w:tcPr>
          <w:p w14:paraId="3B577334" w14:textId="77777777" w:rsidR="00FD2478" w:rsidRPr="00DD7F57" w:rsidRDefault="005D5934" w:rsidP="00731BF4">
            <w:pPr>
              <w:rPr>
                <w:rFonts w:cs="Arial"/>
              </w:rPr>
            </w:pPr>
            <w:r w:rsidRPr="00DD7F57">
              <w:rPr>
                <w:rFonts w:cs="Arial"/>
              </w:rPr>
              <w:t>Digital access; communication</w:t>
            </w:r>
          </w:p>
        </w:tc>
      </w:tr>
      <w:tr w:rsidR="00FD2478" w:rsidRPr="00DD7F57" w14:paraId="4D9A57C4" w14:textId="77777777">
        <w:trPr>
          <w:jc w:val="center"/>
        </w:trPr>
        <w:tc>
          <w:tcPr>
            <w:tcW w:w="2340" w:type="dxa"/>
            <w:vAlign w:val="center"/>
          </w:tcPr>
          <w:p w14:paraId="7679B7A3" w14:textId="77777777" w:rsidR="00FD2478" w:rsidRPr="00DD7F57" w:rsidRDefault="005D5934" w:rsidP="00731BF4">
            <w:pPr>
              <w:rPr>
                <w:rFonts w:cs="Arial"/>
              </w:rPr>
            </w:pPr>
            <w:r w:rsidRPr="00DD7F57">
              <w:rPr>
                <w:rFonts w:cs="Arial"/>
              </w:rPr>
              <w:t>Instone et al. (2026)</w:t>
            </w:r>
          </w:p>
        </w:tc>
        <w:tc>
          <w:tcPr>
            <w:tcW w:w="2340" w:type="dxa"/>
            <w:vAlign w:val="center"/>
          </w:tcPr>
          <w:p w14:paraId="3686E293" w14:textId="5D3F1322" w:rsidR="00FD2478" w:rsidRPr="00DD7F57" w:rsidRDefault="005D5934" w:rsidP="00731BF4">
            <w:pPr>
              <w:rPr>
                <w:rFonts w:cs="Arial"/>
              </w:rPr>
            </w:pPr>
            <w:r w:rsidRPr="00DD7F57">
              <w:rPr>
                <w:rFonts w:cs="Arial"/>
              </w:rPr>
              <w:t>Qualitative interviews</w:t>
            </w:r>
            <w:r w:rsidR="00AA5559">
              <w:rPr>
                <w:rFonts w:cs="Arial"/>
              </w:rPr>
              <w:t>:</w:t>
            </w:r>
            <w:r w:rsidRPr="00DD7F57">
              <w:rPr>
                <w:rFonts w:cs="Arial"/>
              </w:rPr>
              <w:t xml:space="preserve"> 19 adults with complex needs</w:t>
            </w:r>
          </w:p>
        </w:tc>
        <w:tc>
          <w:tcPr>
            <w:tcW w:w="2340" w:type="dxa"/>
            <w:vAlign w:val="center"/>
          </w:tcPr>
          <w:p w14:paraId="6FAEECB4" w14:textId="77777777" w:rsidR="00FD2478" w:rsidRPr="00DD7F57" w:rsidRDefault="005D5934" w:rsidP="00731BF4">
            <w:pPr>
              <w:rPr>
                <w:rFonts w:cs="Arial"/>
              </w:rPr>
            </w:pPr>
            <w:r w:rsidRPr="00DD7F57">
              <w:rPr>
                <w:rFonts w:cs="Arial"/>
              </w:rPr>
              <w:t>Symptoms, uncertainty and precarious self-management affected access</w:t>
            </w:r>
          </w:p>
        </w:tc>
        <w:tc>
          <w:tcPr>
            <w:tcW w:w="2340" w:type="dxa"/>
            <w:vAlign w:val="center"/>
          </w:tcPr>
          <w:p w14:paraId="24BBA449" w14:textId="77777777" w:rsidR="00FD2478" w:rsidRPr="00DD7F57" w:rsidRDefault="005D5934" w:rsidP="00731BF4">
            <w:pPr>
              <w:rPr>
                <w:rFonts w:cs="Arial"/>
              </w:rPr>
            </w:pPr>
            <w:r w:rsidRPr="00DD7F57">
              <w:rPr>
                <w:rFonts w:cs="Arial"/>
              </w:rPr>
              <w:t>Complexity; organisation</w:t>
            </w:r>
          </w:p>
        </w:tc>
      </w:tr>
    </w:tbl>
    <w:p w14:paraId="719551B8" w14:textId="77777777" w:rsidR="003E2DF4" w:rsidRDefault="003E2DF4" w:rsidP="00731BF4">
      <w:pPr>
        <w:pStyle w:val="Heading2"/>
        <w:rPr>
          <w:rFonts w:ascii="Arial" w:hAnsi="Arial" w:cs="Arial"/>
          <w:sz w:val="22"/>
          <w:szCs w:val="22"/>
        </w:rPr>
      </w:pPr>
    </w:p>
    <w:p w14:paraId="592BD828" w14:textId="77777777" w:rsidR="003E2DF4" w:rsidRDefault="003E2DF4" w:rsidP="00731BF4">
      <w:pPr>
        <w:pStyle w:val="Heading2"/>
        <w:rPr>
          <w:rFonts w:ascii="Arial" w:hAnsi="Arial" w:cs="Arial"/>
          <w:sz w:val="22"/>
          <w:szCs w:val="22"/>
        </w:rPr>
      </w:pPr>
    </w:p>
    <w:p w14:paraId="3525CC7A" w14:textId="086D037F" w:rsidR="00FD2478" w:rsidRPr="00004B31" w:rsidRDefault="005D5934" w:rsidP="00004B31">
      <w:pPr>
        <w:pStyle w:val="Heading2"/>
      </w:pPr>
      <w:bookmarkStart w:id="15" w:name="_Toc235437826"/>
      <w:r w:rsidRPr="00004B31">
        <w:t>4.1 Thematic findings</w:t>
      </w:r>
      <w:bookmarkEnd w:id="15"/>
    </w:p>
    <w:p w14:paraId="062228BC" w14:textId="03727321" w:rsidR="00FD2478" w:rsidRDefault="005D5934" w:rsidP="00731BF4">
      <w:pPr>
        <w:rPr>
          <w:rFonts w:cs="Arial"/>
        </w:rPr>
      </w:pPr>
      <w:r w:rsidRPr="00DD7F57">
        <w:rPr>
          <w:rFonts w:cs="Arial"/>
        </w:rPr>
        <w:t xml:space="preserve">Codes concerning shame, fear of </w:t>
      </w:r>
      <w:r w:rsidR="00DA6862">
        <w:rPr>
          <w:rFonts w:cs="Arial"/>
        </w:rPr>
        <w:t>judgment</w:t>
      </w:r>
      <w:r w:rsidRPr="00DD7F57">
        <w:rPr>
          <w:rFonts w:cs="Arial"/>
        </w:rPr>
        <w:t>, self-reliance</w:t>
      </w:r>
      <w:r w:rsidR="00004B31">
        <w:rPr>
          <w:rFonts w:cs="Arial"/>
        </w:rPr>
        <w:t>,</w:t>
      </w:r>
      <w:r w:rsidRPr="00DD7F57">
        <w:rPr>
          <w:rFonts w:cs="Arial"/>
        </w:rPr>
        <w:t xml:space="preserve"> and difficulty </w:t>
      </w:r>
      <w:r w:rsidR="007426B2">
        <w:rPr>
          <w:rFonts w:cs="Arial"/>
        </w:rPr>
        <w:t>recognising</w:t>
      </w:r>
      <w:r w:rsidRPr="00DD7F57">
        <w:rPr>
          <w:rFonts w:cs="Arial"/>
        </w:rPr>
        <w:t xml:space="preserve"> distress formed the first theme. Codes concerning listening, language, continuity, cultural understanding and privacy formed the second. Waiting, referral thresholds, service navigation, poverty and unequal treatment formed the third. Devices, connectivity, skills, remote formats and choice formed the fourth. The themes were interdependent: for example, cultural stigma could delay contact, while poor communication or a digital-only referral could then prevent continued engagement.</w:t>
      </w:r>
    </w:p>
    <w:p w14:paraId="34833BBB" w14:textId="77777777" w:rsidR="003E2DF4" w:rsidRDefault="003E2DF4" w:rsidP="00731BF4">
      <w:pPr>
        <w:rPr>
          <w:rFonts w:cs="Arial"/>
        </w:rPr>
      </w:pPr>
    </w:p>
    <w:p w14:paraId="464EA1D1" w14:textId="77777777" w:rsidR="003E2DF4" w:rsidRDefault="003E2DF4" w:rsidP="00731BF4">
      <w:pPr>
        <w:rPr>
          <w:rFonts w:cs="Arial"/>
        </w:rPr>
      </w:pPr>
    </w:p>
    <w:p w14:paraId="166E1924" w14:textId="77777777" w:rsidR="003E2DF4" w:rsidRDefault="003E2DF4" w:rsidP="00731BF4">
      <w:pPr>
        <w:rPr>
          <w:rFonts w:cs="Arial"/>
        </w:rPr>
      </w:pPr>
    </w:p>
    <w:p w14:paraId="6809E8BB" w14:textId="77777777" w:rsidR="003E2DF4" w:rsidRDefault="003E2DF4" w:rsidP="00731BF4">
      <w:pPr>
        <w:rPr>
          <w:rFonts w:cs="Arial"/>
        </w:rPr>
      </w:pPr>
    </w:p>
    <w:p w14:paraId="6781618D" w14:textId="77777777" w:rsidR="00FD2478" w:rsidRPr="00004B31" w:rsidRDefault="005D5934" w:rsidP="00004B31">
      <w:pPr>
        <w:pStyle w:val="Heading1"/>
      </w:pPr>
      <w:bookmarkStart w:id="16" w:name="_Toc235437827"/>
      <w:r w:rsidRPr="00004B31">
        <w:t>5. Discussion</w:t>
      </w:r>
      <w:bookmarkEnd w:id="16"/>
    </w:p>
    <w:p w14:paraId="69885355" w14:textId="77777777" w:rsidR="00FD2478" w:rsidRPr="00DD7F57" w:rsidRDefault="005D5934" w:rsidP="00004B31">
      <w:pPr>
        <w:pStyle w:val="Heading2"/>
      </w:pPr>
      <w:bookmarkStart w:id="17" w:name="_Toc235437828"/>
      <w:r w:rsidRPr="00DD7F57">
        <w:t>Theme 1: Stigma, recognition and the decision to seek help</w:t>
      </w:r>
      <w:bookmarkEnd w:id="17"/>
    </w:p>
    <w:p w14:paraId="2DF1E069" w14:textId="326FE015" w:rsidR="00FD2478" w:rsidRPr="00DD7F57" w:rsidRDefault="005D5934" w:rsidP="00731BF4">
      <w:pPr>
        <w:rPr>
          <w:rFonts w:cs="Arial"/>
        </w:rPr>
      </w:pPr>
      <w:r w:rsidRPr="00DD7F57">
        <w:rPr>
          <w:rFonts w:cs="Arial"/>
        </w:rPr>
        <w:t xml:space="preserve">The evidence </w:t>
      </w:r>
      <w:proofErr w:type="gramStart"/>
      <w:r w:rsidRPr="00DD7F57">
        <w:rPr>
          <w:rFonts w:cs="Arial"/>
        </w:rPr>
        <w:t>indicates</w:t>
      </w:r>
      <w:proofErr w:type="gramEnd"/>
      <w:r w:rsidRPr="00DD7F57">
        <w:rPr>
          <w:rFonts w:cs="Arial"/>
        </w:rPr>
        <w:t xml:space="preserve"> that access begins before a person contacts a GP. Clement et al. (2015) found that stigma reduces help-seeking through </w:t>
      </w:r>
      <w:proofErr w:type="gramStart"/>
      <w:r w:rsidRPr="00DD7F57">
        <w:rPr>
          <w:rFonts w:cs="Arial"/>
        </w:rPr>
        <w:t>anticipated</w:t>
      </w:r>
      <w:proofErr w:type="gramEnd"/>
      <w:r w:rsidRPr="00DD7F57">
        <w:rPr>
          <w:rFonts w:cs="Arial"/>
        </w:rPr>
        <w:t xml:space="preserve"> discrimination, shame and self-reliance. This finding helps explain why simply increasing appointment capacity may not improve access for people who fear the social consequences of disclosure. Bristow et al. (2011) </w:t>
      </w:r>
      <w:r w:rsidR="00DA6862">
        <w:rPr>
          <w:rFonts w:cs="Arial"/>
        </w:rPr>
        <w:t>add</w:t>
      </w:r>
      <w:r w:rsidRPr="00DD7F57">
        <w:rPr>
          <w:rFonts w:cs="Arial"/>
        </w:rPr>
        <w:t xml:space="preserve"> a further layer: distress may be understood as a social, moral or practical problem rather than an illness. Therefore, non-attendance should not automatically be viewed as unwillingness. It may reflect a mismatch between the language used by services and the person's understanding of their experience.</w:t>
      </w:r>
    </w:p>
    <w:p w14:paraId="333AF1A4" w14:textId="2B3E91DB" w:rsidR="00FD2478" w:rsidRPr="00DD7F57" w:rsidRDefault="005D5934" w:rsidP="00731BF4">
      <w:pPr>
        <w:rPr>
          <w:rFonts w:cs="Arial"/>
        </w:rPr>
      </w:pPr>
      <w:r w:rsidRPr="00DD7F57">
        <w:rPr>
          <w:rFonts w:cs="Arial"/>
        </w:rPr>
        <w:t xml:space="preserve">The studies also show that stigma is not identical across populations. Memon et al. (2016) found that gender expectations, cultural identity, fear of community judgement and limited mental health literacy shaped </w:t>
      </w:r>
      <w:proofErr w:type="gramStart"/>
      <w:r w:rsidR="00380CE6">
        <w:rPr>
          <w:rFonts w:cs="Arial"/>
        </w:rPr>
        <w:t>help</w:t>
      </w:r>
      <w:proofErr w:type="gramEnd"/>
      <w:r w:rsidR="00380CE6">
        <w:rPr>
          <w:rFonts w:cs="Arial"/>
        </w:rPr>
        <w:t>-seeking</w:t>
      </w:r>
      <w:r w:rsidRPr="00DD7F57">
        <w:rPr>
          <w:rFonts w:cs="Arial"/>
        </w:rPr>
        <w:t xml:space="preserve"> in minority ethnic communities. The strength of this study is its detailed community perspective; however, the sample of </w:t>
      </w:r>
      <w:r w:rsidRPr="00DD7F57">
        <w:rPr>
          <w:rFonts w:cs="Arial"/>
        </w:rPr>
        <w:t>26</w:t>
      </w:r>
      <w:r w:rsidRPr="00DD7F57">
        <w:rPr>
          <w:rFonts w:cs="Arial"/>
        </w:rPr>
        <w:t xml:space="preserve"> adults from </w:t>
      </w:r>
      <w:r w:rsidR="00380CE6">
        <w:rPr>
          <w:rFonts w:cs="Arial"/>
        </w:rPr>
        <w:t xml:space="preserve">a single area limits its </w:t>
      </w:r>
      <w:r w:rsidRPr="00DD7F57">
        <w:rPr>
          <w:rFonts w:cs="Arial"/>
        </w:rPr>
        <w:t xml:space="preserve">transferability. Patel et al. (2026) reached </w:t>
      </w:r>
      <w:r w:rsidR="00380CE6">
        <w:rPr>
          <w:rFonts w:cs="Arial"/>
        </w:rPr>
        <w:t xml:space="preserve">similar conclusions from clinicians' perspectives, </w:t>
      </w:r>
      <w:proofErr w:type="gramStart"/>
      <w:r w:rsidR="00380CE6">
        <w:rPr>
          <w:rFonts w:cs="Arial"/>
        </w:rPr>
        <w:t>identifying</w:t>
      </w:r>
      <w:proofErr w:type="gramEnd"/>
      <w:r w:rsidR="00380CE6">
        <w:rPr>
          <w:rFonts w:cs="Arial"/>
        </w:rPr>
        <w:t xml:space="preserve"> stigma, mistrust, and cultural incompatibility alongside limited</w:t>
      </w:r>
      <w:r w:rsidRPr="00DD7F57">
        <w:rPr>
          <w:rFonts w:cs="Arial"/>
        </w:rPr>
        <w:t xml:space="preserve"> time and resources. Agreement between service-user and clinician studies strengthens the finding, but clinician accounts cannot replace direct patient voices.</w:t>
      </w:r>
    </w:p>
    <w:p w14:paraId="7754DDB7" w14:textId="77777777" w:rsidR="00FD2478" w:rsidRPr="00DD7F57" w:rsidRDefault="005D5934" w:rsidP="00731BF4">
      <w:pPr>
        <w:rPr>
          <w:rFonts w:cs="Arial"/>
        </w:rPr>
      </w:pPr>
      <w:r w:rsidRPr="00DD7F57">
        <w:rPr>
          <w:rFonts w:cs="Arial"/>
        </w:rPr>
        <w:t xml:space="preserve">A critical implication is that anti-stigma work should be connected to practical access routes. Public messages encouraging help-seeking may have limited effect when people expect long waits, insensitive responses or loss of confidentiality. Community partnerships, culturally </w:t>
      </w:r>
      <w:proofErr w:type="gramStart"/>
      <w:r w:rsidRPr="00DD7F57">
        <w:rPr>
          <w:rFonts w:cs="Arial"/>
        </w:rPr>
        <w:t>appropriate information</w:t>
      </w:r>
      <w:proofErr w:type="gramEnd"/>
      <w:r w:rsidRPr="00DD7F57">
        <w:rPr>
          <w:rFonts w:cs="Arial"/>
        </w:rPr>
        <w:t xml:space="preserve"> and </w:t>
      </w:r>
      <w:r w:rsidRPr="00DD7F57">
        <w:rPr>
          <w:rFonts w:cs="Arial"/>
        </w:rPr>
        <w:t>normalising</w:t>
      </w:r>
      <w:r w:rsidRPr="00DD7F57">
        <w:rPr>
          <w:rFonts w:cs="Arial"/>
        </w:rPr>
        <w:t xml:space="preserve"> discussion within primary care may be more effective when developed with the populations concerned.</w:t>
      </w:r>
    </w:p>
    <w:p w14:paraId="0DCABE14" w14:textId="6C01A39C" w:rsidR="00FD2478" w:rsidRDefault="005D5934" w:rsidP="00731BF4">
      <w:pPr>
        <w:spacing w:after="120"/>
        <w:rPr>
          <w:rFonts w:cs="Arial"/>
        </w:rPr>
      </w:pPr>
      <w:r w:rsidRPr="00DD7F57">
        <w:rPr>
          <w:rFonts w:cs="Arial"/>
        </w:rPr>
        <w:t xml:space="preserve">There is, however, a tension between the breadth and the direct relevance of the evidence. Clement et al. (2015) </w:t>
      </w:r>
      <w:r w:rsidRPr="00DD7F57">
        <w:rPr>
          <w:rFonts w:cs="Arial"/>
        </w:rPr>
        <w:t>synthesised</w:t>
      </w:r>
      <w:r w:rsidRPr="00DD7F57">
        <w:rPr>
          <w:rFonts w:cs="Arial"/>
        </w:rPr>
        <w:t xml:space="preserve"> a large international literature and therefore </w:t>
      </w:r>
      <w:r w:rsidR="00DA6862">
        <w:rPr>
          <w:rFonts w:cs="Arial"/>
        </w:rPr>
        <w:t>give</w:t>
      </w:r>
      <w:r w:rsidRPr="00DD7F57">
        <w:rPr>
          <w:rFonts w:cs="Arial"/>
        </w:rPr>
        <w:t xml:space="preserve"> </w:t>
      </w:r>
      <w:proofErr w:type="gramStart"/>
      <w:r w:rsidRPr="00DD7F57">
        <w:rPr>
          <w:rFonts w:cs="Arial"/>
        </w:rPr>
        <w:t>strong support</w:t>
      </w:r>
      <w:proofErr w:type="gramEnd"/>
      <w:r w:rsidRPr="00DD7F57">
        <w:rPr>
          <w:rFonts w:cs="Arial"/>
        </w:rPr>
        <w:t xml:space="preserve"> to the general relationship between stigma and delayed help-seeking, but it does not isolate UK primary care. In comparison, Bristow et al. (2011) and Memon et al. (2016) </w:t>
      </w:r>
      <w:proofErr w:type="gramStart"/>
      <w:r w:rsidRPr="00DD7F57">
        <w:rPr>
          <w:rFonts w:cs="Arial"/>
        </w:rPr>
        <w:t>provide</w:t>
      </w:r>
      <w:proofErr w:type="gramEnd"/>
      <w:r w:rsidRPr="00DD7F57">
        <w:rPr>
          <w:rFonts w:cs="Arial"/>
        </w:rPr>
        <w:t xml:space="preserve"> closer insight into UK experiences, although their smaller qualitative samples limit generalisation. The agreement between these </w:t>
      </w:r>
      <w:proofErr w:type="gramStart"/>
      <w:r w:rsidRPr="00DD7F57">
        <w:rPr>
          <w:rFonts w:cs="Arial"/>
        </w:rPr>
        <w:t>different designs</w:t>
      </w:r>
      <w:proofErr w:type="gramEnd"/>
      <w:r w:rsidRPr="00DD7F57">
        <w:rPr>
          <w:rFonts w:cs="Arial"/>
        </w:rPr>
        <w:t xml:space="preserve"> strengthens the interpretation, but it also shows why national prevalence estimates should not replace detailed accounts of how stigma is experienced </w:t>
      </w:r>
      <w:r w:rsidR="00004B31" w:rsidRPr="00DD7F57">
        <w:rPr>
          <w:rFonts w:cs="Arial"/>
        </w:rPr>
        <w:t>in communities</w:t>
      </w:r>
      <w:r w:rsidRPr="00DD7F57">
        <w:rPr>
          <w:rFonts w:cs="Arial"/>
        </w:rPr>
        <w:t>.</w:t>
      </w:r>
    </w:p>
    <w:p w14:paraId="5915BEF4" w14:textId="77777777" w:rsidR="00004B31" w:rsidRPr="00DD7F57" w:rsidRDefault="00004B31" w:rsidP="00731BF4">
      <w:pPr>
        <w:spacing w:after="120"/>
        <w:rPr>
          <w:rFonts w:cs="Arial"/>
        </w:rPr>
      </w:pPr>
    </w:p>
    <w:p w14:paraId="40838CED" w14:textId="04A3B087" w:rsidR="002323F5" w:rsidRPr="002323F5" w:rsidRDefault="005D5934" w:rsidP="00F77F75">
      <w:pPr>
        <w:pStyle w:val="Heading2"/>
      </w:pPr>
      <w:bookmarkStart w:id="18" w:name="_Toc235437829"/>
      <w:r w:rsidRPr="00DD7F57">
        <w:t>Theme 2: Communication, trust and cultural responsiveness</w:t>
      </w:r>
      <w:bookmarkEnd w:id="18"/>
    </w:p>
    <w:p w14:paraId="098199E8" w14:textId="77777777" w:rsidR="00FD2478" w:rsidRPr="00DD7F57" w:rsidRDefault="005D5934" w:rsidP="00731BF4">
      <w:pPr>
        <w:rPr>
          <w:rFonts w:cs="Arial"/>
        </w:rPr>
      </w:pPr>
      <w:r w:rsidRPr="00DD7F57">
        <w:rPr>
          <w:rFonts w:cs="Arial"/>
        </w:rPr>
        <w:t xml:space="preserve">Communication was consistently linked with whether access became meaningful care. Buszewicz et al. (2006) found that patients valued listening, empathy, explanation and shared understanding. Although this older study involved only 20 patients, its findings </w:t>
      </w:r>
      <w:proofErr w:type="gramStart"/>
      <w:r w:rsidRPr="00DD7F57">
        <w:rPr>
          <w:rFonts w:cs="Arial"/>
        </w:rPr>
        <w:t>remain</w:t>
      </w:r>
      <w:proofErr w:type="gramEnd"/>
      <w:r w:rsidRPr="00DD7F57">
        <w:rPr>
          <w:rFonts w:cs="Arial"/>
        </w:rPr>
        <w:t xml:space="preserve"> relevant because recent work continues to </w:t>
      </w:r>
      <w:proofErr w:type="gramStart"/>
      <w:r w:rsidRPr="00DD7F57">
        <w:rPr>
          <w:rFonts w:cs="Arial"/>
        </w:rPr>
        <w:t>identify</w:t>
      </w:r>
      <w:proofErr w:type="gramEnd"/>
      <w:r w:rsidRPr="00DD7F57">
        <w:rPr>
          <w:rFonts w:cs="Arial"/>
        </w:rPr>
        <w:t xml:space="preserve"> trust and relational continuity as important. The age of a study does not automatically invalidate it, but changes in appointment systems and remote care mean that its findings should be interpreted with contemporary evidence.</w:t>
      </w:r>
    </w:p>
    <w:p w14:paraId="4BFA009E" w14:textId="77777777" w:rsidR="00FD2478" w:rsidRPr="00DD7F57" w:rsidRDefault="005D5934" w:rsidP="00731BF4">
      <w:pPr>
        <w:rPr>
          <w:rFonts w:cs="Arial"/>
        </w:rPr>
      </w:pPr>
      <w:r w:rsidRPr="00DD7F57">
        <w:rPr>
          <w:rFonts w:cs="Arial"/>
        </w:rPr>
        <w:t xml:space="preserve">Memon et al. (2016) </w:t>
      </w:r>
      <w:proofErr w:type="gramStart"/>
      <w:r w:rsidRPr="00DD7F57">
        <w:rPr>
          <w:rFonts w:cs="Arial"/>
        </w:rPr>
        <w:t>demonstrated</w:t>
      </w:r>
      <w:proofErr w:type="gramEnd"/>
      <w:r w:rsidRPr="00DD7F57">
        <w:rPr>
          <w:rFonts w:cs="Arial"/>
        </w:rPr>
        <w:t xml:space="preserve"> that language barriers and cultural insensitivity could weaken trust, while Bristow et al. (2011) showed that narrowly biomedical responses could fail to address how patients understood distress. Together, these studies suggest that communication is not merely a “soft skill”. It affects recognition, diagnosis, referral and willingness to return. A technically correct referral may still </w:t>
      </w:r>
      <w:proofErr w:type="gramStart"/>
      <w:r w:rsidRPr="00DD7F57">
        <w:rPr>
          <w:rFonts w:cs="Arial"/>
        </w:rPr>
        <w:t>represent</w:t>
      </w:r>
      <w:proofErr w:type="gramEnd"/>
      <w:r w:rsidRPr="00DD7F57">
        <w:rPr>
          <w:rFonts w:cs="Arial"/>
        </w:rPr>
        <w:t xml:space="preserve"> poor access when the patient does not understand the pathway or feels that their concerns were minimised.</w:t>
      </w:r>
    </w:p>
    <w:p w14:paraId="50F69519" w14:textId="13358136" w:rsidR="00FD2478" w:rsidRPr="00DD7F57" w:rsidRDefault="005D5934" w:rsidP="00731BF4">
      <w:pPr>
        <w:rPr>
          <w:rFonts w:cs="Arial"/>
        </w:rPr>
      </w:pPr>
      <w:r w:rsidRPr="00DD7F57">
        <w:rPr>
          <w:rFonts w:cs="Arial"/>
        </w:rPr>
        <w:t>Continuity is also important. Repeating personal histories to unfamiliar professionals can be difficult, especially for people with trauma or complex needs. Instone et al. (2026) found that people with complex mental health difficulties experienced the condition itself as a barrier and described precarious self-management and help. The study's qualitative design offers depth, but its 19 participants cannot show prevalence. Even so, it illustrates how symptoms such as avoidance, low motivation, fear or cogni</w:t>
      </w:r>
      <w:r w:rsidRPr="00DD7F57">
        <w:rPr>
          <w:rFonts w:cs="Arial"/>
        </w:rPr>
        <w:t xml:space="preserve">tive difficulty can make complicated appointment systems particularly inaccessible. Services designed on the assumption that patients can repeatedly telephone, complete forms and chase referrals may unintentionally exclude those with </w:t>
      </w:r>
      <w:r w:rsidR="009623F4">
        <w:rPr>
          <w:rFonts w:cs="Arial"/>
        </w:rPr>
        <w:t xml:space="preserve">the </w:t>
      </w:r>
      <w:r w:rsidRPr="00DD7F57">
        <w:rPr>
          <w:rFonts w:cs="Arial"/>
        </w:rPr>
        <w:t>greatest need.</w:t>
      </w:r>
    </w:p>
    <w:p w14:paraId="1EC2C8E9" w14:textId="76DD1FCD" w:rsidR="00FD2478" w:rsidRDefault="005D5934" w:rsidP="00731BF4">
      <w:pPr>
        <w:rPr>
          <w:rFonts w:cs="Arial"/>
        </w:rPr>
      </w:pPr>
      <w:r w:rsidRPr="00DD7F57">
        <w:rPr>
          <w:rFonts w:cs="Arial"/>
        </w:rPr>
        <w:t>Culturally responsive care should avoid treating ethnic communities as homogeneous. Training can improve awareness, but organisational support, interpreting services</w:t>
      </w:r>
      <w:r w:rsidR="009623F4">
        <w:rPr>
          <w:rFonts w:cs="Arial"/>
        </w:rPr>
        <w:t>,</w:t>
      </w:r>
      <w:r w:rsidRPr="00DD7F57">
        <w:rPr>
          <w:rFonts w:cs="Arial"/>
        </w:rPr>
        <w:t xml:space="preserve"> and sufficient consultation time are also necessary. Otherwise, responsibility is placed on individual clinicians without addressing the conditions that restrict </w:t>
      </w:r>
      <w:proofErr w:type="gramStart"/>
      <w:r w:rsidRPr="00DD7F57">
        <w:rPr>
          <w:rFonts w:cs="Arial"/>
        </w:rPr>
        <w:t>good communication</w:t>
      </w:r>
      <w:proofErr w:type="gramEnd"/>
      <w:r w:rsidRPr="00DD7F57">
        <w:rPr>
          <w:rFonts w:cs="Arial"/>
        </w:rPr>
        <w:t>.</w:t>
      </w:r>
    </w:p>
    <w:p w14:paraId="6C5C371F" w14:textId="77777777" w:rsidR="002323F5" w:rsidRPr="00DD7F57" w:rsidRDefault="002323F5" w:rsidP="00731BF4">
      <w:pPr>
        <w:rPr>
          <w:rFonts w:cs="Arial"/>
        </w:rPr>
      </w:pPr>
    </w:p>
    <w:p w14:paraId="57BC28A5" w14:textId="77777777" w:rsidR="00F77F75" w:rsidRDefault="00F77F75" w:rsidP="00004B31">
      <w:pPr>
        <w:pStyle w:val="Heading2"/>
      </w:pPr>
    </w:p>
    <w:p w14:paraId="2773E6F6" w14:textId="77777777" w:rsidR="005F2915" w:rsidRDefault="005F2915" w:rsidP="00004B31">
      <w:pPr>
        <w:pStyle w:val="Heading2"/>
      </w:pPr>
    </w:p>
    <w:p w14:paraId="31A24A8B" w14:textId="449872AB" w:rsidR="00FD2478" w:rsidRDefault="005D5934" w:rsidP="00004B31">
      <w:pPr>
        <w:pStyle w:val="Heading2"/>
      </w:pPr>
      <w:bookmarkStart w:id="19" w:name="_Toc235437830"/>
      <w:r w:rsidRPr="00DD7F57">
        <w:t xml:space="preserve">Theme 3: </w:t>
      </w:r>
      <w:r w:rsidR="009623F4">
        <w:t>Organisational</w:t>
      </w:r>
      <w:r w:rsidRPr="00DD7F57">
        <w:t xml:space="preserve"> and socioeconomic inequalities</w:t>
      </w:r>
      <w:bookmarkEnd w:id="19"/>
    </w:p>
    <w:p w14:paraId="4B4581FC" w14:textId="77777777" w:rsidR="005F2915" w:rsidRPr="005F2915" w:rsidRDefault="005F2915" w:rsidP="005F2915"/>
    <w:p w14:paraId="3A127D4E" w14:textId="77777777" w:rsidR="00FD2478" w:rsidRPr="00DD7F57" w:rsidRDefault="005D5934" w:rsidP="00731BF4">
      <w:pPr>
        <w:rPr>
          <w:rFonts w:cs="Arial"/>
        </w:rPr>
      </w:pPr>
      <w:r w:rsidRPr="00DD7F57">
        <w:rPr>
          <w:rFonts w:cs="Arial"/>
        </w:rPr>
        <w:t xml:space="preserve">Organisational barriers appeared throughout the pathway. Long waits, unclear thresholds and movement between primary and specialist care can create “administrative access” without treatment. Finazzi and MacBeth (2022) found that experiences of primary care psychological interventions depended on the therapeutic relationship, service expectations and suitability of treatment. As a qualitative meta-synthesis, it combines multiple perspectives, but variation between included studies makes it difficult to </w:t>
      </w:r>
      <w:proofErr w:type="gramStart"/>
      <w:r w:rsidRPr="00DD7F57">
        <w:rPr>
          <w:rFonts w:cs="Arial"/>
        </w:rPr>
        <w:t>determine</w:t>
      </w:r>
      <w:proofErr w:type="gramEnd"/>
      <w:r w:rsidRPr="00DD7F57">
        <w:rPr>
          <w:rFonts w:cs="Arial"/>
        </w:rPr>
        <w:t xml:space="preserve"> which service model works best.</w:t>
      </w:r>
    </w:p>
    <w:p w14:paraId="725DE5C3" w14:textId="7171E1F1" w:rsidR="00FD2478" w:rsidRPr="00DD7F57" w:rsidRDefault="005D5934" w:rsidP="00731BF4">
      <w:pPr>
        <w:rPr>
          <w:rFonts w:cs="Arial"/>
        </w:rPr>
      </w:pPr>
      <w:r w:rsidRPr="00DD7F57">
        <w:rPr>
          <w:rFonts w:cs="Arial"/>
        </w:rPr>
        <w:t xml:space="preserve">Sharland et al. (2023) </w:t>
      </w:r>
      <w:r w:rsidR="009623F4">
        <w:rPr>
          <w:rFonts w:cs="Arial"/>
        </w:rPr>
        <w:t>provide</w:t>
      </w:r>
      <w:r w:rsidRPr="00DD7F57">
        <w:rPr>
          <w:rFonts w:cs="Arial"/>
        </w:rPr>
        <w:t xml:space="preserve"> stronger population-level evidence of unequal access. Using linked national data </w:t>
      </w:r>
      <w:r w:rsidR="002277D7" w:rsidRPr="00DD7F57">
        <w:rPr>
          <w:rFonts w:cs="Arial"/>
        </w:rPr>
        <w:t>allows</w:t>
      </w:r>
      <w:r w:rsidRPr="00DD7F57">
        <w:rPr>
          <w:rFonts w:cs="Arial"/>
        </w:rPr>
        <w:t xml:space="preserve"> examination of sociodemographic patterns at a </w:t>
      </w:r>
      <w:r w:rsidR="00043506" w:rsidRPr="00DD7F57">
        <w:rPr>
          <w:rFonts w:cs="Arial"/>
        </w:rPr>
        <w:t>scale that is</w:t>
      </w:r>
      <w:r w:rsidRPr="00DD7F57">
        <w:rPr>
          <w:rFonts w:cs="Arial"/>
        </w:rPr>
        <w:t xml:space="preserve"> not possible in qualitative studies. The advantage is breadth and statistical power; the limitation is that routine data cannot fully explain why differences occur. Lower access may reflect referral behaviour, service location, practical constraints, awareness, stigma or preferences. Therefore, quantitative inequality should be interpreted alongside qualitative evidence rather than attributed to one cause.</w:t>
      </w:r>
    </w:p>
    <w:p w14:paraId="17444E2C" w14:textId="76E06237" w:rsidR="00FD2478" w:rsidRPr="00DD7F57" w:rsidRDefault="005D5934" w:rsidP="00731BF4">
      <w:pPr>
        <w:rPr>
          <w:rFonts w:cs="Arial"/>
        </w:rPr>
      </w:pPr>
      <w:r w:rsidRPr="00DD7F57">
        <w:rPr>
          <w:rFonts w:cs="Arial"/>
        </w:rPr>
        <w:t xml:space="preserve">Socioeconomic </w:t>
      </w:r>
      <w:r w:rsidR="00043506" w:rsidRPr="00DD7F57">
        <w:rPr>
          <w:rFonts w:cs="Arial"/>
        </w:rPr>
        <w:t>disadvantages</w:t>
      </w:r>
      <w:r w:rsidRPr="00DD7F57">
        <w:rPr>
          <w:rFonts w:cs="Arial"/>
        </w:rPr>
        <w:t xml:space="preserve"> can affect transport, time away from work, childcare, housing stability and access to a private telephone or internet connection. These practical pressures overlap with emotional distress. The review therefore challenges explanations that focus only on individual motivation. Equality requires proportionate support, such as flexible appointment modes, clear information, interpreting provision and follow-up for people who struggle to navigate services.</w:t>
      </w:r>
    </w:p>
    <w:p w14:paraId="3277A9DA" w14:textId="77777777" w:rsidR="00FD2478" w:rsidRPr="00DD7F57" w:rsidRDefault="005D5934" w:rsidP="00731BF4">
      <w:pPr>
        <w:rPr>
          <w:rFonts w:cs="Arial"/>
        </w:rPr>
      </w:pPr>
      <w:r w:rsidRPr="00DD7F57">
        <w:rPr>
          <w:rFonts w:cs="Arial"/>
        </w:rPr>
        <w:t xml:space="preserve">Winsper et al. (2023) is important because it moved beyond describing ethnic inequalities and used experience-based co-design across </w:t>
      </w:r>
      <w:proofErr w:type="gramStart"/>
      <w:r w:rsidRPr="00DD7F57">
        <w:rPr>
          <w:rFonts w:cs="Arial"/>
        </w:rPr>
        <w:t>several</w:t>
      </w:r>
      <w:proofErr w:type="gramEnd"/>
      <w:r w:rsidRPr="00DD7F57">
        <w:rPr>
          <w:rFonts w:cs="Arial"/>
        </w:rPr>
        <w:t xml:space="preserve"> English sites. Co-design can make recommendations more relevant, although implementation may vary between local services. The study supports involving service users, carers and communities in redesign rather than asking them only to adapt to existing pathways.</w:t>
      </w:r>
    </w:p>
    <w:p w14:paraId="33BBEF0E" w14:textId="3289B739" w:rsidR="00FD2478" w:rsidRDefault="005D5934" w:rsidP="00731BF4">
      <w:pPr>
        <w:spacing w:after="120"/>
        <w:rPr>
          <w:rFonts w:cs="Arial"/>
        </w:rPr>
      </w:pPr>
      <w:r w:rsidRPr="00DD7F57">
        <w:rPr>
          <w:rFonts w:cs="Arial"/>
        </w:rPr>
        <w:t xml:space="preserve">The studies also differ in what they can </w:t>
      </w:r>
      <w:proofErr w:type="gramStart"/>
      <w:r w:rsidRPr="00DD7F57">
        <w:rPr>
          <w:rFonts w:cs="Arial"/>
        </w:rPr>
        <w:t>demonstrate</w:t>
      </w:r>
      <w:proofErr w:type="gramEnd"/>
      <w:r w:rsidRPr="00DD7F57">
        <w:rPr>
          <w:rFonts w:cs="Arial"/>
        </w:rPr>
        <w:t xml:space="preserve"> about causation. Sharland et al. (2023) </w:t>
      </w:r>
      <w:proofErr w:type="gramStart"/>
      <w:r w:rsidR="00043506">
        <w:rPr>
          <w:rFonts w:cs="Arial"/>
        </w:rPr>
        <w:t>identify</w:t>
      </w:r>
      <w:proofErr w:type="gramEnd"/>
      <w:r w:rsidRPr="00DD7F57">
        <w:rPr>
          <w:rFonts w:cs="Arial"/>
        </w:rPr>
        <w:t xml:space="preserve"> unequal patterns across a national cohort, but routine data cannot fully explain whether these differences arise from patient preference, referral decisions, local service capacity or </w:t>
      </w:r>
      <w:r w:rsidRPr="00DD7F57">
        <w:rPr>
          <w:rFonts w:cs="Arial"/>
        </w:rPr>
        <w:lastRenderedPageBreak/>
        <w:t xml:space="preserve">treatment eligibility. Qualitative evidence from Memon et al. (2016) and the co-design work of Winsper et al. (2023) helps interpret those patterns by showing how mistrust, language, information and service design may </w:t>
      </w:r>
      <w:proofErr w:type="gramStart"/>
      <w:r w:rsidRPr="00DD7F57">
        <w:rPr>
          <w:rFonts w:cs="Arial"/>
        </w:rPr>
        <w:t>operate</w:t>
      </w:r>
      <w:proofErr w:type="gramEnd"/>
      <w:r w:rsidRPr="00DD7F57">
        <w:rPr>
          <w:rFonts w:cs="Arial"/>
        </w:rPr>
        <w:t xml:space="preserve"> together. Nevertheless, co-designed recommendations still require evaluation against measurable outco</w:t>
      </w:r>
      <w:r w:rsidRPr="00DD7F57">
        <w:rPr>
          <w:rFonts w:cs="Arial"/>
        </w:rPr>
        <w:t>mes, because an intervention that is acceptable to participants may not necessarily reduce waiting times, improve completion or produce equal clinical benefit.</w:t>
      </w:r>
    </w:p>
    <w:p w14:paraId="23EF47E0" w14:textId="77777777" w:rsidR="00F77F75" w:rsidRDefault="00F77F75" w:rsidP="00731BF4">
      <w:pPr>
        <w:spacing w:after="120"/>
        <w:rPr>
          <w:rFonts w:cs="Arial"/>
        </w:rPr>
      </w:pPr>
    </w:p>
    <w:p w14:paraId="31216713" w14:textId="77777777" w:rsidR="00F77F75" w:rsidRDefault="00F77F75" w:rsidP="00731BF4">
      <w:pPr>
        <w:spacing w:after="120"/>
        <w:rPr>
          <w:rFonts w:cs="Arial"/>
        </w:rPr>
      </w:pPr>
    </w:p>
    <w:p w14:paraId="161E77AA" w14:textId="77777777" w:rsidR="005F2915" w:rsidRPr="00DD7F57" w:rsidRDefault="005F2915" w:rsidP="00731BF4">
      <w:pPr>
        <w:spacing w:after="120"/>
        <w:rPr>
          <w:rFonts w:cs="Arial"/>
        </w:rPr>
      </w:pPr>
    </w:p>
    <w:p w14:paraId="4BCEC447" w14:textId="77777777" w:rsidR="00FD2478" w:rsidRDefault="005D5934" w:rsidP="00F77F75">
      <w:pPr>
        <w:pStyle w:val="Heading2"/>
      </w:pPr>
      <w:bookmarkStart w:id="20" w:name="_Toc235437831"/>
      <w:r w:rsidRPr="00DD7F57">
        <w:t>Theme 4: Digital access, remote care and patient choice</w:t>
      </w:r>
      <w:bookmarkEnd w:id="20"/>
    </w:p>
    <w:p w14:paraId="28D80279" w14:textId="77777777" w:rsidR="005F2915" w:rsidRPr="005F2915" w:rsidRDefault="005F2915" w:rsidP="005F2915"/>
    <w:p w14:paraId="564CA99D" w14:textId="66FC0B53" w:rsidR="00FD2478" w:rsidRPr="00DD7F57" w:rsidRDefault="005D5934" w:rsidP="00731BF4">
      <w:pPr>
        <w:rPr>
          <w:rFonts w:cs="Arial"/>
        </w:rPr>
      </w:pPr>
      <w:r w:rsidRPr="00DD7F57">
        <w:rPr>
          <w:rFonts w:cs="Arial"/>
        </w:rPr>
        <w:t xml:space="preserve">Digital systems can reduce </w:t>
      </w:r>
      <w:proofErr w:type="gramStart"/>
      <w:r w:rsidRPr="00DD7F57">
        <w:rPr>
          <w:rFonts w:cs="Arial"/>
        </w:rPr>
        <w:t>some</w:t>
      </w:r>
      <w:proofErr w:type="gramEnd"/>
      <w:r w:rsidRPr="00DD7F57">
        <w:rPr>
          <w:rFonts w:cs="Arial"/>
        </w:rPr>
        <w:t xml:space="preserve"> barriers while creating others. Greer et al. (2019) found that lack of devices, money, skills and confidence</w:t>
      </w:r>
      <w:r w:rsidR="00043506">
        <w:rPr>
          <w:rFonts w:cs="Arial"/>
        </w:rPr>
        <w:t>,</w:t>
      </w:r>
      <w:r w:rsidRPr="00DD7F57">
        <w:rPr>
          <w:rFonts w:cs="Arial"/>
        </w:rPr>
        <w:t xml:space="preserve"> combined with mental health symptoms</w:t>
      </w:r>
      <w:r w:rsidR="00043506">
        <w:rPr>
          <w:rFonts w:cs="Arial"/>
        </w:rPr>
        <w:t>, leads</w:t>
      </w:r>
      <w:r w:rsidRPr="00DD7F57">
        <w:rPr>
          <w:rFonts w:cs="Arial"/>
        </w:rPr>
        <w:t xml:space="preserve"> to </w:t>
      </w:r>
      <w:proofErr w:type="gramStart"/>
      <w:r w:rsidR="00043506">
        <w:rPr>
          <w:rFonts w:cs="Arial"/>
        </w:rPr>
        <w:t>maintaining</w:t>
      </w:r>
      <w:proofErr w:type="gramEnd"/>
      <w:r w:rsidRPr="00DD7F57">
        <w:rPr>
          <w:rFonts w:cs="Arial"/>
        </w:rPr>
        <w:t xml:space="preserve"> digital exclusion. Its small qualitative sample of digitally excluded service users was </w:t>
      </w:r>
      <w:proofErr w:type="gramStart"/>
      <w:r w:rsidRPr="00DD7F57">
        <w:rPr>
          <w:rFonts w:cs="Arial"/>
        </w:rPr>
        <w:t>appropriate for</w:t>
      </w:r>
      <w:proofErr w:type="gramEnd"/>
      <w:r w:rsidRPr="00DD7F57">
        <w:rPr>
          <w:rFonts w:cs="Arial"/>
        </w:rPr>
        <w:t xml:space="preserve"> exploring mechanisms, but it was drawn from secondary mental health services and may not </w:t>
      </w:r>
      <w:proofErr w:type="gramStart"/>
      <w:r w:rsidRPr="00DD7F57">
        <w:rPr>
          <w:rFonts w:cs="Arial"/>
        </w:rPr>
        <w:t>represent</w:t>
      </w:r>
      <w:proofErr w:type="gramEnd"/>
      <w:r w:rsidRPr="00DD7F57">
        <w:rPr>
          <w:rFonts w:cs="Arial"/>
        </w:rPr>
        <w:t xml:space="preserve"> all primary care users.</w:t>
      </w:r>
    </w:p>
    <w:p w14:paraId="5613D35C" w14:textId="77777777" w:rsidR="00FD2478" w:rsidRPr="00DD7F57" w:rsidRDefault="005D5934" w:rsidP="00731BF4">
      <w:pPr>
        <w:rPr>
          <w:rFonts w:cs="Arial"/>
        </w:rPr>
      </w:pPr>
      <w:r w:rsidRPr="00DD7F57">
        <w:rPr>
          <w:rFonts w:cs="Arial"/>
        </w:rPr>
        <w:t>Oliver, Chandler and Gillard (2024) evaluated a digital inclusion initiative and found that devices, connectivity and individual support could improve access. This is a significant contrast to approaches that assume patients simply need to become more motivated. The findings suggest that digital exclusion can be reduced when organisations supply resources and tailored help. However, providing technology does not remove concerns about privacy, written disclosure or preference for human contact.</w:t>
      </w:r>
    </w:p>
    <w:p w14:paraId="51A05CC4" w14:textId="77777777" w:rsidR="00FD2478" w:rsidRPr="00DD7F57" w:rsidRDefault="005D5934" w:rsidP="00731BF4">
      <w:pPr>
        <w:rPr>
          <w:rFonts w:cs="Arial"/>
        </w:rPr>
      </w:pPr>
      <w:r w:rsidRPr="00DD7F57">
        <w:rPr>
          <w:rFonts w:cs="Arial"/>
        </w:rPr>
        <w:t xml:space="preserve">Antonio et al. (2024) found mixed experiences of remote consultation in UK primary care. Convenience and reduced anxiety were benefits for </w:t>
      </w:r>
      <w:proofErr w:type="gramStart"/>
      <w:r w:rsidRPr="00DD7F57">
        <w:rPr>
          <w:rFonts w:cs="Arial"/>
        </w:rPr>
        <w:t>some</w:t>
      </w:r>
      <w:proofErr w:type="gramEnd"/>
      <w:r w:rsidRPr="00DD7F57">
        <w:rPr>
          <w:rFonts w:cs="Arial"/>
        </w:rPr>
        <w:t xml:space="preserve">, </w:t>
      </w:r>
      <w:proofErr w:type="gramStart"/>
      <w:r w:rsidRPr="00DD7F57">
        <w:rPr>
          <w:rFonts w:cs="Arial"/>
        </w:rPr>
        <w:t>whereas</w:t>
      </w:r>
      <w:proofErr w:type="gramEnd"/>
      <w:r w:rsidRPr="00DD7F57">
        <w:rPr>
          <w:rFonts w:cs="Arial"/>
        </w:rPr>
        <w:t xml:space="preserve"> inflexible formats and limited relational connection were disadvantages. Archer et al. (2026) similarly reported that online consultation tools could support reflection and disclosure but also led patients to restrict information because they were uncertain who would read it. This contradiction is important: a digital form can make initial contact easier while simultaneously reducing the detail needed for safe assessment.</w:t>
      </w:r>
    </w:p>
    <w:p w14:paraId="1013BE12" w14:textId="77777777" w:rsidR="00FD2478" w:rsidRPr="00DD7F57" w:rsidRDefault="005D5934" w:rsidP="00731BF4">
      <w:pPr>
        <w:rPr>
          <w:rFonts w:cs="Arial"/>
        </w:rPr>
      </w:pPr>
      <w:r w:rsidRPr="00DD7F57">
        <w:rPr>
          <w:rFonts w:cs="Arial"/>
        </w:rPr>
        <w:t xml:space="preserve">The evidence does not support a simple choice between digital and face-to-face services. A blended model is more </w:t>
      </w:r>
      <w:proofErr w:type="gramStart"/>
      <w:r w:rsidRPr="00DD7F57">
        <w:rPr>
          <w:rFonts w:cs="Arial"/>
        </w:rPr>
        <w:t>equitable</w:t>
      </w:r>
      <w:proofErr w:type="gramEnd"/>
      <w:r w:rsidRPr="00DD7F57">
        <w:rPr>
          <w:rFonts w:cs="Arial"/>
        </w:rPr>
        <w:t xml:space="preserve">. Patients should be able to use online, telephone or in-person routes according to need, preference, privacy and risk. Digital systems should be </w:t>
      </w:r>
      <w:proofErr w:type="gramStart"/>
      <w:r w:rsidRPr="00DD7F57">
        <w:rPr>
          <w:rFonts w:cs="Arial"/>
        </w:rPr>
        <w:t>tested</w:t>
      </w:r>
      <w:proofErr w:type="gramEnd"/>
      <w:r w:rsidRPr="00DD7F57">
        <w:rPr>
          <w:rFonts w:cs="Arial"/>
        </w:rPr>
        <w:t xml:space="preserve"> with </w:t>
      </w:r>
      <w:r w:rsidRPr="00DD7F57">
        <w:rPr>
          <w:rFonts w:cs="Arial"/>
        </w:rPr>
        <w:lastRenderedPageBreak/>
        <w:t>people who have disabilities, limited English, low literacy, poverty or complex mental health needs. Removing non-digital routes in the name of efficiency may shift costs from services to patients and widen inequalities.</w:t>
      </w:r>
    </w:p>
    <w:p w14:paraId="606F7D79" w14:textId="77777777" w:rsidR="00FD2478" w:rsidRPr="00DD7F57" w:rsidRDefault="005D5934" w:rsidP="00731BF4">
      <w:pPr>
        <w:rPr>
          <w:rFonts w:cs="Arial"/>
        </w:rPr>
      </w:pPr>
      <w:r w:rsidRPr="00DD7F57">
        <w:rPr>
          <w:rFonts w:cs="Arial"/>
        </w:rPr>
        <w:t>Synthesis, gaps and implications</w:t>
      </w:r>
    </w:p>
    <w:p w14:paraId="302D68FE" w14:textId="77777777" w:rsidR="00FD2478" w:rsidRPr="00DD7F57" w:rsidRDefault="005D5934" w:rsidP="00731BF4">
      <w:pPr>
        <w:rPr>
          <w:rFonts w:cs="Arial"/>
        </w:rPr>
      </w:pPr>
      <w:r w:rsidRPr="00DD7F57">
        <w:rPr>
          <w:rFonts w:cs="Arial"/>
        </w:rPr>
        <w:t>Across the four themes, barriers interacted rather than occurring separately. A person may delay help-seeking because of stigma, then struggle to secure an appointment, find the consultation culturally insensitive and be referred to a digital service they cannot use. Each stage can reduce trust and make later help-</w:t>
      </w:r>
      <w:proofErr w:type="gramStart"/>
      <w:r w:rsidRPr="00DD7F57">
        <w:rPr>
          <w:rFonts w:cs="Arial"/>
        </w:rPr>
        <w:t>seeking</w:t>
      </w:r>
      <w:proofErr w:type="gramEnd"/>
      <w:r w:rsidRPr="00DD7F57">
        <w:rPr>
          <w:rFonts w:cs="Arial"/>
        </w:rPr>
        <w:t xml:space="preserve"> less likely. This explains why single interventions may produce limited improvement.</w:t>
      </w:r>
    </w:p>
    <w:p w14:paraId="5921B08A" w14:textId="77777777" w:rsidR="00FD2478" w:rsidRPr="00DD7F57" w:rsidRDefault="005D5934" w:rsidP="00731BF4">
      <w:pPr>
        <w:rPr>
          <w:rFonts w:cs="Arial"/>
        </w:rPr>
      </w:pPr>
      <w:r w:rsidRPr="00DD7F57">
        <w:rPr>
          <w:rFonts w:cs="Arial"/>
        </w:rPr>
        <w:t xml:space="preserve">The evidence base has important gaps. </w:t>
      </w:r>
      <w:proofErr w:type="gramStart"/>
      <w:r w:rsidRPr="00DD7F57">
        <w:rPr>
          <w:rFonts w:cs="Arial"/>
        </w:rPr>
        <w:t>Several</w:t>
      </w:r>
      <w:proofErr w:type="gramEnd"/>
      <w:r w:rsidRPr="00DD7F57">
        <w:rPr>
          <w:rFonts w:cs="Arial"/>
        </w:rPr>
        <w:t xml:space="preserve"> studies used small local samples, while national datasets lacked detailed explanations of patient experience. Refugees, people experiencing homelessness, people with learning disabilities and rural populations were not consistently represented. Research also measured contact more often than whether patients reached suitable and sustained care. Future studies should examine complete pathways and compare outcomes across appointment modes and population groups.</w:t>
      </w:r>
    </w:p>
    <w:p w14:paraId="7C7E76EB" w14:textId="77777777" w:rsidR="00FD2478" w:rsidRPr="00DD7F57" w:rsidRDefault="005D5934" w:rsidP="00731BF4">
      <w:pPr>
        <w:rPr>
          <w:rFonts w:cs="Arial"/>
        </w:rPr>
      </w:pPr>
      <w:r w:rsidRPr="00DD7F57">
        <w:rPr>
          <w:rFonts w:cs="Arial"/>
        </w:rPr>
        <w:t xml:space="preserve">For practice, primary care teams need protected time, continuity where possible, culturally responsive communication and clear referral information. For policy, access measures should include waiting, completion, suitability and patient experience, not only the number of </w:t>
      </w:r>
      <w:proofErr w:type="gramStart"/>
      <w:r w:rsidRPr="00DD7F57">
        <w:rPr>
          <w:rFonts w:cs="Arial"/>
        </w:rPr>
        <w:t>initial</w:t>
      </w:r>
      <w:proofErr w:type="gramEnd"/>
      <w:r w:rsidRPr="00DD7F57">
        <w:rPr>
          <w:rFonts w:cs="Arial"/>
        </w:rPr>
        <w:t xml:space="preserve"> contacts. For research, mixed-method and co-designed studies are needed to connect national inequality patterns with lived experience.</w:t>
      </w:r>
    </w:p>
    <w:p w14:paraId="7CA9B2A5" w14:textId="77777777" w:rsidR="005F2915" w:rsidRDefault="005F2915" w:rsidP="00D168F9">
      <w:pPr>
        <w:pStyle w:val="Heading1"/>
      </w:pPr>
    </w:p>
    <w:p w14:paraId="1E3943B4" w14:textId="77777777" w:rsidR="003E4C3C" w:rsidRDefault="003E4C3C" w:rsidP="00D168F9">
      <w:pPr>
        <w:pStyle w:val="Heading1"/>
      </w:pPr>
    </w:p>
    <w:p w14:paraId="431579B6" w14:textId="77777777" w:rsidR="003F6024" w:rsidRDefault="003F6024" w:rsidP="00D168F9">
      <w:pPr>
        <w:pStyle w:val="Heading1"/>
      </w:pPr>
    </w:p>
    <w:p w14:paraId="6FFB11F2" w14:textId="77777777" w:rsidR="003F6024" w:rsidRPr="003F6024" w:rsidRDefault="003F6024" w:rsidP="003F6024"/>
    <w:p w14:paraId="19EC0C2A" w14:textId="77777777" w:rsidR="00165204" w:rsidRDefault="00165204" w:rsidP="003F6024">
      <w:pPr>
        <w:pStyle w:val="Heading1"/>
      </w:pPr>
    </w:p>
    <w:p w14:paraId="365A7E9E" w14:textId="3CA4D0D3" w:rsidR="003F6024" w:rsidRPr="008D6E9F" w:rsidRDefault="003F6024" w:rsidP="008D6E9F">
      <w:pPr>
        <w:pStyle w:val="Heading1"/>
      </w:pPr>
      <w:bookmarkStart w:id="21" w:name="_Toc235437832"/>
      <w:r w:rsidRPr="008D6E9F">
        <w:t>6. Strengths and Limitations</w:t>
      </w:r>
      <w:bookmarkEnd w:id="21"/>
    </w:p>
    <w:p w14:paraId="4BA0C9E8" w14:textId="77777777" w:rsidR="00FD2478" w:rsidRPr="00DD7F57" w:rsidRDefault="005D5934" w:rsidP="00731BF4">
      <w:pPr>
        <w:rPr>
          <w:rFonts w:cs="Arial"/>
        </w:rPr>
      </w:pPr>
      <w:r w:rsidRPr="00DD7F57">
        <w:rPr>
          <w:rFonts w:cs="Arial"/>
        </w:rPr>
        <w:t xml:space="preserve">This review has </w:t>
      </w:r>
      <w:proofErr w:type="gramStart"/>
      <w:r w:rsidRPr="00DD7F57">
        <w:rPr>
          <w:rFonts w:cs="Arial"/>
        </w:rPr>
        <w:t>several</w:t>
      </w:r>
      <w:proofErr w:type="gramEnd"/>
      <w:r w:rsidRPr="00DD7F57">
        <w:rPr>
          <w:rFonts w:cs="Arial"/>
        </w:rPr>
        <w:t xml:space="preserve"> strengths. It used a clear review question, </w:t>
      </w:r>
      <w:proofErr w:type="gramStart"/>
      <w:r w:rsidRPr="00DD7F57">
        <w:rPr>
          <w:rFonts w:cs="Arial"/>
        </w:rPr>
        <w:t>stated</w:t>
      </w:r>
      <w:proofErr w:type="gramEnd"/>
      <w:r w:rsidRPr="00DD7F57">
        <w:rPr>
          <w:rFonts w:cs="Arial"/>
        </w:rPr>
        <w:t xml:space="preserve"> eligibility criteria and a structured search across </w:t>
      </w:r>
      <w:proofErr w:type="gramStart"/>
      <w:r w:rsidRPr="00DD7F57">
        <w:rPr>
          <w:rFonts w:cs="Arial"/>
        </w:rPr>
        <w:t>several</w:t>
      </w:r>
      <w:proofErr w:type="gramEnd"/>
      <w:r w:rsidRPr="00DD7F57">
        <w:rPr>
          <w:rFonts w:cs="Arial"/>
        </w:rPr>
        <w:t xml:space="preserve"> academic databases. Including different research designs allowed the review to compare detailed lived experience with wider national patterns. Thematic analysis also made it possible to show how barriers overlap rather than presenting stigma, inequality, organisation and digital exclusion as separate problems. The selected studies included patient, service-user, clinician and population-lev</w:t>
      </w:r>
      <w:r w:rsidRPr="00DD7F57">
        <w:rPr>
          <w:rFonts w:cs="Arial"/>
        </w:rPr>
        <w:t>el perspectives, which strengthened the overall interpretation through comparison of different forms of evidence.</w:t>
      </w:r>
    </w:p>
    <w:p w14:paraId="726EB89F" w14:textId="36642F4F" w:rsidR="00FD2478" w:rsidRPr="00DD7F57" w:rsidRDefault="005D5934" w:rsidP="00731BF4">
      <w:pPr>
        <w:rPr>
          <w:rFonts w:cs="Arial"/>
        </w:rPr>
      </w:pPr>
      <w:r w:rsidRPr="00DD7F57">
        <w:rPr>
          <w:rFonts w:cs="Arial"/>
        </w:rPr>
        <w:t xml:space="preserve">There are also important limitations. The searches were undertaken by one student reviewer, so study selection and coding were not independently checked. This increases the risk that relevant papers were </w:t>
      </w:r>
      <w:r w:rsidR="002277D7" w:rsidRPr="00DD7F57">
        <w:rPr>
          <w:rFonts w:cs="Arial"/>
        </w:rPr>
        <w:t>missing</w:t>
      </w:r>
      <w:r w:rsidRPr="00DD7F57">
        <w:rPr>
          <w:rFonts w:cs="Arial"/>
        </w:rPr>
        <w:t xml:space="preserve"> or that themes reflected the reviewer's interpretation. The review was limited to English-language peer-reviewed literature and therefore excluded grey literature, local evaluations and evidence written in other languages. Although peer review supports academic quality, publication bias may mean that unsuccessful service changes or negative findings are less visible.</w:t>
      </w:r>
    </w:p>
    <w:p w14:paraId="1CADA8D2" w14:textId="5A0291E4" w:rsidR="00FD2478" w:rsidRPr="00DD7F57" w:rsidRDefault="005D5934" w:rsidP="00731BF4">
      <w:pPr>
        <w:rPr>
          <w:rFonts w:cs="Arial"/>
        </w:rPr>
      </w:pPr>
      <w:r w:rsidRPr="00DD7F57">
        <w:rPr>
          <w:rFonts w:cs="Arial"/>
        </w:rPr>
        <w:t xml:space="preserve">The </w:t>
      </w:r>
      <w:r w:rsidR="002277D7" w:rsidRPr="00DD7F57">
        <w:rPr>
          <w:rFonts w:cs="Arial"/>
        </w:rPr>
        <w:t>evidence included</w:t>
      </w:r>
      <w:r w:rsidRPr="00DD7F57">
        <w:rPr>
          <w:rFonts w:cs="Arial"/>
        </w:rPr>
        <w:t xml:space="preserve"> was heterogeneous. Qualitative studies provided rich accounts but generally used small, local samples. Their findings cannot be assumed to </w:t>
      </w:r>
      <w:proofErr w:type="gramStart"/>
      <w:r w:rsidRPr="00DD7F57">
        <w:rPr>
          <w:rFonts w:cs="Arial"/>
        </w:rPr>
        <w:t>represent</w:t>
      </w:r>
      <w:proofErr w:type="gramEnd"/>
      <w:r w:rsidRPr="00DD7F57">
        <w:rPr>
          <w:rFonts w:cs="Arial"/>
        </w:rPr>
        <w:t xml:space="preserve"> every adult or every UK region. National observational evidence offered greater breadth, but routine datasets could </w:t>
      </w:r>
      <w:proofErr w:type="gramStart"/>
      <w:r w:rsidRPr="00DD7F57">
        <w:rPr>
          <w:rFonts w:cs="Arial"/>
        </w:rPr>
        <w:t>identify</w:t>
      </w:r>
      <w:proofErr w:type="gramEnd"/>
      <w:r w:rsidRPr="00DD7F57">
        <w:rPr>
          <w:rFonts w:cs="Arial"/>
        </w:rPr>
        <w:t xml:space="preserve"> unequal access without fully explaining the mechanisms behind it. </w:t>
      </w:r>
      <w:proofErr w:type="gramStart"/>
      <w:r w:rsidRPr="00DD7F57">
        <w:rPr>
          <w:rFonts w:cs="Arial"/>
        </w:rPr>
        <w:t>Some</w:t>
      </w:r>
      <w:proofErr w:type="gramEnd"/>
      <w:r w:rsidRPr="00DD7F57">
        <w:rPr>
          <w:rFonts w:cs="Arial"/>
        </w:rPr>
        <w:t xml:space="preserve"> included studies concerned wider community or secondary mental health pathways because these influence referrals from primary care. This increased relevance to the co</w:t>
      </w:r>
      <w:r w:rsidRPr="00DD7F57">
        <w:rPr>
          <w:rFonts w:cs="Arial"/>
        </w:rPr>
        <w:t>mplete patient journey but reduced the precision of conclusions about general practice alone.</w:t>
      </w:r>
    </w:p>
    <w:p w14:paraId="4D3239E9" w14:textId="77777777" w:rsidR="00FD2478" w:rsidRDefault="005D5934" w:rsidP="00731BF4">
      <w:pPr>
        <w:rPr>
          <w:rFonts w:cs="Arial"/>
        </w:rPr>
      </w:pPr>
      <w:r w:rsidRPr="00DD7F57">
        <w:rPr>
          <w:rFonts w:cs="Arial"/>
        </w:rPr>
        <w:t xml:space="preserve">The review also covered studies published across </w:t>
      </w:r>
      <w:proofErr w:type="gramStart"/>
      <w:r w:rsidRPr="00DD7F57">
        <w:rPr>
          <w:rFonts w:cs="Arial"/>
        </w:rPr>
        <w:t>a long period</w:t>
      </w:r>
      <w:proofErr w:type="gramEnd"/>
      <w:r w:rsidRPr="00DD7F57">
        <w:rPr>
          <w:rFonts w:cs="Arial"/>
        </w:rPr>
        <w:t xml:space="preserve"> during which primary care and digital systems changed considerably. Older evidence remained useful for understanding relationships and help-seeking, but service structures may now differ. Recent 2026 studies improved currency, although their findings have not yet been </w:t>
      </w:r>
      <w:proofErr w:type="gramStart"/>
      <w:r w:rsidRPr="00DD7F57">
        <w:rPr>
          <w:rFonts w:cs="Arial"/>
        </w:rPr>
        <w:t>tested</w:t>
      </w:r>
      <w:proofErr w:type="gramEnd"/>
      <w:r w:rsidRPr="00DD7F57">
        <w:rPr>
          <w:rFonts w:cs="Arial"/>
        </w:rPr>
        <w:t xml:space="preserve"> across </w:t>
      </w:r>
      <w:proofErr w:type="gramStart"/>
      <w:r w:rsidRPr="00DD7F57">
        <w:rPr>
          <w:rFonts w:cs="Arial"/>
        </w:rPr>
        <w:t>many</w:t>
      </w:r>
      <w:proofErr w:type="gramEnd"/>
      <w:r w:rsidRPr="00DD7F57">
        <w:rPr>
          <w:rFonts w:cs="Arial"/>
        </w:rPr>
        <w:t xml:space="preserve"> settings. Despite these limitations, consistency across </w:t>
      </w:r>
      <w:proofErr w:type="gramStart"/>
      <w:r w:rsidRPr="00DD7F57">
        <w:rPr>
          <w:rFonts w:cs="Arial"/>
        </w:rPr>
        <w:t>different designs</w:t>
      </w:r>
      <w:proofErr w:type="gramEnd"/>
      <w:r w:rsidRPr="00DD7F57">
        <w:rPr>
          <w:rFonts w:cs="Arial"/>
        </w:rPr>
        <w:t xml:space="preserve"> supports the conclusion that barriers are interconnected and require changes at more than one level.</w:t>
      </w:r>
    </w:p>
    <w:p w14:paraId="1E9E6B7E" w14:textId="77777777" w:rsidR="003E4C3C" w:rsidRDefault="003E4C3C" w:rsidP="00731BF4">
      <w:pPr>
        <w:rPr>
          <w:rFonts w:cs="Arial"/>
        </w:rPr>
      </w:pPr>
    </w:p>
    <w:p w14:paraId="7B2DFFFC" w14:textId="77777777" w:rsidR="003E4C3C" w:rsidRDefault="003E4C3C" w:rsidP="00731BF4">
      <w:pPr>
        <w:rPr>
          <w:rFonts w:cs="Arial"/>
        </w:rPr>
      </w:pPr>
    </w:p>
    <w:p w14:paraId="274EC64D" w14:textId="77777777" w:rsidR="003E4C3C" w:rsidRPr="00DD7F57" w:rsidRDefault="003E4C3C" w:rsidP="00731BF4">
      <w:pPr>
        <w:rPr>
          <w:rFonts w:cs="Arial"/>
        </w:rPr>
      </w:pPr>
    </w:p>
    <w:p w14:paraId="1AE46D46" w14:textId="77777777" w:rsidR="00FD2478" w:rsidRPr="00ED6F01" w:rsidRDefault="005D5934" w:rsidP="00ED6F01">
      <w:pPr>
        <w:pStyle w:val="Heading1"/>
      </w:pPr>
      <w:bookmarkStart w:id="22" w:name="_Toc235437833"/>
      <w:r w:rsidRPr="00ED6F01">
        <w:t>7. Conclusion and Recommendations</w:t>
      </w:r>
      <w:bookmarkEnd w:id="22"/>
    </w:p>
    <w:p w14:paraId="4840D0CC" w14:textId="77777777" w:rsidR="00FD2478" w:rsidRPr="00DD7F57" w:rsidRDefault="005D5934" w:rsidP="00731BF4">
      <w:pPr>
        <w:rPr>
          <w:rFonts w:cs="Arial"/>
        </w:rPr>
      </w:pPr>
      <w:r w:rsidRPr="00DD7F57">
        <w:rPr>
          <w:rFonts w:cs="Arial"/>
        </w:rPr>
        <w:t>This scoping review found that adults' access to mental health support through UK primary care is affected by connected personal, professional and organisational barriers. Stigma and limited recognition of distress can delay the first request for help. Once contact is made, communication, trust, cultural responsiveness and continuity influence whether needs are understood. Waiting, complex referral pathways and socioeconomic disadvantage can prevent a referral from becoming effective treatment. Digital syst</w:t>
      </w:r>
      <w:r w:rsidRPr="00DD7F57">
        <w:rPr>
          <w:rFonts w:cs="Arial"/>
        </w:rPr>
        <w:t xml:space="preserve">ems offer convenience for </w:t>
      </w:r>
      <w:proofErr w:type="gramStart"/>
      <w:r w:rsidRPr="00DD7F57">
        <w:rPr>
          <w:rFonts w:cs="Arial"/>
        </w:rPr>
        <w:t>some</w:t>
      </w:r>
      <w:proofErr w:type="gramEnd"/>
      <w:r w:rsidRPr="00DD7F57">
        <w:rPr>
          <w:rFonts w:cs="Arial"/>
        </w:rPr>
        <w:t xml:space="preserve"> patients but can exclude others because of cost, skills, privacy, disability or preference.</w:t>
      </w:r>
    </w:p>
    <w:p w14:paraId="79970F0D" w14:textId="4FE77062" w:rsidR="00FD2478" w:rsidRPr="00DD7F57" w:rsidRDefault="005D5934" w:rsidP="00731BF4">
      <w:pPr>
        <w:rPr>
          <w:rFonts w:cs="Arial"/>
        </w:rPr>
      </w:pPr>
      <w:r w:rsidRPr="00DD7F57">
        <w:rPr>
          <w:rFonts w:cs="Arial"/>
        </w:rPr>
        <w:t xml:space="preserve">The evidence shows that access should not be measured only by appointment availability. Meaningful access involves reaching care that is </w:t>
      </w:r>
      <w:proofErr w:type="gramStart"/>
      <w:r w:rsidRPr="00DD7F57">
        <w:rPr>
          <w:rFonts w:cs="Arial"/>
        </w:rPr>
        <w:t>timely</w:t>
      </w:r>
      <w:proofErr w:type="gramEnd"/>
      <w:r w:rsidRPr="00DD7F57">
        <w:rPr>
          <w:rFonts w:cs="Arial"/>
        </w:rPr>
        <w:t xml:space="preserve">, understandable, acceptable and </w:t>
      </w:r>
      <w:proofErr w:type="gramStart"/>
      <w:r w:rsidRPr="00DD7F57">
        <w:rPr>
          <w:rFonts w:cs="Arial"/>
        </w:rPr>
        <w:t>appropriate</w:t>
      </w:r>
      <w:proofErr w:type="gramEnd"/>
      <w:r w:rsidRPr="00DD7F57">
        <w:rPr>
          <w:rFonts w:cs="Arial"/>
        </w:rPr>
        <w:t xml:space="preserve">. Services should </w:t>
      </w:r>
      <w:proofErr w:type="gramStart"/>
      <w:r w:rsidRPr="00DD7F57">
        <w:rPr>
          <w:rFonts w:cs="Arial"/>
        </w:rPr>
        <w:t>retain</w:t>
      </w:r>
      <w:proofErr w:type="gramEnd"/>
      <w:r w:rsidRPr="00DD7F57">
        <w:rPr>
          <w:rFonts w:cs="Arial"/>
        </w:rPr>
        <w:t xml:space="preserve"> </w:t>
      </w:r>
      <w:proofErr w:type="gramStart"/>
      <w:r w:rsidRPr="00DD7F57">
        <w:rPr>
          <w:rFonts w:cs="Arial"/>
        </w:rPr>
        <w:t>several</w:t>
      </w:r>
      <w:proofErr w:type="gramEnd"/>
      <w:r w:rsidRPr="00DD7F57">
        <w:rPr>
          <w:rFonts w:cs="Arial"/>
        </w:rPr>
        <w:t xml:space="preserve"> routes of contact, provide interpreting and digital inclusion support, improve continuity and involve communities in </w:t>
      </w:r>
      <w:r w:rsidR="002277D7" w:rsidRPr="00DD7F57">
        <w:rPr>
          <w:rFonts w:cs="Arial"/>
        </w:rPr>
        <w:t>redesigning</w:t>
      </w:r>
      <w:r w:rsidRPr="00DD7F57">
        <w:rPr>
          <w:rFonts w:cs="Arial"/>
        </w:rPr>
        <w:t>. Staff training is valuable, but it must be supported by adequate time and organisational resources.</w:t>
      </w:r>
    </w:p>
    <w:p w14:paraId="332969F9" w14:textId="77777777" w:rsidR="00FD2478" w:rsidRDefault="005D5934" w:rsidP="00731BF4">
      <w:pPr>
        <w:rPr>
          <w:rFonts w:cs="Arial"/>
        </w:rPr>
      </w:pPr>
      <w:r w:rsidRPr="00DD7F57">
        <w:rPr>
          <w:rFonts w:cs="Arial"/>
        </w:rPr>
        <w:t xml:space="preserve">Future research should include underserved groups, follow patients across the complete care pathway and evaluate whether interventions reduce inequalities in both access and outcomes. Mixed-method research would help explain national patterns, while co-designed studies could </w:t>
      </w:r>
      <w:proofErr w:type="gramStart"/>
      <w:r w:rsidRPr="00DD7F57">
        <w:rPr>
          <w:rFonts w:cs="Arial"/>
        </w:rPr>
        <w:t>identify</w:t>
      </w:r>
      <w:proofErr w:type="gramEnd"/>
      <w:r w:rsidRPr="00DD7F57">
        <w:rPr>
          <w:rFonts w:cs="Arial"/>
        </w:rPr>
        <w:t xml:space="preserve"> practical changes that patients and professionals consider workable. Overall, </w:t>
      </w:r>
      <w:proofErr w:type="gramStart"/>
      <w:r w:rsidRPr="00DD7F57">
        <w:rPr>
          <w:rFonts w:cs="Arial"/>
        </w:rPr>
        <w:t>equitable</w:t>
      </w:r>
      <w:proofErr w:type="gramEnd"/>
      <w:r w:rsidRPr="00DD7F57">
        <w:rPr>
          <w:rFonts w:cs="Arial"/>
        </w:rPr>
        <w:t xml:space="preserve"> access requires coordinated action on stigma, communication, service organisation and the wider social conditions that shape people's ability to </w:t>
      </w:r>
      <w:proofErr w:type="gramStart"/>
      <w:r w:rsidRPr="00DD7F57">
        <w:rPr>
          <w:rFonts w:cs="Arial"/>
        </w:rPr>
        <w:t>seek</w:t>
      </w:r>
      <w:proofErr w:type="gramEnd"/>
      <w:r w:rsidRPr="00DD7F57">
        <w:rPr>
          <w:rFonts w:cs="Arial"/>
        </w:rPr>
        <w:t xml:space="preserve"> and continue care.</w:t>
      </w:r>
    </w:p>
    <w:p w14:paraId="59E88272" w14:textId="77777777" w:rsidR="00165204" w:rsidRDefault="00165204" w:rsidP="00731BF4">
      <w:pPr>
        <w:rPr>
          <w:rFonts w:cs="Arial"/>
        </w:rPr>
      </w:pPr>
    </w:p>
    <w:p w14:paraId="24FB28A6" w14:textId="77777777" w:rsidR="00165204" w:rsidRDefault="00165204" w:rsidP="00731BF4">
      <w:pPr>
        <w:rPr>
          <w:rFonts w:cs="Arial"/>
        </w:rPr>
      </w:pPr>
    </w:p>
    <w:p w14:paraId="4198A34D" w14:textId="77777777" w:rsidR="00165204" w:rsidRDefault="00165204" w:rsidP="00731BF4">
      <w:pPr>
        <w:rPr>
          <w:rFonts w:cs="Arial"/>
        </w:rPr>
      </w:pPr>
    </w:p>
    <w:p w14:paraId="5EDBDBE3" w14:textId="77777777" w:rsidR="00165204" w:rsidRDefault="00165204" w:rsidP="00731BF4">
      <w:pPr>
        <w:rPr>
          <w:rFonts w:cs="Arial"/>
        </w:rPr>
      </w:pPr>
    </w:p>
    <w:p w14:paraId="5C7B9D86" w14:textId="77777777" w:rsidR="00165204" w:rsidRDefault="00165204" w:rsidP="00731BF4">
      <w:pPr>
        <w:rPr>
          <w:rFonts w:cs="Arial"/>
        </w:rPr>
      </w:pPr>
    </w:p>
    <w:p w14:paraId="3FE99EAB" w14:textId="77777777" w:rsidR="00165204" w:rsidRPr="00DD7F57" w:rsidRDefault="00165204" w:rsidP="00731BF4">
      <w:pPr>
        <w:rPr>
          <w:rFonts w:cs="Arial"/>
        </w:rPr>
      </w:pPr>
    </w:p>
    <w:p w14:paraId="56727D51" w14:textId="77777777" w:rsidR="00D978B3" w:rsidRDefault="00D978B3" w:rsidP="00D978B3">
      <w:pPr>
        <w:pStyle w:val="Heading1"/>
      </w:pPr>
    </w:p>
    <w:p w14:paraId="56D33FDC" w14:textId="5C7A2F39" w:rsidR="00FD2478" w:rsidRDefault="005D5934" w:rsidP="00D978B3">
      <w:pPr>
        <w:pStyle w:val="Heading1"/>
      </w:pPr>
      <w:bookmarkStart w:id="23" w:name="_Toc235437834"/>
      <w:r w:rsidRPr="00D978B3">
        <w:t>8. Reference List</w:t>
      </w:r>
      <w:bookmarkEnd w:id="23"/>
    </w:p>
    <w:p w14:paraId="5DF35E6C" w14:textId="77777777" w:rsidR="00D978B3" w:rsidRPr="00D978B3" w:rsidRDefault="00D978B3" w:rsidP="00D978B3"/>
    <w:p w14:paraId="3F01EF81" w14:textId="77777777" w:rsidR="00400610" w:rsidRPr="00400610" w:rsidRDefault="00400610" w:rsidP="00400610">
      <w:pPr>
        <w:spacing w:after="120"/>
        <w:ind w:left="360" w:hanging="360"/>
        <w:rPr>
          <w:lang w:val="en-GB"/>
        </w:rPr>
      </w:pPr>
      <w:r w:rsidRPr="00400610">
        <w:rPr>
          <w:lang w:val="en-GB"/>
        </w:rPr>
        <w:t xml:space="preserve">Archer, C., Kessler, D., Ting, L., Wiles, N. and Turner, K. (2026) ‘The use of online consultation tools for common mental health conditions in UK primary care: a qualitative interview study of patient and practitioner perspectives’, </w:t>
      </w:r>
      <w:r w:rsidRPr="00400610">
        <w:rPr>
          <w:i/>
          <w:iCs/>
          <w:lang w:val="en-GB"/>
        </w:rPr>
        <w:t>BMC Primary Care</w:t>
      </w:r>
      <w:r w:rsidRPr="00400610">
        <w:rPr>
          <w:lang w:val="en-GB"/>
        </w:rPr>
        <w:t>, 27, 87. Available at: https://doi.org/10.1186/s12875-026-03206-8</w:t>
      </w:r>
    </w:p>
    <w:p w14:paraId="484E0479" w14:textId="77777777" w:rsidR="00400610" w:rsidRPr="00400610" w:rsidRDefault="00400610" w:rsidP="00400610">
      <w:pPr>
        <w:spacing w:after="120"/>
        <w:ind w:left="360" w:hanging="360"/>
        <w:rPr>
          <w:lang w:val="en-GB"/>
        </w:rPr>
      </w:pPr>
      <w:r w:rsidRPr="00400610">
        <w:rPr>
          <w:lang w:val="en-GB"/>
        </w:rPr>
        <w:t xml:space="preserve">Arksey, H. and O'Malley, L. (2005) ‘Scoping studies: towards a methodological framework’, </w:t>
      </w:r>
      <w:r w:rsidRPr="00400610">
        <w:rPr>
          <w:i/>
          <w:iCs/>
          <w:lang w:val="en-GB"/>
        </w:rPr>
        <w:t>International Journal of Social Research Methodology</w:t>
      </w:r>
      <w:r w:rsidRPr="00400610">
        <w:rPr>
          <w:lang w:val="en-GB"/>
        </w:rPr>
        <w:t xml:space="preserve">, 8(1), pp. 19–32. Available at: </w:t>
      </w:r>
      <w:hyperlink r:id="rId8" w:tgtFrame="_new" w:history="1">
        <w:r w:rsidRPr="00400610">
          <w:rPr>
            <w:rStyle w:val="Hyperlink"/>
            <w:lang w:val="en-GB"/>
          </w:rPr>
          <w:t>https://doi.org/10.1080/1364557032000119616</w:t>
        </w:r>
      </w:hyperlink>
    </w:p>
    <w:p w14:paraId="740E8346" w14:textId="77777777" w:rsidR="00400610" w:rsidRPr="00400610" w:rsidRDefault="00400610" w:rsidP="00400610">
      <w:pPr>
        <w:spacing w:after="120"/>
        <w:ind w:left="360" w:hanging="360"/>
        <w:rPr>
          <w:lang w:val="en-GB"/>
        </w:rPr>
      </w:pPr>
      <w:r w:rsidRPr="00400610">
        <w:rPr>
          <w:lang w:val="en-GB"/>
        </w:rPr>
        <w:t xml:space="preserve">Antonio, S., Joseph, D., Parsons, J. and Atherton, H. (2024) ‘Experiences of remote consultation in UK primary care for patients with mental health conditions: a systematic review’, </w:t>
      </w:r>
      <w:r w:rsidRPr="00400610">
        <w:rPr>
          <w:i/>
          <w:iCs/>
          <w:lang w:val="en-GB"/>
        </w:rPr>
        <w:t>Digital Health</w:t>
      </w:r>
      <w:r w:rsidRPr="00400610">
        <w:rPr>
          <w:lang w:val="en-GB"/>
        </w:rPr>
        <w:t xml:space="preserve">, 10, 20552076241233969. Available at: </w:t>
      </w:r>
      <w:hyperlink r:id="rId9" w:tgtFrame="_new" w:history="1">
        <w:r w:rsidRPr="00400610">
          <w:rPr>
            <w:rStyle w:val="Hyperlink"/>
            <w:lang w:val="en-GB"/>
          </w:rPr>
          <w:t>https://doi.org/10.1177/20552076241233969</w:t>
        </w:r>
      </w:hyperlink>
    </w:p>
    <w:p w14:paraId="6BCF1527" w14:textId="77777777" w:rsidR="00400610" w:rsidRPr="00400610" w:rsidRDefault="00400610" w:rsidP="00400610">
      <w:pPr>
        <w:spacing w:after="120"/>
        <w:ind w:left="360" w:hanging="360"/>
        <w:rPr>
          <w:lang w:val="en-GB"/>
        </w:rPr>
      </w:pPr>
      <w:r w:rsidRPr="00400610">
        <w:rPr>
          <w:lang w:val="en-GB"/>
        </w:rPr>
        <w:t xml:space="preserve">Braun, V. and Clarke, V. (2006) ‘Using thematic analysis in psychology’, </w:t>
      </w:r>
      <w:r w:rsidRPr="00400610">
        <w:rPr>
          <w:i/>
          <w:iCs/>
          <w:lang w:val="en-GB"/>
        </w:rPr>
        <w:t>Qualitative Research in Psychology</w:t>
      </w:r>
      <w:r w:rsidRPr="00400610">
        <w:rPr>
          <w:lang w:val="en-GB"/>
        </w:rPr>
        <w:t xml:space="preserve">, 3(2), pp. 77–101. Available at: </w:t>
      </w:r>
      <w:hyperlink r:id="rId10" w:tgtFrame="_new" w:history="1">
        <w:r w:rsidRPr="00400610">
          <w:rPr>
            <w:rStyle w:val="Hyperlink"/>
            <w:lang w:val="en-GB"/>
          </w:rPr>
          <w:t>https://doi.org/10.1191/1478088706qp063oa</w:t>
        </w:r>
      </w:hyperlink>
    </w:p>
    <w:p w14:paraId="026B7BC6" w14:textId="77777777" w:rsidR="00400610" w:rsidRPr="00400610" w:rsidRDefault="00400610" w:rsidP="00400610">
      <w:pPr>
        <w:spacing w:after="120"/>
        <w:ind w:left="360" w:hanging="360"/>
        <w:rPr>
          <w:lang w:val="en-GB"/>
        </w:rPr>
      </w:pPr>
      <w:r w:rsidRPr="00400610">
        <w:rPr>
          <w:lang w:val="en-GB"/>
        </w:rPr>
        <w:t xml:space="preserve">Bristow, K., Edwards, S., Funnel, E., Fisher, L., Gask, L., Dowrick, C. and Chew-Graham, C. (2011) ‘Help seeking and access to primary care for people from hard-to-reach groups with common mental health problems’, </w:t>
      </w:r>
      <w:r w:rsidRPr="00400610">
        <w:rPr>
          <w:i/>
          <w:iCs/>
          <w:lang w:val="en-GB"/>
        </w:rPr>
        <w:t>International Journal of Family Medicine</w:t>
      </w:r>
      <w:r w:rsidRPr="00400610">
        <w:rPr>
          <w:lang w:val="en-GB"/>
        </w:rPr>
        <w:t xml:space="preserve">, 2011, 490634. Available at: </w:t>
      </w:r>
      <w:hyperlink r:id="rId11" w:tgtFrame="_new" w:history="1">
        <w:r w:rsidRPr="00400610">
          <w:rPr>
            <w:rStyle w:val="Hyperlink"/>
            <w:lang w:val="en-GB"/>
          </w:rPr>
          <w:t>https://doi.org/10.1155/2011/490634</w:t>
        </w:r>
      </w:hyperlink>
    </w:p>
    <w:p w14:paraId="7077FF1E" w14:textId="77777777" w:rsidR="00400610" w:rsidRPr="00400610" w:rsidRDefault="00400610" w:rsidP="00400610">
      <w:pPr>
        <w:spacing w:after="120"/>
        <w:ind w:left="360" w:hanging="360"/>
        <w:rPr>
          <w:lang w:val="en-GB"/>
        </w:rPr>
      </w:pPr>
      <w:r w:rsidRPr="00400610">
        <w:rPr>
          <w:lang w:val="en-GB"/>
        </w:rPr>
        <w:t xml:space="preserve">Buszewicz, M., Pistrang, N., Barker, C., Cape, J. and Martin, J. (2006) ‘Patients’ experiences of GP consultations for psychological problems: a qualitative study’, </w:t>
      </w:r>
      <w:r w:rsidRPr="00400610">
        <w:rPr>
          <w:i/>
          <w:iCs/>
          <w:lang w:val="en-GB"/>
        </w:rPr>
        <w:t>British Journal of General Practice</w:t>
      </w:r>
      <w:r w:rsidRPr="00400610">
        <w:rPr>
          <w:lang w:val="en-GB"/>
        </w:rPr>
        <w:t>, 56(528), pp. 496–503.</w:t>
      </w:r>
    </w:p>
    <w:p w14:paraId="468317D6" w14:textId="77777777" w:rsidR="00400610" w:rsidRPr="00400610" w:rsidRDefault="00400610" w:rsidP="00400610">
      <w:pPr>
        <w:spacing w:after="120"/>
        <w:ind w:left="360" w:hanging="360"/>
        <w:rPr>
          <w:lang w:val="en-GB"/>
        </w:rPr>
      </w:pPr>
      <w:r w:rsidRPr="00400610">
        <w:rPr>
          <w:lang w:val="en-GB"/>
        </w:rPr>
        <w:t xml:space="preserve">Clement, S., Schauman, O., Graham, T., Maggioni, F., Evans-Lacko, S., Bezborodovs, N., Morgan, C., Rüsch, N., Brown, J. and Thornicroft, G. (2015) ‘What is the impact of mental health-related stigma on help-seeking? A systematic review of quantitative and qualitative studies’, </w:t>
      </w:r>
      <w:r w:rsidRPr="00400610">
        <w:rPr>
          <w:i/>
          <w:iCs/>
          <w:lang w:val="en-GB"/>
        </w:rPr>
        <w:t>Psychological Medicine</w:t>
      </w:r>
      <w:r w:rsidRPr="00400610">
        <w:rPr>
          <w:lang w:val="en-GB"/>
        </w:rPr>
        <w:t>, 45(1), pp. 11–27. Available at: https://doi.org/10.1017/S0033291714000129</w:t>
      </w:r>
    </w:p>
    <w:p w14:paraId="2E3659EA" w14:textId="77777777" w:rsidR="00400610" w:rsidRPr="00400610" w:rsidRDefault="00400610" w:rsidP="00400610">
      <w:pPr>
        <w:spacing w:after="120"/>
        <w:ind w:left="360" w:hanging="360"/>
        <w:rPr>
          <w:lang w:val="en-GB"/>
        </w:rPr>
      </w:pPr>
      <w:r w:rsidRPr="00400610">
        <w:rPr>
          <w:lang w:val="en-GB"/>
        </w:rPr>
        <w:t xml:space="preserve">Finazzi, E. and MacBeth, A. (2022) ‘Service users’ experience of psychological interventions in primary care settings: a qualitative meta-synthesis’, </w:t>
      </w:r>
      <w:r w:rsidRPr="00400610">
        <w:rPr>
          <w:i/>
          <w:iCs/>
          <w:lang w:val="en-GB"/>
        </w:rPr>
        <w:t>Clinical Psychology &amp; Psychotherapy</w:t>
      </w:r>
      <w:r w:rsidRPr="00400610">
        <w:rPr>
          <w:lang w:val="en-GB"/>
        </w:rPr>
        <w:t>, 29(2), pp. 400–423. Available at: https://doi.org/10.1002/cpp.2650</w:t>
      </w:r>
    </w:p>
    <w:p w14:paraId="7624326F" w14:textId="77777777" w:rsidR="00400610" w:rsidRPr="00400610" w:rsidRDefault="00400610" w:rsidP="00400610">
      <w:pPr>
        <w:spacing w:after="120"/>
        <w:ind w:left="360" w:hanging="360"/>
        <w:rPr>
          <w:lang w:val="en-GB"/>
        </w:rPr>
      </w:pPr>
      <w:r w:rsidRPr="00400610">
        <w:rPr>
          <w:lang w:val="en-GB"/>
        </w:rPr>
        <w:lastRenderedPageBreak/>
        <w:t xml:space="preserve">Greer, B., Robotham, D., Simblett, S., Curtis, H., Griffiths, H. and Wykes, T. (2019) ‘Digital exclusion among mental health service users: qualitative investigation’, </w:t>
      </w:r>
      <w:r w:rsidRPr="00400610">
        <w:rPr>
          <w:i/>
          <w:iCs/>
          <w:lang w:val="en-GB"/>
        </w:rPr>
        <w:t>Journal of Medical Internet Research</w:t>
      </w:r>
      <w:r w:rsidRPr="00400610">
        <w:rPr>
          <w:lang w:val="en-GB"/>
        </w:rPr>
        <w:t xml:space="preserve">, 21(1), e11696. Available at: </w:t>
      </w:r>
      <w:hyperlink r:id="rId12" w:tgtFrame="_new" w:history="1">
        <w:r w:rsidRPr="00400610">
          <w:rPr>
            <w:rStyle w:val="Hyperlink"/>
            <w:lang w:val="en-GB"/>
          </w:rPr>
          <w:t>https://doi.org/10.2196/11696</w:t>
        </w:r>
      </w:hyperlink>
    </w:p>
    <w:p w14:paraId="65AFB0A7" w14:textId="77777777" w:rsidR="00400610" w:rsidRPr="00400610" w:rsidRDefault="00400610" w:rsidP="00400610">
      <w:pPr>
        <w:spacing w:after="120"/>
        <w:ind w:left="360" w:hanging="360"/>
        <w:rPr>
          <w:lang w:val="en-GB"/>
        </w:rPr>
      </w:pPr>
      <w:r w:rsidRPr="00400610">
        <w:rPr>
          <w:lang w:val="en-GB"/>
        </w:rPr>
        <w:t xml:space="preserve">Instone, R., Achinanya, A., Burton, C., Chambers, E., Horspool, M., Isherwood, T., Oliver, P. and Huddy, V. (2026) ‘Experiences of people with complex mental health difficulties accessing help from primary care services: a qualitative interview study’, </w:t>
      </w:r>
      <w:r w:rsidRPr="00400610">
        <w:rPr>
          <w:i/>
          <w:iCs/>
          <w:lang w:val="en-GB"/>
        </w:rPr>
        <w:t>BMC Primary Care</w:t>
      </w:r>
      <w:r w:rsidRPr="00400610">
        <w:rPr>
          <w:lang w:val="en-GB"/>
        </w:rPr>
        <w:t>, 27, 246. Available at: https://doi.org/10.1186/s12875-026-03322-5</w:t>
      </w:r>
    </w:p>
    <w:p w14:paraId="2018D8E7" w14:textId="77777777" w:rsidR="00400610" w:rsidRPr="00400610" w:rsidRDefault="00400610" w:rsidP="00400610">
      <w:pPr>
        <w:spacing w:after="120"/>
        <w:ind w:left="360" w:hanging="360"/>
        <w:rPr>
          <w:lang w:val="en-GB"/>
        </w:rPr>
      </w:pPr>
      <w:r w:rsidRPr="00400610">
        <w:rPr>
          <w:lang w:val="en-GB"/>
        </w:rPr>
        <w:t xml:space="preserve">Khan, N., Bower, P. and Rogers, A. (2007) ‘Guided self-help in primary care mental health: meta-synthesis of qualitative studies of patient experience’, </w:t>
      </w:r>
      <w:r w:rsidRPr="00400610">
        <w:rPr>
          <w:i/>
          <w:iCs/>
          <w:lang w:val="en-GB"/>
        </w:rPr>
        <w:t>British Journal of Psychiatry</w:t>
      </w:r>
      <w:r w:rsidRPr="00400610">
        <w:rPr>
          <w:lang w:val="en-GB"/>
        </w:rPr>
        <w:t>, 191(3), pp. 206–211. Available at: https://doi.org/10.1192/bjp.bp.106.032011</w:t>
      </w:r>
    </w:p>
    <w:p w14:paraId="7445CE69" w14:textId="77777777" w:rsidR="00400610" w:rsidRPr="00400610" w:rsidRDefault="00400610" w:rsidP="00400610">
      <w:pPr>
        <w:spacing w:after="120"/>
        <w:ind w:left="360" w:hanging="360"/>
        <w:rPr>
          <w:lang w:val="en-GB"/>
        </w:rPr>
      </w:pPr>
      <w:r w:rsidRPr="00400610">
        <w:rPr>
          <w:lang w:val="en-GB"/>
        </w:rPr>
        <w:t xml:space="preserve">Levac, D., Colquhoun, H. and O’Brien, K.K. (2010) ‘Scoping studies: advancing the methodology’, </w:t>
      </w:r>
      <w:r w:rsidRPr="00400610">
        <w:rPr>
          <w:i/>
          <w:iCs/>
          <w:lang w:val="en-GB"/>
        </w:rPr>
        <w:t>Implementation Science</w:t>
      </w:r>
      <w:r w:rsidRPr="00400610">
        <w:rPr>
          <w:lang w:val="en-GB"/>
        </w:rPr>
        <w:t xml:space="preserve">, 5, 69. Available at: </w:t>
      </w:r>
      <w:hyperlink r:id="rId13" w:tgtFrame="_new" w:history="1">
        <w:r w:rsidRPr="00400610">
          <w:rPr>
            <w:rStyle w:val="Hyperlink"/>
            <w:lang w:val="en-GB"/>
          </w:rPr>
          <w:t>https://doi.org/10.1186/1748-5908-5-69</w:t>
        </w:r>
      </w:hyperlink>
    </w:p>
    <w:p w14:paraId="350C90B3" w14:textId="77777777" w:rsidR="00400610" w:rsidRPr="00400610" w:rsidRDefault="00400610" w:rsidP="00400610">
      <w:pPr>
        <w:spacing w:after="120"/>
        <w:ind w:left="360" w:hanging="360"/>
        <w:rPr>
          <w:lang w:val="en-GB"/>
        </w:rPr>
      </w:pPr>
      <w:r w:rsidRPr="00400610">
        <w:rPr>
          <w:lang w:val="en-GB"/>
        </w:rPr>
        <w:t xml:space="preserve">Memon, A., Taylor, K., Mohebati, L.M., Sundin, J., Cooper, M., Scanlon, T. and de Visser, R. (2016) ‘Perceived barriers to accessing mental health services among black and minority ethnic communities: a qualitative study in Southeast England’, </w:t>
      </w:r>
      <w:r w:rsidRPr="00400610">
        <w:rPr>
          <w:i/>
          <w:iCs/>
          <w:lang w:val="en-GB"/>
        </w:rPr>
        <w:t>BMJ Open</w:t>
      </w:r>
      <w:r w:rsidRPr="00400610">
        <w:rPr>
          <w:lang w:val="en-GB"/>
        </w:rPr>
        <w:t>, 6(11), e012337. Available at: https://doi.org/10.1136/bmjopen-2016-012337</w:t>
      </w:r>
    </w:p>
    <w:p w14:paraId="3E17F4ED" w14:textId="77777777" w:rsidR="00400610" w:rsidRPr="00400610" w:rsidRDefault="00400610" w:rsidP="00400610">
      <w:pPr>
        <w:spacing w:after="120"/>
        <w:ind w:left="360" w:hanging="360"/>
        <w:rPr>
          <w:lang w:val="en-GB"/>
        </w:rPr>
      </w:pPr>
      <w:r w:rsidRPr="00400610">
        <w:rPr>
          <w:lang w:val="en-GB"/>
        </w:rPr>
        <w:t xml:space="preserve">Oliver, A., Chandler, E. and Gillard, J.A. (2024) ‘Impact of digital inclusion initiative to facilitate access to mental health services: service user interview study’, </w:t>
      </w:r>
      <w:r w:rsidRPr="00400610">
        <w:rPr>
          <w:i/>
          <w:iCs/>
          <w:lang w:val="en-GB"/>
        </w:rPr>
        <w:t>JMIR Mental Health</w:t>
      </w:r>
      <w:r w:rsidRPr="00400610">
        <w:rPr>
          <w:lang w:val="en-GB"/>
        </w:rPr>
        <w:t xml:space="preserve">, 11, e51315. Available at: </w:t>
      </w:r>
      <w:hyperlink r:id="rId14" w:tgtFrame="_new" w:history="1">
        <w:r w:rsidRPr="00400610">
          <w:rPr>
            <w:rStyle w:val="Hyperlink"/>
            <w:lang w:val="en-GB"/>
          </w:rPr>
          <w:t>https://doi.org/10.2196/51315</w:t>
        </w:r>
      </w:hyperlink>
    </w:p>
    <w:p w14:paraId="381BF008" w14:textId="77777777" w:rsidR="00400610" w:rsidRPr="00400610" w:rsidRDefault="00400610" w:rsidP="00400610">
      <w:pPr>
        <w:spacing w:after="120"/>
        <w:ind w:left="360" w:hanging="360"/>
        <w:rPr>
          <w:lang w:val="en-GB"/>
        </w:rPr>
      </w:pPr>
      <w:r w:rsidRPr="00400610">
        <w:rPr>
          <w:lang w:val="en-GB"/>
        </w:rPr>
        <w:t xml:space="preserve">Patel, S., Rattu, N.R., Patel, P., Prasad, V., Wright, L.A., Babbage, C., Sayal, K., Groom, M.J. and Hall, C.L. (2026) ‘Navigating cultural barriers: a qualitative study exploring clinicians’ experiences of providing mental health support for ethnic minority groups in England’, </w:t>
      </w:r>
      <w:r w:rsidRPr="00400610">
        <w:rPr>
          <w:i/>
          <w:iCs/>
          <w:lang w:val="en-GB"/>
        </w:rPr>
        <w:t>BMC Health Services Research</w:t>
      </w:r>
      <w:r w:rsidRPr="00400610">
        <w:rPr>
          <w:lang w:val="en-GB"/>
        </w:rPr>
        <w:t>, 26, 353. Available at: https://doi.org/10.1186/s12913-026-14146-5</w:t>
      </w:r>
    </w:p>
    <w:p w14:paraId="22D424C5" w14:textId="77777777" w:rsidR="00400610" w:rsidRPr="00400610" w:rsidRDefault="00400610" w:rsidP="00400610">
      <w:pPr>
        <w:spacing w:after="120"/>
        <w:ind w:left="360" w:hanging="360"/>
        <w:rPr>
          <w:lang w:val="en-GB"/>
        </w:rPr>
      </w:pPr>
      <w:r w:rsidRPr="00400610">
        <w:rPr>
          <w:lang w:val="en-GB"/>
        </w:rPr>
        <w:t xml:space="preserve">Sharland, E. </w:t>
      </w:r>
      <w:r w:rsidRPr="00400610">
        <w:rPr>
          <w:i/>
          <w:iCs/>
          <w:lang w:val="en-GB"/>
        </w:rPr>
        <w:t>et al.</w:t>
      </w:r>
      <w:r w:rsidRPr="00400610">
        <w:rPr>
          <w:lang w:val="en-GB"/>
        </w:rPr>
        <w:t xml:space="preserve"> (2023) ‘Socio-demographic differences in access to psychological treatment services: evidence from a national cohort study’, </w:t>
      </w:r>
      <w:r w:rsidRPr="00400610">
        <w:rPr>
          <w:i/>
          <w:iCs/>
          <w:lang w:val="en-GB"/>
        </w:rPr>
        <w:t>Psychological Medicine</w:t>
      </w:r>
      <w:r w:rsidRPr="00400610">
        <w:rPr>
          <w:lang w:val="en-GB"/>
        </w:rPr>
        <w:t xml:space="preserve">, 53(15), pp. 7395–7406. Available at: </w:t>
      </w:r>
      <w:hyperlink r:id="rId15" w:tgtFrame="_new" w:history="1">
        <w:r w:rsidRPr="00400610">
          <w:rPr>
            <w:rStyle w:val="Hyperlink"/>
            <w:lang w:val="en-GB"/>
          </w:rPr>
          <w:t>https://doi.org/10.1017/S0033291723001010</w:t>
        </w:r>
      </w:hyperlink>
    </w:p>
    <w:p w14:paraId="3F936671" w14:textId="77777777" w:rsidR="00400610" w:rsidRPr="00400610" w:rsidRDefault="00400610" w:rsidP="00400610">
      <w:pPr>
        <w:spacing w:after="120"/>
        <w:ind w:left="360" w:hanging="360"/>
        <w:rPr>
          <w:lang w:val="en-GB"/>
        </w:rPr>
      </w:pPr>
      <w:r w:rsidRPr="00400610">
        <w:rPr>
          <w:lang w:val="en-GB"/>
        </w:rPr>
        <w:t xml:space="preserve">Thornicroft, G. (2008) ‘Stigma and discrimination limit access to mental health care’, </w:t>
      </w:r>
      <w:r w:rsidRPr="00400610">
        <w:rPr>
          <w:i/>
          <w:iCs/>
          <w:lang w:val="en-GB"/>
        </w:rPr>
        <w:t>Epidemiologia e Psichiatria Sociale</w:t>
      </w:r>
      <w:r w:rsidRPr="00400610">
        <w:rPr>
          <w:lang w:val="en-GB"/>
        </w:rPr>
        <w:t>, 17(1), pp. 14–19. Available at: https://doi.org/10.1017/S1121189X00002621</w:t>
      </w:r>
    </w:p>
    <w:p w14:paraId="14CDE4D4" w14:textId="77777777" w:rsidR="00400610" w:rsidRPr="00400610" w:rsidRDefault="00400610" w:rsidP="00400610">
      <w:pPr>
        <w:spacing w:after="120"/>
        <w:ind w:left="360" w:hanging="360"/>
        <w:rPr>
          <w:lang w:val="en-GB"/>
        </w:rPr>
      </w:pPr>
      <w:r w:rsidRPr="00400610">
        <w:rPr>
          <w:lang w:val="en-GB"/>
        </w:rPr>
        <w:lastRenderedPageBreak/>
        <w:t xml:space="preserve">Tricco, A.C. </w:t>
      </w:r>
      <w:r w:rsidRPr="00400610">
        <w:rPr>
          <w:i/>
          <w:iCs/>
          <w:lang w:val="en-GB"/>
        </w:rPr>
        <w:t>et al.</w:t>
      </w:r>
      <w:r w:rsidRPr="00400610">
        <w:rPr>
          <w:lang w:val="en-GB"/>
        </w:rPr>
        <w:t xml:space="preserve"> (2018) ‘PRISMA extension for scoping reviews (PRISMA-ScR): checklist and explanation’, </w:t>
      </w:r>
      <w:r w:rsidRPr="00400610">
        <w:rPr>
          <w:i/>
          <w:iCs/>
          <w:lang w:val="en-GB"/>
        </w:rPr>
        <w:t>Annals of Internal Medicine</w:t>
      </w:r>
      <w:r w:rsidRPr="00400610">
        <w:rPr>
          <w:lang w:val="en-GB"/>
        </w:rPr>
        <w:t xml:space="preserve">, 169(7), pp. 467–473. Available at: </w:t>
      </w:r>
      <w:hyperlink r:id="rId16" w:tgtFrame="_new" w:history="1">
        <w:r w:rsidRPr="00400610">
          <w:rPr>
            <w:rStyle w:val="Hyperlink"/>
            <w:lang w:val="en-GB"/>
          </w:rPr>
          <w:t>https://doi.org/10.7326/M18-0850</w:t>
        </w:r>
      </w:hyperlink>
    </w:p>
    <w:p w14:paraId="39D06272" w14:textId="77777777" w:rsidR="00400610" w:rsidRPr="00400610" w:rsidRDefault="00400610" w:rsidP="00400610">
      <w:pPr>
        <w:spacing w:after="120"/>
        <w:ind w:left="360" w:hanging="360"/>
        <w:rPr>
          <w:lang w:val="en-GB"/>
        </w:rPr>
      </w:pPr>
      <w:r w:rsidRPr="00400610">
        <w:rPr>
          <w:lang w:val="en-GB"/>
        </w:rPr>
        <w:t xml:space="preserve">Winsper, C. </w:t>
      </w:r>
      <w:r w:rsidRPr="00400610">
        <w:rPr>
          <w:i/>
          <w:iCs/>
          <w:lang w:val="en-GB"/>
        </w:rPr>
        <w:t>et al.</w:t>
      </w:r>
      <w:r w:rsidRPr="00400610">
        <w:rPr>
          <w:lang w:val="en-GB"/>
        </w:rPr>
        <w:t xml:space="preserve"> (2023) ‘Improving mental healthcare access and experience for people from minority ethnic groups: an England-wide multisite experience-based codesign study’, </w:t>
      </w:r>
      <w:r w:rsidRPr="00400610">
        <w:rPr>
          <w:i/>
          <w:iCs/>
          <w:lang w:val="en-GB"/>
        </w:rPr>
        <w:t>BMJ Mental Health</w:t>
      </w:r>
      <w:r w:rsidRPr="00400610">
        <w:rPr>
          <w:lang w:val="en-GB"/>
        </w:rPr>
        <w:t>, 26, e300709. Available at: https://doi.org/10.1136/bmjment-2023-300709</w:t>
      </w:r>
    </w:p>
    <w:p w14:paraId="0A5D898E" w14:textId="77777777" w:rsidR="00400610" w:rsidRPr="00400610" w:rsidRDefault="00400610" w:rsidP="00400610">
      <w:pPr>
        <w:spacing w:after="120"/>
        <w:ind w:left="360" w:hanging="360"/>
        <w:rPr>
          <w:lang w:val="en-GB"/>
        </w:rPr>
      </w:pPr>
      <w:r w:rsidRPr="00400610">
        <w:rPr>
          <w:lang w:val="en-GB"/>
        </w:rPr>
        <w:t xml:space="preserve">Woodall, A., Morgan, C., Sloan, C. and Howard, L. (2010) ‘Barriers to participation in mental health research: are there specific gender, ethnicity and </w:t>
      </w:r>
      <w:proofErr w:type="gramStart"/>
      <w:r w:rsidRPr="00400610">
        <w:rPr>
          <w:lang w:val="en-GB"/>
        </w:rPr>
        <w:t>age related</w:t>
      </w:r>
      <w:proofErr w:type="gramEnd"/>
      <w:r w:rsidRPr="00400610">
        <w:rPr>
          <w:lang w:val="en-GB"/>
        </w:rPr>
        <w:t xml:space="preserve"> barriers?’, </w:t>
      </w:r>
      <w:r w:rsidRPr="00400610">
        <w:rPr>
          <w:i/>
          <w:iCs/>
          <w:lang w:val="en-GB"/>
        </w:rPr>
        <w:t>BMC Psychiatry</w:t>
      </w:r>
      <w:r w:rsidRPr="00400610">
        <w:rPr>
          <w:lang w:val="en-GB"/>
        </w:rPr>
        <w:t>, 10, 103. Available at: https://doi.org/10.1186/1471-244X-10-103</w:t>
      </w:r>
    </w:p>
    <w:p w14:paraId="3A29234B" w14:textId="4B448AEA" w:rsidR="00FD2478" w:rsidRDefault="00FD2478">
      <w:pPr>
        <w:spacing w:after="120"/>
        <w:ind w:left="360" w:hanging="360"/>
      </w:pPr>
    </w:p>
    <w:sectPr w:rsidR="00FD2478" w:rsidSect="003F5968">
      <w:footerReference w:type="default" r:id="rId17"/>
      <w:pgSz w:w="12240" w:h="15840"/>
      <w:pgMar w:top="1152" w:right="1440" w:bottom="1152"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9F3B3" w14:textId="77777777" w:rsidR="005D5934" w:rsidRDefault="005D5934">
      <w:pPr>
        <w:spacing w:after="0" w:line="240" w:lineRule="auto"/>
      </w:pPr>
      <w:r>
        <w:separator/>
      </w:r>
    </w:p>
  </w:endnote>
  <w:endnote w:type="continuationSeparator" w:id="0">
    <w:p w14:paraId="4B853F34" w14:textId="77777777" w:rsidR="005D5934" w:rsidRDefault="005D5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559D0" w14:textId="77777777" w:rsidR="00FD2478" w:rsidRDefault="005D5934">
    <w:pPr>
      <w:pStyle w:val="Footer"/>
      <w:jc w:val="center"/>
    </w:pPr>
    <w:r>
      <w:fldChar w:fldCharType="begin"/>
    </w:r>
    <w:r>
      <w:instrText xml:space="preserve"> PAGE </w:instrText>
    </w:r>
    <w:r w:rsidR="00B053ED">
      <w:fldChar w:fldCharType="separate"/>
    </w:r>
    <w:r w:rsidR="00B053E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2954A" w14:textId="77777777" w:rsidR="005D5934" w:rsidRDefault="005D5934">
      <w:pPr>
        <w:spacing w:after="0" w:line="240" w:lineRule="auto"/>
      </w:pPr>
      <w:r>
        <w:separator/>
      </w:r>
    </w:p>
  </w:footnote>
  <w:footnote w:type="continuationSeparator" w:id="0">
    <w:p w14:paraId="4DF9FD4F" w14:textId="77777777" w:rsidR="005D5934" w:rsidRDefault="005D59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64178740">
    <w:abstractNumId w:val="8"/>
  </w:num>
  <w:num w:numId="2" w16cid:durableId="2066297518">
    <w:abstractNumId w:val="6"/>
  </w:num>
  <w:num w:numId="3" w16cid:durableId="991905572">
    <w:abstractNumId w:val="5"/>
  </w:num>
  <w:num w:numId="4" w16cid:durableId="2042199416">
    <w:abstractNumId w:val="4"/>
  </w:num>
  <w:num w:numId="5" w16cid:durableId="799691884">
    <w:abstractNumId w:val="7"/>
  </w:num>
  <w:num w:numId="6" w16cid:durableId="2056082175">
    <w:abstractNumId w:val="3"/>
  </w:num>
  <w:num w:numId="7" w16cid:durableId="586573376">
    <w:abstractNumId w:val="2"/>
  </w:num>
  <w:num w:numId="8" w16cid:durableId="1936556028">
    <w:abstractNumId w:val="1"/>
  </w:num>
  <w:num w:numId="9" w16cid:durableId="1505319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B31"/>
    <w:rsid w:val="00034616"/>
    <w:rsid w:val="00043506"/>
    <w:rsid w:val="00050C4A"/>
    <w:rsid w:val="0006063C"/>
    <w:rsid w:val="0015074B"/>
    <w:rsid w:val="00165204"/>
    <w:rsid w:val="001B1EEE"/>
    <w:rsid w:val="001B23E7"/>
    <w:rsid w:val="001C2707"/>
    <w:rsid w:val="00207032"/>
    <w:rsid w:val="002229AB"/>
    <w:rsid w:val="002277D7"/>
    <w:rsid w:val="002323F5"/>
    <w:rsid w:val="00263A7C"/>
    <w:rsid w:val="0029639D"/>
    <w:rsid w:val="002D681D"/>
    <w:rsid w:val="00326F90"/>
    <w:rsid w:val="00366989"/>
    <w:rsid w:val="00372363"/>
    <w:rsid w:val="00380CE6"/>
    <w:rsid w:val="003E2DF4"/>
    <w:rsid w:val="003E4C3C"/>
    <w:rsid w:val="003F5968"/>
    <w:rsid w:val="003F6024"/>
    <w:rsid w:val="00400610"/>
    <w:rsid w:val="0050658F"/>
    <w:rsid w:val="00527804"/>
    <w:rsid w:val="0058049D"/>
    <w:rsid w:val="00592D7D"/>
    <w:rsid w:val="005D5934"/>
    <w:rsid w:val="005F2915"/>
    <w:rsid w:val="006770F5"/>
    <w:rsid w:val="00731BF4"/>
    <w:rsid w:val="00736567"/>
    <w:rsid w:val="00741651"/>
    <w:rsid w:val="007426B2"/>
    <w:rsid w:val="007810DF"/>
    <w:rsid w:val="007A2EE6"/>
    <w:rsid w:val="007F3CEA"/>
    <w:rsid w:val="00804E91"/>
    <w:rsid w:val="00815AEE"/>
    <w:rsid w:val="008D6E9F"/>
    <w:rsid w:val="00953BFF"/>
    <w:rsid w:val="009623F4"/>
    <w:rsid w:val="00A16FA8"/>
    <w:rsid w:val="00A56F86"/>
    <w:rsid w:val="00AA1D8D"/>
    <w:rsid w:val="00AA5559"/>
    <w:rsid w:val="00B053ED"/>
    <w:rsid w:val="00B47730"/>
    <w:rsid w:val="00C17ECD"/>
    <w:rsid w:val="00C25AF1"/>
    <w:rsid w:val="00C71C66"/>
    <w:rsid w:val="00CB0664"/>
    <w:rsid w:val="00CD7B4C"/>
    <w:rsid w:val="00D168F9"/>
    <w:rsid w:val="00D978B3"/>
    <w:rsid w:val="00DA6862"/>
    <w:rsid w:val="00DD7F57"/>
    <w:rsid w:val="00E7586F"/>
    <w:rsid w:val="00E82921"/>
    <w:rsid w:val="00ED6F01"/>
    <w:rsid w:val="00EE146C"/>
    <w:rsid w:val="00F25D97"/>
    <w:rsid w:val="00F77F75"/>
    <w:rsid w:val="00F81E77"/>
    <w:rsid w:val="00FA5A57"/>
    <w:rsid w:val="00FA7627"/>
    <w:rsid w:val="00FC693F"/>
    <w:rsid w:val="00FD24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E8B6C4"/>
  <w14:defaultImageDpi w14:val="300"/>
  <w15:docId w15:val="{FC34B149-7AB6-413D-9B87-A7432ED20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3F5968"/>
  </w:style>
  <w:style w:type="paragraph" w:styleId="TOC1">
    <w:name w:val="toc 1"/>
    <w:basedOn w:val="Normal"/>
    <w:next w:val="Normal"/>
    <w:autoRedefine/>
    <w:uiPriority w:val="39"/>
    <w:unhideWhenUsed/>
    <w:rsid w:val="001B23E7"/>
    <w:pPr>
      <w:spacing w:after="100"/>
    </w:pPr>
  </w:style>
  <w:style w:type="paragraph" w:styleId="TOC2">
    <w:name w:val="toc 2"/>
    <w:basedOn w:val="Normal"/>
    <w:next w:val="Normal"/>
    <w:autoRedefine/>
    <w:uiPriority w:val="39"/>
    <w:unhideWhenUsed/>
    <w:rsid w:val="001B23E7"/>
    <w:pPr>
      <w:spacing w:after="100"/>
      <w:ind w:left="220"/>
    </w:pPr>
  </w:style>
  <w:style w:type="character" w:styleId="Hyperlink">
    <w:name w:val="Hyperlink"/>
    <w:basedOn w:val="DefaultParagraphFont"/>
    <w:uiPriority w:val="99"/>
    <w:unhideWhenUsed/>
    <w:rsid w:val="001B23E7"/>
    <w:rPr>
      <w:color w:val="0000FF" w:themeColor="hyperlink"/>
      <w:u w:val="single"/>
    </w:rPr>
  </w:style>
  <w:style w:type="character" w:styleId="UnresolvedMention">
    <w:name w:val="Unresolved Mention"/>
    <w:basedOn w:val="DefaultParagraphFont"/>
    <w:uiPriority w:val="99"/>
    <w:semiHidden/>
    <w:unhideWhenUsed/>
    <w:rsid w:val="004006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4557032000119616" TargetMode="External"/><Relationship Id="rId13" Type="http://schemas.openxmlformats.org/officeDocument/2006/relationships/hyperlink" Target="https://doi.org/10.1186/1748-5908-5-6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196/1169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7326/M18-08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55/2011/490634" TargetMode="External"/><Relationship Id="rId5" Type="http://schemas.openxmlformats.org/officeDocument/2006/relationships/webSettings" Target="webSettings.xml"/><Relationship Id="rId15" Type="http://schemas.openxmlformats.org/officeDocument/2006/relationships/hyperlink" Target="https://doi.org/10.1017/S0033291723001010" TargetMode="External"/><Relationship Id="rId10" Type="http://schemas.openxmlformats.org/officeDocument/2006/relationships/hyperlink" Target="https://doi.org/10.1191/1478088706qp063o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77/20552076241233969" TargetMode="External"/><Relationship Id="rId14" Type="http://schemas.openxmlformats.org/officeDocument/2006/relationships/hyperlink" Target="https://doi.org/10.2196/5131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4610</Words>
  <Characters>29736</Characters>
  <Application>Microsoft Office Word</Application>
  <DocSecurity>0</DocSecurity>
  <Lines>561</Lines>
  <Paragraphs>173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34173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sadaf saeed</cp:lastModifiedBy>
  <cp:revision>2</cp:revision>
  <dcterms:created xsi:type="dcterms:W3CDTF">2026-07-20T10:21:00Z</dcterms:created>
  <dcterms:modified xsi:type="dcterms:W3CDTF">2026-07-20T10:21:00Z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729083ae-4f86-494f-977a-eb5519fda45e</vt:lpwstr>
  </property>
</Properties>
</file>