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03227" w14:textId="77777777" w:rsidR="00E4384A" w:rsidRDefault="00E4384A">
      <w:pPr>
        <w:rPr>
          <w:rFonts w:ascii="Arial" w:hAnsi="Arial" w:cs="Arial"/>
          <w:sz w:val="24"/>
          <w:szCs w:val="24"/>
        </w:rPr>
      </w:pPr>
    </w:p>
    <w:p w14:paraId="4D60C41B" w14:textId="08D6E579" w:rsidR="00E4384A" w:rsidRDefault="008E562F">
      <w:pPr>
        <w:jc w:val="center"/>
        <w:rPr>
          <w:rFonts w:ascii="Arial" w:hAnsi="Arial" w:cs="Arial"/>
          <w:b/>
          <w:bCs/>
          <w:sz w:val="40"/>
          <w:szCs w:val="40"/>
        </w:rPr>
      </w:pPr>
      <w:r>
        <w:rPr>
          <w:rFonts w:ascii="Arial" w:hAnsi="Arial" w:cs="Arial"/>
          <w:b/>
          <w:bCs/>
          <w:sz w:val="40"/>
          <w:szCs w:val="40"/>
        </w:rPr>
        <w:t xml:space="preserve">Criminal law </w:t>
      </w:r>
    </w:p>
    <w:p w14:paraId="7BB6C21F" w14:textId="77777777" w:rsidR="00A61C8B" w:rsidRDefault="00A61C8B">
      <w:pPr>
        <w:jc w:val="center"/>
        <w:rPr>
          <w:rFonts w:ascii="Arial" w:hAnsi="Arial" w:cs="Arial"/>
          <w:b/>
          <w:bCs/>
          <w:sz w:val="40"/>
          <w:szCs w:val="40"/>
        </w:rPr>
      </w:pPr>
    </w:p>
    <w:p w14:paraId="5F0ED152" w14:textId="273674FC" w:rsidR="00E4384A" w:rsidRDefault="008E562F" w:rsidP="00A61C8B">
      <w:pPr>
        <w:jc w:val="center"/>
        <w:rPr>
          <w:rFonts w:ascii="Arial" w:hAnsi="Arial" w:cs="Arial"/>
          <w:b/>
          <w:bCs/>
          <w:sz w:val="40"/>
          <w:szCs w:val="40"/>
        </w:rPr>
      </w:pPr>
      <w:r>
        <w:rPr>
          <w:rFonts w:ascii="Arial" w:hAnsi="Arial" w:cs="Arial"/>
          <w:b/>
          <w:bCs/>
          <w:sz w:val="40"/>
          <w:szCs w:val="40"/>
        </w:rPr>
        <w:t xml:space="preserve">Student </w:t>
      </w:r>
      <w:r w:rsidR="00A61C8B">
        <w:rPr>
          <w:rFonts w:ascii="Arial" w:hAnsi="Arial" w:cs="Arial"/>
          <w:b/>
          <w:bCs/>
          <w:sz w:val="40"/>
          <w:szCs w:val="40"/>
        </w:rPr>
        <w:t>N</w:t>
      </w:r>
      <w:r w:rsidR="00A546F5">
        <w:rPr>
          <w:rFonts w:ascii="Arial" w:hAnsi="Arial" w:cs="Arial"/>
          <w:b/>
          <w:bCs/>
          <w:sz w:val="40"/>
          <w:szCs w:val="40"/>
        </w:rPr>
        <w:t>ame</w:t>
      </w:r>
      <w:r w:rsidR="00A61C8B">
        <w:rPr>
          <w:rFonts w:ascii="Arial" w:hAnsi="Arial" w:cs="Arial"/>
          <w:b/>
          <w:bCs/>
          <w:sz w:val="40"/>
          <w:szCs w:val="40"/>
        </w:rPr>
        <w:t>: Carmen Tutu</w:t>
      </w:r>
    </w:p>
    <w:p w14:paraId="568126F5" w14:textId="3B2D74FB" w:rsidR="00E4384A" w:rsidRDefault="00A61C8B">
      <w:pPr>
        <w:jc w:val="center"/>
        <w:rPr>
          <w:rFonts w:ascii="Arial" w:hAnsi="Arial" w:cs="Arial"/>
          <w:b/>
          <w:bCs/>
          <w:sz w:val="40"/>
          <w:szCs w:val="40"/>
        </w:rPr>
      </w:pPr>
      <w:r>
        <w:rPr>
          <w:rFonts w:ascii="Arial" w:hAnsi="Arial" w:cs="Arial"/>
          <w:b/>
          <w:bCs/>
          <w:sz w:val="40"/>
          <w:szCs w:val="40"/>
        </w:rPr>
        <w:t xml:space="preserve">Student </w:t>
      </w:r>
      <w:r w:rsidR="0061398C">
        <w:rPr>
          <w:rFonts w:ascii="Arial" w:hAnsi="Arial" w:cs="Arial"/>
          <w:b/>
          <w:bCs/>
          <w:sz w:val="40"/>
          <w:szCs w:val="40"/>
        </w:rPr>
        <w:t>Number: 2207381</w:t>
      </w:r>
    </w:p>
    <w:p w14:paraId="33C05B9F" w14:textId="77777777" w:rsidR="00E4384A" w:rsidRDefault="00E4384A">
      <w:pPr>
        <w:jc w:val="center"/>
        <w:rPr>
          <w:rFonts w:ascii="Arial" w:hAnsi="Arial" w:cs="Arial"/>
          <w:b/>
          <w:bCs/>
          <w:sz w:val="40"/>
          <w:szCs w:val="40"/>
        </w:rPr>
      </w:pPr>
    </w:p>
    <w:p w14:paraId="7587BBB3" w14:textId="77777777" w:rsidR="00E4384A" w:rsidRDefault="00E4384A">
      <w:pPr>
        <w:jc w:val="center"/>
        <w:rPr>
          <w:rFonts w:ascii="Arial" w:hAnsi="Arial" w:cs="Arial"/>
          <w:b/>
          <w:bCs/>
          <w:sz w:val="40"/>
          <w:szCs w:val="40"/>
        </w:rPr>
      </w:pPr>
    </w:p>
    <w:p w14:paraId="7338B32B" w14:textId="77777777" w:rsidR="00E4384A" w:rsidRDefault="00E4384A">
      <w:pPr>
        <w:jc w:val="center"/>
        <w:rPr>
          <w:rFonts w:ascii="Arial" w:hAnsi="Arial" w:cs="Arial"/>
          <w:b/>
          <w:bCs/>
          <w:sz w:val="40"/>
          <w:szCs w:val="40"/>
        </w:rPr>
      </w:pPr>
    </w:p>
    <w:p w14:paraId="613E5D40" w14:textId="77777777" w:rsidR="00E4384A" w:rsidRDefault="00E4384A">
      <w:pPr>
        <w:jc w:val="center"/>
        <w:rPr>
          <w:rFonts w:ascii="Arial" w:hAnsi="Arial" w:cs="Arial"/>
          <w:b/>
          <w:bCs/>
          <w:sz w:val="40"/>
          <w:szCs w:val="40"/>
        </w:rPr>
      </w:pPr>
    </w:p>
    <w:p w14:paraId="308C37FE" w14:textId="77777777" w:rsidR="00E4384A" w:rsidRDefault="00E4384A">
      <w:pPr>
        <w:jc w:val="center"/>
        <w:rPr>
          <w:rFonts w:ascii="Arial" w:hAnsi="Arial" w:cs="Arial"/>
          <w:b/>
          <w:bCs/>
          <w:sz w:val="40"/>
          <w:szCs w:val="40"/>
        </w:rPr>
      </w:pPr>
    </w:p>
    <w:p w14:paraId="0E4CD9A7" w14:textId="77777777" w:rsidR="00E4384A" w:rsidRDefault="00E4384A">
      <w:pPr>
        <w:jc w:val="center"/>
        <w:rPr>
          <w:rFonts w:ascii="Arial" w:hAnsi="Arial" w:cs="Arial"/>
          <w:b/>
          <w:bCs/>
          <w:sz w:val="40"/>
          <w:szCs w:val="40"/>
        </w:rPr>
      </w:pPr>
    </w:p>
    <w:p w14:paraId="35468EFF" w14:textId="77777777" w:rsidR="00E4384A" w:rsidRDefault="00E4384A">
      <w:pPr>
        <w:jc w:val="center"/>
        <w:rPr>
          <w:rFonts w:ascii="Arial" w:hAnsi="Arial" w:cs="Arial"/>
          <w:b/>
          <w:bCs/>
          <w:sz w:val="40"/>
          <w:szCs w:val="40"/>
        </w:rPr>
      </w:pPr>
    </w:p>
    <w:p w14:paraId="6EE8905F" w14:textId="77777777" w:rsidR="00E4384A" w:rsidRDefault="00E4384A">
      <w:pPr>
        <w:jc w:val="center"/>
        <w:rPr>
          <w:rFonts w:ascii="Arial" w:hAnsi="Arial" w:cs="Arial"/>
          <w:b/>
          <w:bCs/>
          <w:sz w:val="40"/>
          <w:szCs w:val="40"/>
        </w:rPr>
      </w:pPr>
    </w:p>
    <w:p w14:paraId="6AF76E24" w14:textId="77777777" w:rsidR="00E4384A" w:rsidRDefault="00E4384A">
      <w:pPr>
        <w:jc w:val="center"/>
        <w:rPr>
          <w:rFonts w:ascii="Arial" w:hAnsi="Arial" w:cs="Arial"/>
          <w:b/>
          <w:bCs/>
          <w:sz w:val="40"/>
          <w:szCs w:val="40"/>
        </w:rPr>
      </w:pPr>
    </w:p>
    <w:p w14:paraId="31494EFE" w14:textId="77777777" w:rsidR="00E4384A" w:rsidRDefault="00E4384A">
      <w:pPr>
        <w:jc w:val="center"/>
        <w:rPr>
          <w:rFonts w:ascii="Arial" w:hAnsi="Arial" w:cs="Arial"/>
          <w:b/>
          <w:bCs/>
          <w:sz w:val="40"/>
          <w:szCs w:val="40"/>
        </w:rPr>
      </w:pPr>
    </w:p>
    <w:p w14:paraId="6468401C" w14:textId="77777777" w:rsidR="00E4384A" w:rsidRDefault="00E4384A">
      <w:pPr>
        <w:jc w:val="center"/>
        <w:rPr>
          <w:rFonts w:ascii="Arial" w:hAnsi="Arial" w:cs="Arial"/>
          <w:b/>
          <w:bCs/>
          <w:sz w:val="40"/>
          <w:szCs w:val="40"/>
        </w:rPr>
      </w:pPr>
    </w:p>
    <w:p w14:paraId="0E706A36" w14:textId="77777777" w:rsidR="00E4384A" w:rsidRDefault="00E4384A">
      <w:pPr>
        <w:jc w:val="center"/>
        <w:rPr>
          <w:rFonts w:ascii="Arial" w:hAnsi="Arial" w:cs="Arial"/>
          <w:b/>
          <w:bCs/>
          <w:sz w:val="40"/>
          <w:szCs w:val="40"/>
        </w:rPr>
      </w:pPr>
    </w:p>
    <w:p w14:paraId="09A74CA6" w14:textId="77777777" w:rsidR="00E4384A" w:rsidRDefault="00E4384A">
      <w:pPr>
        <w:jc w:val="center"/>
        <w:rPr>
          <w:rFonts w:ascii="Arial" w:hAnsi="Arial" w:cs="Arial"/>
          <w:b/>
          <w:bCs/>
          <w:sz w:val="40"/>
          <w:szCs w:val="40"/>
        </w:rPr>
      </w:pPr>
    </w:p>
    <w:p w14:paraId="7234242A" w14:textId="77777777" w:rsidR="00E4384A" w:rsidRDefault="00E4384A">
      <w:pPr>
        <w:jc w:val="center"/>
        <w:rPr>
          <w:rFonts w:ascii="Arial" w:hAnsi="Arial" w:cs="Arial"/>
          <w:b/>
          <w:bCs/>
          <w:sz w:val="40"/>
          <w:szCs w:val="40"/>
        </w:rPr>
      </w:pPr>
    </w:p>
    <w:p w14:paraId="555C515F" w14:textId="77777777" w:rsidR="00E4384A" w:rsidRDefault="00E4384A">
      <w:pPr>
        <w:jc w:val="center"/>
        <w:rPr>
          <w:rFonts w:ascii="Arial" w:hAnsi="Arial" w:cs="Arial"/>
          <w:b/>
          <w:bCs/>
          <w:sz w:val="40"/>
          <w:szCs w:val="40"/>
        </w:rPr>
      </w:pPr>
    </w:p>
    <w:p w14:paraId="51AA9BED" w14:textId="77777777" w:rsidR="00E4384A" w:rsidRDefault="00E4384A">
      <w:pPr>
        <w:jc w:val="center"/>
        <w:rPr>
          <w:rFonts w:ascii="Arial" w:hAnsi="Arial" w:cs="Arial"/>
          <w:b/>
          <w:bCs/>
          <w:sz w:val="40"/>
          <w:szCs w:val="40"/>
        </w:rPr>
      </w:pPr>
    </w:p>
    <w:p w14:paraId="192CBAF3" w14:textId="77777777" w:rsidR="00E4384A" w:rsidRDefault="00E4384A">
      <w:pPr>
        <w:rPr>
          <w:rFonts w:ascii="Arial" w:hAnsi="Arial" w:cs="Arial"/>
          <w:sz w:val="24"/>
          <w:szCs w:val="24"/>
        </w:rPr>
      </w:pPr>
    </w:p>
    <w:p w14:paraId="640CCCAC" w14:textId="77777777" w:rsidR="00E4384A" w:rsidRDefault="008E562F">
      <w:pPr>
        <w:pStyle w:val="Normal1"/>
        <w:tabs>
          <w:tab w:val="right" w:pos="9025"/>
        </w:tabs>
        <w:spacing w:before="200" w:after="80" w:line="240" w:lineRule="auto"/>
        <w:rPr>
          <w:rFonts w:ascii="Arial" w:hAnsi="Arial" w:cs="Arial"/>
          <w:sz w:val="28"/>
          <w:szCs w:val="28"/>
        </w:rPr>
      </w:pPr>
      <w:r>
        <w:rPr>
          <w:rFonts w:ascii="Arial" w:hAnsi="Arial" w:cs="Arial"/>
          <w:sz w:val="28"/>
          <w:szCs w:val="28"/>
        </w:rPr>
        <w:lastRenderedPageBreak/>
        <w:t>Offences of Hadley,</w:t>
      </w:r>
    </w:p>
    <w:p w14:paraId="5A14DEDD" w14:textId="21347CD1" w:rsidR="00E4384A" w:rsidRPr="00676D26" w:rsidRDefault="008E562F">
      <w:pPr>
        <w:rPr>
          <w:rFonts w:ascii="Arial" w:hAnsi="Arial" w:cs="Arial"/>
          <w:color w:val="191919" w:themeColor="text1" w:themeTint="E6"/>
          <w:sz w:val="24"/>
          <w:szCs w:val="24"/>
        </w:rPr>
      </w:pPr>
      <w:r w:rsidRPr="00676D26">
        <w:rPr>
          <w:rFonts w:ascii="Arial" w:hAnsi="Arial" w:cs="Arial"/>
          <w:color w:val="191919" w:themeColor="text1" w:themeTint="E6"/>
          <w:sz w:val="24"/>
          <w:szCs w:val="24"/>
        </w:rPr>
        <w:t xml:space="preserve">Hadley's actions can be categorized as </w:t>
      </w:r>
      <w:r w:rsidR="00560DCF" w:rsidRPr="00676D26">
        <w:rPr>
          <w:rFonts w:ascii="Arial" w:hAnsi="Arial" w:cs="Arial"/>
          <w:color w:val="191919" w:themeColor="text1" w:themeTint="E6"/>
          <w:sz w:val="24"/>
          <w:szCs w:val="24"/>
        </w:rPr>
        <w:t>offences</w:t>
      </w:r>
      <w:r w:rsidRPr="00676D26">
        <w:rPr>
          <w:rFonts w:ascii="Arial" w:hAnsi="Arial" w:cs="Arial"/>
          <w:color w:val="191919" w:themeColor="text1" w:themeTint="E6"/>
          <w:sz w:val="24"/>
          <w:szCs w:val="24"/>
        </w:rPr>
        <w:t xml:space="preserve"> under</w:t>
      </w:r>
      <w:r w:rsidR="00394C68" w:rsidRPr="00676D26">
        <w:rPr>
          <w:rFonts w:ascii="Arial" w:hAnsi="Arial" w:cs="Arial"/>
          <w:color w:val="191919" w:themeColor="text1" w:themeTint="E6"/>
          <w:sz w:val="24"/>
          <w:szCs w:val="24"/>
        </w:rPr>
        <w:t xml:space="preserve"> the theft Act</w:t>
      </w:r>
      <w:r w:rsidRPr="00676D26">
        <w:rPr>
          <w:rFonts w:ascii="Arial" w:hAnsi="Arial" w:cs="Arial"/>
          <w:color w:val="191919" w:themeColor="text1" w:themeTint="E6"/>
          <w:sz w:val="24"/>
          <w:szCs w:val="24"/>
        </w:rPr>
        <w:t xml:space="preserve"> 1968</w:t>
      </w:r>
      <w:r w:rsidR="005E0A38" w:rsidRPr="00676D26">
        <w:rPr>
          <w:rFonts w:ascii="Arial" w:hAnsi="Arial" w:cs="Arial"/>
          <w:color w:val="191919" w:themeColor="text1" w:themeTint="E6"/>
          <w:sz w:val="24"/>
          <w:szCs w:val="24"/>
        </w:rPr>
        <w:t>. The</w:t>
      </w:r>
      <w:r w:rsidRPr="00676D26">
        <w:rPr>
          <w:rFonts w:ascii="Arial" w:hAnsi="Arial" w:cs="Arial"/>
          <w:color w:val="191919" w:themeColor="text1" w:themeTint="E6"/>
          <w:sz w:val="24"/>
          <w:szCs w:val="24"/>
        </w:rPr>
        <w:t xml:space="preserve"> Criminal Damage Act 1971, such as burglary, criminal damage, theft, and trespassing. These are serious offenses that Hadley has committed. According to S</w:t>
      </w:r>
      <w:r w:rsidR="00887060" w:rsidRPr="00676D26">
        <w:rPr>
          <w:rFonts w:ascii="Arial" w:hAnsi="Arial" w:cs="Arial"/>
          <w:color w:val="191919" w:themeColor="text1" w:themeTint="E6"/>
          <w:sz w:val="24"/>
          <w:szCs w:val="24"/>
        </w:rPr>
        <w:t>.</w:t>
      </w:r>
      <w:r w:rsidRPr="00676D26">
        <w:rPr>
          <w:rFonts w:ascii="Arial" w:hAnsi="Arial" w:cs="Arial"/>
          <w:color w:val="191919" w:themeColor="text1" w:themeTint="E6"/>
          <w:sz w:val="24"/>
          <w:szCs w:val="24"/>
        </w:rPr>
        <w:t xml:space="preserve">9 of the Theft Act 1968, </w:t>
      </w:r>
      <w:r w:rsidR="00C23004" w:rsidRPr="00676D26">
        <w:rPr>
          <w:rFonts w:ascii="Arial" w:eastAsia="Times New Roman" w:hAnsi="Arial" w:cs="Arial"/>
          <w:color w:val="191919" w:themeColor="text1" w:themeTint="E6"/>
          <w:sz w:val="24"/>
          <w:szCs w:val="24"/>
          <w:shd w:val="clear" w:color="auto" w:fill="F7F7F8"/>
        </w:rPr>
        <w:t>If an individual</w:t>
      </w:r>
      <w:r w:rsidR="002D4A8F" w:rsidRPr="00676D26">
        <w:rPr>
          <w:rFonts w:ascii="Arial" w:eastAsia="Times New Roman" w:hAnsi="Arial" w:cs="Arial"/>
          <w:color w:val="191919" w:themeColor="text1" w:themeTint="E6"/>
          <w:sz w:val="24"/>
          <w:szCs w:val="24"/>
          <w:shd w:val="clear" w:color="auto" w:fill="F7F7F8"/>
        </w:rPr>
        <w:t xml:space="preserve"> </w:t>
      </w:r>
      <w:r w:rsidR="00C23004" w:rsidRPr="00676D26">
        <w:rPr>
          <w:rFonts w:ascii="Arial" w:eastAsia="Times New Roman" w:hAnsi="Arial" w:cs="Arial"/>
          <w:color w:val="191919" w:themeColor="text1" w:themeTint="E6"/>
          <w:sz w:val="24"/>
          <w:szCs w:val="24"/>
          <w:shd w:val="clear" w:color="auto" w:fill="F7F7F8"/>
        </w:rPr>
        <w:t>enters a building or any part of a building without legal authority, with the intent to steal or cause severe physical</w:t>
      </w:r>
      <w:r w:rsidR="00736076" w:rsidRPr="00676D26">
        <w:rPr>
          <w:rFonts w:ascii="Arial" w:eastAsia="Times New Roman" w:hAnsi="Arial" w:cs="Arial"/>
          <w:color w:val="191919" w:themeColor="text1" w:themeTint="E6"/>
          <w:sz w:val="24"/>
          <w:szCs w:val="24"/>
          <w:shd w:val="clear" w:color="auto" w:fill="F7F7F8"/>
        </w:rPr>
        <w:t>(grievous)</w:t>
      </w:r>
      <w:r w:rsidR="00C23004" w:rsidRPr="00676D26">
        <w:rPr>
          <w:rFonts w:ascii="Arial" w:eastAsia="Times New Roman" w:hAnsi="Arial" w:cs="Arial"/>
          <w:color w:val="191919" w:themeColor="text1" w:themeTint="E6"/>
          <w:sz w:val="24"/>
          <w:szCs w:val="24"/>
          <w:shd w:val="clear" w:color="auto" w:fill="F7F7F8"/>
        </w:rPr>
        <w:t>harm, then it is considered unlawful</w:t>
      </w:r>
      <w:r w:rsidRPr="00676D26">
        <w:rPr>
          <w:rFonts w:ascii="Arial" w:hAnsi="Arial" w:cs="Arial"/>
          <w:color w:val="191919" w:themeColor="text1" w:themeTint="E6"/>
          <w:sz w:val="24"/>
          <w:szCs w:val="24"/>
        </w:rPr>
        <w:t>,</w:t>
      </w:r>
      <w:r w:rsidR="0020362D" w:rsidRPr="00676D26">
        <w:rPr>
          <w:rFonts w:ascii="Arial" w:hAnsi="Arial" w:cs="Arial"/>
          <w:color w:val="191919" w:themeColor="text1" w:themeTint="E6"/>
          <w:sz w:val="24"/>
          <w:szCs w:val="24"/>
        </w:rPr>
        <w:t xml:space="preserve"> </w:t>
      </w:r>
      <w:r w:rsidRPr="00676D26">
        <w:rPr>
          <w:rFonts w:ascii="Arial" w:hAnsi="Arial" w:cs="Arial"/>
          <w:color w:val="191919" w:themeColor="text1" w:themeTint="E6"/>
          <w:sz w:val="24"/>
          <w:szCs w:val="24"/>
        </w:rPr>
        <w:t>it will be considered as burglary. (Legislation.gov.uk, 1968).</w:t>
      </w:r>
    </w:p>
    <w:p w14:paraId="6DB6B234" w14:textId="0F808F26" w:rsidR="00E4384A" w:rsidRPr="00676D26" w:rsidRDefault="008E562F">
      <w:pPr>
        <w:rPr>
          <w:rFonts w:ascii="Arial" w:hAnsi="Arial" w:cs="Arial"/>
          <w:color w:val="191919" w:themeColor="text1" w:themeTint="E6"/>
          <w:sz w:val="24"/>
          <w:szCs w:val="24"/>
        </w:rPr>
      </w:pPr>
      <w:r w:rsidRPr="00676D26">
        <w:rPr>
          <w:rFonts w:ascii="Arial" w:hAnsi="Arial" w:cs="Arial"/>
          <w:color w:val="191919" w:themeColor="text1" w:themeTint="E6"/>
          <w:sz w:val="24"/>
          <w:szCs w:val="24"/>
        </w:rPr>
        <w:t xml:space="preserve">In order to be charged with burglary, there are three key elements that must be present: the building, trespassing, and the action or intent to commit theft or cause grievous harm. The building in question must be a structure that is considered a building, and the offender must enter the building or a part of it in order for the crime of burglary to be committed. The case of Moir V Williams (1982) established that a building, for the purpose of burglary, is an ordinary structure made of bricks, blocks, or stone that is covered by a roof. (Studocu, 2023).Stevens v Gourley (1859) determined that for a structure to be considered a building in the context of burglary, </w:t>
      </w:r>
      <w:r w:rsidR="002064CF" w:rsidRPr="00676D26">
        <w:rPr>
          <w:rFonts w:ascii="Arial" w:eastAsia="Times New Roman" w:hAnsi="Arial" w:cs="Arial"/>
          <w:color w:val="191919" w:themeColor="text1" w:themeTint="E6"/>
          <w:sz w:val="24"/>
          <w:szCs w:val="24"/>
          <w:shd w:val="clear" w:color="auto" w:fill="F7F7F8"/>
        </w:rPr>
        <w:t xml:space="preserve"> For a building to meet the criteria, it must be constructed with the intent of being used for a long period, or it must be of significant size</w:t>
      </w:r>
      <w:r w:rsidR="007977C4" w:rsidRPr="00676D26">
        <w:rPr>
          <w:rFonts w:ascii="Arial" w:eastAsia="Times New Roman" w:hAnsi="Arial" w:cs="Arial"/>
          <w:color w:val="191919" w:themeColor="text1" w:themeTint="E6"/>
          <w:sz w:val="24"/>
          <w:szCs w:val="24"/>
          <w:shd w:val="clear" w:color="auto" w:fill="F7F7F8"/>
        </w:rPr>
        <w:t>.</w:t>
      </w:r>
      <w:r w:rsidRPr="00676D26">
        <w:rPr>
          <w:rFonts w:ascii="Arial" w:hAnsi="Arial" w:cs="Arial"/>
          <w:color w:val="191919" w:themeColor="text1" w:themeTint="E6"/>
          <w:sz w:val="24"/>
          <w:szCs w:val="24"/>
        </w:rPr>
        <w:t>concept</w:t>
      </w:r>
      <w:r w:rsidR="002C4A87" w:rsidRPr="00676D26">
        <w:rPr>
          <w:rFonts w:ascii="Arial" w:hAnsi="Arial" w:cs="Arial"/>
          <w:color w:val="191919" w:themeColor="text1" w:themeTint="E6"/>
          <w:sz w:val="24"/>
          <w:szCs w:val="24"/>
        </w:rPr>
        <w:t xml:space="preserve"> </w:t>
      </w:r>
      <w:r w:rsidRPr="00676D26">
        <w:rPr>
          <w:rFonts w:ascii="Arial" w:hAnsi="Arial" w:cs="Arial"/>
          <w:color w:val="191919" w:themeColor="text1" w:themeTint="E6"/>
          <w:sz w:val="24"/>
          <w:szCs w:val="24"/>
        </w:rPr>
        <w:t xml:space="preserve">of building for the purpose of burglary also includes movable structures, such as offices, stores, or workshops, that are constructed with the intention of being used permanently. (Law Teacher, 2021a).According to the law of tort, trespass is a civil wrong that occurs when a person intrudes upon the land or property of another person without their permission.( Laver, 2017). </w:t>
      </w:r>
    </w:p>
    <w:p w14:paraId="14DF60A4" w14:textId="46C7210E" w:rsidR="00E4384A" w:rsidRPr="00676D26" w:rsidRDefault="008E562F">
      <w:pPr>
        <w:rPr>
          <w:rFonts w:ascii="Arial" w:hAnsi="Arial" w:cs="Arial"/>
          <w:color w:val="191919" w:themeColor="text1" w:themeTint="E6"/>
          <w:sz w:val="24"/>
          <w:szCs w:val="24"/>
        </w:rPr>
      </w:pPr>
      <w:r w:rsidRPr="00676D26">
        <w:rPr>
          <w:rFonts w:ascii="Arial" w:hAnsi="Arial" w:cs="Arial"/>
          <w:color w:val="191919" w:themeColor="text1" w:themeTint="E6"/>
          <w:sz w:val="24"/>
          <w:szCs w:val="24"/>
        </w:rPr>
        <w:t xml:space="preserve"> This was demonstrate</w:t>
      </w:r>
      <w:r w:rsidR="008B560F" w:rsidRPr="00676D26">
        <w:rPr>
          <w:rFonts w:ascii="Arial" w:eastAsia="Times New Roman" w:hAnsi="Arial" w:cs="Arial"/>
          <w:color w:val="191919" w:themeColor="text1" w:themeTint="E6"/>
          <w:sz w:val="24"/>
          <w:szCs w:val="24"/>
          <w:shd w:val="clear" w:color="auto" w:fill="F7F7F8"/>
        </w:rPr>
        <w:t xml:space="preserve"> Regarding the matter of</w:t>
      </w:r>
      <w:r w:rsidRPr="00676D26">
        <w:rPr>
          <w:rFonts w:ascii="Arial" w:hAnsi="Arial" w:cs="Arial"/>
          <w:color w:val="191919" w:themeColor="text1" w:themeTint="E6"/>
          <w:sz w:val="24"/>
          <w:szCs w:val="24"/>
        </w:rPr>
        <w:t xml:space="preserve">  Hemmings v Stoke Poges GC [1920], </w:t>
      </w:r>
      <w:r w:rsidR="008F308B" w:rsidRPr="00676D26">
        <w:rPr>
          <w:rFonts w:ascii="Arial" w:eastAsia="Times New Roman" w:hAnsi="Arial" w:cs="Arial"/>
          <w:color w:val="191919" w:themeColor="text1" w:themeTint="E6"/>
          <w:sz w:val="24"/>
          <w:szCs w:val="24"/>
          <w:shd w:val="clear" w:color="auto" w:fill="F7F7F8"/>
        </w:rPr>
        <w:t>According to the ruling of the court, in the event that an individual</w:t>
      </w:r>
      <w:r w:rsidR="008F308B" w:rsidRPr="00676D26">
        <w:rPr>
          <w:rFonts w:ascii="Arial" w:hAnsi="Arial" w:cs="Arial"/>
          <w:color w:val="191919" w:themeColor="text1" w:themeTint="E6"/>
          <w:sz w:val="24"/>
          <w:szCs w:val="24"/>
        </w:rPr>
        <w:t xml:space="preserve"> </w:t>
      </w:r>
      <w:r w:rsidRPr="00676D26">
        <w:rPr>
          <w:rFonts w:ascii="Arial" w:hAnsi="Arial" w:cs="Arial"/>
          <w:color w:val="191919" w:themeColor="text1" w:themeTint="E6"/>
          <w:sz w:val="24"/>
          <w:szCs w:val="24"/>
        </w:rPr>
        <w:t>refuses to leave</w:t>
      </w:r>
      <w:r w:rsidR="00A51419" w:rsidRPr="00676D26">
        <w:rPr>
          <w:rFonts w:ascii="Arial" w:hAnsi="Arial" w:cs="Arial"/>
          <w:color w:val="191919" w:themeColor="text1" w:themeTint="E6"/>
          <w:sz w:val="24"/>
          <w:szCs w:val="24"/>
        </w:rPr>
        <w:t xml:space="preserve"> land or</w:t>
      </w:r>
      <w:r w:rsidRPr="00676D26">
        <w:rPr>
          <w:rFonts w:ascii="Arial" w:hAnsi="Arial" w:cs="Arial"/>
          <w:color w:val="191919" w:themeColor="text1" w:themeTint="E6"/>
          <w:sz w:val="24"/>
          <w:szCs w:val="24"/>
        </w:rPr>
        <w:t xml:space="preserve"> the property that they have trespassed upon, then they may be ejected or removed from the premises by the owner or authorized person as a consequence. Based on Hadley's actions, he entered Ronan's house without permission through the back door, which satisfies the requirements(Evans, 2023).  for trespassing and building elements of burglary. Additionally, he took Ronan's Kolex watch without permission, which constitutes theft. Therefore, </w:t>
      </w:r>
      <w:r w:rsidR="004847BD" w:rsidRPr="00676D26">
        <w:rPr>
          <w:rFonts w:ascii="Arial" w:hAnsi="Arial" w:cs="Arial"/>
          <w:color w:val="191919" w:themeColor="text1" w:themeTint="E6"/>
          <w:sz w:val="24"/>
          <w:szCs w:val="24"/>
        </w:rPr>
        <w:t xml:space="preserve">There is sufficient cause to charge Hadley . </w:t>
      </w:r>
      <w:r w:rsidRPr="00676D26">
        <w:rPr>
          <w:rFonts w:ascii="Arial" w:hAnsi="Arial" w:cs="Arial"/>
          <w:color w:val="191919" w:themeColor="text1" w:themeTint="E6"/>
          <w:sz w:val="24"/>
          <w:szCs w:val="24"/>
        </w:rPr>
        <w:t>with burglary under S</w:t>
      </w:r>
      <w:r w:rsidR="003D5C00" w:rsidRPr="00676D26">
        <w:rPr>
          <w:rFonts w:ascii="Arial" w:hAnsi="Arial" w:cs="Arial"/>
          <w:color w:val="191919" w:themeColor="text1" w:themeTint="E6"/>
          <w:sz w:val="24"/>
          <w:szCs w:val="24"/>
        </w:rPr>
        <w:t>.</w:t>
      </w:r>
      <w:r w:rsidRPr="00676D26">
        <w:rPr>
          <w:rFonts w:ascii="Arial" w:hAnsi="Arial" w:cs="Arial"/>
          <w:color w:val="191919" w:themeColor="text1" w:themeTint="E6"/>
          <w:sz w:val="24"/>
          <w:szCs w:val="24"/>
        </w:rPr>
        <w:t xml:space="preserve"> 9</w:t>
      </w:r>
      <w:r w:rsidR="003D5C00" w:rsidRPr="00676D26">
        <w:rPr>
          <w:rFonts w:ascii="Arial" w:hAnsi="Arial" w:cs="Arial"/>
          <w:color w:val="191919" w:themeColor="text1" w:themeTint="E6"/>
          <w:sz w:val="24"/>
          <w:szCs w:val="24"/>
        </w:rPr>
        <w:t>.</w:t>
      </w:r>
      <w:r w:rsidRPr="00676D26">
        <w:rPr>
          <w:rFonts w:ascii="Arial" w:hAnsi="Arial" w:cs="Arial"/>
          <w:color w:val="191919" w:themeColor="text1" w:themeTint="E6"/>
          <w:sz w:val="24"/>
          <w:szCs w:val="24"/>
        </w:rPr>
        <w:t>1</w:t>
      </w:r>
      <w:r w:rsidR="003D5C00" w:rsidRPr="00676D26">
        <w:rPr>
          <w:rFonts w:ascii="Arial" w:hAnsi="Arial" w:cs="Arial"/>
          <w:color w:val="191919" w:themeColor="text1" w:themeTint="E6"/>
          <w:sz w:val="24"/>
          <w:szCs w:val="24"/>
        </w:rPr>
        <w:t>(</w:t>
      </w:r>
      <w:r w:rsidRPr="00676D26">
        <w:rPr>
          <w:rFonts w:ascii="Arial" w:hAnsi="Arial" w:cs="Arial"/>
          <w:color w:val="191919" w:themeColor="text1" w:themeTint="E6"/>
          <w:sz w:val="24"/>
          <w:szCs w:val="24"/>
        </w:rPr>
        <w:t xml:space="preserve">a) and (b) of the Theft Act 1968. As the building was Ronan's dwelling, </w:t>
      </w:r>
      <w:r w:rsidR="003D6640" w:rsidRPr="00676D26">
        <w:rPr>
          <w:rFonts w:ascii="Arial" w:eastAsia="Times New Roman" w:hAnsi="Arial" w:cs="Arial"/>
          <w:color w:val="191919" w:themeColor="text1" w:themeTint="E6"/>
          <w:sz w:val="24"/>
          <w:szCs w:val="24"/>
          <w:shd w:val="clear" w:color="auto" w:fill="F7F7F8"/>
        </w:rPr>
        <w:t>According to Section 9(3)(a) of the Theft Act 1968, he could receive a maximum prison sentence of 14 years</w:t>
      </w:r>
      <w:r w:rsidR="007F7E96" w:rsidRPr="00676D26">
        <w:rPr>
          <w:rFonts w:ascii="Arial" w:eastAsia="Times New Roman" w:hAnsi="Arial" w:cs="Arial"/>
          <w:color w:val="191919" w:themeColor="text1" w:themeTint="E6"/>
          <w:sz w:val="24"/>
          <w:szCs w:val="24"/>
          <w:shd w:val="clear" w:color="auto" w:fill="F7F7F8"/>
        </w:rPr>
        <w:t xml:space="preserve"> </w:t>
      </w:r>
      <w:r w:rsidRPr="00676D26">
        <w:rPr>
          <w:rFonts w:ascii="Arial" w:hAnsi="Arial" w:cs="Arial"/>
          <w:color w:val="191919" w:themeColor="text1" w:themeTint="E6"/>
          <w:sz w:val="24"/>
          <w:szCs w:val="24"/>
        </w:rPr>
        <w:t xml:space="preserve">for this </w:t>
      </w:r>
      <w:r w:rsidR="007F7E96" w:rsidRPr="00676D26">
        <w:rPr>
          <w:rFonts w:ascii="Arial" w:hAnsi="Arial" w:cs="Arial"/>
          <w:color w:val="191919" w:themeColor="text1" w:themeTint="E6"/>
          <w:sz w:val="24"/>
          <w:szCs w:val="24"/>
        </w:rPr>
        <w:t>offence</w:t>
      </w:r>
      <w:r w:rsidRPr="00676D26">
        <w:rPr>
          <w:rFonts w:ascii="Arial" w:hAnsi="Arial" w:cs="Arial"/>
          <w:color w:val="191919" w:themeColor="text1" w:themeTint="E6"/>
          <w:sz w:val="24"/>
          <w:szCs w:val="24"/>
        </w:rPr>
        <w:t>. S</w:t>
      </w:r>
      <w:r w:rsidR="007F7E96" w:rsidRPr="00676D26">
        <w:rPr>
          <w:rFonts w:ascii="Arial" w:hAnsi="Arial" w:cs="Arial"/>
          <w:color w:val="191919" w:themeColor="text1" w:themeTint="E6"/>
          <w:sz w:val="24"/>
          <w:szCs w:val="24"/>
        </w:rPr>
        <w:t>.</w:t>
      </w:r>
      <w:r w:rsidRPr="00676D26">
        <w:rPr>
          <w:rFonts w:ascii="Arial" w:hAnsi="Arial" w:cs="Arial"/>
          <w:color w:val="191919" w:themeColor="text1" w:themeTint="E6"/>
          <w:sz w:val="24"/>
          <w:szCs w:val="24"/>
        </w:rPr>
        <w:t>1(a) of the Theft Act 1968 defines theft as the act of taking someone else's property</w:t>
      </w:r>
      <w:r w:rsidR="00D92E46" w:rsidRPr="00676D26">
        <w:rPr>
          <w:rFonts w:ascii="Arial" w:eastAsia="Times New Roman" w:hAnsi="Arial" w:cs="Arial"/>
          <w:color w:val="191919" w:themeColor="text1" w:themeTint="E6"/>
          <w:sz w:val="24"/>
          <w:szCs w:val="24"/>
          <w:shd w:val="clear" w:color="auto" w:fill="F7F7F8"/>
        </w:rPr>
        <w:t xml:space="preserve"> </w:t>
      </w:r>
      <w:r w:rsidR="0084331A" w:rsidRPr="00676D26">
        <w:rPr>
          <w:rFonts w:ascii="Arial" w:eastAsia="Times New Roman" w:hAnsi="Arial" w:cs="Arial"/>
          <w:color w:val="191919" w:themeColor="text1" w:themeTint="E6"/>
          <w:sz w:val="24"/>
          <w:szCs w:val="24"/>
          <w:shd w:val="clear" w:color="auto" w:fill="F7F7F8"/>
        </w:rPr>
        <w:t>within</w:t>
      </w:r>
      <w:r w:rsidR="001203F0" w:rsidRPr="00676D26">
        <w:rPr>
          <w:rFonts w:ascii="Arial" w:hAnsi="Arial" w:cs="Arial"/>
          <w:color w:val="191919" w:themeColor="text1" w:themeTint="E6"/>
          <w:sz w:val="24"/>
          <w:szCs w:val="24"/>
        </w:rPr>
        <w:t xml:space="preserve"> </w:t>
      </w:r>
      <w:r w:rsidRPr="00676D26">
        <w:rPr>
          <w:rFonts w:ascii="Arial" w:hAnsi="Arial" w:cs="Arial"/>
          <w:color w:val="191919" w:themeColor="text1" w:themeTint="E6"/>
          <w:sz w:val="24"/>
          <w:szCs w:val="24"/>
        </w:rPr>
        <w:t xml:space="preserve">through dishonest means for personal benefit. </w:t>
      </w:r>
      <w:r w:rsidR="00E07361" w:rsidRPr="00676D26">
        <w:rPr>
          <w:rFonts w:ascii="Arial" w:eastAsia="Times New Roman" w:hAnsi="Arial" w:cs="Arial"/>
          <w:color w:val="191919" w:themeColor="text1" w:themeTint="E6"/>
          <w:sz w:val="24"/>
          <w:szCs w:val="24"/>
          <w:shd w:val="clear" w:color="auto" w:fill="F7F7F8"/>
        </w:rPr>
        <w:t>There are five key elements that must be present for an act to be classified as theft. These include:</w:t>
      </w:r>
    </w:p>
    <w:p w14:paraId="588B2ED8" w14:textId="77777777" w:rsidR="00E4384A" w:rsidRPr="00676D26" w:rsidRDefault="008E562F" w:rsidP="009C0262">
      <w:pPr>
        <w:pStyle w:val="ListParagraph"/>
        <w:numPr>
          <w:ilvl w:val="0"/>
          <w:numId w:val="3"/>
        </w:numPr>
        <w:rPr>
          <w:rFonts w:ascii="Arial" w:hAnsi="Arial" w:cs="Arial"/>
          <w:color w:val="191919" w:themeColor="text1" w:themeTint="E6"/>
          <w:sz w:val="24"/>
          <w:szCs w:val="24"/>
        </w:rPr>
      </w:pPr>
      <w:r w:rsidRPr="00676D26">
        <w:rPr>
          <w:rFonts w:ascii="Arial" w:hAnsi="Arial" w:cs="Arial"/>
          <w:color w:val="191919" w:themeColor="text1" w:themeTint="E6"/>
          <w:sz w:val="24"/>
          <w:szCs w:val="24"/>
        </w:rPr>
        <w:t>Dishonesty - The individual must act with dishonest intent when taking the property.</w:t>
      </w:r>
    </w:p>
    <w:p w14:paraId="6E91084E" w14:textId="77777777" w:rsidR="00E4384A" w:rsidRPr="00676D26" w:rsidRDefault="008E562F" w:rsidP="009C0262">
      <w:pPr>
        <w:pStyle w:val="ListParagraph"/>
        <w:numPr>
          <w:ilvl w:val="0"/>
          <w:numId w:val="3"/>
        </w:numPr>
        <w:rPr>
          <w:rFonts w:ascii="Arial" w:hAnsi="Arial" w:cs="Arial"/>
          <w:color w:val="191919" w:themeColor="text1" w:themeTint="E6"/>
          <w:sz w:val="24"/>
          <w:szCs w:val="24"/>
        </w:rPr>
      </w:pPr>
      <w:r w:rsidRPr="00676D26">
        <w:rPr>
          <w:rFonts w:ascii="Arial" w:hAnsi="Arial" w:cs="Arial"/>
          <w:color w:val="191919" w:themeColor="text1" w:themeTint="E6"/>
          <w:sz w:val="24"/>
          <w:szCs w:val="24"/>
        </w:rPr>
        <w:t>Appropriation - The property must be taken and controlled by the individual without the owner's consent.</w:t>
      </w:r>
    </w:p>
    <w:p w14:paraId="4CF8917F" w14:textId="77777777" w:rsidR="00E4384A" w:rsidRPr="00676D26" w:rsidRDefault="008E562F" w:rsidP="009C0262">
      <w:pPr>
        <w:pStyle w:val="ListParagraph"/>
        <w:numPr>
          <w:ilvl w:val="0"/>
          <w:numId w:val="3"/>
        </w:numPr>
        <w:rPr>
          <w:rFonts w:ascii="Arial" w:hAnsi="Arial" w:cs="Arial"/>
          <w:color w:val="191919" w:themeColor="text1" w:themeTint="E6"/>
          <w:sz w:val="24"/>
          <w:szCs w:val="24"/>
        </w:rPr>
      </w:pPr>
      <w:r w:rsidRPr="00676D26">
        <w:rPr>
          <w:rFonts w:ascii="Arial" w:hAnsi="Arial" w:cs="Arial"/>
          <w:color w:val="191919" w:themeColor="text1" w:themeTint="E6"/>
          <w:sz w:val="24"/>
          <w:szCs w:val="24"/>
        </w:rPr>
        <w:t>Property - The property taken must have a value, whether monetary or sentimental.</w:t>
      </w:r>
    </w:p>
    <w:p w14:paraId="76F28408" w14:textId="77777777" w:rsidR="00E4384A" w:rsidRPr="00676D26" w:rsidRDefault="008E562F" w:rsidP="009C0262">
      <w:pPr>
        <w:pStyle w:val="ListParagraph"/>
        <w:numPr>
          <w:ilvl w:val="0"/>
          <w:numId w:val="3"/>
        </w:numPr>
        <w:rPr>
          <w:rFonts w:ascii="Arial" w:hAnsi="Arial" w:cs="Arial"/>
          <w:color w:val="191919" w:themeColor="text1" w:themeTint="E6"/>
          <w:sz w:val="24"/>
          <w:szCs w:val="24"/>
        </w:rPr>
      </w:pPr>
      <w:r w:rsidRPr="00676D26">
        <w:rPr>
          <w:rFonts w:ascii="Arial" w:hAnsi="Arial" w:cs="Arial"/>
          <w:color w:val="191919" w:themeColor="text1" w:themeTint="E6"/>
          <w:sz w:val="24"/>
          <w:szCs w:val="24"/>
        </w:rPr>
        <w:t>Belonging to another - The property must belong to someone else, not the individual taking it.</w:t>
      </w:r>
    </w:p>
    <w:p w14:paraId="50C0315F" w14:textId="1D2EA6BF" w:rsidR="00E4384A" w:rsidRPr="00676D26" w:rsidRDefault="00A9568C" w:rsidP="00DA7B55">
      <w:pPr>
        <w:pStyle w:val="ListParagraph"/>
        <w:numPr>
          <w:ilvl w:val="0"/>
          <w:numId w:val="3"/>
        </w:numPr>
        <w:rPr>
          <w:rFonts w:ascii="Arial" w:hAnsi="Arial" w:cs="Arial"/>
          <w:color w:val="191919" w:themeColor="text1" w:themeTint="E6"/>
          <w:sz w:val="24"/>
          <w:szCs w:val="24"/>
        </w:rPr>
      </w:pPr>
      <w:r w:rsidRPr="00676D26">
        <w:rPr>
          <w:rFonts w:ascii="Arial" w:eastAsia="Times New Roman" w:hAnsi="Arial" w:cs="Arial"/>
          <w:color w:val="191919" w:themeColor="text1" w:themeTint="E6"/>
          <w:sz w:val="24"/>
          <w:szCs w:val="24"/>
          <w:shd w:val="clear" w:color="auto" w:fill="F7F7F8"/>
        </w:rPr>
        <w:lastRenderedPageBreak/>
        <w:t>intention of keeping it for oneself permanently</w:t>
      </w:r>
      <w:r w:rsidR="008E562F" w:rsidRPr="00676D26">
        <w:rPr>
          <w:rFonts w:ascii="Arial" w:hAnsi="Arial" w:cs="Arial"/>
          <w:color w:val="191919" w:themeColor="text1" w:themeTint="E6"/>
          <w:sz w:val="24"/>
          <w:szCs w:val="24"/>
        </w:rPr>
        <w:t xml:space="preserve"> </w:t>
      </w:r>
      <w:r w:rsidR="000E4F0A" w:rsidRPr="00676D26">
        <w:rPr>
          <w:rFonts w:ascii="Arial" w:hAnsi="Arial" w:cs="Arial"/>
          <w:color w:val="191919" w:themeColor="text1" w:themeTint="E6"/>
          <w:sz w:val="24"/>
          <w:szCs w:val="24"/>
        </w:rPr>
        <w:t>–</w:t>
      </w:r>
      <w:r w:rsidR="008E562F" w:rsidRPr="00676D26">
        <w:rPr>
          <w:rFonts w:ascii="Arial" w:hAnsi="Arial" w:cs="Arial"/>
          <w:color w:val="191919" w:themeColor="text1" w:themeTint="E6"/>
          <w:sz w:val="24"/>
          <w:szCs w:val="24"/>
        </w:rPr>
        <w:t xml:space="preserve"> </w:t>
      </w:r>
      <w:r w:rsidR="000E4F0A" w:rsidRPr="00676D26">
        <w:rPr>
          <w:rFonts w:ascii="Arial" w:eastAsia="Times New Roman" w:hAnsi="Arial" w:cs="Arial"/>
          <w:color w:val="191919" w:themeColor="text1" w:themeTint="E6"/>
          <w:sz w:val="24"/>
          <w:szCs w:val="24"/>
          <w:shd w:val="clear" w:color="auto" w:fill="F7F7F8"/>
        </w:rPr>
        <w:t xml:space="preserve">the intention of keeping it for oneself permanently, thereby depriving the rightful owner of its </w:t>
      </w:r>
      <w:r w:rsidR="00DA7B55" w:rsidRPr="00676D26">
        <w:rPr>
          <w:rFonts w:ascii="Arial" w:eastAsia="Times New Roman" w:hAnsi="Arial" w:cs="Arial"/>
          <w:color w:val="191919" w:themeColor="text1" w:themeTint="E6"/>
          <w:sz w:val="24"/>
          <w:szCs w:val="24"/>
          <w:shd w:val="clear" w:color="auto" w:fill="F7F7F8"/>
        </w:rPr>
        <w:t xml:space="preserve">possessions </w:t>
      </w:r>
    </w:p>
    <w:p w14:paraId="7832FD1F" w14:textId="6D4FE2D7" w:rsidR="00E4384A" w:rsidRPr="002370D9" w:rsidRDefault="00A06E69" w:rsidP="002370D9">
      <w:pPr>
        <w:ind w:left="360"/>
        <w:rPr>
          <w:rFonts w:ascii="Segoe UI" w:eastAsia="Times New Roman" w:hAnsi="Segoe UI" w:cs="Segoe UI"/>
          <w:color w:val="374151"/>
          <w:shd w:val="clear" w:color="auto" w:fill="F7F7F8"/>
        </w:rPr>
      </w:pPr>
      <w:r w:rsidRPr="00676D26">
        <w:rPr>
          <w:rFonts w:ascii="Arial" w:hAnsi="Arial" w:cs="Arial"/>
          <w:color w:val="191919" w:themeColor="text1" w:themeTint="E6"/>
          <w:sz w:val="24"/>
          <w:szCs w:val="24"/>
        </w:rPr>
        <w:t xml:space="preserve">According to </w:t>
      </w:r>
      <w:r w:rsidR="00821303" w:rsidRPr="00676D26">
        <w:rPr>
          <w:rFonts w:ascii="Arial" w:hAnsi="Arial" w:cs="Arial"/>
          <w:color w:val="191919" w:themeColor="text1" w:themeTint="E6"/>
          <w:sz w:val="24"/>
          <w:szCs w:val="24"/>
        </w:rPr>
        <w:t xml:space="preserve">the </w:t>
      </w:r>
      <w:r w:rsidR="008E562F" w:rsidRPr="00676D26">
        <w:rPr>
          <w:rFonts w:ascii="Arial" w:hAnsi="Arial" w:cs="Arial"/>
          <w:color w:val="191919" w:themeColor="text1" w:themeTint="E6"/>
          <w:sz w:val="24"/>
          <w:szCs w:val="24"/>
        </w:rPr>
        <w:t>S</w:t>
      </w:r>
      <w:r w:rsidR="00DA7B55" w:rsidRPr="00676D26">
        <w:rPr>
          <w:rFonts w:ascii="Arial" w:hAnsi="Arial" w:cs="Arial"/>
          <w:color w:val="191919" w:themeColor="text1" w:themeTint="E6"/>
          <w:sz w:val="24"/>
          <w:szCs w:val="24"/>
        </w:rPr>
        <w:t>.</w:t>
      </w:r>
      <w:r w:rsidR="008E562F" w:rsidRPr="00676D26">
        <w:rPr>
          <w:rFonts w:ascii="Arial" w:hAnsi="Arial" w:cs="Arial"/>
          <w:color w:val="191919" w:themeColor="text1" w:themeTint="E6"/>
          <w:sz w:val="24"/>
          <w:szCs w:val="24"/>
        </w:rPr>
        <w:t xml:space="preserve"> 2</w:t>
      </w:r>
      <w:r w:rsidR="00BA11FE" w:rsidRPr="00676D26">
        <w:rPr>
          <w:rFonts w:ascii="Arial" w:hAnsi="Arial" w:cs="Arial"/>
          <w:color w:val="191919" w:themeColor="text1" w:themeTint="E6"/>
          <w:sz w:val="24"/>
          <w:szCs w:val="24"/>
        </w:rPr>
        <w:t xml:space="preserve">.1 </w:t>
      </w:r>
      <w:r w:rsidR="008E562F" w:rsidRPr="00676D26">
        <w:rPr>
          <w:rFonts w:ascii="Arial" w:hAnsi="Arial" w:cs="Arial"/>
          <w:color w:val="191919" w:themeColor="text1" w:themeTint="E6"/>
          <w:sz w:val="24"/>
          <w:szCs w:val="24"/>
        </w:rPr>
        <w:t>of Theft Act 1968 states that</w:t>
      </w:r>
      <w:r w:rsidR="00BE1BD6" w:rsidRPr="00676D26">
        <w:rPr>
          <w:rFonts w:ascii="Arial" w:eastAsia="Times New Roman" w:hAnsi="Arial" w:cs="Arial"/>
          <w:color w:val="191919" w:themeColor="text1" w:themeTint="E6"/>
          <w:sz w:val="24"/>
          <w:szCs w:val="24"/>
          <w:shd w:val="clear" w:color="auto" w:fill="F7F7F8"/>
        </w:rPr>
        <w:t xml:space="preserve"> If an individual has a legal right to take possession of the property, or if the owner of the property has given their approval for the appropriation, then it will not be regarded as an act of dishonesty</w:t>
      </w:r>
      <w:r w:rsidR="00BE1BD6">
        <w:rPr>
          <w:rFonts w:ascii="Segoe UI" w:eastAsia="Times New Roman" w:hAnsi="Segoe UI" w:cs="Segoe UI"/>
          <w:color w:val="374151"/>
          <w:shd w:val="clear" w:color="auto" w:fill="F7F7F8"/>
        </w:rPr>
        <w:t>.</w:t>
      </w:r>
      <w:r w:rsidR="008E562F">
        <w:rPr>
          <w:rFonts w:ascii="Arial" w:hAnsi="Arial" w:cs="Arial"/>
          <w:sz w:val="24"/>
          <w:szCs w:val="24"/>
        </w:rPr>
        <w:t xml:space="preserve"> </w:t>
      </w:r>
    </w:p>
    <w:p w14:paraId="572598E1" w14:textId="2D1A34FC" w:rsidR="00E4384A" w:rsidRPr="00C135F4" w:rsidRDefault="00C135F4" w:rsidP="00C135F4">
      <w:pPr>
        <w:ind w:left="360"/>
        <w:rPr>
          <w:rFonts w:ascii="Arial" w:hAnsi="Arial" w:cs="Arial"/>
          <w:sz w:val="24"/>
          <w:szCs w:val="24"/>
        </w:rPr>
      </w:pPr>
      <w:r w:rsidRPr="00C135F4">
        <w:rPr>
          <w:rFonts w:ascii="Arial" w:hAnsi="Arial" w:cs="Arial"/>
          <w:sz w:val="24"/>
          <w:szCs w:val="24"/>
        </w:rPr>
        <w:t>If the person has a legal right to keep or handle the property, even if it belongs to someone else, the appropriation will not be viewed as a theft, according to S.3 of the Act</w:t>
      </w:r>
      <w:r w:rsidR="008E562F">
        <w:rPr>
          <w:rFonts w:ascii="Arial" w:hAnsi="Arial" w:cs="Arial"/>
          <w:sz w:val="24"/>
          <w:szCs w:val="24"/>
        </w:rPr>
        <w:t>. Additionally,</w:t>
      </w:r>
      <w:r w:rsidR="00F86ACD" w:rsidRPr="00F86ACD">
        <w:rPr>
          <w:rFonts w:ascii="Arial" w:hAnsi="Arial" w:cs="Arial"/>
          <w:sz w:val="24"/>
          <w:szCs w:val="24"/>
        </w:rPr>
        <w:t xml:space="preserve"> The appropriation won't be considered theft if the person is using the property in good faith or if they have a legitimate claim to it. In accordance with Theft Act of 1968 S</w:t>
      </w:r>
      <w:r w:rsidR="002710DD">
        <w:rPr>
          <w:rFonts w:ascii="Arial" w:hAnsi="Arial" w:cs="Arial"/>
          <w:sz w:val="24"/>
          <w:szCs w:val="24"/>
        </w:rPr>
        <w:t>.</w:t>
      </w:r>
      <w:r w:rsidR="00F86ACD" w:rsidRPr="00F86ACD">
        <w:rPr>
          <w:rFonts w:ascii="Arial" w:hAnsi="Arial" w:cs="Arial"/>
          <w:sz w:val="24"/>
          <w:szCs w:val="24"/>
        </w:rPr>
        <w:t xml:space="preserve"> 4</w:t>
      </w:r>
      <w:r w:rsidR="00F86ACD">
        <w:rPr>
          <w:rFonts w:ascii="Arial" w:hAnsi="Arial" w:cs="Arial"/>
          <w:sz w:val="24"/>
          <w:szCs w:val="24"/>
        </w:rPr>
        <w:t>,</w:t>
      </w:r>
      <w:r w:rsidR="008E562F">
        <w:rPr>
          <w:rFonts w:ascii="Arial" w:hAnsi="Arial" w:cs="Arial"/>
          <w:sz w:val="24"/>
          <w:szCs w:val="24"/>
        </w:rPr>
        <w:t xml:space="preserve"> the term "property" encompasses a wide range of items including money, tangible and intangible assets, and things in action.</w:t>
      </w:r>
      <w:r w:rsidR="00D025D1">
        <w:rPr>
          <w:rFonts w:ascii="Arial" w:hAnsi="Arial" w:cs="Arial"/>
          <w:sz w:val="24"/>
          <w:szCs w:val="24"/>
        </w:rPr>
        <w:t>According to</w:t>
      </w:r>
      <w:r w:rsidR="008E562F">
        <w:rPr>
          <w:rFonts w:ascii="Arial" w:hAnsi="Arial" w:cs="Arial"/>
          <w:sz w:val="24"/>
          <w:szCs w:val="24"/>
        </w:rPr>
        <w:t xml:space="preserve"> Theft Act 1968</w:t>
      </w:r>
      <w:r w:rsidR="00080037">
        <w:rPr>
          <w:rFonts w:ascii="Arial" w:hAnsi="Arial" w:cs="Arial"/>
          <w:sz w:val="24"/>
          <w:szCs w:val="24"/>
        </w:rPr>
        <w:t xml:space="preserve"> S.5</w:t>
      </w:r>
      <w:r w:rsidR="008E562F">
        <w:rPr>
          <w:rFonts w:ascii="Arial" w:hAnsi="Arial" w:cs="Arial"/>
          <w:sz w:val="24"/>
          <w:szCs w:val="24"/>
        </w:rPr>
        <w:t xml:space="preserve"> requires that the property must be owned or controlled by someone else. The court in the case of </w:t>
      </w:r>
      <w:r w:rsidR="008E562F">
        <w:rPr>
          <w:rFonts w:ascii="Arial" w:hAnsi="Arial" w:cs="Arial"/>
          <w:b/>
          <w:bCs/>
          <w:sz w:val="24"/>
          <w:szCs w:val="24"/>
        </w:rPr>
        <w:t xml:space="preserve">R v Turner (1971) </w:t>
      </w:r>
      <w:r w:rsidR="008E562F">
        <w:rPr>
          <w:rFonts w:ascii="Arial" w:hAnsi="Arial" w:cs="Arial"/>
          <w:sz w:val="24"/>
          <w:szCs w:val="24"/>
        </w:rPr>
        <w:t xml:space="preserve">held that taking a car without the garage owner's permission, where it was being kept for repair, would amount to theft by the car owner. Additionally, section 6 of the Theft Act 1968 requires that the person taking the property has the intention to deprive the other permanently, and borrowing or mere loss of the property will not suffice. </w:t>
      </w:r>
      <w:r w:rsidR="008D5618" w:rsidRPr="008D5618">
        <w:rPr>
          <w:rFonts w:ascii="Arial" w:hAnsi="Arial" w:cs="Arial"/>
          <w:sz w:val="24"/>
          <w:szCs w:val="24"/>
        </w:rPr>
        <w:t xml:space="preserve">The court ruled in </w:t>
      </w:r>
      <w:r w:rsidR="008D5618" w:rsidRPr="008612C8">
        <w:rPr>
          <w:rFonts w:ascii="Arial" w:hAnsi="Arial" w:cs="Arial"/>
          <w:b/>
          <w:bCs/>
          <w:sz w:val="24"/>
          <w:szCs w:val="24"/>
        </w:rPr>
        <w:t xml:space="preserve">R v Mitchell (2008 case) </w:t>
      </w:r>
      <w:r w:rsidR="008D5618" w:rsidRPr="008D5618">
        <w:rPr>
          <w:rFonts w:ascii="Arial" w:hAnsi="Arial" w:cs="Arial"/>
          <w:sz w:val="24"/>
          <w:szCs w:val="24"/>
        </w:rPr>
        <w:t>that</w:t>
      </w:r>
      <w:r w:rsidR="008D5618">
        <w:rPr>
          <w:rFonts w:ascii="Arial" w:hAnsi="Arial" w:cs="Arial"/>
          <w:sz w:val="24"/>
          <w:szCs w:val="24"/>
        </w:rPr>
        <w:t xml:space="preserve"> </w:t>
      </w:r>
      <w:r w:rsidR="008E562F">
        <w:rPr>
          <w:rFonts w:ascii="Arial" w:hAnsi="Arial" w:cs="Arial"/>
          <w:sz w:val="24"/>
          <w:szCs w:val="24"/>
        </w:rPr>
        <w:t>the defendant did not have any intention other than using the vehicles, thus he was not guilty of theft. In the present case, Hadley has committed all the elements of theft by taking Ronan's Kolex watch through dishonest means, appropriating the property which.</w:t>
      </w:r>
      <w:r w:rsidR="00E92F48" w:rsidRPr="00E92F48">
        <w:rPr>
          <w:rFonts w:ascii="Arial" w:hAnsi="Arial" w:cs="Arial"/>
          <w:sz w:val="24"/>
          <w:szCs w:val="24"/>
        </w:rPr>
        <w:t xml:space="preserve"> intended to permanently rob Ronan of what belonged to him</w:t>
      </w:r>
      <w:r w:rsidR="00E92F48">
        <w:rPr>
          <w:rFonts w:ascii="Arial" w:hAnsi="Arial" w:cs="Arial"/>
          <w:sz w:val="24"/>
          <w:szCs w:val="24"/>
        </w:rPr>
        <w:t>.</w:t>
      </w:r>
      <w:r w:rsidR="008E562F">
        <w:rPr>
          <w:rFonts w:ascii="Arial" w:hAnsi="Arial" w:cs="Arial"/>
          <w:sz w:val="24"/>
          <w:szCs w:val="24"/>
        </w:rPr>
        <w:t xml:space="preserve"> Hadley could face imprisonment for a maximum of 7 years for these charges </w:t>
      </w:r>
      <w:r w:rsidR="002838DB" w:rsidRPr="002838DB">
        <w:rPr>
          <w:rFonts w:ascii="Arial" w:hAnsi="Arial" w:cs="Arial"/>
          <w:sz w:val="24"/>
          <w:szCs w:val="24"/>
        </w:rPr>
        <w:t>in accordance with Theft Act 1968 Section 1(a) (cps.gov.uk, 2022a). Section 1(1) of the Criminal Damage Act of 1971 states that anyone who intentionally or</w:t>
      </w:r>
      <w:r w:rsidR="002838DB">
        <w:rPr>
          <w:rFonts w:ascii="Arial" w:hAnsi="Arial" w:cs="Arial"/>
          <w:sz w:val="24"/>
          <w:szCs w:val="24"/>
        </w:rPr>
        <w:t xml:space="preserve"> </w:t>
      </w:r>
      <w:r w:rsidR="008E562F">
        <w:rPr>
          <w:rFonts w:ascii="Arial" w:hAnsi="Arial" w:cs="Arial"/>
          <w:sz w:val="24"/>
          <w:szCs w:val="24"/>
        </w:rPr>
        <w:t xml:space="preserve">recklessly damages or destroys the property of another will be guilty of committing an offence of criminal damage (Legislation.gov.uk, 1971). This requires the presence of essential elements such as </w:t>
      </w:r>
      <w:r w:rsidR="00D26D99" w:rsidRPr="00D26D99">
        <w:rPr>
          <w:rFonts w:ascii="Arial" w:hAnsi="Arial" w:cs="Arial"/>
          <w:sz w:val="24"/>
          <w:szCs w:val="24"/>
        </w:rPr>
        <w:t>property that is another person's property that is being used recklessly and without legal justification. Property is defined in Section 10 (1) of the act as tangible objects, money, and real or personal goods. In addition,</w:t>
      </w:r>
      <w:r w:rsidR="00D26D99">
        <w:rPr>
          <w:rFonts w:ascii="Arial" w:hAnsi="Arial" w:cs="Arial"/>
          <w:sz w:val="24"/>
          <w:szCs w:val="24"/>
        </w:rPr>
        <w:t xml:space="preserve"> </w:t>
      </w:r>
      <w:r w:rsidR="00D26D99" w:rsidRPr="00D26D99">
        <w:rPr>
          <w:rFonts w:ascii="Arial" w:hAnsi="Arial" w:cs="Arial"/>
          <w:sz w:val="24"/>
          <w:szCs w:val="24"/>
        </w:rPr>
        <w:t>in accordance with section 10 (2) of the law (Legislation.gov.uk, 1971), the property must be in the care, custody, or control of another person, or it must be used to further the interests of someone other than the offender.</w:t>
      </w:r>
    </w:p>
    <w:p w14:paraId="02C92BD2" w14:textId="77777777" w:rsidR="008F1689" w:rsidRDefault="008E562F" w:rsidP="008F1689">
      <w:pPr>
        <w:ind w:left="360"/>
      </w:pPr>
      <w:r>
        <w:rPr>
          <w:rFonts w:ascii="Arial" w:hAnsi="Arial" w:cs="Arial"/>
          <w:b/>
          <w:bCs/>
          <w:sz w:val="24"/>
          <w:szCs w:val="24"/>
        </w:rPr>
        <w:t>Conclusion</w:t>
      </w:r>
      <w:r>
        <w:rPr>
          <w:rFonts w:ascii="Arial" w:hAnsi="Arial" w:cs="Arial"/>
          <w:sz w:val="24"/>
          <w:szCs w:val="24"/>
        </w:rPr>
        <w:t>,</w:t>
      </w:r>
    </w:p>
    <w:p w14:paraId="7A8981D9" w14:textId="66FFB010" w:rsidR="00E4384A" w:rsidRDefault="008F1689" w:rsidP="008F1689">
      <w:pPr>
        <w:ind w:left="360"/>
      </w:pPr>
      <w:r w:rsidRPr="008F1689">
        <w:rPr>
          <w:rFonts w:ascii="Arial" w:hAnsi="Arial" w:cs="Arial"/>
          <w:sz w:val="24"/>
          <w:szCs w:val="24"/>
        </w:rPr>
        <w:t xml:space="preserve"> Hadley in this instance jumped the fence, set fire to the aftershave, and destroyed Ronan's wooden bench and dressing room with the clear intent to harm them (cps.gov.uk, 2022b). According to section 1(3) of the Criminal Damage Act of 1971, which includes causing damage to another person's property, this meets the requirements for committing an arson offence (ICLR, 2020).</w:t>
      </w:r>
      <w:r>
        <w:rPr>
          <w:rFonts w:ascii="Arial" w:hAnsi="Arial" w:cs="Arial"/>
          <w:sz w:val="24"/>
          <w:szCs w:val="24"/>
        </w:rPr>
        <w:t>T</w:t>
      </w:r>
      <w:r w:rsidR="008E562F">
        <w:rPr>
          <w:rFonts w:ascii="Arial" w:hAnsi="Arial" w:cs="Arial"/>
          <w:sz w:val="24"/>
          <w:szCs w:val="24"/>
        </w:rPr>
        <w:t xml:space="preserve">he </w:t>
      </w:r>
      <w:r w:rsidR="008E562F">
        <w:rPr>
          <w:rFonts w:ascii="Arial" w:hAnsi="Arial" w:cs="Arial"/>
          <w:b/>
          <w:bCs/>
          <w:sz w:val="24"/>
          <w:szCs w:val="24"/>
        </w:rPr>
        <w:t xml:space="preserve">R v Miller [1983] </w:t>
      </w:r>
      <w:r w:rsidR="005E5FE0">
        <w:rPr>
          <w:rFonts w:ascii="Arial" w:hAnsi="Arial" w:cs="Arial"/>
          <w:b/>
          <w:bCs/>
          <w:sz w:val="24"/>
          <w:szCs w:val="24"/>
        </w:rPr>
        <w:t xml:space="preserve">case </w:t>
      </w:r>
      <w:r w:rsidR="008E562F">
        <w:rPr>
          <w:rFonts w:ascii="Arial" w:hAnsi="Arial" w:cs="Arial"/>
          <w:sz w:val="24"/>
          <w:szCs w:val="24"/>
        </w:rPr>
        <w:t xml:space="preserve">demonstrates that a defendant can be held responsible for causing a dangerous situation if they have failed to fulfil their responsibilities that were necessary for the situation and were within their reach (Law Teacher, 2021b). Similarly, in this case, Hadley's actions were responsible for the fire and the damage caused, indicating the presence of the actus reus and </w:t>
      </w:r>
      <w:r w:rsidR="008E562F">
        <w:rPr>
          <w:rFonts w:ascii="Arial" w:hAnsi="Arial" w:cs="Arial"/>
          <w:sz w:val="24"/>
          <w:szCs w:val="24"/>
        </w:rPr>
        <w:lastRenderedPageBreak/>
        <w:t xml:space="preserve">mens rea, which are essential elements for an offence of arson. Therefore, </w:t>
      </w:r>
      <w:bookmarkStart w:id="0" w:name="_Toc123912299"/>
      <w:r w:rsidR="00CB342C" w:rsidRPr="00CB342C">
        <w:rPr>
          <w:rFonts w:ascii="Arial" w:hAnsi="Arial" w:cs="Arial"/>
          <w:sz w:val="24"/>
          <w:szCs w:val="24"/>
        </w:rPr>
        <w:t>Hadley will be charged with the crime of arson and face incarceration in accordance with Criminal Damage Act of 1971</w:t>
      </w:r>
      <w:r w:rsidR="00C13EC4">
        <w:rPr>
          <w:rFonts w:ascii="Arial" w:hAnsi="Arial" w:cs="Arial"/>
          <w:sz w:val="24"/>
          <w:szCs w:val="24"/>
        </w:rPr>
        <w:t>.S.</w:t>
      </w:r>
      <w:r w:rsidR="00744525">
        <w:rPr>
          <w:rFonts w:ascii="Arial" w:hAnsi="Arial" w:cs="Arial"/>
          <w:sz w:val="24"/>
          <w:szCs w:val="24"/>
        </w:rPr>
        <w:t>1(3).</w:t>
      </w:r>
      <w:r w:rsidR="00CB342C" w:rsidRPr="00CB342C">
        <w:rPr>
          <w:rFonts w:ascii="Arial" w:hAnsi="Arial" w:cs="Arial"/>
          <w:sz w:val="24"/>
          <w:szCs w:val="24"/>
        </w:rPr>
        <w:t xml:space="preserve"> (cps.gov.uk, 2022b).</w:t>
      </w:r>
    </w:p>
    <w:p w14:paraId="08475BE5" w14:textId="77777777" w:rsidR="00E4384A" w:rsidRDefault="008E562F">
      <w:r>
        <w:rPr>
          <w:rFonts w:ascii="Arial" w:hAnsi="Arial" w:cs="Arial"/>
          <w:b/>
          <w:bCs/>
          <w:sz w:val="28"/>
          <w:szCs w:val="28"/>
        </w:rPr>
        <w:t>Defence of Freya</w:t>
      </w:r>
      <w:bookmarkEnd w:id="0"/>
      <w:r>
        <w:rPr>
          <w:rFonts w:ascii="Arial" w:hAnsi="Arial" w:cs="Arial"/>
          <w:b/>
          <w:bCs/>
          <w:sz w:val="24"/>
          <w:szCs w:val="24"/>
        </w:rPr>
        <w:t>,</w:t>
      </w:r>
    </w:p>
    <w:p w14:paraId="349D0F9F" w14:textId="7111D517" w:rsidR="00E4384A" w:rsidRDefault="006B0824">
      <w:r w:rsidRPr="006B0824">
        <w:rPr>
          <w:rFonts w:ascii="Arial" w:hAnsi="Arial" w:cs="Arial"/>
          <w:sz w:val="24"/>
          <w:szCs w:val="24"/>
        </w:rPr>
        <w:t xml:space="preserve">If an assault results in bodily harm, the offender faces a 7-year prison sentence, according to section 47 of the </w:t>
      </w:r>
      <w:r w:rsidR="00676D26" w:rsidRPr="006B0824">
        <w:rPr>
          <w:rFonts w:ascii="Arial" w:hAnsi="Arial" w:cs="Arial"/>
          <w:sz w:val="24"/>
          <w:szCs w:val="24"/>
        </w:rPr>
        <w:t>Offences</w:t>
      </w:r>
      <w:r w:rsidRPr="006B0824">
        <w:rPr>
          <w:rFonts w:ascii="Arial" w:hAnsi="Arial" w:cs="Arial"/>
          <w:sz w:val="24"/>
          <w:szCs w:val="24"/>
        </w:rPr>
        <w:t xml:space="preserve"> Against the Person Act of 1861 (Legislation.gov.uk, 1861).</w:t>
      </w:r>
      <w:r w:rsidR="008E562F">
        <w:rPr>
          <w:rFonts w:ascii="Arial" w:hAnsi="Arial" w:cs="Arial"/>
          <w:sz w:val="24"/>
          <w:szCs w:val="24"/>
        </w:rPr>
        <w:t xml:space="preserve"> Freya may not be able to rely on the defence of intoxication as it was held in </w:t>
      </w:r>
      <w:r w:rsidR="008E562F">
        <w:rPr>
          <w:rFonts w:ascii="Arial" w:hAnsi="Arial" w:cs="Arial"/>
          <w:b/>
          <w:bCs/>
          <w:sz w:val="24"/>
          <w:szCs w:val="24"/>
        </w:rPr>
        <w:t>R v Kingston (1994)</w:t>
      </w:r>
      <w:r w:rsidR="008E562F">
        <w:rPr>
          <w:rFonts w:ascii="Arial" w:hAnsi="Arial" w:cs="Arial"/>
          <w:sz w:val="24"/>
          <w:szCs w:val="24"/>
        </w:rPr>
        <w:t xml:space="preserve"> that</w:t>
      </w:r>
      <w:r w:rsidR="00725C8D" w:rsidRPr="00725C8D">
        <w:rPr>
          <w:rFonts w:ascii="Arial" w:hAnsi="Arial" w:cs="Arial"/>
          <w:sz w:val="24"/>
          <w:szCs w:val="24"/>
        </w:rPr>
        <w:t xml:space="preserve"> If the intent is clear, the defense of intoxication will not apply</w:t>
      </w:r>
      <w:r w:rsidR="00725C8D">
        <w:rPr>
          <w:rFonts w:ascii="Arial" w:hAnsi="Arial" w:cs="Arial"/>
          <w:sz w:val="24"/>
          <w:szCs w:val="24"/>
        </w:rPr>
        <w:t>.</w:t>
      </w:r>
      <w:r w:rsidR="008E562F">
        <w:rPr>
          <w:rFonts w:ascii="Arial" w:hAnsi="Arial" w:cs="Arial"/>
          <w:sz w:val="24"/>
          <w:szCs w:val="24"/>
        </w:rPr>
        <w:t xml:space="preserve"> (Law Teacher, 2021e). Additionally, </w:t>
      </w:r>
      <w:r w:rsidR="000D3B03">
        <w:rPr>
          <w:rFonts w:ascii="Arial" w:hAnsi="Arial" w:cs="Arial"/>
          <w:sz w:val="24"/>
          <w:szCs w:val="24"/>
        </w:rPr>
        <w:t xml:space="preserve">Based on </w:t>
      </w:r>
      <w:r w:rsidR="008E562F">
        <w:rPr>
          <w:rFonts w:ascii="Arial" w:hAnsi="Arial" w:cs="Arial"/>
          <w:b/>
          <w:bCs/>
          <w:sz w:val="24"/>
          <w:szCs w:val="24"/>
        </w:rPr>
        <w:t>R v Caldwell (1982),</w:t>
      </w:r>
      <w:r w:rsidR="000673D6">
        <w:rPr>
          <w:rFonts w:ascii="Arial" w:hAnsi="Arial" w:cs="Arial"/>
          <w:b/>
          <w:bCs/>
          <w:sz w:val="24"/>
          <w:szCs w:val="24"/>
        </w:rPr>
        <w:t xml:space="preserve"> self</w:t>
      </w:r>
      <w:r w:rsidR="005E273A">
        <w:rPr>
          <w:rFonts w:ascii="Arial" w:hAnsi="Arial" w:cs="Arial"/>
          <w:b/>
          <w:bCs/>
          <w:sz w:val="24"/>
          <w:szCs w:val="24"/>
        </w:rPr>
        <w:t xml:space="preserve">-induced </w:t>
      </w:r>
      <w:r w:rsidR="005E273A">
        <w:rPr>
          <w:rFonts w:ascii="Arial" w:hAnsi="Arial" w:cs="Arial"/>
          <w:sz w:val="24"/>
          <w:szCs w:val="24"/>
        </w:rPr>
        <w:t xml:space="preserve">intoxication </w:t>
      </w:r>
      <w:r w:rsidR="001015ED">
        <w:rPr>
          <w:rFonts w:ascii="Arial" w:hAnsi="Arial" w:cs="Arial"/>
          <w:sz w:val="24"/>
          <w:szCs w:val="24"/>
        </w:rPr>
        <w:t xml:space="preserve">cannot be used as a defence, </w:t>
      </w:r>
      <w:r w:rsidR="008E562F">
        <w:rPr>
          <w:rFonts w:ascii="Arial" w:hAnsi="Arial" w:cs="Arial"/>
          <w:sz w:val="24"/>
          <w:szCs w:val="24"/>
        </w:rPr>
        <w:t xml:space="preserve">and Freya consumed the drinks by her own will (Law Teacher, 2021d). However, Freya could potentially rely on </w:t>
      </w:r>
      <w:r w:rsidR="00BB5C72">
        <w:rPr>
          <w:rFonts w:ascii="Arial" w:hAnsi="Arial" w:cs="Arial"/>
          <w:sz w:val="24"/>
          <w:szCs w:val="24"/>
        </w:rPr>
        <w:t xml:space="preserve">defending automatism </w:t>
      </w:r>
      <w:r w:rsidR="008E562F">
        <w:rPr>
          <w:rFonts w:ascii="Arial" w:hAnsi="Arial" w:cs="Arial"/>
          <w:sz w:val="24"/>
          <w:szCs w:val="24"/>
        </w:rPr>
        <w:t xml:space="preserve">which requires external factors, involuntary conduct, and no fault. </w:t>
      </w:r>
      <w:r w:rsidR="001B4AB2">
        <w:rPr>
          <w:rFonts w:ascii="Arial" w:hAnsi="Arial" w:cs="Arial"/>
          <w:sz w:val="24"/>
          <w:szCs w:val="24"/>
        </w:rPr>
        <w:t xml:space="preserve">A seizure resulting from Freya’s </w:t>
      </w:r>
      <w:r w:rsidR="00F31C80">
        <w:rPr>
          <w:rFonts w:ascii="Arial" w:hAnsi="Arial" w:cs="Arial"/>
          <w:sz w:val="24"/>
          <w:szCs w:val="24"/>
        </w:rPr>
        <w:t>epilepsy caused her to be influenced by an external factor</w:t>
      </w:r>
      <w:r w:rsidR="00A028E4">
        <w:rPr>
          <w:rFonts w:ascii="Arial" w:hAnsi="Arial" w:cs="Arial"/>
          <w:sz w:val="24"/>
          <w:szCs w:val="24"/>
        </w:rPr>
        <w:t>,</w:t>
      </w:r>
      <w:r w:rsidR="00791D79">
        <w:rPr>
          <w:rFonts w:ascii="Arial" w:hAnsi="Arial" w:cs="Arial"/>
          <w:sz w:val="24"/>
          <w:szCs w:val="24"/>
        </w:rPr>
        <w:t xml:space="preserve"> </w:t>
      </w:r>
      <w:r w:rsidR="00A028E4">
        <w:rPr>
          <w:rFonts w:ascii="Arial" w:hAnsi="Arial" w:cs="Arial"/>
          <w:sz w:val="24"/>
          <w:szCs w:val="24"/>
        </w:rPr>
        <w:t xml:space="preserve">alcohol.she didn’t voluntarily </w:t>
      </w:r>
      <w:r w:rsidR="006427C1">
        <w:rPr>
          <w:rFonts w:ascii="Arial" w:hAnsi="Arial" w:cs="Arial"/>
          <w:sz w:val="24"/>
          <w:szCs w:val="24"/>
        </w:rPr>
        <w:t xml:space="preserve">commit the </w:t>
      </w:r>
      <w:r w:rsidR="00AB1718">
        <w:rPr>
          <w:rFonts w:ascii="Arial" w:hAnsi="Arial" w:cs="Arial"/>
          <w:sz w:val="24"/>
          <w:szCs w:val="24"/>
        </w:rPr>
        <w:t>act.</w:t>
      </w:r>
      <w:r w:rsidR="00AB1718" w:rsidRPr="00AF4F7A">
        <w:rPr>
          <w:rFonts w:ascii="Arial" w:hAnsi="Arial" w:cs="Arial"/>
          <w:sz w:val="24"/>
          <w:szCs w:val="24"/>
        </w:rPr>
        <w:t xml:space="preserve"> The</w:t>
      </w:r>
      <w:r w:rsidR="00AF4F7A" w:rsidRPr="00AF4F7A">
        <w:rPr>
          <w:rFonts w:ascii="Arial" w:hAnsi="Arial" w:cs="Arial"/>
          <w:sz w:val="24"/>
          <w:szCs w:val="24"/>
        </w:rPr>
        <w:t xml:space="preserve"> case of Broome v Perkins (1987) established that automatism refers to unintentional bodily movements that may be outside a person's control, as per Law Teacher (2019).</w:t>
      </w:r>
    </w:p>
    <w:p w14:paraId="086D1FC8" w14:textId="77777777" w:rsidR="00E4384A" w:rsidRDefault="00E4384A">
      <w:pPr>
        <w:rPr>
          <w:rFonts w:ascii="Arial" w:hAnsi="Arial" w:cs="Arial"/>
          <w:sz w:val="24"/>
          <w:szCs w:val="24"/>
        </w:rPr>
      </w:pPr>
    </w:p>
    <w:p w14:paraId="5D68E70A" w14:textId="77777777" w:rsidR="00E4384A" w:rsidRDefault="00E4384A">
      <w:pPr>
        <w:rPr>
          <w:rFonts w:ascii="Arial" w:hAnsi="Arial" w:cs="Arial"/>
          <w:sz w:val="24"/>
          <w:szCs w:val="24"/>
        </w:rPr>
      </w:pPr>
    </w:p>
    <w:p w14:paraId="1C744AFE" w14:textId="77777777" w:rsidR="00E4384A" w:rsidRDefault="00E4384A">
      <w:pPr>
        <w:rPr>
          <w:rFonts w:ascii="Arial" w:hAnsi="Arial" w:cs="Arial"/>
          <w:sz w:val="24"/>
          <w:szCs w:val="24"/>
        </w:rPr>
      </w:pPr>
    </w:p>
    <w:p w14:paraId="346DBC61" w14:textId="77777777" w:rsidR="00E4384A" w:rsidRDefault="00E4384A">
      <w:pPr>
        <w:rPr>
          <w:rFonts w:ascii="Arial" w:hAnsi="Arial" w:cs="Arial"/>
          <w:sz w:val="24"/>
          <w:szCs w:val="24"/>
        </w:rPr>
      </w:pPr>
    </w:p>
    <w:p w14:paraId="70E0A15D" w14:textId="77777777" w:rsidR="00E4384A" w:rsidRDefault="00E4384A">
      <w:pPr>
        <w:rPr>
          <w:rFonts w:ascii="Arial" w:hAnsi="Arial" w:cs="Arial"/>
          <w:sz w:val="24"/>
          <w:szCs w:val="24"/>
        </w:rPr>
      </w:pPr>
    </w:p>
    <w:p w14:paraId="749B5B9A" w14:textId="77777777" w:rsidR="00E4384A" w:rsidRDefault="00E4384A">
      <w:pPr>
        <w:rPr>
          <w:rFonts w:ascii="Arial" w:hAnsi="Arial" w:cs="Arial"/>
          <w:sz w:val="24"/>
          <w:szCs w:val="24"/>
        </w:rPr>
      </w:pPr>
    </w:p>
    <w:p w14:paraId="071615AA" w14:textId="77777777" w:rsidR="00E4384A" w:rsidRDefault="00E4384A">
      <w:pPr>
        <w:rPr>
          <w:rFonts w:ascii="Arial" w:hAnsi="Arial" w:cs="Arial"/>
          <w:sz w:val="24"/>
          <w:szCs w:val="24"/>
        </w:rPr>
      </w:pPr>
    </w:p>
    <w:p w14:paraId="7549D1D4" w14:textId="77777777" w:rsidR="00E4384A" w:rsidRDefault="00E4384A">
      <w:pPr>
        <w:rPr>
          <w:rFonts w:ascii="Arial" w:hAnsi="Arial" w:cs="Arial"/>
          <w:sz w:val="24"/>
          <w:szCs w:val="24"/>
        </w:rPr>
      </w:pPr>
    </w:p>
    <w:p w14:paraId="2C039F43" w14:textId="77777777" w:rsidR="00E4384A" w:rsidRDefault="00E4384A">
      <w:pPr>
        <w:rPr>
          <w:rFonts w:ascii="Arial" w:hAnsi="Arial" w:cs="Arial"/>
          <w:sz w:val="24"/>
          <w:szCs w:val="24"/>
        </w:rPr>
      </w:pPr>
    </w:p>
    <w:p w14:paraId="2201A0E3" w14:textId="77777777" w:rsidR="00E4384A" w:rsidRDefault="00E4384A">
      <w:pPr>
        <w:rPr>
          <w:rFonts w:ascii="Arial" w:hAnsi="Arial" w:cs="Arial"/>
          <w:sz w:val="24"/>
          <w:szCs w:val="24"/>
        </w:rPr>
      </w:pPr>
    </w:p>
    <w:p w14:paraId="3385EC3F" w14:textId="77777777" w:rsidR="00E4384A" w:rsidRDefault="00E4384A">
      <w:pPr>
        <w:rPr>
          <w:rFonts w:ascii="Arial" w:hAnsi="Arial" w:cs="Arial"/>
          <w:sz w:val="24"/>
          <w:szCs w:val="24"/>
        </w:rPr>
      </w:pPr>
    </w:p>
    <w:p w14:paraId="33C5072D" w14:textId="77777777" w:rsidR="00E4384A" w:rsidRDefault="00E4384A">
      <w:pPr>
        <w:rPr>
          <w:rFonts w:ascii="Arial" w:hAnsi="Arial" w:cs="Arial"/>
          <w:sz w:val="24"/>
          <w:szCs w:val="24"/>
        </w:rPr>
      </w:pPr>
    </w:p>
    <w:p w14:paraId="28B11E78" w14:textId="2A780350" w:rsidR="00E4384A" w:rsidRDefault="00E4384A">
      <w:pPr>
        <w:rPr>
          <w:rFonts w:ascii="Arial" w:hAnsi="Arial" w:cs="Arial"/>
          <w:sz w:val="24"/>
          <w:szCs w:val="24"/>
        </w:rPr>
      </w:pPr>
    </w:p>
    <w:p w14:paraId="5923D6F9" w14:textId="4EFAF02A" w:rsidR="00AF4F7A" w:rsidRDefault="00AF4F7A">
      <w:pPr>
        <w:rPr>
          <w:rFonts w:ascii="Arial" w:hAnsi="Arial" w:cs="Arial"/>
          <w:sz w:val="24"/>
          <w:szCs w:val="24"/>
        </w:rPr>
      </w:pPr>
    </w:p>
    <w:p w14:paraId="0BDC4FB5" w14:textId="77777777" w:rsidR="00AF4F7A" w:rsidRDefault="00AF4F7A">
      <w:pPr>
        <w:rPr>
          <w:rFonts w:ascii="Arial" w:hAnsi="Arial" w:cs="Arial"/>
          <w:sz w:val="24"/>
          <w:szCs w:val="24"/>
        </w:rPr>
      </w:pPr>
    </w:p>
    <w:p w14:paraId="2DEAA242" w14:textId="77777777" w:rsidR="00E4384A" w:rsidRDefault="00E4384A">
      <w:pPr>
        <w:rPr>
          <w:rFonts w:ascii="Arial" w:hAnsi="Arial" w:cs="Arial"/>
          <w:sz w:val="24"/>
          <w:szCs w:val="24"/>
        </w:rPr>
      </w:pPr>
    </w:p>
    <w:p w14:paraId="1D5F8E74" w14:textId="77777777" w:rsidR="00E4384A" w:rsidRDefault="00E4384A">
      <w:pPr>
        <w:rPr>
          <w:rFonts w:ascii="Arial" w:hAnsi="Arial" w:cs="Arial"/>
          <w:sz w:val="24"/>
          <w:szCs w:val="24"/>
        </w:rPr>
      </w:pPr>
    </w:p>
    <w:p w14:paraId="75E8AEC3" w14:textId="77777777" w:rsidR="00E4384A" w:rsidRDefault="00E4384A">
      <w:pPr>
        <w:rPr>
          <w:rFonts w:ascii="Arial" w:hAnsi="Arial" w:cs="Arial"/>
          <w:sz w:val="24"/>
          <w:szCs w:val="24"/>
        </w:rPr>
      </w:pPr>
    </w:p>
    <w:p w14:paraId="7A8558A3" w14:textId="77777777" w:rsidR="00E4384A" w:rsidRDefault="00E4384A">
      <w:pPr>
        <w:rPr>
          <w:rFonts w:ascii="Arial" w:hAnsi="Arial" w:cs="Arial"/>
          <w:sz w:val="24"/>
          <w:szCs w:val="24"/>
        </w:rPr>
      </w:pPr>
    </w:p>
    <w:p w14:paraId="68A65156" w14:textId="7408E26E" w:rsidR="00E4384A" w:rsidRDefault="008E562F">
      <w:pPr>
        <w:rPr>
          <w:rFonts w:ascii="Arial" w:hAnsi="Arial" w:cs="Arial"/>
          <w:b/>
          <w:bCs/>
          <w:sz w:val="28"/>
          <w:szCs w:val="28"/>
        </w:rPr>
      </w:pPr>
      <w:r>
        <w:rPr>
          <w:rFonts w:ascii="Arial" w:hAnsi="Arial" w:cs="Arial"/>
          <w:b/>
          <w:bCs/>
          <w:sz w:val="28"/>
          <w:szCs w:val="28"/>
        </w:rPr>
        <w:t>References:</w:t>
      </w:r>
    </w:p>
    <w:p w14:paraId="13E385D5" w14:textId="5AD6B32D" w:rsidR="001E3548" w:rsidRPr="00397FBB" w:rsidRDefault="00506C45">
      <w:pPr>
        <w:rPr>
          <w:rFonts w:ascii="Arial" w:hAnsi="Arial" w:cs="Arial"/>
          <w:sz w:val="24"/>
          <w:szCs w:val="24"/>
        </w:rPr>
      </w:pPr>
      <w:r w:rsidRPr="00397FBB">
        <w:rPr>
          <w:rFonts w:ascii="Arial" w:hAnsi="Arial" w:cs="Arial"/>
          <w:sz w:val="24"/>
          <w:szCs w:val="24"/>
        </w:rPr>
        <w:t xml:space="preserve">CPS 2022, 'Criminal damage, Criminal Damage | The Crown Prosecution Service', [online]: </w:t>
      </w:r>
      <w:hyperlink r:id="rId7" w:history="1">
        <w:r w:rsidR="003B3513" w:rsidRPr="00397FBB">
          <w:rPr>
            <w:rStyle w:val="Hyperlink"/>
            <w:rFonts w:ascii="Arial" w:hAnsi="Arial" w:cs="Arial"/>
            <w:sz w:val="24"/>
            <w:szCs w:val="24"/>
          </w:rPr>
          <w:t>https://www.cps.gov.uk/legal-guidance/criminal-damage</w:t>
        </w:r>
      </w:hyperlink>
      <w:r w:rsidR="003B3513" w:rsidRPr="00397FBB">
        <w:rPr>
          <w:rFonts w:ascii="Arial" w:hAnsi="Arial" w:cs="Arial"/>
          <w:sz w:val="24"/>
          <w:szCs w:val="24"/>
        </w:rPr>
        <w:t xml:space="preserve"> </w:t>
      </w:r>
    </w:p>
    <w:p w14:paraId="297B320F" w14:textId="18DD4605" w:rsidR="00E4384A" w:rsidRPr="00397FBB" w:rsidRDefault="008E562F">
      <w:pPr>
        <w:rPr>
          <w:rFonts w:ascii="Arial" w:hAnsi="Arial" w:cs="Arial"/>
          <w:sz w:val="24"/>
          <w:szCs w:val="24"/>
        </w:rPr>
      </w:pPr>
      <w:r w:rsidRPr="00397FBB">
        <w:rPr>
          <w:rFonts w:ascii="Arial" w:hAnsi="Arial" w:cs="Arial"/>
          <w:sz w:val="24"/>
          <w:szCs w:val="24"/>
        </w:rPr>
        <w:t>CPS 2022</w:t>
      </w:r>
      <w:r w:rsidR="00506C45" w:rsidRPr="00397FBB">
        <w:rPr>
          <w:rFonts w:ascii="Arial" w:hAnsi="Arial" w:cs="Arial"/>
          <w:sz w:val="24"/>
          <w:szCs w:val="24"/>
        </w:rPr>
        <w:t>,</w:t>
      </w:r>
      <w:r w:rsidR="003B3513" w:rsidRPr="00397FBB">
        <w:rPr>
          <w:rFonts w:ascii="Arial" w:hAnsi="Arial" w:cs="Arial"/>
          <w:sz w:val="24"/>
          <w:szCs w:val="24"/>
        </w:rPr>
        <w:t xml:space="preserve"> ‘</w:t>
      </w:r>
      <w:r w:rsidRPr="00397FBB">
        <w:rPr>
          <w:rFonts w:ascii="Arial" w:hAnsi="Arial" w:cs="Arial"/>
          <w:sz w:val="24"/>
          <w:szCs w:val="24"/>
        </w:rPr>
        <w:t>Theft act offences, Theft Act Offences | The Crown Prosecution Service</w:t>
      </w:r>
      <w:r w:rsidR="0018461A" w:rsidRPr="00397FBB">
        <w:rPr>
          <w:rFonts w:ascii="Arial" w:hAnsi="Arial" w:cs="Arial"/>
          <w:sz w:val="24"/>
          <w:szCs w:val="24"/>
        </w:rPr>
        <w:t>’,</w:t>
      </w:r>
      <w:r w:rsidR="0041799F" w:rsidRPr="00397FBB">
        <w:rPr>
          <w:rFonts w:ascii="Arial" w:hAnsi="Arial" w:cs="Arial"/>
          <w:sz w:val="24"/>
          <w:szCs w:val="24"/>
        </w:rPr>
        <w:t>[online]</w:t>
      </w:r>
      <w:r w:rsidRPr="00397FBB">
        <w:rPr>
          <w:rFonts w:ascii="Arial" w:hAnsi="Arial" w:cs="Arial"/>
          <w:sz w:val="24"/>
          <w:szCs w:val="24"/>
        </w:rPr>
        <w:t xml:space="preserve"> Available at: </w:t>
      </w:r>
      <w:hyperlink r:id="rId8" w:history="1">
        <w:r w:rsidRPr="00397FBB">
          <w:rPr>
            <w:rStyle w:val="Hyperlink"/>
            <w:rFonts w:ascii="Arial" w:hAnsi="Arial" w:cs="Arial"/>
            <w:sz w:val="24"/>
            <w:szCs w:val="24"/>
          </w:rPr>
          <w:t>https://www.cps.gov.uk/legal-guidance/theft-act-offences</w:t>
        </w:r>
      </w:hyperlink>
      <w:r w:rsidRPr="00397FBB">
        <w:rPr>
          <w:rFonts w:ascii="Arial" w:hAnsi="Arial" w:cs="Arial"/>
          <w:sz w:val="24"/>
          <w:szCs w:val="24"/>
        </w:rPr>
        <w:t xml:space="preserve"> </w:t>
      </w:r>
    </w:p>
    <w:p w14:paraId="763C423C" w14:textId="77777777" w:rsidR="00E4384A" w:rsidRPr="00397FBB" w:rsidRDefault="008E562F">
      <w:pPr>
        <w:rPr>
          <w:rFonts w:ascii="Arial" w:hAnsi="Arial" w:cs="Arial"/>
          <w:sz w:val="24"/>
          <w:szCs w:val="24"/>
        </w:rPr>
      </w:pPr>
      <w:r w:rsidRPr="00397FBB">
        <w:rPr>
          <w:rFonts w:ascii="Arial" w:hAnsi="Arial" w:cs="Arial"/>
          <w:sz w:val="24"/>
          <w:szCs w:val="24"/>
        </w:rPr>
        <w:t xml:space="preserve">CPS.gov.uk. (2022a). Theft. Retrieved from </w:t>
      </w:r>
      <w:hyperlink r:id="rId9" w:history="1">
        <w:r w:rsidRPr="00397FBB">
          <w:rPr>
            <w:rStyle w:val="Hyperlink"/>
            <w:rFonts w:ascii="Arial" w:hAnsi="Arial" w:cs="Arial"/>
            <w:sz w:val="24"/>
            <w:szCs w:val="24"/>
          </w:rPr>
          <w:t>https://www.cps.gov.uk/legal-guidance/theft</w:t>
        </w:r>
      </w:hyperlink>
      <w:r w:rsidRPr="00397FBB">
        <w:rPr>
          <w:rFonts w:ascii="Arial" w:hAnsi="Arial" w:cs="Arial"/>
          <w:sz w:val="24"/>
          <w:szCs w:val="24"/>
        </w:rPr>
        <w:t xml:space="preserve"> </w:t>
      </w:r>
    </w:p>
    <w:p w14:paraId="00C6015F" w14:textId="072BD94E" w:rsidR="00E4384A" w:rsidRPr="00397FBB" w:rsidRDefault="008E562F">
      <w:pPr>
        <w:rPr>
          <w:rFonts w:ascii="Arial" w:hAnsi="Arial" w:cs="Arial"/>
          <w:sz w:val="24"/>
          <w:szCs w:val="24"/>
        </w:rPr>
      </w:pPr>
      <w:r w:rsidRPr="00397FBB">
        <w:rPr>
          <w:rFonts w:ascii="Arial" w:hAnsi="Arial" w:cs="Arial"/>
          <w:sz w:val="24"/>
          <w:szCs w:val="24"/>
        </w:rPr>
        <w:t xml:space="preserve">CPS.gov.uk. (2022b). Arson and Criminal Damage. </w:t>
      </w:r>
      <w:r w:rsidR="00C479B7" w:rsidRPr="00397FBB">
        <w:rPr>
          <w:rFonts w:ascii="Arial" w:hAnsi="Arial" w:cs="Arial"/>
          <w:sz w:val="24"/>
          <w:szCs w:val="24"/>
        </w:rPr>
        <w:t>[online]:</w:t>
      </w:r>
      <w:r w:rsidRPr="00397FBB">
        <w:rPr>
          <w:rFonts w:ascii="Arial" w:hAnsi="Arial" w:cs="Arial"/>
          <w:sz w:val="24"/>
          <w:szCs w:val="24"/>
        </w:rPr>
        <w:t xml:space="preserve"> </w:t>
      </w:r>
      <w:hyperlink r:id="rId10" w:history="1">
        <w:r w:rsidRPr="00397FBB">
          <w:rPr>
            <w:rStyle w:val="Hyperlink"/>
            <w:rFonts w:ascii="Arial" w:hAnsi="Arial" w:cs="Arial"/>
            <w:sz w:val="24"/>
            <w:szCs w:val="24"/>
          </w:rPr>
          <w:t>https://www.cps.gov.uk/legal-guidance/arson-and-criminal-damage</w:t>
        </w:r>
      </w:hyperlink>
      <w:r w:rsidRPr="00397FBB">
        <w:rPr>
          <w:rFonts w:ascii="Arial" w:hAnsi="Arial" w:cs="Arial"/>
          <w:sz w:val="24"/>
          <w:szCs w:val="24"/>
        </w:rPr>
        <w:t xml:space="preserve"> </w:t>
      </w:r>
    </w:p>
    <w:p w14:paraId="383C4CBE" w14:textId="32E1ECCE" w:rsidR="002B7DDC" w:rsidRPr="00397FBB" w:rsidRDefault="001B5AE9">
      <w:pPr>
        <w:rPr>
          <w:rFonts w:ascii="Arial" w:hAnsi="Arial" w:cs="Arial"/>
          <w:sz w:val="24"/>
          <w:szCs w:val="24"/>
        </w:rPr>
      </w:pPr>
      <w:r w:rsidRPr="00397FBB">
        <w:rPr>
          <w:rFonts w:ascii="Arial" w:hAnsi="Arial" w:cs="Arial"/>
          <w:sz w:val="24"/>
          <w:szCs w:val="24"/>
        </w:rPr>
        <w:t xml:space="preserve">Evans, G. 2023, 'Trespass to land cases: Digestible notes', Digestible, [online] Available at: </w:t>
      </w:r>
      <w:hyperlink r:id="rId11" w:history="1">
        <w:r w:rsidRPr="00397FBB">
          <w:rPr>
            <w:rStyle w:val="Hyperlink"/>
            <w:rFonts w:ascii="Arial" w:hAnsi="Arial" w:cs="Arial"/>
            <w:sz w:val="24"/>
            <w:szCs w:val="24"/>
          </w:rPr>
          <w:t>https://digestiblelaw.com/trespass-to-land-cases/</w:t>
        </w:r>
      </w:hyperlink>
      <w:r w:rsidRPr="00397FBB">
        <w:rPr>
          <w:rFonts w:ascii="Arial" w:hAnsi="Arial" w:cs="Arial"/>
          <w:sz w:val="24"/>
          <w:szCs w:val="24"/>
        </w:rPr>
        <w:t xml:space="preserve"> </w:t>
      </w:r>
    </w:p>
    <w:p w14:paraId="79BDF934" w14:textId="77777777" w:rsidR="00E4384A" w:rsidRPr="00397FBB" w:rsidRDefault="008E562F">
      <w:pPr>
        <w:rPr>
          <w:rFonts w:ascii="Arial" w:hAnsi="Arial" w:cs="Arial"/>
          <w:sz w:val="24"/>
          <w:szCs w:val="24"/>
        </w:rPr>
      </w:pPr>
      <w:r w:rsidRPr="00397FBB">
        <w:rPr>
          <w:rFonts w:ascii="Arial" w:hAnsi="Arial" w:cs="Arial"/>
          <w:sz w:val="24"/>
          <w:szCs w:val="24"/>
        </w:rPr>
        <w:t xml:space="preserve">ICLR. (2020). Hadley. Retrieved from </w:t>
      </w:r>
      <w:hyperlink r:id="rId12" w:history="1">
        <w:r w:rsidRPr="00397FBB">
          <w:rPr>
            <w:rStyle w:val="Hyperlink"/>
            <w:rFonts w:ascii="Arial" w:hAnsi="Arial" w:cs="Arial"/>
            <w:sz w:val="24"/>
            <w:szCs w:val="24"/>
          </w:rPr>
          <w:t>https://www.iclr.co.uk/case-summaries/hadley-v-r/</w:t>
        </w:r>
      </w:hyperlink>
      <w:r w:rsidRPr="00397FBB">
        <w:rPr>
          <w:rFonts w:ascii="Arial" w:hAnsi="Arial" w:cs="Arial"/>
          <w:sz w:val="24"/>
          <w:szCs w:val="24"/>
        </w:rPr>
        <w:t xml:space="preserve"> </w:t>
      </w:r>
    </w:p>
    <w:p w14:paraId="72A6ABF8" w14:textId="64030B5F" w:rsidR="005071CF" w:rsidRPr="00397FBB" w:rsidRDefault="008F43EA">
      <w:pPr>
        <w:rPr>
          <w:rFonts w:ascii="Arial" w:hAnsi="Arial" w:cs="Arial"/>
          <w:sz w:val="24"/>
          <w:szCs w:val="24"/>
        </w:rPr>
      </w:pPr>
      <w:r w:rsidRPr="00397FBB">
        <w:rPr>
          <w:rFonts w:ascii="Arial" w:hAnsi="Arial" w:cs="Arial"/>
          <w:sz w:val="24"/>
          <w:szCs w:val="24"/>
        </w:rPr>
        <w:t xml:space="preserve">Laver, N. 2017, 'Trespass: What is trespass to land?', InBrief.co.uk, </w:t>
      </w:r>
      <w:hyperlink r:id="rId13" w:history="1">
        <w:r w:rsidRPr="00397FBB">
          <w:rPr>
            <w:rStyle w:val="Hyperlink"/>
            <w:rFonts w:ascii="Arial" w:hAnsi="Arial" w:cs="Arial"/>
            <w:sz w:val="24"/>
            <w:szCs w:val="24"/>
          </w:rPr>
          <w:t>https://www.inbrief.co.uk/property-law/trespass</w:t>
        </w:r>
      </w:hyperlink>
      <w:r w:rsidRPr="00397FBB">
        <w:rPr>
          <w:rFonts w:ascii="Arial" w:hAnsi="Arial" w:cs="Arial"/>
          <w:sz w:val="24"/>
          <w:szCs w:val="24"/>
        </w:rPr>
        <w:t xml:space="preserve"> </w:t>
      </w:r>
    </w:p>
    <w:p w14:paraId="7E54372D" w14:textId="5EB95A35" w:rsidR="007863A7" w:rsidRPr="00397FBB" w:rsidRDefault="007863A7" w:rsidP="007863A7">
      <w:pPr>
        <w:rPr>
          <w:rFonts w:ascii="Arial" w:hAnsi="Arial" w:cs="Arial"/>
          <w:sz w:val="24"/>
          <w:szCs w:val="24"/>
        </w:rPr>
      </w:pPr>
      <w:r w:rsidRPr="00397FBB">
        <w:rPr>
          <w:rFonts w:ascii="Arial" w:hAnsi="Arial" w:cs="Arial"/>
          <w:sz w:val="24"/>
          <w:szCs w:val="24"/>
        </w:rPr>
        <w:t xml:space="preserve">Law Teacher 2019, 'Broome v Perkins - 1987', Law Teacher, [online] </w:t>
      </w:r>
      <w:hyperlink r:id="rId14" w:history="1">
        <w:r w:rsidR="00C12316" w:rsidRPr="00397FBB">
          <w:rPr>
            <w:rStyle w:val="Hyperlink"/>
            <w:rFonts w:ascii="Arial" w:hAnsi="Arial" w:cs="Arial"/>
            <w:sz w:val="24"/>
            <w:szCs w:val="24"/>
          </w:rPr>
          <w:t>https://www.lawteacher.net/cases/broome-v-perkins.php</w:t>
        </w:r>
      </w:hyperlink>
      <w:r w:rsidR="00C12316" w:rsidRPr="00397FBB">
        <w:rPr>
          <w:rFonts w:ascii="Arial" w:hAnsi="Arial" w:cs="Arial"/>
          <w:sz w:val="24"/>
          <w:szCs w:val="24"/>
        </w:rPr>
        <w:t xml:space="preserve"> </w:t>
      </w:r>
    </w:p>
    <w:p w14:paraId="63D8339F" w14:textId="6973D32A" w:rsidR="006521A5" w:rsidRPr="00397FBB" w:rsidRDefault="007863A7">
      <w:pPr>
        <w:rPr>
          <w:rFonts w:ascii="Arial" w:hAnsi="Arial" w:cs="Arial"/>
          <w:sz w:val="24"/>
          <w:szCs w:val="24"/>
        </w:rPr>
      </w:pPr>
      <w:r w:rsidRPr="00397FBB">
        <w:rPr>
          <w:rFonts w:ascii="Arial" w:hAnsi="Arial" w:cs="Arial"/>
          <w:sz w:val="24"/>
          <w:szCs w:val="24"/>
        </w:rPr>
        <w:t xml:space="preserve">Law Teacher 2021, 'B &amp; S v Leathley - 1979', LawTeacher, [online] Available at: </w:t>
      </w:r>
      <w:hyperlink r:id="rId15" w:history="1">
        <w:r w:rsidR="00C12316" w:rsidRPr="00397FBB">
          <w:rPr>
            <w:rStyle w:val="Hyperlink"/>
            <w:rFonts w:ascii="Arial" w:hAnsi="Arial" w:cs="Arial"/>
            <w:sz w:val="24"/>
            <w:szCs w:val="24"/>
          </w:rPr>
          <w:t>https://www.lawteacher.net/cases/b-and-s-v-leathley.php</w:t>
        </w:r>
      </w:hyperlink>
      <w:r w:rsidR="00C12316" w:rsidRPr="00397FBB">
        <w:rPr>
          <w:rFonts w:ascii="Arial" w:hAnsi="Arial" w:cs="Arial"/>
          <w:sz w:val="24"/>
          <w:szCs w:val="24"/>
        </w:rPr>
        <w:t xml:space="preserve"> </w:t>
      </w:r>
    </w:p>
    <w:p w14:paraId="48CC4153" w14:textId="55C7EAFF" w:rsidR="00E4384A" w:rsidRPr="00397FBB" w:rsidRDefault="008E562F">
      <w:pPr>
        <w:rPr>
          <w:rFonts w:ascii="Arial" w:hAnsi="Arial" w:cs="Arial"/>
          <w:sz w:val="24"/>
          <w:szCs w:val="24"/>
        </w:rPr>
      </w:pPr>
      <w:r w:rsidRPr="00397FBB">
        <w:rPr>
          <w:rFonts w:ascii="Arial" w:hAnsi="Arial" w:cs="Arial"/>
          <w:sz w:val="24"/>
          <w:szCs w:val="24"/>
        </w:rPr>
        <w:t xml:space="preserve">Law Teacher (2021) R v Caldwell, Law Teacher. </w:t>
      </w:r>
      <w:r w:rsidR="00B66B5B" w:rsidRPr="00397FBB">
        <w:rPr>
          <w:rFonts w:ascii="Arial" w:hAnsi="Arial" w:cs="Arial"/>
          <w:sz w:val="24"/>
          <w:szCs w:val="24"/>
        </w:rPr>
        <w:t>[online]</w:t>
      </w:r>
      <w:r w:rsidRPr="00397FBB">
        <w:rPr>
          <w:rFonts w:ascii="Arial" w:hAnsi="Arial" w:cs="Arial"/>
          <w:sz w:val="24"/>
          <w:szCs w:val="24"/>
        </w:rPr>
        <w:t xml:space="preserve"> at: </w:t>
      </w:r>
      <w:hyperlink r:id="rId16" w:history="1">
        <w:r w:rsidRPr="00397FBB">
          <w:rPr>
            <w:rStyle w:val="Hyperlink"/>
            <w:rFonts w:ascii="Arial" w:hAnsi="Arial" w:cs="Arial"/>
            <w:sz w:val="24"/>
            <w:szCs w:val="24"/>
          </w:rPr>
          <w:t>https://www.lawteacher.net/cases/r-v-caldwell.php</w:t>
        </w:r>
      </w:hyperlink>
      <w:r w:rsidRPr="00397FBB">
        <w:rPr>
          <w:rFonts w:ascii="Arial" w:hAnsi="Arial" w:cs="Arial"/>
          <w:sz w:val="24"/>
          <w:szCs w:val="24"/>
        </w:rPr>
        <w:t xml:space="preserve">  </w:t>
      </w:r>
      <w:r w:rsidR="001B5A28" w:rsidRPr="00397FBB">
        <w:rPr>
          <w:rFonts w:ascii="Arial" w:hAnsi="Arial" w:cs="Arial"/>
          <w:sz w:val="24"/>
          <w:szCs w:val="24"/>
        </w:rPr>
        <w:t>(</w:t>
      </w:r>
      <w:r w:rsidRPr="00397FBB">
        <w:rPr>
          <w:rFonts w:ascii="Arial" w:hAnsi="Arial" w:cs="Arial"/>
          <w:sz w:val="24"/>
          <w:szCs w:val="24"/>
        </w:rPr>
        <w:t>12 March 2023).</w:t>
      </w:r>
    </w:p>
    <w:p w14:paraId="5EF2D65B" w14:textId="1C74C885" w:rsidR="00E4384A" w:rsidRPr="00397FBB" w:rsidRDefault="008E562F">
      <w:pPr>
        <w:rPr>
          <w:rFonts w:ascii="Arial" w:hAnsi="Arial" w:cs="Arial"/>
          <w:sz w:val="24"/>
          <w:szCs w:val="24"/>
        </w:rPr>
      </w:pPr>
      <w:r w:rsidRPr="00397FBB">
        <w:rPr>
          <w:rFonts w:ascii="Arial" w:hAnsi="Arial" w:cs="Arial"/>
          <w:sz w:val="24"/>
          <w:szCs w:val="24"/>
        </w:rPr>
        <w:t>Law Teacher (2021) R v Kingston - 1994, Law Teacher.</w:t>
      </w:r>
      <w:r w:rsidR="00F27E20" w:rsidRPr="00397FBB">
        <w:rPr>
          <w:rFonts w:ascii="Arial" w:hAnsi="Arial" w:cs="Arial"/>
          <w:sz w:val="24"/>
          <w:szCs w:val="24"/>
        </w:rPr>
        <w:t xml:space="preserve">[online ] </w:t>
      </w:r>
      <w:hyperlink r:id="rId17" w:history="1">
        <w:r w:rsidRPr="00397FBB">
          <w:rPr>
            <w:rStyle w:val="Hyperlink"/>
            <w:rFonts w:ascii="Arial" w:hAnsi="Arial" w:cs="Arial"/>
            <w:sz w:val="24"/>
            <w:szCs w:val="24"/>
          </w:rPr>
          <w:t>https://www.lawteacher.net/cases/r-v-kingston.php</w:t>
        </w:r>
      </w:hyperlink>
      <w:r w:rsidRPr="00397FBB">
        <w:rPr>
          <w:rFonts w:ascii="Arial" w:hAnsi="Arial" w:cs="Arial"/>
          <w:sz w:val="24"/>
          <w:szCs w:val="24"/>
        </w:rPr>
        <w:t xml:space="preserve"> </w:t>
      </w:r>
      <w:r w:rsidR="00F27E20" w:rsidRPr="00397FBB">
        <w:rPr>
          <w:rFonts w:ascii="Arial" w:hAnsi="Arial" w:cs="Arial"/>
          <w:sz w:val="24"/>
          <w:szCs w:val="24"/>
        </w:rPr>
        <w:t>(</w:t>
      </w:r>
      <w:r w:rsidRPr="00397FBB">
        <w:rPr>
          <w:rFonts w:ascii="Arial" w:hAnsi="Arial" w:cs="Arial"/>
          <w:sz w:val="24"/>
          <w:szCs w:val="24"/>
        </w:rPr>
        <w:t xml:space="preserve"> 12 March 2023).</w:t>
      </w:r>
    </w:p>
    <w:p w14:paraId="25164CA8" w14:textId="56B2AF29" w:rsidR="00E4384A" w:rsidRPr="00397FBB" w:rsidRDefault="008E562F">
      <w:pPr>
        <w:rPr>
          <w:rFonts w:ascii="Arial" w:hAnsi="Arial" w:cs="Arial"/>
          <w:sz w:val="24"/>
          <w:szCs w:val="24"/>
        </w:rPr>
      </w:pPr>
      <w:r w:rsidRPr="00397FBB">
        <w:rPr>
          <w:rFonts w:ascii="Arial" w:hAnsi="Arial" w:cs="Arial"/>
          <w:sz w:val="24"/>
          <w:szCs w:val="24"/>
        </w:rPr>
        <w:t>Law Teacher (2021) R v Miller [1983] 2 AC 161. LawTeacher.</w:t>
      </w:r>
      <w:r w:rsidR="003C15B3" w:rsidRPr="00397FBB">
        <w:rPr>
          <w:rFonts w:ascii="Arial" w:hAnsi="Arial" w:cs="Arial"/>
          <w:sz w:val="24"/>
          <w:szCs w:val="24"/>
        </w:rPr>
        <w:t>[online]</w:t>
      </w:r>
      <w:r w:rsidR="00460935" w:rsidRPr="00397FBB">
        <w:rPr>
          <w:rFonts w:ascii="Arial" w:hAnsi="Arial" w:cs="Arial"/>
          <w:sz w:val="24"/>
          <w:szCs w:val="24"/>
        </w:rPr>
        <w:t xml:space="preserve"> </w:t>
      </w:r>
      <w:r w:rsidRPr="00397FBB">
        <w:rPr>
          <w:rFonts w:ascii="Arial" w:hAnsi="Arial" w:cs="Arial"/>
          <w:sz w:val="24"/>
          <w:szCs w:val="24"/>
        </w:rPr>
        <w:t xml:space="preserve">at: </w:t>
      </w:r>
      <w:hyperlink r:id="rId18" w:history="1">
        <w:r w:rsidRPr="00397FBB">
          <w:rPr>
            <w:rStyle w:val="Hyperlink"/>
            <w:rFonts w:ascii="Arial" w:hAnsi="Arial" w:cs="Arial"/>
            <w:sz w:val="24"/>
            <w:szCs w:val="24"/>
          </w:rPr>
          <w:t>https://www.lawteacher.net/cases/r-v-miller-1983.php</w:t>
        </w:r>
      </w:hyperlink>
      <w:r w:rsidRPr="00397FBB">
        <w:rPr>
          <w:rFonts w:ascii="Arial" w:hAnsi="Arial" w:cs="Arial"/>
          <w:sz w:val="24"/>
          <w:szCs w:val="24"/>
        </w:rPr>
        <w:t xml:space="preserve"> </w:t>
      </w:r>
    </w:p>
    <w:p w14:paraId="63879C93" w14:textId="01EC23FD" w:rsidR="00E4384A" w:rsidRPr="00397FBB" w:rsidRDefault="008E562F">
      <w:pPr>
        <w:rPr>
          <w:rStyle w:val="Hyperlink"/>
          <w:rFonts w:ascii="Arial" w:hAnsi="Arial" w:cs="Arial"/>
          <w:sz w:val="24"/>
          <w:szCs w:val="24"/>
        </w:rPr>
      </w:pPr>
      <w:r w:rsidRPr="00397FBB">
        <w:rPr>
          <w:rFonts w:ascii="Arial" w:hAnsi="Arial" w:cs="Arial"/>
          <w:sz w:val="24"/>
          <w:szCs w:val="24"/>
        </w:rPr>
        <w:t>Law Teacher 2021</w:t>
      </w:r>
      <w:r w:rsidR="00460935" w:rsidRPr="00397FBB">
        <w:rPr>
          <w:rFonts w:ascii="Arial" w:hAnsi="Arial" w:cs="Arial"/>
          <w:sz w:val="24"/>
          <w:szCs w:val="24"/>
        </w:rPr>
        <w:t xml:space="preserve"> </w:t>
      </w:r>
      <w:r w:rsidRPr="00397FBB">
        <w:rPr>
          <w:rFonts w:ascii="Arial" w:hAnsi="Arial" w:cs="Arial"/>
          <w:sz w:val="24"/>
          <w:szCs w:val="24"/>
        </w:rPr>
        <w:t>Theft act 1968 summary, Law Teacher.</w:t>
      </w:r>
      <w:r w:rsidR="00460935" w:rsidRPr="00397FBB">
        <w:rPr>
          <w:rFonts w:ascii="Arial" w:hAnsi="Arial" w:cs="Arial"/>
          <w:sz w:val="24"/>
          <w:szCs w:val="24"/>
        </w:rPr>
        <w:t>[online ]</w:t>
      </w:r>
      <w:r w:rsidR="00FF2A4A" w:rsidRPr="00397FBB">
        <w:rPr>
          <w:rFonts w:ascii="Arial" w:hAnsi="Arial" w:cs="Arial"/>
          <w:sz w:val="24"/>
          <w:szCs w:val="24"/>
        </w:rPr>
        <w:t xml:space="preserve"> </w:t>
      </w:r>
      <w:r w:rsidRPr="00397FBB">
        <w:rPr>
          <w:rFonts w:ascii="Arial" w:hAnsi="Arial" w:cs="Arial"/>
          <w:sz w:val="24"/>
          <w:szCs w:val="24"/>
        </w:rPr>
        <w:t xml:space="preserve">at: </w:t>
      </w:r>
      <w:hyperlink r:id="rId19" w:history="1">
        <w:r w:rsidRPr="00397FBB">
          <w:rPr>
            <w:rStyle w:val="Hyperlink"/>
            <w:rFonts w:ascii="Arial" w:hAnsi="Arial" w:cs="Arial"/>
            <w:sz w:val="24"/>
            <w:szCs w:val="24"/>
          </w:rPr>
          <w:t>https://www.lawteacher.net/lecture-notes/theft-act-1968-summary.php</w:t>
        </w:r>
      </w:hyperlink>
    </w:p>
    <w:p w14:paraId="10F353F0" w14:textId="7D47B3EC" w:rsidR="00884C13" w:rsidRPr="00397FBB" w:rsidRDefault="00884C13" w:rsidP="00884C13">
      <w:pPr>
        <w:rPr>
          <w:rStyle w:val="Hyperlink"/>
          <w:rFonts w:ascii="Arial" w:hAnsi="Arial" w:cs="Arial"/>
          <w:sz w:val="24"/>
          <w:szCs w:val="24"/>
        </w:rPr>
      </w:pPr>
      <w:r w:rsidRPr="00397FBB">
        <w:rPr>
          <w:rStyle w:val="Hyperlink"/>
          <w:rFonts w:ascii="Arial" w:hAnsi="Arial" w:cs="Arial"/>
          <w:sz w:val="24"/>
          <w:szCs w:val="24"/>
        </w:rPr>
        <w:t>Legislation.gov.uk 1861, 'Offences against the Person Act 1861', Legislation.gov.uk, Statute Law Database, [online</w:t>
      </w:r>
      <w:r w:rsidR="00402728" w:rsidRPr="00397FBB">
        <w:rPr>
          <w:rStyle w:val="Hyperlink"/>
          <w:rFonts w:ascii="Arial" w:hAnsi="Arial" w:cs="Arial"/>
          <w:sz w:val="24"/>
          <w:szCs w:val="24"/>
        </w:rPr>
        <w:t>]</w:t>
      </w:r>
      <w:r w:rsidRPr="00397FBB">
        <w:rPr>
          <w:rStyle w:val="Hyperlink"/>
          <w:rFonts w:ascii="Arial" w:hAnsi="Arial" w:cs="Arial"/>
          <w:sz w:val="24"/>
          <w:szCs w:val="24"/>
        </w:rPr>
        <w:t xml:space="preserve"> https://www.legislation.gov.uk/ukpga/Vict/24-25/100 [Accessed 12 March 2023].</w:t>
      </w:r>
    </w:p>
    <w:p w14:paraId="19400BF2" w14:textId="6F725CCA" w:rsidR="00884C13" w:rsidRPr="00397FBB" w:rsidRDefault="00884C13" w:rsidP="00884C13">
      <w:pPr>
        <w:rPr>
          <w:rStyle w:val="Hyperlink"/>
          <w:rFonts w:ascii="Arial" w:hAnsi="Arial" w:cs="Arial"/>
          <w:sz w:val="24"/>
          <w:szCs w:val="24"/>
        </w:rPr>
      </w:pPr>
      <w:r w:rsidRPr="00397FBB">
        <w:rPr>
          <w:rStyle w:val="Hyperlink"/>
          <w:rFonts w:ascii="Arial" w:hAnsi="Arial" w:cs="Arial"/>
          <w:sz w:val="24"/>
          <w:szCs w:val="24"/>
        </w:rPr>
        <w:t>'Theft act 1968', Legislation.gov.uk, Statute Law Database, [onl</w:t>
      </w:r>
      <w:r w:rsidR="000653DB" w:rsidRPr="00397FBB">
        <w:rPr>
          <w:rStyle w:val="Hyperlink"/>
          <w:rFonts w:ascii="Arial" w:hAnsi="Arial" w:cs="Arial"/>
          <w:sz w:val="24"/>
          <w:szCs w:val="24"/>
        </w:rPr>
        <w:t>ine]</w:t>
      </w:r>
      <w:r w:rsidRPr="00397FBB">
        <w:rPr>
          <w:rStyle w:val="Hyperlink"/>
          <w:rFonts w:ascii="Arial" w:hAnsi="Arial" w:cs="Arial"/>
          <w:sz w:val="24"/>
          <w:szCs w:val="24"/>
        </w:rPr>
        <w:t>at: https://www.legislation.gov.uk/ukpga/1968/60/contents [12 March 2023].</w:t>
      </w:r>
    </w:p>
    <w:p w14:paraId="112AE9AD" w14:textId="7605254C" w:rsidR="00884C13" w:rsidRPr="00884C13" w:rsidRDefault="00884C13" w:rsidP="00884C13">
      <w:pPr>
        <w:rPr>
          <w:rStyle w:val="Hyperlink"/>
          <w:rFonts w:ascii="Arial" w:hAnsi="Arial" w:cs="Arial"/>
          <w:sz w:val="24"/>
          <w:szCs w:val="24"/>
        </w:rPr>
      </w:pPr>
      <w:r w:rsidRPr="00884C13">
        <w:rPr>
          <w:rStyle w:val="Hyperlink"/>
          <w:rFonts w:ascii="Arial" w:hAnsi="Arial" w:cs="Arial"/>
          <w:sz w:val="24"/>
          <w:szCs w:val="24"/>
        </w:rPr>
        <w:t>'Criminal damage act 1971', Legislation.gov.uk, Statute Law Database, [online]at: https://www.legislation.gov.uk/ukpga/1971/48/contents [12 March 2023].</w:t>
      </w:r>
    </w:p>
    <w:p w14:paraId="3653476C" w14:textId="77777777" w:rsidR="00884C13" w:rsidRPr="00884C13" w:rsidRDefault="00884C13" w:rsidP="00884C13">
      <w:pPr>
        <w:rPr>
          <w:rStyle w:val="Hyperlink"/>
          <w:rFonts w:ascii="Arial" w:hAnsi="Arial" w:cs="Arial"/>
          <w:sz w:val="24"/>
          <w:szCs w:val="24"/>
        </w:rPr>
      </w:pPr>
    </w:p>
    <w:p w14:paraId="34357B01" w14:textId="77777777" w:rsidR="00E6295B" w:rsidRDefault="00884C13">
      <w:pPr>
        <w:rPr>
          <w:rStyle w:val="Hyperlink"/>
          <w:rFonts w:ascii="Arial" w:hAnsi="Arial" w:cs="Arial"/>
          <w:sz w:val="24"/>
          <w:szCs w:val="24"/>
        </w:rPr>
      </w:pPr>
      <w:r w:rsidRPr="00884C13">
        <w:rPr>
          <w:rStyle w:val="Hyperlink"/>
          <w:rFonts w:ascii="Arial" w:hAnsi="Arial" w:cs="Arial"/>
          <w:sz w:val="24"/>
          <w:szCs w:val="24"/>
        </w:rPr>
        <w:lastRenderedPageBreak/>
        <w:t xml:space="preserve">Studocu 2023, 'Burglary - burglary S9 of Theft Act 1968 </w:t>
      </w:r>
      <w:r w:rsidR="0076089A">
        <w:rPr>
          <w:rStyle w:val="Hyperlink"/>
          <w:rFonts w:ascii="Arial" w:hAnsi="Arial" w:cs="Arial"/>
          <w:sz w:val="24"/>
          <w:szCs w:val="24"/>
        </w:rPr>
        <w:t>S.9</w:t>
      </w:r>
      <w:r w:rsidR="00413AD4">
        <w:rPr>
          <w:rStyle w:val="Hyperlink"/>
          <w:rFonts w:ascii="Arial" w:hAnsi="Arial" w:cs="Arial"/>
          <w:sz w:val="24"/>
          <w:szCs w:val="24"/>
        </w:rPr>
        <w:t>.</w:t>
      </w:r>
      <w:r w:rsidRPr="00884C13">
        <w:rPr>
          <w:rStyle w:val="Hyperlink"/>
          <w:rFonts w:ascii="Arial" w:hAnsi="Arial" w:cs="Arial"/>
          <w:sz w:val="24"/>
          <w:szCs w:val="24"/>
        </w:rPr>
        <w:t>1</w:t>
      </w:r>
      <w:r w:rsidR="00413AD4">
        <w:rPr>
          <w:rStyle w:val="Hyperlink"/>
          <w:rFonts w:ascii="Arial" w:hAnsi="Arial" w:cs="Arial"/>
          <w:sz w:val="24"/>
          <w:szCs w:val="24"/>
        </w:rPr>
        <w:t>(</w:t>
      </w:r>
      <w:r w:rsidRPr="00884C13">
        <w:rPr>
          <w:rStyle w:val="Hyperlink"/>
          <w:rFonts w:ascii="Arial" w:hAnsi="Arial" w:cs="Arial"/>
          <w:sz w:val="24"/>
          <w:szCs w:val="24"/>
        </w:rPr>
        <w:t xml:space="preserve">a) and s9(1)(b) are two separate offences. s9(1)(a)', </w:t>
      </w:r>
    </w:p>
    <w:p w14:paraId="5B2D6265" w14:textId="7CE2DBAC" w:rsidR="004A08B7" w:rsidRDefault="00884C13">
      <w:pPr>
        <w:rPr>
          <w:rStyle w:val="Hyperlink"/>
          <w:rFonts w:ascii="Arial" w:hAnsi="Arial" w:cs="Arial"/>
          <w:sz w:val="24"/>
          <w:szCs w:val="24"/>
        </w:rPr>
      </w:pPr>
      <w:r w:rsidRPr="00884C13">
        <w:rPr>
          <w:rStyle w:val="Hyperlink"/>
          <w:rFonts w:ascii="Arial" w:hAnsi="Arial" w:cs="Arial"/>
          <w:sz w:val="24"/>
          <w:szCs w:val="24"/>
        </w:rPr>
        <w:t>Studocu, [online]  at: https://www.studocu.com/en-gb/document/university-of-surrey/law-of-property-and-e [12 March 2023].</w:t>
      </w:r>
    </w:p>
    <w:p w14:paraId="56055629" w14:textId="77777777" w:rsidR="004A08B7" w:rsidRDefault="004A08B7"/>
    <w:p w14:paraId="07731334" w14:textId="77777777" w:rsidR="00E4384A" w:rsidRDefault="00E4384A">
      <w:pPr>
        <w:rPr>
          <w:rFonts w:ascii="Arial" w:hAnsi="Arial" w:cs="Arial"/>
          <w:sz w:val="24"/>
          <w:szCs w:val="24"/>
        </w:rPr>
      </w:pPr>
    </w:p>
    <w:p w14:paraId="64B45CE6" w14:textId="77777777" w:rsidR="00E4384A" w:rsidRDefault="00E4384A">
      <w:pPr>
        <w:rPr>
          <w:rFonts w:ascii="Arial" w:hAnsi="Arial" w:cs="Arial"/>
          <w:sz w:val="24"/>
          <w:szCs w:val="24"/>
        </w:rPr>
      </w:pPr>
    </w:p>
    <w:sectPr w:rsidR="00E4384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C78DD" w14:textId="77777777" w:rsidR="00D702B7" w:rsidRDefault="00D702B7">
      <w:pPr>
        <w:spacing w:after="0" w:line="240" w:lineRule="auto"/>
      </w:pPr>
      <w:r>
        <w:separator/>
      </w:r>
    </w:p>
  </w:endnote>
  <w:endnote w:type="continuationSeparator" w:id="0">
    <w:p w14:paraId="7510A09F" w14:textId="77777777" w:rsidR="00D702B7" w:rsidRDefault="00D70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8C2D3" w14:textId="77777777" w:rsidR="00D702B7" w:rsidRDefault="00D702B7">
      <w:pPr>
        <w:spacing w:after="0" w:line="240" w:lineRule="auto"/>
      </w:pPr>
      <w:r>
        <w:rPr>
          <w:color w:val="000000"/>
        </w:rPr>
        <w:separator/>
      </w:r>
    </w:p>
  </w:footnote>
  <w:footnote w:type="continuationSeparator" w:id="0">
    <w:p w14:paraId="1F10946F" w14:textId="77777777" w:rsidR="00D702B7" w:rsidRDefault="00D702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80072"/>
    <w:multiLevelType w:val="hybridMultilevel"/>
    <w:tmpl w:val="99E68C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D7917E3"/>
    <w:multiLevelType w:val="hybridMultilevel"/>
    <w:tmpl w:val="27A8A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E46669"/>
    <w:multiLevelType w:val="multilevel"/>
    <w:tmpl w:val="3A7CFA2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82922168">
    <w:abstractNumId w:val="2"/>
  </w:num>
  <w:num w:numId="2" w16cid:durableId="1352144520">
    <w:abstractNumId w:val="0"/>
  </w:num>
  <w:num w:numId="3" w16cid:durableId="12119644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84A"/>
    <w:rsid w:val="00030319"/>
    <w:rsid w:val="000616CF"/>
    <w:rsid w:val="000653DB"/>
    <w:rsid w:val="000673D6"/>
    <w:rsid w:val="00080037"/>
    <w:rsid w:val="000D3B03"/>
    <w:rsid w:val="000E4F0A"/>
    <w:rsid w:val="001015ED"/>
    <w:rsid w:val="0010716E"/>
    <w:rsid w:val="00117E18"/>
    <w:rsid w:val="001203F0"/>
    <w:rsid w:val="00134E9F"/>
    <w:rsid w:val="001408D3"/>
    <w:rsid w:val="00146F68"/>
    <w:rsid w:val="00156EBE"/>
    <w:rsid w:val="00174111"/>
    <w:rsid w:val="0018461A"/>
    <w:rsid w:val="00195AEB"/>
    <w:rsid w:val="001A5ADA"/>
    <w:rsid w:val="001B4AB2"/>
    <w:rsid w:val="001B5A28"/>
    <w:rsid w:val="001B5AE9"/>
    <w:rsid w:val="001E3548"/>
    <w:rsid w:val="0020362D"/>
    <w:rsid w:val="002064CF"/>
    <w:rsid w:val="00222A40"/>
    <w:rsid w:val="002370D9"/>
    <w:rsid w:val="002402B2"/>
    <w:rsid w:val="002710DD"/>
    <w:rsid w:val="0027602E"/>
    <w:rsid w:val="002838DB"/>
    <w:rsid w:val="002B7DDC"/>
    <w:rsid w:val="002C4A87"/>
    <w:rsid w:val="002D4A8F"/>
    <w:rsid w:val="002D6627"/>
    <w:rsid w:val="00394C68"/>
    <w:rsid w:val="00397FBB"/>
    <w:rsid w:val="003B3513"/>
    <w:rsid w:val="003C15B3"/>
    <w:rsid w:val="003D5C00"/>
    <w:rsid w:val="003D6640"/>
    <w:rsid w:val="00402728"/>
    <w:rsid w:val="00413AD4"/>
    <w:rsid w:val="0041799F"/>
    <w:rsid w:val="00425413"/>
    <w:rsid w:val="00433ACF"/>
    <w:rsid w:val="00460007"/>
    <w:rsid w:val="00460935"/>
    <w:rsid w:val="00482E36"/>
    <w:rsid w:val="004847BD"/>
    <w:rsid w:val="004A08B7"/>
    <w:rsid w:val="004D101C"/>
    <w:rsid w:val="00506C45"/>
    <w:rsid w:val="005071CF"/>
    <w:rsid w:val="00512A4D"/>
    <w:rsid w:val="00515C6B"/>
    <w:rsid w:val="00560DCF"/>
    <w:rsid w:val="005B59F5"/>
    <w:rsid w:val="005E0A38"/>
    <w:rsid w:val="005E273A"/>
    <w:rsid w:val="005E5FE0"/>
    <w:rsid w:val="005F7C98"/>
    <w:rsid w:val="0061398C"/>
    <w:rsid w:val="00634BFB"/>
    <w:rsid w:val="006427C1"/>
    <w:rsid w:val="006521A5"/>
    <w:rsid w:val="00676D26"/>
    <w:rsid w:val="006B0824"/>
    <w:rsid w:val="00725C8D"/>
    <w:rsid w:val="00736076"/>
    <w:rsid w:val="00744525"/>
    <w:rsid w:val="0076089A"/>
    <w:rsid w:val="007863A7"/>
    <w:rsid w:val="00791D79"/>
    <w:rsid w:val="007977C4"/>
    <w:rsid w:val="007F7E96"/>
    <w:rsid w:val="0080116C"/>
    <w:rsid w:val="00821303"/>
    <w:rsid w:val="0084331A"/>
    <w:rsid w:val="008456FF"/>
    <w:rsid w:val="008612C8"/>
    <w:rsid w:val="00877A5A"/>
    <w:rsid w:val="00884C13"/>
    <w:rsid w:val="00887060"/>
    <w:rsid w:val="008B560F"/>
    <w:rsid w:val="008D5618"/>
    <w:rsid w:val="008E562F"/>
    <w:rsid w:val="008F1689"/>
    <w:rsid w:val="008F308B"/>
    <w:rsid w:val="008F43EA"/>
    <w:rsid w:val="00965A70"/>
    <w:rsid w:val="00987519"/>
    <w:rsid w:val="009A6F09"/>
    <w:rsid w:val="009C0262"/>
    <w:rsid w:val="00A028E4"/>
    <w:rsid w:val="00A06E69"/>
    <w:rsid w:val="00A26048"/>
    <w:rsid w:val="00A51419"/>
    <w:rsid w:val="00A546F5"/>
    <w:rsid w:val="00A61C8B"/>
    <w:rsid w:val="00A9568C"/>
    <w:rsid w:val="00AB1718"/>
    <w:rsid w:val="00AE2AEF"/>
    <w:rsid w:val="00AF4F7A"/>
    <w:rsid w:val="00B047B4"/>
    <w:rsid w:val="00B12E58"/>
    <w:rsid w:val="00B44B7E"/>
    <w:rsid w:val="00B66B5B"/>
    <w:rsid w:val="00B97032"/>
    <w:rsid w:val="00BA11FE"/>
    <w:rsid w:val="00BB0212"/>
    <w:rsid w:val="00BB5C72"/>
    <w:rsid w:val="00BE1BD6"/>
    <w:rsid w:val="00C12316"/>
    <w:rsid w:val="00C135F4"/>
    <w:rsid w:val="00C13EC4"/>
    <w:rsid w:val="00C23004"/>
    <w:rsid w:val="00C3460C"/>
    <w:rsid w:val="00C479B7"/>
    <w:rsid w:val="00CA20CB"/>
    <w:rsid w:val="00CB342C"/>
    <w:rsid w:val="00D025D1"/>
    <w:rsid w:val="00D26D99"/>
    <w:rsid w:val="00D47A04"/>
    <w:rsid w:val="00D611EF"/>
    <w:rsid w:val="00D702B7"/>
    <w:rsid w:val="00D73005"/>
    <w:rsid w:val="00D92E46"/>
    <w:rsid w:val="00DA7B55"/>
    <w:rsid w:val="00E07361"/>
    <w:rsid w:val="00E4384A"/>
    <w:rsid w:val="00E6295B"/>
    <w:rsid w:val="00E92F48"/>
    <w:rsid w:val="00E97936"/>
    <w:rsid w:val="00F27E20"/>
    <w:rsid w:val="00F31C80"/>
    <w:rsid w:val="00F86ACD"/>
    <w:rsid w:val="00FF044C"/>
    <w:rsid w:val="00FF2A4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E728A"/>
  <w15:docId w15:val="{3DF3FBCD-1634-48C9-938C-73D567584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after="0" w:line="360" w:lineRule="auto"/>
      <w:jc w:val="both"/>
      <w:outlineLvl w:val="0"/>
    </w:pPr>
    <w:rPr>
      <w:rFonts w:ascii="Times New Roman" w:eastAsia="Times New Roman" w:hAnsi="Times New Roman"/>
      <w:b/>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pPr>
      <w:spacing w:before="100" w:after="100" w:line="240" w:lineRule="auto"/>
    </w:pPr>
    <w:rPr>
      <w:rFonts w:ascii="Times New Roman" w:eastAsia="Times New Roman" w:hAnsi="Times New Roman"/>
      <w:sz w:val="24"/>
      <w:szCs w:val="24"/>
    </w:rPr>
  </w:style>
  <w:style w:type="character" w:customStyle="1" w:styleId="Heading1Char">
    <w:name w:val="Heading 1 Char"/>
    <w:basedOn w:val="DefaultParagraphFont"/>
    <w:rPr>
      <w:rFonts w:ascii="Times New Roman" w:eastAsia="Times New Roman" w:hAnsi="Times New Roman" w:cs="Times New Roman"/>
      <w:b/>
      <w:sz w:val="24"/>
      <w:szCs w:val="24"/>
      <w:lang w:eastAsia="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customStyle="1" w:styleId="Normal1">
    <w:name w:val="Normal1"/>
    <w:pPr>
      <w:suppressAutoHyphens/>
      <w:spacing w:after="0" w:line="360" w:lineRule="auto"/>
      <w:jc w:val="both"/>
    </w:pPr>
    <w:rPr>
      <w:rFonts w:ascii="Times New Roman" w:eastAsia="Times New Roman" w:hAnsi="Times New Roman"/>
      <w:sz w:val="24"/>
      <w:szCs w:val="24"/>
      <w:lang w:eastAsia="en-US"/>
    </w:rPr>
  </w:style>
  <w:style w:type="paragraph" w:styleId="ListParagraph">
    <w:name w:val="List Paragraph"/>
    <w:basedOn w:val="Normal"/>
    <w:uiPriority w:val="34"/>
    <w:qFormat/>
    <w:rsid w:val="009C02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760027">
      <w:bodyDiv w:val="1"/>
      <w:marLeft w:val="0"/>
      <w:marRight w:val="0"/>
      <w:marTop w:val="0"/>
      <w:marBottom w:val="0"/>
      <w:divBdr>
        <w:top w:val="none" w:sz="0" w:space="0" w:color="auto"/>
        <w:left w:val="none" w:sz="0" w:space="0" w:color="auto"/>
        <w:bottom w:val="none" w:sz="0" w:space="0" w:color="auto"/>
        <w:right w:val="none" w:sz="0" w:space="0" w:color="auto"/>
      </w:divBdr>
    </w:div>
    <w:div w:id="20174913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theft-act-offences" TargetMode="External"/><Relationship Id="rId13" Type="http://schemas.openxmlformats.org/officeDocument/2006/relationships/hyperlink" Target="https://www.inbrief.co.uk/property-law/trespass" TargetMode="External"/><Relationship Id="rId18" Type="http://schemas.openxmlformats.org/officeDocument/2006/relationships/hyperlink" Target="https://www.lawteacher.net/cases/r-v-miller-1983.php"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ps.gov.uk/legal-guidance/criminal-damage" TargetMode="External"/><Relationship Id="rId12" Type="http://schemas.openxmlformats.org/officeDocument/2006/relationships/hyperlink" Target="https://www.iclr.co.uk/case-summaries/hadley-v-r/" TargetMode="External"/><Relationship Id="rId17" Type="http://schemas.openxmlformats.org/officeDocument/2006/relationships/hyperlink" Target="https://www.lawteacher.net/cases/r-v-kingston.php" TargetMode="External"/><Relationship Id="rId2" Type="http://schemas.openxmlformats.org/officeDocument/2006/relationships/styles" Target="styles.xml"/><Relationship Id="rId16" Type="http://schemas.openxmlformats.org/officeDocument/2006/relationships/hyperlink" Target="https://www.lawteacher.net/cases/r-v-caldwell.php"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estiblelaw.com/trespass-to-land-cases/" TargetMode="External"/><Relationship Id="rId5" Type="http://schemas.openxmlformats.org/officeDocument/2006/relationships/footnotes" Target="footnotes.xml"/><Relationship Id="rId15" Type="http://schemas.openxmlformats.org/officeDocument/2006/relationships/hyperlink" Target="https://www.lawteacher.net/cases/b-and-s-v-leathley.php" TargetMode="External"/><Relationship Id="rId10" Type="http://schemas.openxmlformats.org/officeDocument/2006/relationships/hyperlink" Target="https://www.cps.gov.uk/legal-guidance/arson-and-criminal-damage" TargetMode="External"/><Relationship Id="rId19" Type="http://schemas.openxmlformats.org/officeDocument/2006/relationships/hyperlink" Target="https://www.lawteacher.net/lecture-notes/theft-act-1968-summary.php" TargetMode="External"/><Relationship Id="rId4" Type="http://schemas.openxmlformats.org/officeDocument/2006/relationships/webSettings" Target="webSettings.xml"/><Relationship Id="rId9" Type="http://schemas.openxmlformats.org/officeDocument/2006/relationships/hyperlink" Target="https://www.cps.gov.uk/legal-guidance/theft" TargetMode="External"/><Relationship Id="rId14" Type="http://schemas.openxmlformats.org/officeDocument/2006/relationships/hyperlink" Target="https://www.lawteacher.net/cases/broome-v-perkin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6</Pages>
  <Words>1682</Words>
  <Characters>9589</Characters>
  <Application>Microsoft Office Word</Application>
  <DocSecurity>0</DocSecurity>
  <Lines>79</Lines>
  <Paragraphs>22</Paragraphs>
  <ScaleCrop>false</ScaleCrop>
  <Company/>
  <LinksUpToDate>false</LinksUpToDate>
  <CharactersWithSpaces>11249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dc:description/>
  <cp:lastModifiedBy>Daniel Tutu</cp:lastModifiedBy>
  <cp:revision>6</cp:revision>
  <dcterms:created xsi:type="dcterms:W3CDTF">2023-03-20T15:23:00Z</dcterms:created>
  <dcterms:modified xsi:type="dcterms:W3CDTF">2023-03-20T16:24:00Z</dcterms:modified>
</cp:coreProperties>
</file>