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5E872" w14:textId="77777777" w:rsidR="004E7108" w:rsidRDefault="004E7108" w:rsidP="003A7466"/>
    <w:p w14:paraId="3B4326C5" w14:textId="77777777" w:rsidR="004E7108" w:rsidRDefault="004E7108" w:rsidP="003A7466"/>
    <w:p w14:paraId="1A3326BD" w14:textId="77777777" w:rsidR="004E7108" w:rsidRDefault="004E7108" w:rsidP="003A7466"/>
    <w:p w14:paraId="3761EBF7" w14:textId="77777777" w:rsidR="004E7108" w:rsidRDefault="004E7108" w:rsidP="003A7466"/>
    <w:p w14:paraId="42A62B43" w14:textId="77777777" w:rsidR="004E7108" w:rsidRDefault="004E7108" w:rsidP="003A7466"/>
    <w:p w14:paraId="7BD67C95" w14:textId="77777777" w:rsidR="004E7108" w:rsidRDefault="004E7108" w:rsidP="003A7466"/>
    <w:p w14:paraId="31AF4A2C" w14:textId="6320EE9B" w:rsidR="003A7466" w:rsidRDefault="003A7466" w:rsidP="003A7466">
      <w:pPr>
        <w:ind w:firstLine="0"/>
        <w:jc w:val="center"/>
        <w:rPr>
          <w:b/>
          <w:bCs/>
        </w:rPr>
      </w:pPr>
    </w:p>
    <w:p w14:paraId="73B391AC" w14:textId="77777777" w:rsidR="00460A23" w:rsidRPr="00460A23" w:rsidRDefault="00460A23" w:rsidP="00460A23">
      <w:pPr>
        <w:ind w:firstLine="0"/>
        <w:jc w:val="center"/>
        <w:rPr>
          <w:b/>
          <w:bCs/>
        </w:rPr>
      </w:pPr>
      <w:r w:rsidRPr="00460A23">
        <w:rPr>
          <w:b/>
          <w:bCs/>
        </w:rPr>
        <w:t>Criminal law- BMLW4005</w:t>
      </w:r>
    </w:p>
    <w:p w14:paraId="4AE86C6B" w14:textId="77777777" w:rsidR="00460A23" w:rsidRPr="00460A23" w:rsidRDefault="00460A23" w:rsidP="00460A23">
      <w:pPr>
        <w:ind w:firstLine="0"/>
        <w:jc w:val="center"/>
        <w:rPr>
          <w:b/>
          <w:bCs/>
        </w:rPr>
      </w:pPr>
      <w:r w:rsidRPr="00460A23">
        <w:rPr>
          <w:b/>
          <w:bCs/>
        </w:rPr>
        <w:t xml:space="preserve"> Assignment Title: Scenario  task</w:t>
      </w:r>
    </w:p>
    <w:p w14:paraId="51942527" w14:textId="77777777" w:rsidR="00460A23" w:rsidRPr="00460A23" w:rsidRDefault="00460A23" w:rsidP="00460A23">
      <w:pPr>
        <w:ind w:firstLine="0"/>
        <w:jc w:val="center"/>
        <w:rPr>
          <w:b/>
          <w:bCs/>
        </w:rPr>
      </w:pPr>
    </w:p>
    <w:p w14:paraId="3B6232AB" w14:textId="77777777" w:rsidR="00460A23" w:rsidRPr="00460A23" w:rsidRDefault="00460A23" w:rsidP="00460A23">
      <w:pPr>
        <w:ind w:firstLine="0"/>
        <w:jc w:val="center"/>
        <w:rPr>
          <w:b/>
          <w:bCs/>
        </w:rPr>
      </w:pPr>
      <w:r w:rsidRPr="00460A23">
        <w:rPr>
          <w:b/>
          <w:bCs/>
        </w:rPr>
        <w:t>Tutor: Sadie France</w:t>
      </w:r>
    </w:p>
    <w:p w14:paraId="413E9A5F" w14:textId="77777777" w:rsidR="00460A23" w:rsidRPr="00460A23" w:rsidRDefault="00460A23" w:rsidP="00460A23">
      <w:pPr>
        <w:ind w:firstLine="0"/>
        <w:jc w:val="center"/>
        <w:rPr>
          <w:b/>
          <w:bCs/>
        </w:rPr>
      </w:pPr>
    </w:p>
    <w:p w14:paraId="19B4F698" w14:textId="77777777" w:rsidR="00460A23" w:rsidRPr="00460A23" w:rsidRDefault="00460A23" w:rsidP="00460A23">
      <w:pPr>
        <w:ind w:firstLine="0"/>
        <w:jc w:val="center"/>
        <w:rPr>
          <w:b/>
          <w:bCs/>
        </w:rPr>
      </w:pPr>
      <w:r w:rsidRPr="00460A23">
        <w:rPr>
          <w:b/>
          <w:bCs/>
        </w:rPr>
        <w:t>By: Roxana D. Vancu</w:t>
      </w:r>
    </w:p>
    <w:p w14:paraId="4E64F504" w14:textId="77777777" w:rsidR="00460A23" w:rsidRPr="00460A23" w:rsidRDefault="00460A23" w:rsidP="00460A23">
      <w:pPr>
        <w:ind w:firstLine="0"/>
        <w:jc w:val="center"/>
        <w:rPr>
          <w:b/>
          <w:bCs/>
        </w:rPr>
      </w:pPr>
      <w:r w:rsidRPr="00460A23">
        <w:rPr>
          <w:b/>
          <w:bCs/>
        </w:rPr>
        <w:t>Student Number: 213191</w:t>
      </w:r>
    </w:p>
    <w:p w14:paraId="5821C3BD" w14:textId="12188574" w:rsidR="00460A23" w:rsidRPr="003A7466" w:rsidRDefault="00460A23" w:rsidP="003A7466">
      <w:pPr>
        <w:ind w:firstLine="0"/>
        <w:jc w:val="center"/>
        <w:rPr>
          <w:b/>
          <w:bCs/>
        </w:rPr>
      </w:pPr>
      <w:r w:rsidRPr="00460A23">
        <w:rPr>
          <w:b/>
          <w:bCs/>
        </w:rPr>
        <w:t> </w:t>
      </w:r>
    </w:p>
    <w:p w14:paraId="0207463E" w14:textId="77777777" w:rsidR="003A7466" w:rsidRDefault="003A7466" w:rsidP="003A7466">
      <w:pPr>
        <w:ind w:firstLine="0"/>
      </w:pPr>
    </w:p>
    <w:p w14:paraId="509DC1DB" w14:textId="0DF42ADF" w:rsidR="00444DF4" w:rsidRDefault="00F0308C" w:rsidP="00A90121">
      <w:pPr>
        <w:spacing w:after="160" w:line="259" w:lineRule="auto"/>
        <w:ind w:firstLine="0"/>
        <w:jc w:val="left"/>
        <w:rPr>
          <w:lang w:val="en-US"/>
        </w:rPr>
      </w:pPr>
      <w:r>
        <w:rPr>
          <w:lang w:val="en-US"/>
        </w:rPr>
        <w:br w:type="page"/>
      </w:r>
    </w:p>
    <w:p w14:paraId="3E851679" w14:textId="77777777" w:rsidR="00406552" w:rsidRPr="002E183F" w:rsidRDefault="00F0308C" w:rsidP="002E183F">
      <w:pPr>
        <w:pStyle w:val="Titlu1"/>
      </w:pPr>
      <w:bookmarkStart w:id="0" w:name="_Toc123834114"/>
      <w:r>
        <w:lastRenderedPageBreak/>
        <w:t>Introduction</w:t>
      </w:r>
      <w:bookmarkEnd w:id="0"/>
    </w:p>
    <w:p w14:paraId="12BBE3D8" w14:textId="05980672" w:rsidR="00406552" w:rsidRDefault="00F0308C" w:rsidP="00FC7455">
      <w:pPr>
        <w:rPr>
          <w:lang w:val="en-US"/>
        </w:rPr>
      </w:pPr>
      <w:r>
        <w:rPr>
          <w:lang w:val="en-US"/>
        </w:rPr>
        <w:t xml:space="preserve">This report is based on two case studies, </w:t>
      </w:r>
      <w:r w:rsidR="002E183F">
        <w:rPr>
          <w:lang w:val="en-US"/>
        </w:rPr>
        <w:t>i.e.,</w:t>
      </w:r>
      <w:r>
        <w:rPr>
          <w:lang w:val="en-US"/>
        </w:rPr>
        <w:t xml:space="preserve"> Ranon and </w:t>
      </w:r>
      <w:r w:rsidRPr="001C718C">
        <w:rPr>
          <w:lang w:val="en-US"/>
        </w:rPr>
        <w:t>Hadley</w:t>
      </w:r>
      <w:r>
        <w:rPr>
          <w:lang w:val="en-US"/>
        </w:rPr>
        <w:t xml:space="preserve">, and another one is </w:t>
      </w:r>
      <w:r w:rsidRPr="001C718C">
        <w:rPr>
          <w:lang w:val="en-US"/>
        </w:rPr>
        <w:t>Freya and Nicky</w:t>
      </w:r>
      <w:r>
        <w:rPr>
          <w:lang w:val="en-US"/>
        </w:rPr>
        <w:t xml:space="preserve">. This report will </w:t>
      </w:r>
      <w:r w:rsidR="00FC7455" w:rsidRPr="001C718C">
        <w:rPr>
          <w:lang w:val="en-US"/>
        </w:rPr>
        <w:t>advise</w:t>
      </w:r>
      <w:r w:rsidRPr="001C718C">
        <w:rPr>
          <w:lang w:val="en-US"/>
        </w:rPr>
        <w:t xml:space="preserve"> Hadley </w:t>
      </w:r>
      <w:r w:rsidR="00417A72">
        <w:rPr>
          <w:lang w:val="en-US"/>
        </w:rPr>
        <w:t xml:space="preserve">on </w:t>
      </w:r>
      <w:r w:rsidRPr="001C718C">
        <w:rPr>
          <w:lang w:val="en-US"/>
        </w:rPr>
        <w:t>which offences he could be criminally liable for</w:t>
      </w:r>
      <w:r>
        <w:rPr>
          <w:lang w:val="en-US"/>
        </w:rPr>
        <w:t xml:space="preserve"> ag</w:t>
      </w:r>
      <w:r w:rsidR="00417A72">
        <w:rPr>
          <w:lang w:val="en-US"/>
        </w:rPr>
        <w:t>a</w:t>
      </w:r>
      <w:r>
        <w:rPr>
          <w:lang w:val="en-US"/>
        </w:rPr>
        <w:t>inst the crime of stealing and bre</w:t>
      </w:r>
      <w:r w:rsidR="00417A72">
        <w:rPr>
          <w:lang w:val="en-US"/>
        </w:rPr>
        <w:t xml:space="preserve">aking </w:t>
      </w:r>
      <w:r>
        <w:rPr>
          <w:lang w:val="en-US"/>
        </w:rPr>
        <w:t>into Ranon's house, and harming the property.</w:t>
      </w:r>
      <w:r w:rsidR="00FC7455">
        <w:rPr>
          <w:lang w:val="en-US"/>
        </w:rPr>
        <w:t xml:space="preserve"> In the second case study</w:t>
      </w:r>
      <w:r w:rsidR="00417A72">
        <w:rPr>
          <w:lang w:val="en-US"/>
        </w:rPr>
        <w:t>,</w:t>
      </w:r>
      <w:r w:rsidR="00FC7455">
        <w:rPr>
          <w:lang w:val="en-US"/>
        </w:rPr>
        <w:t xml:space="preserve"> this report will </w:t>
      </w:r>
      <w:r w:rsidR="00FC7455" w:rsidRPr="00FC7455">
        <w:rPr>
          <w:lang w:val="en-US"/>
        </w:rPr>
        <w:t xml:space="preserve">advise </w:t>
      </w:r>
      <w:r w:rsidR="00FC7455">
        <w:rPr>
          <w:lang w:val="en-US"/>
        </w:rPr>
        <w:t xml:space="preserve">Freya </w:t>
      </w:r>
      <w:r w:rsidR="00FC7455" w:rsidRPr="00FC7455">
        <w:rPr>
          <w:lang w:val="en-US"/>
        </w:rPr>
        <w:t>o</w:t>
      </w:r>
      <w:r w:rsidR="00417A72">
        <w:rPr>
          <w:lang w:val="en-US"/>
        </w:rPr>
        <w:t>n</w:t>
      </w:r>
      <w:r w:rsidR="00FC7455" w:rsidRPr="00FC7455">
        <w:rPr>
          <w:lang w:val="en-US"/>
        </w:rPr>
        <w:t xml:space="preserve"> whether she would be able to rely on the defen</w:t>
      </w:r>
      <w:r w:rsidR="00417A72">
        <w:rPr>
          <w:lang w:val="en-US"/>
        </w:rPr>
        <w:t>c</w:t>
      </w:r>
      <w:r w:rsidR="00FC7455" w:rsidRPr="00FC7455">
        <w:rPr>
          <w:lang w:val="en-US"/>
        </w:rPr>
        <w:t>es</w:t>
      </w:r>
      <w:r w:rsidR="00FC7455">
        <w:rPr>
          <w:lang w:val="en-US"/>
        </w:rPr>
        <w:t xml:space="preserve"> of intoxication and </w:t>
      </w:r>
      <w:r w:rsidR="00FC7455" w:rsidRPr="00FC7455">
        <w:rPr>
          <w:lang w:val="en-US"/>
        </w:rPr>
        <w:t>automatism.</w:t>
      </w:r>
    </w:p>
    <w:p w14:paraId="4D209EAC" w14:textId="77777777" w:rsidR="00FC7455" w:rsidRPr="00406552" w:rsidRDefault="00FC7455" w:rsidP="00FC7455">
      <w:pPr>
        <w:rPr>
          <w:lang w:val="en-US"/>
        </w:rPr>
      </w:pPr>
    </w:p>
    <w:p w14:paraId="77741814" w14:textId="77777777" w:rsidR="00FD6D00" w:rsidRDefault="00F0308C" w:rsidP="002E183F">
      <w:pPr>
        <w:pStyle w:val="Titlu1"/>
      </w:pPr>
      <w:bookmarkStart w:id="1" w:name="_Toc123834115"/>
      <w:r>
        <w:t>A)</w:t>
      </w:r>
      <w:bookmarkEnd w:id="1"/>
    </w:p>
    <w:p w14:paraId="3BCCB12D" w14:textId="37756D67" w:rsidR="00371B14" w:rsidRPr="00891AAF" w:rsidRDefault="00F0308C" w:rsidP="00891AAF">
      <w:pPr>
        <w:rPr>
          <w:shd w:val="clear" w:color="auto" w:fill="FFFFFF"/>
        </w:rPr>
      </w:pPr>
      <w:r>
        <w:t xml:space="preserve">In the light case study of Ronan, the Hadley had commenced </w:t>
      </w:r>
      <w:r w:rsidR="00B32B78">
        <w:t>different</w:t>
      </w:r>
      <w:r>
        <w:t xml:space="preserve"> crimes, i.e. theft and hurting someone else's property, both the wooden bench and aftershave </w:t>
      </w:r>
      <w:r w:rsidR="00891AAF">
        <w:rPr>
          <w:shd w:val="clear" w:color="auto" w:fill="FFFFFF"/>
        </w:rPr>
        <w:t>(Ormerod, 2015)</w:t>
      </w:r>
      <w:r>
        <w:t xml:space="preserve">. </w:t>
      </w:r>
      <w:r w:rsidR="00435F4F">
        <w:t xml:space="preserve">Hadley </w:t>
      </w:r>
      <w:r w:rsidR="00B32B78">
        <w:t xml:space="preserve">can be criminally liable for </w:t>
      </w:r>
      <w:r w:rsidR="001F4002">
        <w:t>different</w:t>
      </w:r>
      <w:r w:rsidR="00B32B78">
        <w:t xml:space="preserve"> offences </w:t>
      </w:r>
      <w:r w:rsidR="00435F4F">
        <w:t>against the theft and hurting others</w:t>
      </w:r>
      <w:r w:rsidR="00417A72">
        <w:t>'</w:t>
      </w:r>
      <w:r w:rsidR="00435F4F">
        <w:t xml:space="preserve"> property he will be liable for:</w:t>
      </w:r>
    </w:p>
    <w:p w14:paraId="36B5D334" w14:textId="77777777" w:rsidR="008B386F" w:rsidRDefault="008B386F" w:rsidP="008B386F">
      <w:pPr>
        <w:pStyle w:val="Listparagraf"/>
      </w:pPr>
    </w:p>
    <w:p w14:paraId="78745325" w14:textId="77777777" w:rsidR="00435F4F" w:rsidRPr="002E183F" w:rsidRDefault="00F0308C" w:rsidP="002E183F">
      <w:pPr>
        <w:pStyle w:val="Titlu2"/>
      </w:pPr>
      <w:bookmarkStart w:id="2" w:name="_Toc123834116"/>
      <w:r>
        <w:t xml:space="preserve">Section </w:t>
      </w:r>
      <w:r w:rsidR="004702C9">
        <w:t>25 of Theft Act (1)</w:t>
      </w:r>
      <w:bookmarkEnd w:id="2"/>
    </w:p>
    <w:p w14:paraId="0143B234" w14:textId="333C4459" w:rsidR="007411DF" w:rsidRPr="004C21A0" w:rsidRDefault="001F4002" w:rsidP="004C21A0">
      <w:pPr>
        <w:rPr>
          <w:lang w:val="en-US"/>
        </w:rPr>
      </w:pPr>
      <w:r>
        <w:t>Hadley could be charged</w:t>
      </w:r>
      <w:r w:rsidR="00F80BCF">
        <w:t xml:space="preserve"> under Section 25 of the Theft Act 1968. </w:t>
      </w:r>
      <w:r w:rsidR="00F0308C">
        <w:t xml:space="preserve">Possession of items that might be used in a home invasion, theft, or fraud while not at one's dwelling </w:t>
      </w:r>
      <w:r w:rsidR="0097274D">
        <w:t xml:space="preserve">is termed criminal </w:t>
      </w:r>
      <w:r w:rsidR="00723DC5">
        <w:t xml:space="preserve">activity as per </w:t>
      </w:r>
      <w:r w:rsidR="00417A72">
        <w:t xml:space="preserve">the </w:t>
      </w:r>
      <w:r w:rsidR="003B3107">
        <w:t xml:space="preserve">Theft Act </w:t>
      </w:r>
      <w:r w:rsidR="00723DC5">
        <w:t xml:space="preserve">1968. As </w:t>
      </w:r>
      <w:r w:rsidR="00F0308C">
        <w:t>stated by the Theft Act of 1968, this is strictly prohibited.</w:t>
      </w:r>
      <w:r>
        <w:t xml:space="preserve"> </w:t>
      </w:r>
      <w:r w:rsidR="00F0308C">
        <w:t>According to the Anti-Social Behaviour, Crime, and Policing Act of 2014, "low-value shoplifting," defined as the theft of goods from a merchant worth less than £200, is to be pursued acc</w:t>
      </w:r>
      <w:r w:rsidR="00891AAF">
        <w:t xml:space="preserve">ording to quite different rules </w:t>
      </w:r>
      <w:r w:rsidR="00891AAF">
        <w:rPr>
          <w:shd w:val="clear" w:color="auto" w:fill="FFFFFF"/>
        </w:rPr>
        <w:t>().</w:t>
      </w:r>
    </w:p>
    <w:p w14:paraId="1D1812CA" w14:textId="571668F8" w:rsidR="002E632E" w:rsidRDefault="00563A3E" w:rsidP="00891AAF">
      <w:pPr>
        <w:rPr>
          <w:shd w:val="clear" w:color="auto" w:fill="FFFFFF"/>
        </w:rPr>
      </w:pPr>
      <w:r>
        <w:t xml:space="preserve">Hadley could be charged under </w:t>
      </w:r>
      <w:hyperlink r:id="rId6" w:history="1">
        <w:r w:rsidR="0062327C" w:rsidRPr="0062327C">
          <w:rPr>
            <w:rStyle w:val="Hyperlink"/>
            <w:color w:val="auto"/>
            <w:u w:val="none"/>
          </w:rPr>
          <w:t>Section 8(1)</w:t>
        </w:r>
      </w:hyperlink>
      <w:r w:rsidR="0062327C" w:rsidRPr="0062327C">
        <w:t xml:space="preserve"> TA 1968 </w:t>
      </w:r>
      <w:r>
        <w:t xml:space="preserve">that </w:t>
      </w:r>
      <w:r w:rsidR="007411DF">
        <w:t>defined "the use of force or threats of force against another person with the intent to accomplish, or to assist a</w:t>
      </w:r>
      <w:r w:rsidR="00954B57">
        <w:t>nother in committing a theft”</w:t>
      </w:r>
      <w:r>
        <w:t xml:space="preserve"> is crime</w:t>
      </w:r>
      <w:r w:rsidR="00954B57">
        <w:t xml:space="preserve">. Thus, </w:t>
      </w:r>
      <w:r w:rsidR="0050430E">
        <w:t>i</w:t>
      </w:r>
      <w:r w:rsidR="007411DF">
        <w:t>t is illegal to ruin, deface, or otherwise degrade another person's property; this is known as vandalism, malicious trespass, or criminal damage</w:t>
      </w:r>
      <w:r w:rsidR="000E4117">
        <w:t xml:space="preserve"> done by </w:t>
      </w:r>
      <w:r w:rsidR="000E4117" w:rsidRPr="000E4117">
        <w:t>Hadley</w:t>
      </w:r>
      <w:r w:rsidR="000E4117">
        <w:t xml:space="preserve"> </w:t>
      </w:r>
      <w:r w:rsidR="00F63EDF">
        <w:t>(</w:t>
      </w:r>
      <w:r w:rsidR="00F63EDF">
        <w:rPr>
          <w:shd w:val="clear" w:color="auto" w:fill="FFFFFF"/>
        </w:rPr>
        <w:t>Ormerod, 2015).</w:t>
      </w:r>
    </w:p>
    <w:p w14:paraId="41065F40" w14:textId="483F8640" w:rsidR="0043576B" w:rsidRPr="00102F64" w:rsidRDefault="00F0308C" w:rsidP="00102F64">
      <w:r w:rsidRPr="00102F64">
        <w:t>Theft must be a violation of some right o</w:t>
      </w:r>
      <w:r w:rsidR="006727FA">
        <w:t>f the owner. In Pitman v. Hehl [</w:t>
      </w:r>
      <w:r w:rsidRPr="006727FA">
        <w:t>1977</w:t>
      </w:r>
      <w:r w:rsidR="006727FA">
        <w:t>]</w:t>
      </w:r>
      <w:r w:rsidRPr="006727FA">
        <w:t xml:space="preserve">, it was held that fraud had happened when the defendant sold the plaintiff's </w:t>
      </w:r>
      <w:r w:rsidRPr="00102F64">
        <w:t>furniture. The disputed question is whether appropriation must occur without the owner's consent, as st</w:t>
      </w:r>
      <w:r w:rsidR="00B06316">
        <w:t>ated by Lord Roskill in Morris [1983]</w:t>
      </w:r>
      <w:r w:rsidRPr="00102F64">
        <w:t xml:space="preserve">. This case in point offered further information. </w:t>
      </w:r>
    </w:p>
    <w:p w14:paraId="5C15EAF0" w14:textId="1240EA30" w:rsidR="00351790" w:rsidRDefault="00F15DE1" w:rsidP="00A960D3">
      <w:r>
        <w:t xml:space="preserve">Similarly, </w:t>
      </w:r>
      <w:r w:rsidR="00F0308C" w:rsidRPr="00102F64">
        <w:t>the Hous</w:t>
      </w:r>
      <w:r w:rsidR="00F0308C">
        <w:t xml:space="preserve">e of Lords ruled in R v. Gomez [1992] </w:t>
      </w:r>
      <w:r w:rsidR="00F0308C" w:rsidRPr="00102F64">
        <w:t xml:space="preserve">that it includes situations in which another person has consented to the appropriation if the agreement was </w:t>
      </w:r>
      <w:r w:rsidR="00F0308C" w:rsidRPr="00102F64">
        <w:lastRenderedPageBreak/>
        <w:t xml:space="preserve">achieved by fraud. Therefore, it is critical to remember that "appropriation" happens when the rights of a </w:t>
      </w:r>
      <w:r w:rsidR="00532548" w:rsidRPr="00102F64">
        <w:t>property-owner</w:t>
      </w:r>
      <w:r w:rsidR="00F0308C" w:rsidRPr="00102F64">
        <w:t xml:space="preserve"> are assumed. The House of Lords ruled in R v. Hinks </w:t>
      </w:r>
      <w:r w:rsidR="007A27F9" w:rsidRPr="00102F64">
        <w:t>(2001)</w:t>
      </w:r>
      <w:r w:rsidR="007A27F9">
        <w:t xml:space="preserve"> </w:t>
      </w:r>
      <w:r w:rsidR="00F0308C" w:rsidRPr="00102F64">
        <w:t>that stealing might occur without any dishonesty and that appropriation was legal. In the court's opinion, whether or not the defendant is dishonest is the most important question.</w:t>
      </w:r>
    </w:p>
    <w:p w14:paraId="5DA7E519" w14:textId="77777777" w:rsidR="00102F64" w:rsidRPr="00102F64" w:rsidRDefault="00102F64" w:rsidP="003B3107">
      <w:pPr>
        <w:ind w:firstLine="0"/>
      </w:pPr>
    </w:p>
    <w:p w14:paraId="68848FAB" w14:textId="77777777" w:rsidR="00DC2740" w:rsidRDefault="00F0308C" w:rsidP="002E183F">
      <w:pPr>
        <w:pStyle w:val="Titlu2"/>
        <w:rPr>
          <w:shd w:val="clear" w:color="auto" w:fill="FFFFFF"/>
        </w:rPr>
      </w:pPr>
      <w:bookmarkStart w:id="3" w:name="_Toc123834117"/>
      <w:r>
        <w:rPr>
          <w:shd w:val="clear" w:color="auto" w:fill="FFFFFF"/>
        </w:rPr>
        <w:t xml:space="preserve">Section </w:t>
      </w:r>
      <w:r w:rsidR="00403B74">
        <w:rPr>
          <w:shd w:val="clear" w:color="auto" w:fill="FFFFFF"/>
        </w:rPr>
        <w:t xml:space="preserve">1(1) </w:t>
      </w:r>
      <w:r>
        <w:rPr>
          <w:shd w:val="clear" w:color="auto" w:fill="FFFFFF"/>
        </w:rPr>
        <w:t xml:space="preserve">CDA </w:t>
      </w:r>
      <w:r w:rsidR="00403B74">
        <w:rPr>
          <w:shd w:val="clear" w:color="auto" w:fill="FFFFFF"/>
        </w:rPr>
        <w:t>1971- Property Destroy</w:t>
      </w:r>
      <w:bookmarkEnd w:id="3"/>
    </w:p>
    <w:p w14:paraId="4088773A" w14:textId="77777777" w:rsidR="00B31BFD" w:rsidRPr="00891AAF" w:rsidRDefault="00F0308C" w:rsidP="00891AAF">
      <w:pPr>
        <w:rPr>
          <w:shd w:val="clear" w:color="auto" w:fill="FFFFFF"/>
        </w:rPr>
      </w:pPr>
      <w:r>
        <w:t>Whoever knowingly or carelessly hurts or destroys another person's property without cause is guilty of a crime. This</w:t>
      </w:r>
      <w:r w:rsidR="00891AAF">
        <w:t xml:space="preserve"> crime may be tried in any case </w:t>
      </w:r>
      <w:r w:rsidR="00891AAF">
        <w:rPr>
          <w:shd w:val="clear" w:color="auto" w:fill="FFFFFF"/>
        </w:rPr>
        <w:t xml:space="preserve">(Van Erp, 2019). </w:t>
      </w:r>
      <w:r>
        <w:t xml:space="preserve">According to Section 1(1) of the Criminal Harm Act of 1971, it is a criminal to purposefully or negligently damage or destroy another person's property without a reasonable justification. Thus, Hadley can face </w:t>
      </w:r>
      <w:r w:rsidR="00417A72">
        <w:t xml:space="preserve">the </w:t>
      </w:r>
      <w:r>
        <w:t xml:space="preserve">consequence of this crime </w:t>
      </w:r>
      <w:r w:rsidR="00417A72">
        <w:t>which</w:t>
      </w:r>
      <w:r>
        <w:t xml:space="preserve"> carries </w:t>
      </w:r>
      <w:r w:rsidR="00891AAF">
        <w:t xml:space="preserve">a ten-year maximum jail penalty </w:t>
      </w:r>
      <w:r w:rsidR="00891AAF">
        <w:rPr>
          <w:shd w:val="clear" w:color="auto" w:fill="FFFFFF"/>
        </w:rPr>
        <w:t>(Betts, 2019).</w:t>
      </w:r>
    </w:p>
    <w:p w14:paraId="4E52B952" w14:textId="77777777" w:rsidR="00325B81" w:rsidRPr="00325B81" w:rsidRDefault="00F0308C" w:rsidP="00325B81">
      <w:r w:rsidRPr="00325B81">
        <w:t xml:space="preserve">Section 4 of the Theft Act 1968 describes </w:t>
      </w:r>
      <w:r w:rsidR="00417A72">
        <w:t xml:space="preserve">the </w:t>
      </w:r>
      <w:r w:rsidRPr="00325B81">
        <w:t>property in excessive deepness, stating:</w:t>
      </w:r>
    </w:p>
    <w:p w14:paraId="4092D71E" w14:textId="63450BBC" w:rsidR="008D6335" w:rsidRPr="008D6335" w:rsidRDefault="00F0308C" w:rsidP="008D6335">
      <w:r w:rsidRPr="008D6335">
        <w:t xml:space="preserve">Criminal culpability may not attach if the destruction or damage is not irreversible. </w:t>
      </w:r>
      <w:r w:rsidR="005F7F7D" w:rsidRPr="008D6335">
        <w:t xml:space="preserve">This is </w:t>
      </w:r>
      <w:r w:rsidRPr="008D6335">
        <w:t>established</w:t>
      </w:r>
      <w:r w:rsidR="005F7F7D" w:rsidRPr="008D6335">
        <w:t xml:space="preserve"> in the case of A v R [1978] Crim LR 689 where the </w:t>
      </w:r>
      <w:r w:rsidRPr="008D6335">
        <w:t>offender</w:t>
      </w:r>
      <w:r w:rsidR="005F7F7D" w:rsidRPr="008D6335">
        <w:t xml:space="preserve"> </w:t>
      </w:r>
      <w:r w:rsidRPr="008D6335">
        <w:t>f</w:t>
      </w:r>
      <w:r w:rsidR="005F7F7D" w:rsidRPr="008D6335">
        <w:t xml:space="preserve">ought in a raincoat. </w:t>
      </w:r>
      <w:r w:rsidRPr="008D6335">
        <w:t xml:space="preserve">Slobber is easily removed from the coat since it is water-resistant. </w:t>
      </w:r>
      <w:r w:rsidR="005F7F7D" w:rsidRPr="008D6335">
        <w:t xml:space="preserve">Accordingly, </w:t>
      </w:r>
      <w:r w:rsidRPr="008D6335">
        <w:t>no damage was done to the property, and no criminal activity was seen.</w:t>
      </w:r>
    </w:p>
    <w:p w14:paraId="33D10D23" w14:textId="1F7E57B1" w:rsidR="000E76E3" w:rsidRDefault="00F0308C" w:rsidP="00343967">
      <w:r w:rsidRPr="00343967">
        <w:t>R v Pembliton (1874) LR 2CCR 119</w:t>
      </w:r>
      <w:r w:rsidR="00343967">
        <w:t>, the accused hurled many stones at the crowd. He tried to get the crowd to spread out. A rock hit the window and shattered it. A legal attempt was made to overturn his criminal damage conviction.</w:t>
      </w:r>
    </w:p>
    <w:p w14:paraId="3575BAA5" w14:textId="77777777" w:rsidR="00343967" w:rsidRDefault="00F0308C" w:rsidP="00343967">
      <w:r>
        <w:t>An overturning of the conviction His mens rea for a crime against a person could not be extrapolated to include an intent to damage property.</w:t>
      </w:r>
    </w:p>
    <w:p w14:paraId="4CF6DC7E" w14:textId="527B896E" w:rsidR="00343967" w:rsidRPr="000E76E3" w:rsidRDefault="00F0308C" w:rsidP="00FB5594">
      <w:r>
        <w:t xml:space="preserve">Concluding, in Pitman v. Hehl [1977], Hadley could be criminally liable for selling the ‘Kolex'. Lord Roskill in Morris [1983] will apply as Hadley has taken the watch without the consent of the Ronan. R v. Gomez [1992], no agreement was found. Thus dishonesty was apparent in the case. </w:t>
      </w:r>
      <w:r w:rsidRPr="008D6335">
        <w:t>A v R [1978] Crim LR 689</w:t>
      </w:r>
      <w:r>
        <w:t xml:space="preserve"> do not apply as the offender did not fight to steal. </w:t>
      </w:r>
      <w:r w:rsidRPr="00343967">
        <w:t>R v Pembliton (1874) LR 2CCR 119</w:t>
      </w:r>
      <w:r>
        <w:t xml:space="preserve">, applied as an offence that set the dressing room on fire.  </w:t>
      </w:r>
    </w:p>
    <w:p w14:paraId="158B6120" w14:textId="77777777" w:rsidR="005F7F7D" w:rsidRPr="00891AAF" w:rsidRDefault="005F7F7D" w:rsidP="00891AAF">
      <w:pPr>
        <w:rPr>
          <w:shd w:val="clear" w:color="auto" w:fill="FFFFFF"/>
        </w:rPr>
      </w:pPr>
    </w:p>
    <w:p w14:paraId="4B24920D" w14:textId="77777777" w:rsidR="00A06362" w:rsidRDefault="00F0308C" w:rsidP="002E183F">
      <w:pPr>
        <w:pStyle w:val="Titlu1"/>
      </w:pPr>
      <w:bookmarkStart w:id="4" w:name="_Toc123834118"/>
      <w:r>
        <w:lastRenderedPageBreak/>
        <w:t>B)</w:t>
      </w:r>
      <w:bookmarkEnd w:id="4"/>
    </w:p>
    <w:p w14:paraId="5503D570" w14:textId="67A9080A" w:rsidR="00AA53CC" w:rsidRPr="00025B2C" w:rsidRDefault="00F0308C" w:rsidP="00891AAF">
      <w:pPr>
        <w:rPr>
          <w:shd w:val="clear" w:color="auto" w:fill="FFFFFF"/>
        </w:rPr>
      </w:pPr>
      <w:r w:rsidRPr="00025B2C">
        <w:rPr>
          <w:lang w:val="en-US"/>
        </w:rPr>
        <w:t xml:space="preserve">Freya has been </w:t>
      </w:r>
      <w:r w:rsidRPr="00025B2C">
        <w:t xml:space="preserve">charged with </w:t>
      </w:r>
      <w:r w:rsidRPr="00025B2C">
        <w:rPr>
          <w:lang w:val="en-US"/>
        </w:rPr>
        <w:t xml:space="preserve">s.47 Offences </w:t>
      </w:r>
      <w:r w:rsidRPr="00025B2C">
        <w:t>against</w:t>
      </w:r>
      <w:r w:rsidRPr="00025B2C">
        <w:rPr>
          <w:lang w:val="en-US"/>
        </w:rPr>
        <w:t xml:space="preserve"> the Person Act </w:t>
      </w:r>
      <w:r w:rsidR="00EB6CDF">
        <w:rPr>
          <w:lang w:val="en-US"/>
        </w:rPr>
        <w:t>(</w:t>
      </w:r>
      <w:r w:rsidRPr="00025B2C">
        <w:rPr>
          <w:lang w:val="en-US"/>
        </w:rPr>
        <w:t>1861</w:t>
      </w:r>
      <w:r w:rsidR="00EB6CDF">
        <w:rPr>
          <w:lang w:val="en-US"/>
        </w:rPr>
        <w:t>)</w:t>
      </w:r>
      <w:r w:rsidRPr="00025B2C">
        <w:rPr>
          <w:lang w:val="en-US"/>
        </w:rPr>
        <w:t>,</w:t>
      </w:r>
      <w:r w:rsidRPr="00025B2C">
        <w:t xml:space="preserve"> as she ha</w:t>
      </w:r>
      <w:r w:rsidR="00417A72" w:rsidRPr="00025B2C">
        <w:t>d</w:t>
      </w:r>
      <w:r w:rsidRPr="00025B2C">
        <w:t xml:space="preserve"> </w:t>
      </w:r>
      <w:r w:rsidR="00417A72" w:rsidRPr="00025B2C">
        <w:t xml:space="preserve">been </w:t>
      </w:r>
      <w:r w:rsidRPr="00025B2C">
        <w:t xml:space="preserve">accused of assault occasioning </w:t>
      </w:r>
      <w:r w:rsidR="00EB6CDF">
        <w:t>g</w:t>
      </w:r>
      <w:r w:rsidR="00EB6CDF" w:rsidRPr="00025B2C">
        <w:t>enuine</w:t>
      </w:r>
      <w:r w:rsidRPr="00025B2C">
        <w:t xml:space="preserve"> </w:t>
      </w:r>
      <w:r w:rsidR="00EB6CDF">
        <w:t>p</w:t>
      </w:r>
      <w:r w:rsidR="00EB6CDF" w:rsidRPr="00025B2C">
        <w:t>hysical</w:t>
      </w:r>
      <w:r w:rsidR="00EB6CDF">
        <w:t xml:space="preserve"> h</w:t>
      </w:r>
      <w:r w:rsidRPr="00025B2C">
        <w:t xml:space="preserve">arm. She hurt Mike. However, she has some space to rely on defences of intoxication and automatism. Contrary to this, </w:t>
      </w:r>
      <w:r w:rsidR="00B57A1D" w:rsidRPr="00025B2C">
        <w:t xml:space="preserve">Freya had been diagnosed with epilepsy, but she was not </w:t>
      </w:r>
      <w:r w:rsidR="00417A72" w:rsidRPr="00025B2C">
        <w:t>on</w:t>
      </w:r>
      <w:r w:rsidR="00B57A1D" w:rsidRPr="00025B2C">
        <w:t xml:space="preserve"> medi</w:t>
      </w:r>
      <w:r w:rsidR="00417A72" w:rsidRPr="00025B2C">
        <w:t>c</w:t>
      </w:r>
      <w:r w:rsidR="00B57A1D" w:rsidRPr="00025B2C">
        <w:t>ation because</w:t>
      </w:r>
      <w:r w:rsidR="00417A72" w:rsidRPr="00025B2C">
        <w:t>,</w:t>
      </w:r>
      <w:r w:rsidR="00B57A1D" w:rsidRPr="00025B2C">
        <w:t xml:space="preserve"> </w:t>
      </w:r>
      <w:r w:rsidR="00417A72" w:rsidRPr="00025B2C">
        <w:t>for</w:t>
      </w:r>
      <w:r w:rsidR="00B57A1D" w:rsidRPr="00025B2C">
        <w:t xml:space="preserve"> a long time</w:t>
      </w:r>
      <w:r w:rsidR="00417A72" w:rsidRPr="00025B2C">
        <w:t>,</w:t>
      </w:r>
      <w:r w:rsidR="00B57A1D" w:rsidRPr="00025B2C">
        <w:t xml:space="preserve"> she had not faced seizure</w:t>
      </w:r>
      <w:r w:rsidR="00417A72" w:rsidRPr="00025B2C">
        <w:t>s</w:t>
      </w:r>
      <w:r w:rsidR="00891AAF" w:rsidRPr="00025B2C">
        <w:t xml:space="preserve"> </w:t>
      </w:r>
      <w:r w:rsidR="00891AAF" w:rsidRPr="00025B2C">
        <w:rPr>
          <w:shd w:val="clear" w:color="auto" w:fill="FFFFFF"/>
        </w:rPr>
        <w:t>(Fitz-Gibbon, 2016).</w:t>
      </w:r>
    </w:p>
    <w:p w14:paraId="5BBFD8AD" w14:textId="69273470" w:rsidR="0046525F" w:rsidRPr="00025B2C" w:rsidRDefault="00F0308C" w:rsidP="00B94AC8">
      <w:r w:rsidRPr="00025B2C">
        <w:rPr>
          <w:shd w:val="clear" w:color="auto" w:fill="FFFFFF"/>
        </w:rPr>
        <w:t xml:space="preserve">Where the </w:t>
      </w:r>
      <w:r w:rsidR="00494FBA" w:rsidRPr="00025B2C">
        <w:rPr>
          <w:shd w:val="clear" w:color="auto" w:fill="FFFFFF"/>
        </w:rPr>
        <w:t>offender</w:t>
      </w:r>
      <w:r w:rsidRPr="00025B2C">
        <w:rPr>
          <w:shd w:val="clear" w:color="auto" w:fill="FFFFFF"/>
        </w:rPr>
        <w:t xml:space="preserve"> </w:t>
      </w:r>
      <w:r w:rsidR="008C70AE" w:rsidRPr="00025B2C">
        <w:rPr>
          <w:lang w:val="en-US"/>
        </w:rPr>
        <w:t xml:space="preserve">Freya </w:t>
      </w:r>
      <w:r w:rsidRPr="00025B2C">
        <w:rPr>
          <w:shd w:val="clear" w:color="auto" w:fill="FFFFFF"/>
        </w:rPr>
        <w:t xml:space="preserve">is </w:t>
      </w:r>
      <w:r w:rsidR="00494FBA" w:rsidRPr="00025B2C">
        <w:rPr>
          <w:shd w:val="clear" w:color="auto" w:fill="FFFFFF"/>
        </w:rPr>
        <w:t>accused</w:t>
      </w:r>
      <w:r w:rsidRPr="00025B2C">
        <w:rPr>
          <w:shd w:val="clear" w:color="auto" w:fill="FFFFFF"/>
        </w:rPr>
        <w:t xml:space="preserve"> with a </w:t>
      </w:r>
      <w:r w:rsidR="00030EE7" w:rsidRPr="00025B2C">
        <w:rPr>
          <w:shd w:val="clear" w:color="auto" w:fill="FFFFFF"/>
        </w:rPr>
        <w:t>criminality</w:t>
      </w:r>
      <w:r w:rsidR="008C70AE" w:rsidRPr="00025B2C">
        <w:rPr>
          <w:shd w:val="clear" w:color="auto" w:fill="FFFFFF"/>
        </w:rPr>
        <w:t xml:space="preserve"> under</w:t>
      </w:r>
      <w:r w:rsidR="008C70AE" w:rsidRPr="00025B2C">
        <w:t xml:space="preserve">charged with </w:t>
      </w:r>
      <w:r w:rsidR="008C70AE" w:rsidRPr="00025B2C">
        <w:rPr>
          <w:lang w:val="en-US"/>
        </w:rPr>
        <w:t xml:space="preserve">s.47 Offences </w:t>
      </w:r>
      <w:r w:rsidR="008C70AE" w:rsidRPr="00025B2C">
        <w:t>against</w:t>
      </w:r>
      <w:r w:rsidRPr="00025B2C">
        <w:rPr>
          <w:lang w:val="en-US"/>
        </w:rPr>
        <w:t xml:space="preserve"> the Person Act 186.</w:t>
      </w:r>
      <w:r w:rsidRPr="00025B2C">
        <w:t xml:space="preserve"> Several options are available to Freya when she is under investigation for a possible violation of section 47 of the Offences </w:t>
      </w:r>
      <w:r w:rsidR="00595276" w:rsidRPr="00025B2C">
        <w:t>in contradiction of</w:t>
      </w:r>
      <w:r w:rsidR="00EB6CDF">
        <w:t xml:space="preserve"> the Person Act (</w:t>
      </w:r>
      <w:r w:rsidRPr="00025B2C">
        <w:t>1861</w:t>
      </w:r>
      <w:r w:rsidR="00EB6CDF">
        <w:t>)</w:t>
      </w:r>
      <w:r w:rsidRPr="00025B2C">
        <w:t xml:space="preserve">. Several types of defences are available under the law, and a given defence may apply to more than one area. </w:t>
      </w:r>
    </w:p>
    <w:p w14:paraId="7D58D3FE" w14:textId="2C11D174" w:rsidR="003D68B9" w:rsidRPr="00025B2C" w:rsidRDefault="00F0308C" w:rsidP="00B94AC8">
      <w:r w:rsidRPr="00025B2C">
        <w:t xml:space="preserve">Several solutions have been proposed for the issues of intoxication, automatism, and legal defence, which may be indicative of the complexity of such arguments. It is possible to employ the defence of automatism if the accused did not knowingly conduct the crime; in this case, the defendant </w:t>
      </w:r>
      <w:r w:rsidR="0079133D">
        <w:t xml:space="preserve">such as </w:t>
      </w:r>
      <w:r w:rsidR="0079133D" w:rsidRPr="00025B2C">
        <w:t xml:space="preserve">Freya </w:t>
      </w:r>
      <w:r w:rsidRPr="00025B2C">
        <w:t>would have to prove that he or she was unable to exercise volition over the offence (s) and committed them instead out of involuntary impulses- refer to as in R v. Falconer (1990). More details can be found in Milloy v. R [1993]. The term implies a total, as opposed to a temporary, loss of voluntary control and purpose.</w:t>
      </w:r>
    </w:p>
    <w:p w14:paraId="41301EF0" w14:textId="0B0E5238" w:rsidR="001E0F2A" w:rsidRPr="00025B2C" w:rsidRDefault="002D056A" w:rsidP="001E0F2A">
      <w:r w:rsidRPr="00025B2C">
        <w:t xml:space="preserve">Freya </w:t>
      </w:r>
      <w:r>
        <w:t xml:space="preserve">could use </w:t>
      </w:r>
      <w:r w:rsidRPr="00025B2C">
        <w:t>"insanity" as a valid legal defence</w:t>
      </w:r>
      <w:r>
        <w:t xml:space="preserve">. </w:t>
      </w:r>
      <w:r w:rsidR="00F0308C" w:rsidRPr="00025B2C">
        <w:t>In the 1920 case of Beard, an intoxicated man who raped a girl, Lord Birkenhead introduced the concept of specific purpose into case law with his judgement (DPP v Beard, 1920). This decision establishes "insanity" as a valid legal defence against criminal accusations, regardless of whether or not the insanity was the product of drunkenness. If the accused can't remember the details of the crime because he was too intoxicated to remember them, he may be ruled not guilty.</w:t>
      </w:r>
    </w:p>
    <w:p w14:paraId="6E94DCA4" w14:textId="465AC9E3" w:rsidR="006F6A89" w:rsidRPr="00025B2C" w:rsidRDefault="00F0308C" w:rsidP="005D0818">
      <w:r w:rsidRPr="00025B2C">
        <w:t xml:space="preserve">The defence of automatism is, as was previously said, quite general and may be utilised </w:t>
      </w:r>
      <w:r w:rsidR="002D056A">
        <w:t>by F</w:t>
      </w:r>
      <w:r w:rsidR="00B9128C">
        <w:t>r</w:t>
      </w:r>
      <w:r w:rsidR="002D056A">
        <w:t>eya</w:t>
      </w:r>
      <w:r w:rsidRPr="00025B2C">
        <w:t>. There are two categories of automation: sane and insane. What defence applies depends on whether the defendant's actions were motivated by internal or external reasons. Think about the linked cases of Hennessey and Quick, where both defendants had diabetes and were found guilty.</w:t>
      </w:r>
    </w:p>
    <w:p w14:paraId="79BA5F92" w14:textId="6C756908" w:rsidR="006F6A89" w:rsidRPr="00025B2C" w:rsidRDefault="007B1EFF" w:rsidP="007B1EFF">
      <w:r>
        <w:lastRenderedPageBreak/>
        <w:t xml:space="preserve">Freya could rely on </w:t>
      </w:r>
      <w:r w:rsidR="00B9128C" w:rsidRPr="00025B2C">
        <w:t>insanity-by-proxy defence</w:t>
      </w:r>
      <w:r>
        <w:t>, t</w:t>
      </w:r>
      <w:r w:rsidR="00F0308C" w:rsidRPr="00025B2C">
        <w:t>ake the case of R v. Hennessy as an example (1989). Forgetting to take insulin and going days without eating led to hyperglycemia for the defendant in 1 WLR 297. The court ruled that the defendant's insanity-by-proxy defence was reasonable since his actions were motivated by an intrinsic factor (poor control of his blood sugar levels).</w:t>
      </w:r>
      <w:r>
        <w:t xml:space="preserve"> Similarly, </w:t>
      </w:r>
      <w:r w:rsidR="00F0308C" w:rsidRPr="00025B2C">
        <w:t>Case in Point: R v. Quick (1973) 9 S. Ct. 910 The accused defendant was charged with assault. He took insulin, then ate and drank, leading to a spike in his blood sugar. The court ruled that the defendant's non-psychotic automatism defence was appropriate since his behaviour was influenced by an outside factor (insulin).</w:t>
      </w:r>
    </w:p>
    <w:p w14:paraId="59577BEA" w14:textId="77777777" w:rsidR="005E712F" w:rsidRDefault="00F0308C" w:rsidP="005E712F">
      <w:pPr>
        <w:rPr>
          <w:shd w:val="clear" w:color="auto" w:fill="FFFFFF"/>
        </w:rPr>
      </w:pPr>
      <w:r w:rsidRPr="00025B2C">
        <w:t xml:space="preserve">The plea of insanity is accepted, and the defendant is found not guilty. The M'Naghten guidelines, established in the M'Naghten case, outline the standards that must be met in the event of a successful defence (8 ER 718, 1843). </w:t>
      </w:r>
    </w:p>
    <w:p w14:paraId="7D83F935" w14:textId="7140ADC6" w:rsidR="00C868FF" w:rsidRPr="005E712F" w:rsidRDefault="00F0308C" w:rsidP="005E712F">
      <w:pPr>
        <w:rPr>
          <w:shd w:val="clear" w:color="auto" w:fill="FFFFFF"/>
        </w:rPr>
      </w:pPr>
      <w:r w:rsidRPr="00025B2C">
        <w:t xml:space="preserve">The disease of the Mind: The idea of what constitutes a mental condition is legal rather than medical, as stated in R v. Sullivan [1984] AC 156. </w:t>
      </w:r>
      <w:r w:rsidR="002256D8" w:rsidRPr="009246CB">
        <w:t>A person with psychomotor epilepsy kicked the victim in the head during an epileptic episode.</w:t>
      </w:r>
      <w:r w:rsidR="002256D8">
        <w:t xml:space="preserve"> </w:t>
      </w:r>
      <w:r w:rsidRPr="00025B2C">
        <w:t xml:space="preserve">Since this definition is so broad, it includes diseases like diabetes that doctors would be reluctant to label as mental illnesses. When a person's capacity to think, remember, and understand is impaired due to a condition that is not precipitated by a traumatic event, </w:t>
      </w:r>
      <w:r w:rsidR="00EC0025">
        <w:t xml:space="preserve">terms as </w:t>
      </w:r>
      <w:r w:rsidRPr="00025B2C">
        <w:t xml:space="preserve">mental illness. </w:t>
      </w:r>
    </w:p>
    <w:p w14:paraId="2C510E00" w14:textId="337447DA" w:rsidR="00F15661" w:rsidRPr="00891AAF" w:rsidRDefault="00F0308C" w:rsidP="000E76E3">
      <w:pPr>
        <w:rPr>
          <w:shd w:val="clear" w:color="auto" w:fill="FFFFFF"/>
        </w:rPr>
      </w:pPr>
      <w:r w:rsidRPr="00025B2C">
        <w:t>Also, t</w:t>
      </w:r>
      <w:r w:rsidR="004E7108" w:rsidRPr="00025B2C">
        <w:t xml:space="preserve">he Equality Act </w:t>
      </w:r>
      <w:r w:rsidR="002C77D5" w:rsidRPr="00025B2C">
        <w:t xml:space="preserve">2010 </w:t>
      </w:r>
      <w:r w:rsidR="004E7108" w:rsidRPr="00025B2C">
        <w:t xml:space="preserve">protects people with epilepsy, regardless of whether or not their seizures are under control or whether they consider themselves handicapped. </w:t>
      </w:r>
    </w:p>
    <w:p w14:paraId="3C92DDC8" w14:textId="77F51EAF" w:rsidR="00D96DB5" w:rsidRDefault="00451186" w:rsidP="00451186">
      <w:r w:rsidRPr="00451186">
        <w:t xml:space="preserve">Milloy v. R [1993], Freya may safeguard herself using sections 18 and 20 of the criminal charges against the person act 1861. The court of appeal had to assess whether epilepsy qualified as a "disease of the mind" under the criteria given by R v. M'Naghten (1843) 8 ER 718, and if so, whether insanity is a legitimate defence for persons with epilepsy. </w:t>
      </w:r>
      <w:r w:rsidR="008A0F30">
        <w:t xml:space="preserve">With reference to </w:t>
      </w:r>
      <w:r w:rsidRPr="00451186">
        <w:t xml:space="preserve">R v. Hennessy, Freya’s defence is plausible as her conduct were motivated by an inherent motive. Case in Point: R v. Quick (1973) 9 S. Ct. </w:t>
      </w:r>
      <w:r w:rsidR="008A0F30">
        <w:t xml:space="preserve">910 serves that </w:t>
      </w:r>
      <w:r w:rsidRPr="00451186">
        <w:t xml:space="preserve">Freya's behaviour was non-psychotic automatism, that was, the act against being inebriated. R v. Sullivan [1984] AC 156. </w:t>
      </w:r>
      <w:r w:rsidR="003E36B0">
        <w:t>It is s</w:t>
      </w:r>
      <w:r w:rsidRPr="00451186">
        <w:t>uggested that Freya may seek assistance with a case ruling that implied that epilepsy is not brought on by anything external but rather is a mental condition; it comes inside the M'Naghten criteria.</w:t>
      </w:r>
    </w:p>
    <w:p w14:paraId="748593DA" w14:textId="77777777" w:rsidR="0026538A" w:rsidRDefault="00F0308C" w:rsidP="00451186">
      <w:pPr>
        <w:rPr>
          <w:rFonts w:eastAsiaTheme="majorEastAsia" w:cstheme="majorBidi"/>
          <w:b/>
          <w:szCs w:val="32"/>
          <w:lang w:val="en-US"/>
        </w:rPr>
      </w:pPr>
      <w:bookmarkStart w:id="5" w:name="_Toc123834120"/>
      <w:r>
        <w:br w:type="page"/>
      </w:r>
    </w:p>
    <w:p w14:paraId="69531BF1" w14:textId="703320FE" w:rsidR="00C611BF" w:rsidRDefault="00F0308C" w:rsidP="002E183F">
      <w:pPr>
        <w:pStyle w:val="Titlu1"/>
      </w:pPr>
      <w:r>
        <w:t>References</w:t>
      </w:r>
      <w:bookmarkEnd w:id="5"/>
    </w:p>
    <w:p w14:paraId="6949576F" w14:textId="1F6308E9" w:rsidR="00D01F24" w:rsidRPr="00D01F24" w:rsidRDefault="00F0308C" w:rsidP="00D01F24">
      <w:pPr>
        <w:pStyle w:val="Titlu2"/>
      </w:pPr>
      <w:r>
        <w:t>Articles</w:t>
      </w:r>
    </w:p>
    <w:p w14:paraId="3463E809" w14:textId="77777777" w:rsidR="008C2DD2" w:rsidRDefault="00F0308C" w:rsidP="008C2DD2">
      <w:pPr>
        <w:pStyle w:val="Corptext"/>
        <w:rPr>
          <w:shd w:val="clear" w:color="auto" w:fill="FFFFFF"/>
        </w:rPr>
      </w:pPr>
      <w:r>
        <w:rPr>
          <w:shd w:val="clear" w:color="auto" w:fill="FFFFFF"/>
        </w:rPr>
        <w:t>Alain, M., Corrado, R.R. and Reid, S. eds., 2016. </w:t>
      </w:r>
      <w:r>
        <w:rPr>
          <w:i/>
          <w:iCs/>
          <w:shd w:val="clear" w:color="auto" w:fill="FFFFFF"/>
        </w:rPr>
        <w:t>Implementing and working with the youth criminal justice act across Canada</w:t>
      </w:r>
      <w:r>
        <w:rPr>
          <w:shd w:val="clear" w:color="auto" w:fill="FFFFFF"/>
        </w:rPr>
        <w:t>. University of Toronto Press.</w:t>
      </w:r>
    </w:p>
    <w:p w14:paraId="77C961EE" w14:textId="77777777" w:rsidR="008C2DD2" w:rsidRDefault="00F0308C" w:rsidP="008C2DD2">
      <w:pPr>
        <w:pStyle w:val="Corptext"/>
        <w:rPr>
          <w:shd w:val="clear" w:color="auto" w:fill="FFFFFF"/>
        </w:rPr>
      </w:pPr>
      <w:r>
        <w:rPr>
          <w:shd w:val="clear" w:color="auto" w:fill="FFFFFF"/>
        </w:rPr>
        <w:t>Bently, L., Sherman, B., Gangjee, D. and Johnson, P., 2022. </w:t>
      </w:r>
      <w:r>
        <w:rPr>
          <w:i/>
          <w:iCs/>
          <w:shd w:val="clear" w:color="auto" w:fill="FFFFFF"/>
        </w:rPr>
        <w:t>Intellectual property law</w:t>
      </w:r>
      <w:r>
        <w:rPr>
          <w:shd w:val="clear" w:color="auto" w:fill="FFFFFF"/>
        </w:rPr>
        <w:t>. Oxford university press.</w:t>
      </w:r>
    </w:p>
    <w:p w14:paraId="03BEDE4D" w14:textId="77777777" w:rsidR="008C2DD2" w:rsidRDefault="00F0308C" w:rsidP="008C2DD2">
      <w:pPr>
        <w:pStyle w:val="Corptext"/>
        <w:rPr>
          <w:shd w:val="clear" w:color="auto" w:fill="FFFFFF"/>
        </w:rPr>
      </w:pPr>
      <w:r>
        <w:rPr>
          <w:shd w:val="clear" w:color="auto" w:fill="FFFFFF"/>
        </w:rPr>
        <w:t>Betts, G., 2019. Robbery and the principle of fair labelling. </w:t>
      </w:r>
      <w:r>
        <w:rPr>
          <w:i/>
          <w:iCs/>
          <w:shd w:val="clear" w:color="auto" w:fill="FFFFFF"/>
        </w:rPr>
        <w:t>The Journal of Criminal Law</w:t>
      </w:r>
      <w:r>
        <w:rPr>
          <w:shd w:val="clear" w:color="auto" w:fill="FFFFFF"/>
        </w:rPr>
        <w:t>, </w:t>
      </w:r>
      <w:r>
        <w:rPr>
          <w:i/>
          <w:iCs/>
          <w:shd w:val="clear" w:color="auto" w:fill="FFFFFF"/>
        </w:rPr>
        <w:t>83</w:t>
      </w:r>
      <w:r>
        <w:rPr>
          <w:shd w:val="clear" w:color="auto" w:fill="FFFFFF"/>
        </w:rPr>
        <w:t>(3), pp.205-216.</w:t>
      </w:r>
    </w:p>
    <w:p w14:paraId="4C62E6BF" w14:textId="77777777" w:rsidR="008C2DD2" w:rsidRDefault="00F0308C" w:rsidP="008C2DD2">
      <w:pPr>
        <w:pStyle w:val="Corptext"/>
        <w:rPr>
          <w:shd w:val="clear" w:color="auto" w:fill="FFFFFF"/>
        </w:rPr>
      </w:pPr>
      <w:r>
        <w:rPr>
          <w:shd w:val="clear" w:color="auto" w:fill="FFFFFF"/>
        </w:rPr>
        <w:t xml:space="preserve">Burrell, A., 2022. What Is Robbery and Why Is It Important? In </w:t>
      </w:r>
      <w:r>
        <w:rPr>
          <w:i/>
          <w:iCs/>
          <w:shd w:val="clear" w:color="auto" w:fill="FFFFFF"/>
        </w:rPr>
        <w:t>robbery</w:t>
      </w:r>
      <w:r>
        <w:rPr>
          <w:shd w:val="clear" w:color="auto" w:fill="FFFFFF"/>
        </w:rPr>
        <w:t> (pp. 1-19). Palgrave Macmillan, Cham.</w:t>
      </w:r>
    </w:p>
    <w:p w14:paraId="093AFEC3" w14:textId="77777777" w:rsidR="008C2DD2" w:rsidRDefault="00F0308C" w:rsidP="008C2DD2">
      <w:pPr>
        <w:pStyle w:val="Corptext"/>
        <w:rPr>
          <w:shd w:val="clear" w:color="auto" w:fill="FFFFFF"/>
        </w:rPr>
      </w:pPr>
      <w:r>
        <w:rPr>
          <w:shd w:val="clear" w:color="auto" w:fill="FFFFFF"/>
        </w:rPr>
        <w:t>Fitz-Gibbon, K., 2016. Minimum sentencing for murder in England and Wales: A critical examination 10 years after the Criminal Justice Act 2003. </w:t>
      </w:r>
      <w:r>
        <w:rPr>
          <w:i/>
          <w:iCs/>
          <w:shd w:val="clear" w:color="auto" w:fill="FFFFFF"/>
        </w:rPr>
        <w:t>Punishment &amp; Society</w:t>
      </w:r>
      <w:r>
        <w:rPr>
          <w:shd w:val="clear" w:color="auto" w:fill="FFFFFF"/>
        </w:rPr>
        <w:t>, </w:t>
      </w:r>
      <w:r>
        <w:rPr>
          <w:i/>
          <w:iCs/>
          <w:shd w:val="clear" w:color="auto" w:fill="FFFFFF"/>
        </w:rPr>
        <w:t>18</w:t>
      </w:r>
      <w:r>
        <w:rPr>
          <w:shd w:val="clear" w:color="auto" w:fill="FFFFFF"/>
        </w:rPr>
        <w:t>(1), pp.47-67.</w:t>
      </w:r>
    </w:p>
    <w:p w14:paraId="374C3C5B" w14:textId="77777777" w:rsidR="008C2DD2" w:rsidRDefault="00F0308C" w:rsidP="008C2DD2">
      <w:pPr>
        <w:pStyle w:val="Corptext"/>
        <w:rPr>
          <w:shd w:val="clear" w:color="auto" w:fill="FFFFFF"/>
        </w:rPr>
      </w:pPr>
      <w:r>
        <w:rPr>
          <w:shd w:val="clear" w:color="auto" w:fill="FFFFFF"/>
        </w:rPr>
        <w:t>Jeffrey, N., Therien, A. and Bali, V., 2017. Youth criminal justice in Canada.</w:t>
      </w:r>
    </w:p>
    <w:p w14:paraId="02B44DC6" w14:textId="77777777" w:rsidR="008C2DD2" w:rsidRPr="00CD055E" w:rsidRDefault="00F0308C" w:rsidP="008C2DD2">
      <w:pPr>
        <w:pStyle w:val="Corptext"/>
      </w:pPr>
      <w:r>
        <w:rPr>
          <w:shd w:val="clear" w:color="auto" w:fill="FFFFFF"/>
        </w:rPr>
        <w:t>Muhajirin, A. and Ismail, A.G., 2020. Theft with violence in criminology aspect: how people dealing with law?. </w:t>
      </w:r>
      <w:r>
        <w:rPr>
          <w:i/>
          <w:iCs/>
          <w:shd w:val="clear" w:color="auto" w:fill="FFFFFF"/>
        </w:rPr>
        <w:t>Journal of law and legal reform</w:t>
      </w:r>
      <w:r>
        <w:rPr>
          <w:shd w:val="clear" w:color="auto" w:fill="FFFFFF"/>
        </w:rPr>
        <w:t>, </w:t>
      </w:r>
      <w:r>
        <w:rPr>
          <w:i/>
          <w:iCs/>
          <w:shd w:val="clear" w:color="auto" w:fill="FFFFFF"/>
        </w:rPr>
        <w:t>1</w:t>
      </w:r>
      <w:r>
        <w:rPr>
          <w:shd w:val="clear" w:color="auto" w:fill="FFFFFF"/>
        </w:rPr>
        <w:t>(3), pp.381-394.</w:t>
      </w:r>
    </w:p>
    <w:p w14:paraId="5A1848D2" w14:textId="77777777" w:rsidR="008C2DD2" w:rsidRDefault="00F0308C" w:rsidP="008C2DD2">
      <w:pPr>
        <w:pStyle w:val="Corptext"/>
        <w:rPr>
          <w:shd w:val="clear" w:color="auto" w:fill="FFFFFF"/>
        </w:rPr>
      </w:pPr>
      <w:r>
        <w:rPr>
          <w:shd w:val="clear" w:color="auto" w:fill="FFFFFF"/>
        </w:rPr>
        <w:t>Ormerod, D., 2015. The Law Commission’s proposals for the reform of the defences of insanity and automatism. </w:t>
      </w:r>
      <w:r>
        <w:rPr>
          <w:i/>
          <w:iCs/>
          <w:shd w:val="clear" w:color="auto" w:fill="FFFFFF"/>
        </w:rPr>
        <w:t>Medicine, Science and the Law</w:t>
      </w:r>
      <w:r>
        <w:rPr>
          <w:shd w:val="clear" w:color="auto" w:fill="FFFFFF"/>
        </w:rPr>
        <w:t>, </w:t>
      </w:r>
      <w:r>
        <w:rPr>
          <w:i/>
          <w:iCs/>
          <w:shd w:val="clear" w:color="auto" w:fill="FFFFFF"/>
        </w:rPr>
        <w:t>55</w:t>
      </w:r>
      <w:r>
        <w:rPr>
          <w:shd w:val="clear" w:color="auto" w:fill="FFFFFF"/>
        </w:rPr>
        <w:t>(3), pp.156-161.</w:t>
      </w:r>
    </w:p>
    <w:p w14:paraId="70AE7A5A" w14:textId="77777777" w:rsidR="008C2DD2" w:rsidRDefault="00F0308C" w:rsidP="008C2DD2">
      <w:pPr>
        <w:pStyle w:val="Corptext"/>
        <w:rPr>
          <w:shd w:val="clear" w:color="auto" w:fill="FFFFFF"/>
        </w:rPr>
      </w:pPr>
      <w:r>
        <w:rPr>
          <w:shd w:val="clear" w:color="auto" w:fill="FFFFFF"/>
        </w:rPr>
        <w:t>Reasons, C.E., Hassan, S., Bige, M., Paras, C. and Arora, S., 2016. Race and criminal justice in Canada. </w:t>
      </w:r>
      <w:r>
        <w:rPr>
          <w:i/>
          <w:iCs/>
          <w:shd w:val="clear" w:color="auto" w:fill="FFFFFF"/>
        </w:rPr>
        <w:t>International Journal of Criminal Justice Sciences</w:t>
      </w:r>
      <w:r>
        <w:rPr>
          <w:shd w:val="clear" w:color="auto" w:fill="FFFFFF"/>
        </w:rPr>
        <w:t>.</w:t>
      </w:r>
    </w:p>
    <w:p w14:paraId="7098CC46" w14:textId="77777777" w:rsidR="008C2DD2" w:rsidRDefault="00F0308C" w:rsidP="008C2DD2">
      <w:pPr>
        <w:pStyle w:val="Corptext"/>
        <w:rPr>
          <w:shd w:val="clear" w:color="auto" w:fill="FFFFFF"/>
        </w:rPr>
      </w:pPr>
      <w:r>
        <w:rPr>
          <w:shd w:val="clear" w:color="auto" w:fill="FFFFFF"/>
        </w:rPr>
        <w:t>Ruddel, R. and Weinrath, M., 2016. Exploring criminal justice in Manitoba. </w:t>
      </w:r>
      <w:r>
        <w:rPr>
          <w:i/>
          <w:iCs/>
          <w:shd w:val="clear" w:color="auto" w:fill="FFFFFF"/>
        </w:rPr>
        <w:t>Exploring Criminal Justice in Canada. Oxford University Press Canada</w:t>
      </w:r>
      <w:r>
        <w:rPr>
          <w:shd w:val="clear" w:color="auto" w:fill="FFFFFF"/>
        </w:rPr>
        <w:t>.</w:t>
      </w:r>
    </w:p>
    <w:p w14:paraId="30E183C1" w14:textId="77777777" w:rsidR="008C2DD2" w:rsidRDefault="00F0308C" w:rsidP="008C2DD2">
      <w:pPr>
        <w:pStyle w:val="Corptext"/>
        <w:rPr>
          <w:shd w:val="clear" w:color="auto" w:fill="FFFFFF"/>
        </w:rPr>
      </w:pPr>
      <w:r>
        <w:rPr>
          <w:shd w:val="clear" w:color="auto" w:fill="FFFFFF"/>
        </w:rPr>
        <w:t>Van Erp, S., 2019. Comparative property law.</w:t>
      </w:r>
    </w:p>
    <w:p w14:paraId="0419226B" w14:textId="77777777" w:rsidR="00D01F24" w:rsidRDefault="00D01F24" w:rsidP="008C2DD2">
      <w:pPr>
        <w:pStyle w:val="Corptext"/>
        <w:rPr>
          <w:shd w:val="clear" w:color="auto" w:fill="FFFFFF"/>
        </w:rPr>
      </w:pPr>
    </w:p>
    <w:p w14:paraId="534A1BE4" w14:textId="1869587B" w:rsidR="00D01F24" w:rsidRDefault="00F0308C" w:rsidP="00D01F24">
      <w:pPr>
        <w:pStyle w:val="Titlu2"/>
        <w:rPr>
          <w:shd w:val="clear" w:color="auto" w:fill="FFFFFF"/>
        </w:rPr>
      </w:pPr>
      <w:r>
        <w:rPr>
          <w:shd w:val="clear" w:color="auto" w:fill="FFFFFF"/>
        </w:rPr>
        <w:t>Case laws</w:t>
      </w:r>
    </w:p>
    <w:p w14:paraId="4A16E158" w14:textId="2A06A026" w:rsidR="00880D4C" w:rsidRDefault="00F0308C" w:rsidP="00880D4C">
      <w:r>
        <w:t>Pitman v. Hehl [1977]</w:t>
      </w:r>
    </w:p>
    <w:p w14:paraId="5B3A9850" w14:textId="14590E6E" w:rsidR="00880D4C" w:rsidRDefault="00F0308C" w:rsidP="00880D4C">
      <w:r>
        <w:t>Lord Roskill in Morris [1983].</w:t>
      </w:r>
    </w:p>
    <w:p w14:paraId="378B5180" w14:textId="4CE7DEF3" w:rsidR="00880D4C" w:rsidRDefault="00F0308C" w:rsidP="00880D4C">
      <w:r>
        <w:t>R v. Gomez [1992]</w:t>
      </w:r>
    </w:p>
    <w:p w14:paraId="7660FB20" w14:textId="768757DA" w:rsidR="00880D4C" w:rsidRDefault="00F0308C" w:rsidP="00880D4C">
      <w:r>
        <w:t>A v R [1978] Crim LR 689</w:t>
      </w:r>
    </w:p>
    <w:p w14:paraId="41422C3F" w14:textId="52E42FEB" w:rsidR="00880D4C" w:rsidRPr="00880D4C" w:rsidRDefault="00F0308C" w:rsidP="00880D4C">
      <w:pPr>
        <w:rPr>
          <w:lang w:val="en-US"/>
        </w:rPr>
      </w:pPr>
      <w:r>
        <w:t>R v Pembleton (1874) LR 2CCR 119</w:t>
      </w:r>
    </w:p>
    <w:p w14:paraId="20865F47" w14:textId="1022A4FB" w:rsidR="00D01F24" w:rsidRPr="003D08D2" w:rsidRDefault="00F0308C" w:rsidP="00D01F24">
      <w:pPr>
        <w:rPr>
          <w:shd w:val="clear" w:color="auto" w:fill="FFFFFF"/>
        </w:rPr>
      </w:pPr>
      <w:r w:rsidRPr="003D08D2">
        <w:rPr>
          <w:shd w:val="clear" w:color="auto" w:fill="FFFFFF"/>
        </w:rPr>
        <w:t>R v Hennessy [1989] 1 WLR 297</w:t>
      </w:r>
    </w:p>
    <w:p w14:paraId="1C1FE436" w14:textId="234008CF" w:rsidR="00D01F24" w:rsidRPr="003D08D2" w:rsidRDefault="00F0308C" w:rsidP="00D01F24">
      <w:pPr>
        <w:rPr>
          <w:shd w:val="clear" w:color="auto" w:fill="FFFFFF"/>
        </w:rPr>
      </w:pPr>
      <w:r w:rsidRPr="003D08D2">
        <w:rPr>
          <w:shd w:val="clear" w:color="auto" w:fill="FFFFFF"/>
        </w:rPr>
        <w:t>DPP v Majewski [1976].</w:t>
      </w:r>
    </w:p>
    <w:p w14:paraId="6A9EA7CA" w14:textId="72D9EA4A" w:rsidR="00D01F24" w:rsidRDefault="00F0308C" w:rsidP="00D01F24">
      <w:pPr>
        <w:rPr>
          <w:shd w:val="clear" w:color="auto" w:fill="FFFFFF"/>
        </w:rPr>
      </w:pPr>
      <w:r w:rsidRPr="003D08D2">
        <w:rPr>
          <w:shd w:val="clear" w:color="auto" w:fill="FFFFFF"/>
        </w:rPr>
        <w:t>R v Falconer (1990).</w:t>
      </w:r>
    </w:p>
    <w:p w14:paraId="38E48CC3" w14:textId="6A1EAA23" w:rsidR="001D2562" w:rsidRDefault="00F0308C" w:rsidP="00D01F24">
      <w:r>
        <w:t>R v. Sullivan [1984] AC 156</w:t>
      </w:r>
      <w:r w:rsidRPr="001D2562">
        <w:t xml:space="preserve"> </w:t>
      </w:r>
      <w:r>
        <w:t>R v. Sullivan [1984] AC 156</w:t>
      </w:r>
    </w:p>
    <w:p w14:paraId="3571E32C" w14:textId="02286A0D" w:rsidR="001D2562" w:rsidRDefault="00F0308C" w:rsidP="00D01F24">
      <w:r>
        <w:t>Milloy v. R [1993].</w:t>
      </w:r>
    </w:p>
    <w:p w14:paraId="76699269" w14:textId="779B9002" w:rsidR="00955230" w:rsidRDefault="00F0308C" w:rsidP="00955230">
      <w:r>
        <w:t>R v. Quick (1973) 9 S. Ct. 910.</w:t>
      </w:r>
      <w:r>
        <w:rPr>
          <w:shd w:val="clear" w:color="auto" w:fill="FFFFFF"/>
        </w:rPr>
        <w:t xml:space="preserve"> </w:t>
      </w:r>
    </w:p>
    <w:sectPr w:rsidR="009552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229FC"/>
    <w:multiLevelType w:val="hybridMultilevel"/>
    <w:tmpl w:val="AB6CF3FC"/>
    <w:lvl w:ilvl="0" w:tplc="21F4ED0E">
      <w:start w:val="1"/>
      <w:numFmt w:val="upperLetter"/>
      <w:lvlText w:val="%1)"/>
      <w:lvlJc w:val="left"/>
      <w:pPr>
        <w:ind w:left="720" w:hanging="360"/>
      </w:pPr>
      <w:rPr>
        <w:rFonts w:hint="default"/>
      </w:rPr>
    </w:lvl>
    <w:lvl w:ilvl="1" w:tplc="E7B6CB64" w:tentative="1">
      <w:start w:val="1"/>
      <w:numFmt w:val="lowerLetter"/>
      <w:lvlText w:val="%2."/>
      <w:lvlJc w:val="left"/>
      <w:pPr>
        <w:ind w:left="1440" w:hanging="360"/>
      </w:pPr>
    </w:lvl>
    <w:lvl w:ilvl="2" w:tplc="72EEA988" w:tentative="1">
      <w:start w:val="1"/>
      <w:numFmt w:val="lowerRoman"/>
      <w:lvlText w:val="%3."/>
      <w:lvlJc w:val="right"/>
      <w:pPr>
        <w:ind w:left="2160" w:hanging="180"/>
      </w:pPr>
    </w:lvl>
    <w:lvl w:ilvl="3" w:tplc="530C6A0E" w:tentative="1">
      <w:start w:val="1"/>
      <w:numFmt w:val="decimal"/>
      <w:lvlText w:val="%4."/>
      <w:lvlJc w:val="left"/>
      <w:pPr>
        <w:ind w:left="2880" w:hanging="360"/>
      </w:pPr>
    </w:lvl>
    <w:lvl w:ilvl="4" w:tplc="0F4C4AF4" w:tentative="1">
      <w:start w:val="1"/>
      <w:numFmt w:val="lowerLetter"/>
      <w:lvlText w:val="%5."/>
      <w:lvlJc w:val="left"/>
      <w:pPr>
        <w:ind w:left="3600" w:hanging="360"/>
      </w:pPr>
    </w:lvl>
    <w:lvl w:ilvl="5" w:tplc="E61AFE24" w:tentative="1">
      <w:start w:val="1"/>
      <w:numFmt w:val="lowerRoman"/>
      <w:lvlText w:val="%6."/>
      <w:lvlJc w:val="right"/>
      <w:pPr>
        <w:ind w:left="4320" w:hanging="180"/>
      </w:pPr>
    </w:lvl>
    <w:lvl w:ilvl="6" w:tplc="66DC948C" w:tentative="1">
      <w:start w:val="1"/>
      <w:numFmt w:val="decimal"/>
      <w:lvlText w:val="%7."/>
      <w:lvlJc w:val="left"/>
      <w:pPr>
        <w:ind w:left="5040" w:hanging="360"/>
      </w:pPr>
    </w:lvl>
    <w:lvl w:ilvl="7" w:tplc="24367880" w:tentative="1">
      <w:start w:val="1"/>
      <w:numFmt w:val="lowerLetter"/>
      <w:lvlText w:val="%8."/>
      <w:lvlJc w:val="left"/>
      <w:pPr>
        <w:ind w:left="5760" w:hanging="360"/>
      </w:pPr>
    </w:lvl>
    <w:lvl w:ilvl="8" w:tplc="42146C8C" w:tentative="1">
      <w:start w:val="1"/>
      <w:numFmt w:val="lowerRoman"/>
      <w:lvlText w:val="%9."/>
      <w:lvlJc w:val="right"/>
      <w:pPr>
        <w:ind w:left="6480" w:hanging="180"/>
      </w:pPr>
    </w:lvl>
  </w:abstractNum>
  <w:abstractNum w:abstractNumId="1" w15:restartNumberingAfterBreak="0">
    <w:nsid w:val="32DF593A"/>
    <w:multiLevelType w:val="multilevel"/>
    <w:tmpl w:val="9E349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C1559C"/>
    <w:multiLevelType w:val="hybridMultilevel"/>
    <w:tmpl w:val="3D8CA56C"/>
    <w:lvl w:ilvl="0" w:tplc="2EBE9F8A">
      <w:start w:val="1"/>
      <w:numFmt w:val="upperLetter"/>
      <w:lvlText w:val="%1)"/>
      <w:lvlJc w:val="left"/>
      <w:pPr>
        <w:ind w:left="360" w:hanging="360"/>
      </w:pPr>
      <w:rPr>
        <w:rFonts w:hint="default"/>
      </w:rPr>
    </w:lvl>
    <w:lvl w:ilvl="1" w:tplc="13CE37A8" w:tentative="1">
      <w:start w:val="1"/>
      <w:numFmt w:val="lowerLetter"/>
      <w:lvlText w:val="%2."/>
      <w:lvlJc w:val="left"/>
      <w:pPr>
        <w:ind w:left="1080" w:hanging="360"/>
      </w:pPr>
    </w:lvl>
    <w:lvl w:ilvl="2" w:tplc="B37AC38A" w:tentative="1">
      <w:start w:val="1"/>
      <w:numFmt w:val="lowerRoman"/>
      <w:lvlText w:val="%3."/>
      <w:lvlJc w:val="right"/>
      <w:pPr>
        <w:ind w:left="1800" w:hanging="180"/>
      </w:pPr>
    </w:lvl>
    <w:lvl w:ilvl="3" w:tplc="16BA3D2A" w:tentative="1">
      <w:start w:val="1"/>
      <w:numFmt w:val="decimal"/>
      <w:lvlText w:val="%4."/>
      <w:lvlJc w:val="left"/>
      <w:pPr>
        <w:ind w:left="2520" w:hanging="360"/>
      </w:pPr>
    </w:lvl>
    <w:lvl w:ilvl="4" w:tplc="FAC60D9E" w:tentative="1">
      <w:start w:val="1"/>
      <w:numFmt w:val="lowerLetter"/>
      <w:lvlText w:val="%5."/>
      <w:lvlJc w:val="left"/>
      <w:pPr>
        <w:ind w:left="3240" w:hanging="360"/>
      </w:pPr>
    </w:lvl>
    <w:lvl w:ilvl="5" w:tplc="AA226BF6" w:tentative="1">
      <w:start w:val="1"/>
      <w:numFmt w:val="lowerRoman"/>
      <w:lvlText w:val="%6."/>
      <w:lvlJc w:val="right"/>
      <w:pPr>
        <w:ind w:left="3960" w:hanging="180"/>
      </w:pPr>
    </w:lvl>
    <w:lvl w:ilvl="6" w:tplc="27984B94" w:tentative="1">
      <w:start w:val="1"/>
      <w:numFmt w:val="decimal"/>
      <w:lvlText w:val="%7."/>
      <w:lvlJc w:val="left"/>
      <w:pPr>
        <w:ind w:left="4680" w:hanging="360"/>
      </w:pPr>
    </w:lvl>
    <w:lvl w:ilvl="7" w:tplc="E05A6DEC" w:tentative="1">
      <w:start w:val="1"/>
      <w:numFmt w:val="lowerLetter"/>
      <w:lvlText w:val="%8."/>
      <w:lvlJc w:val="left"/>
      <w:pPr>
        <w:ind w:left="5400" w:hanging="360"/>
      </w:pPr>
    </w:lvl>
    <w:lvl w:ilvl="8" w:tplc="51A47BCE" w:tentative="1">
      <w:start w:val="1"/>
      <w:numFmt w:val="lowerRoman"/>
      <w:lvlText w:val="%9."/>
      <w:lvlJc w:val="right"/>
      <w:pPr>
        <w:ind w:left="6120" w:hanging="180"/>
      </w:pPr>
    </w:lvl>
  </w:abstractNum>
  <w:abstractNum w:abstractNumId="3" w15:restartNumberingAfterBreak="0">
    <w:nsid w:val="4F942848"/>
    <w:multiLevelType w:val="hybridMultilevel"/>
    <w:tmpl w:val="240681BE"/>
    <w:lvl w:ilvl="0" w:tplc="BDBED616">
      <w:start w:val="1"/>
      <w:numFmt w:val="bullet"/>
      <w:lvlText w:val=""/>
      <w:lvlJc w:val="left"/>
      <w:pPr>
        <w:ind w:left="720" w:hanging="360"/>
      </w:pPr>
      <w:rPr>
        <w:rFonts w:ascii="Symbol" w:hAnsi="Symbol" w:hint="default"/>
      </w:rPr>
    </w:lvl>
    <w:lvl w:ilvl="1" w:tplc="9DC2B406" w:tentative="1">
      <w:start w:val="1"/>
      <w:numFmt w:val="bullet"/>
      <w:lvlText w:val="o"/>
      <w:lvlJc w:val="left"/>
      <w:pPr>
        <w:ind w:left="1440" w:hanging="360"/>
      </w:pPr>
      <w:rPr>
        <w:rFonts w:ascii="Courier New" w:hAnsi="Courier New" w:cs="Courier New" w:hint="default"/>
      </w:rPr>
    </w:lvl>
    <w:lvl w:ilvl="2" w:tplc="D20EE662" w:tentative="1">
      <w:start w:val="1"/>
      <w:numFmt w:val="bullet"/>
      <w:lvlText w:val=""/>
      <w:lvlJc w:val="left"/>
      <w:pPr>
        <w:ind w:left="2160" w:hanging="360"/>
      </w:pPr>
      <w:rPr>
        <w:rFonts w:ascii="Wingdings" w:hAnsi="Wingdings" w:hint="default"/>
      </w:rPr>
    </w:lvl>
    <w:lvl w:ilvl="3" w:tplc="C10C9760" w:tentative="1">
      <w:start w:val="1"/>
      <w:numFmt w:val="bullet"/>
      <w:lvlText w:val=""/>
      <w:lvlJc w:val="left"/>
      <w:pPr>
        <w:ind w:left="2880" w:hanging="360"/>
      </w:pPr>
      <w:rPr>
        <w:rFonts w:ascii="Symbol" w:hAnsi="Symbol" w:hint="default"/>
      </w:rPr>
    </w:lvl>
    <w:lvl w:ilvl="4" w:tplc="E22EC152" w:tentative="1">
      <w:start w:val="1"/>
      <w:numFmt w:val="bullet"/>
      <w:lvlText w:val="o"/>
      <w:lvlJc w:val="left"/>
      <w:pPr>
        <w:ind w:left="3600" w:hanging="360"/>
      </w:pPr>
      <w:rPr>
        <w:rFonts w:ascii="Courier New" w:hAnsi="Courier New" w:cs="Courier New" w:hint="default"/>
      </w:rPr>
    </w:lvl>
    <w:lvl w:ilvl="5" w:tplc="F7F4E49C" w:tentative="1">
      <w:start w:val="1"/>
      <w:numFmt w:val="bullet"/>
      <w:lvlText w:val=""/>
      <w:lvlJc w:val="left"/>
      <w:pPr>
        <w:ind w:left="4320" w:hanging="360"/>
      </w:pPr>
      <w:rPr>
        <w:rFonts w:ascii="Wingdings" w:hAnsi="Wingdings" w:hint="default"/>
      </w:rPr>
    </w:lvl>
    <w:lvl w:ilvl="6" w:tplc="D908B3E6" w:tentative="1">
      <w:start w:val="1"/>
      <w:numFmt w:val="bullet"/>
      <w:lvlText w:val=""/>
      <w:lvlJc w:val="left"/>
      <w:pPr>
        <w:ind w:left="5040" w:hanging="360"/>
      </w:pPr>
      <w:rPr>
        <w:rFonts w:ascii="Symbol" w:hAnsi="Symbol" w:hint="default"/>
      </w:rPr>
    </w:lvl>
    <w:lvl w:ilvl="7" w:tplc="008C3B70" w:tentative="1">
      <w:start w:val="1"/>
      <w:numFmt w:val="bullet"/>
      <w:lvlText w:val="o"/>
      <w:lvlJc w:val="left"/>
      <w:pPr>
        <w:ind w:left="5760" w:hanging="360"/>
      </w:pPr>
      <w:rPr>
        <w:rFonts w:ascii="Courier New" w:hAnsi="Courier New" w:cs="Courier New" w:hint="default"/>
      </w:rPr>
    </w:lvl>
    <w:lvl w:ilvl="8" w:tplc="BF00DA66" w:tentative="1">
      <w:start w:val="1"/>
      <w:numFmt w:val="bullet"/>
      <w:lvlText w:val=""/>
      <w:lvlJc w:val="left"/>
      <w:pPr>
        <w:ind w:left="6480" w:hanging="360"/>
      </w:pPr>
      <w:rPr>
        <w:rFonts w:ascii="Wingdings" w:hAnsi="Wingdings" w:hint="default"/>
      </w:rPr>
    </w:lvl>
  </w:abstractNum>
  <w:abstractNum w:abstractNumId="4" w15:restartNumberingAfterBreak="0">
    <w:nsid w:val="56C80B58"/>
    <w:multiLevelType w:val="multilevel"/>
    <w:tmpl w:val="BCA0B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C75730"/>
    <w:multiLevelType w:val="hybridMultilevel"/>
    <w:tmpl w:val="0BB0B15C"/>
    <w:lvl w:ilvl="0" w:tplc="2E78FE06">
      <w:start w:val="1"/>
      <w:numFmt w:val="bullet"/>
      <w:lvlText w:val=""/>
      <w:lvlJc w:val="left"/>
      <w:pPr>
        <w:ind w:left="1440" w:hanging="360"/>
      </w:pPr>
      <w:rPr>
        <w:rFonts w:ascii="Symbol" w:hAnsi="Symbol" w:hint="default"/>
      </w:rPr>
    </w:lvl>
    <w:lvl w:ilvl="1" w:tplc="DCDC8A14" w:tentative="1">
      <w:start w:val="1"/>
      <w:numFmt w:val="bullet"/>
      <w:lvlText w:val="o"/>
      <w:lvlJc w:val="left"/>
      <w:pPr>
        <w:ind w:left="2160" w:hanging="360"/>
      </w:pPr>
      <w:rPr>
        <w:rFonts w:ascii="Courier New" w:hAnsi="Courier New" w:cs="Courier New" w:hint="default"/>
      </w:rPr>
    </w:lvl>
    <w:lvl w:ilvl="2" w:tplc="BF0498A2" w:tentative="1">
      <w:start w:val="1"/>
      <w:numFmt w:val="bullet"/>
      <w:lvlText w:val=""/>
      <w:lvlJc w:val="left"/>
      <w:pPr>
        <w:ind w:left="2880" w:hanging="360"/>
      </w:pPr>
      <w:rPr>
        <w:rFonts w:ascii="Wingdings" w:hAnsi="Wingdings" w:hint="default"/>
      </w:rPr>
    </w:lvl>
    <w:lvl w:ilvl="3" w:tplc="047C465A" w:tentative="1">
      <w:start w:val="1"/>
      <w:numFmt w:val="bullet"/>
      <w:lvlText w:val=""/>
      <w:lvlJc w:val="left"/>
      <w:pPr>
        <w:ind w:left="3600" w:hanging="360"/>
      </w:pPr>
      <w:rPr>
        <w:rFonts w:ascii="Symbol" w:hAnsi="Symbol" w:hint="default"/>
      </w:rPr>
    </w:lvl>
    <w:lvl w:ilvl="4" w:tplc="72C21480" w:tentative="1">
      <w:start w:val="1"/>
      <w:numFmt w:val="bullet"/>
      <w:lvlText w:val="o"/>
      <w:lvlJc w:val="left"/>
      <w:pPr>
        <w:ind w:left="4320" w:hanging="360"/>
      </w:pPr>
      <w:rPr>
        <w:rFonts w:ascii="Courier New" w:hAnsi="Courier New" w:cs="Courier New" w:hint="default"/>
      </w:rPr>
    </w:lvl>
    <w:lvl w:ilvl="5" w:tplc="AEF8EA22" w:tentative="1">
      <w:start w:val="1"/>
      <w:numFmt w:val="bullet"/>
      <w:lvlText w:val=""/>
      <w:lvlJc w:val="left"/>
      <w:pPr>
        <w:ind w:left="5040" w:hanging="360"/>
      </w:pPr>
      <w:rPr>
        <w:rFonts w:ascii="Wingdings" w:hAnsi="Wingdings" w:hint="default"/>
      </w:rPr>
    </w:lvl>
    <w:lvl w:ilvl="6" w:tplc="E33C0848" w:tentative="1">
      <w:start w:val="1"/>
      <w:numFmt w:val="bullet"/>
      <w:lvlText w:val=""/>
      <w:lvlJc w:val="left"/>
      <w:pPr>
        <w:ind w:left="5760" w:hanging="360"/>
      </w:pPr>
      <w:rPr>
        <w:rFonts w:ascii="Symbol" w:hAnsi="Symbol" w:hint="default"/>
      </w:rPr>
    </w:lvl>
    <w:lvl w:ilvl="7" w:tplc="F2D2E934" w:tentative="1">
      <w:start w:val="1"/>
      <w:numFmt w:val="bullet"/>
      <w:lvlText w:val="o"/>
      <w:lvlJc w:val="left"/>
      <w:pPr>
        <w:ind w:left="6480" w:hanging="360"/>
      </w:pPr>
      <w:rPr>
        <w:rFonts w:ascii="Courier New" w:hAnsi="Courier New" w:cs="Courier New" w:hint="default"/>
      </w:rPr>
    </w:lvl>
    <w:lvl w:ilvl="8" w:tplc="05D4E9CC" w:tentative="1">
      <w:start w:val="1"/>
      <w:numFmt w:val="bullet"/>
      <w:lvlText w:val=""/>
      <w:lvlJc w:val="left"/>
      <w:pPr>
        <w:ind w:left="7200" w:hanging="360"/>
      </w:pPr>
      <w:rPr>
        <w:rFonts w:ascii="Wingdings" w:hAnsi="Wingdings" w:hint="default"/>
      </w:rPr>
    </w:lvl>
  </w:abstractNum>
  <w:abstractNum w:abstractNumId="6" w15:restartNumberingAfterBreak="0">
    <w:nsid w:val="74DE34F3"/>
    <w:multiLevelType w:val="hybridMultilevel"/>
    <w:tmpl w:val="1F2C4DEA"/>
    <w:lvl w:ilvl="0" w:tplc="A7F84A68">
      <w:start w:val="1"/>
      <w:numFmt w:val="bullet"/>
      <w:lvlText w:val=""/>
      <w:lvlJc w:val="left"/>
      <w:pPr>
        <w:ind w:left="720" w:hanging="360"/>
      </w:pPr>
      <w:rPr>
        <w:rFonts w:ascii="Symbol" w:hAnsi="Symbol" w:hint="default"/>
      </w:rPr>
    </w:lvl>
    <w:lvl w:ilvl="1" w:tplc="F1061878" w:tentative="1">
      <w:start w:val="1"/>
      <w:numFmt w:val="bullet"/>
      <w:lvlText w:val="o"/>
      <w:lvlJc w:val="left"/>
      <w:pPr>
        <w:ind w:left="1440" w:hanging="360"/>
      </w:pPr>
      <w:rPr>
        <w:rFonts w:ascii="Courier New" w:hAnsi="Courier New" w:cs="Courier New" w:hint="default"/>
      </w:rPr>
    </w:lvl>
    <w:lvl w:ilvl="2" w:tplc="08FC14FC" w:tentative="1">
      <w:start w:val="1"/>
      <w:numFmt w:val="bullet"/>
      <w:lvlText w:val=""/>
      <w:lvlJc w:val="left"/>
      <w:pPr>
        <w:ind w:left="2160" w:hanging="360"/>
      </w:pPr>
      <w:rPr>
        <w:rFonts w:ascii="Wingdings" w:hAnsi="Wingdings" w:hint="default"/>
      </w:rPr>
    </w:lvl>
    <w:lvl w:ilvl="3" w:tplc="7E9A70D0" w:tentative="1">
      <w:start w:val="1"/>
      <w:numFmt w:val="bullet"/>
      <w:lvlText w:val=""/>
      <w:lvlJc w:val="left"/>
      <w:pPr>
        <w:ind w:left="2880" w:hanging="360"/>
      </w:pPr>
      <w:rPr>
        <w:rFonts w:ascii="Symbol" w:hAnsi="Symbol" w:hint="default"/>
      </w:rPr>
    </w:lvl>
    <w:lvl w:ilvl="4" w:tplc="726619C6" w:tentative="1">
      <w:start w:val="1"/>
      <w:numFmt w:val="bullet"/>
      <w:lvlText w:val="o"/>
      <w:lvlJc w:val="left"/>
      <w:pPr>
        <w:ind w:left="3600" w:hanging="360"/>
      </w:pPr>
      <w:rPr>
        <w:rFonts w:ascii="Courier New" w:hAnsi="Courier New" w:cs="Courier New" w:hint="default"/>
      </w:rPr>
    </w:lvl>
    <w:lvl w:ilvl="5" w:tplc="303250FE" w:tentative="1">
      <w:start w:val="1"/>
      <w:numFmt w:val="bullet"/>
      <w:lvlText w:val=""/>
      <w:lvlJc w:val="left"/>
      <w:pPr>
        <w:ind w:left="4320" w:hanging="360"/>
      </w:pPr>
      <w:rPr>
        <w:rFonts w:ascii="Wingdings" w:hAnsi="Wingdings" w:hint="default"/>
      </w:rPr>
    </w:lvl>
    <w:lvl w:ilvl="6" w:tplc="8FD43106" w:tentative="1">
      <w:start w:val="1"/>
      <w:numFmt w:val="bullet"/>
      <w:lvlText w:val=""/>
      <w:lvlJc w:val="left"/>
      <w:pPr>
        <w:ind w:left="5040" w:hanging="360"/>
      </w:pPr>
      <w:rPr>
        <w:rFonts w:ascii="Symbol" w:hAnsi="Symbol" w:hint="default"/>
      </w:rPr>
    </w:lvl>
    <w:lvl w:ilvl="7" w:tplc="40987E82" w:tentative="1">
      <w:start w:val="1"/>
      <w:numFmt w:val="bullet"/>
      <w:lvlText w:val="o"/>
      <w:lvlJc w:val="left"/>
      <w:pPr>
        <w:ind w:left="5760" w:hanging="360"/>
      </w:pPr>
      <w:rPr>
        <w:rFonts w:ascii="Courier New" w:hAnsi="Courier New" w:cs="Courier New" w:hint="default"/>
      </w:rPr>
    </w:lvl>
    <w:lvl w:ilvl="8" w:tplc="D14A9A94" w:tentative="1">
      <w:start w:val="1"/>
      <w:numFmt w:val="bullet"/>
      <w:lvlText w:val=""/>
      <w:lvlJc w:val="left"/>
      <w:pPr>
        <w:ind w:left="6480" w:hanging="360"/>
      </w:pPr>
      <w:rPr>
        <w:rFonts w:ascii="Wingdings" w:hAnsi="Wingdings" w:hint="default"/>
      </w:rPr>
    </w:lvl>
  </w:abstractNum>
  <w:num w:numId="1" w16cid:durableId="1203666001">
    <w:abstractNumId w:val="0"/>
  </w:num>
  <w:num w:numId="2" w16cid:durableId="1995714931">
    <w:abstractNumId w:val="2"/>
  </w:num>
  <w:num w:numId="3" w16cid:durableId="459879428">
    <w:abstractNumId w:val="4"/>
  </w:num>
  <w:num w:numId="4" w16cid:durableId="306981646">
    <w:abstractNumId w:val="1"/>
  </w:num>
  <w:num w:numId="5" w16cid:durableId="1079979449">
    <w:abstractNumId w:val="6"/>
  </w:num>
  <w:num w:numId="6" w16cid:durableId="127935366">
    <w:abstractNumId w:val="3"/>
  </w:num>
  <w:num w:numId="7" w16cid:durableId="2492400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2sDQ1N7QwMTEyNrdU0lEKTi0uzszPAykwrQUAsfWExCwAAAA="/>
  </w:docVars>
  <w:rsids>
    <w:rsidRoot w:val="007411DF"/>
    <w:rsid w:val="00015A18"/>
    <w:rsid w:val="00025B2C"/>
    <w:rsid w:val="00030EE7"/>
    <w:rsid w:val="00043F60"/>
    <w:rsid w:val="00057122"/>
    <w:rsid w:val="000574F9"/>
    <w:rsid w:val="00082923"/>
    <w:rsid w:val="0009711D"/>
    <w:rsid w:val="000E4117"/>
    <w:rsid w:val="000E76E3"/>
    <w:rsid w:val="000F03CA"/>
    <w:rsid w:val="00102223"/>
    <w:rsid w:val="00102F64"/>
    <w:rsid w:val="00142694"/>
    <w:rsid w:val="00162308"/>
    <w:rsid w:val="001C718C"/>
    <w:rsid w:val="001D2562"/>
    <w:rsid w:val="001D7A61"/>
    <w:rsid w:val="001E0F2A"/>
    <w:rsid w:val="001F4002"/>
    <w:rsid w:val="0021240E"/>
    <w:rsid w:val="002256D8"/>
    <w:rsid w:val="00234406"/>
    <w:rsid w:val="0025634E"/>
    <w:rsid w:val="0026538A"/>
    <w:rsid w:val="00271ED1"/>
    <w:rsid w:val="002C2B16"/>
    <w:rsid w:val="002C77D5"/>
    <w:rsid w:val="002D056A"/>
    <w:rsid w:val="002E183F"/>
    <w:rsid w:val="002E587B"/>
    <w:rsid w:val="002E632E"/>
    <w:rsid w:val="002E7975"/>
    <w:rsid w:val="002F52A9"/>
    <w:rsid w:val="0031402F"/>
    <w:rsid w:val="00325B81"/>
    <w:rsid w:val="00343967"/>
    <w:rsid w:val="00343D72"/>
    <w:rsid w:val="00351790"/>
    <w:rsid w:val="003573AC"/>
    <w:rsid w:val="00371B14"/>
    <w:rsid w:val="003A7466"/>
    <w:rsid w:val="003B3107"/>
    <w:rsid w:val="003D08D2"/>
    <w:rsid w:val="003D68B9"/>
    <w:rsid w:val="003E36B0"/>
    <w:rsid w:val="00403B74"/>
    <w:rsid w:val="00406552"/>
    <w:rsid w:val="00417A72"/>
    <w:rsid w:val="0043576B"/>
    <w:rsid w:val="00435F4F"/>
    <w:rsid w:val="00444DF4"/>
    <w:rsid w:val="00447F1F"/>
    <w:rsid w:val="00451186"/>
    <w:rsid w:val="00460A23"/>
    <w:rsid w:val="0046525F"/>
    <w:rsid w:val="004702C9"/>
    <w:rsid w:val="004925CE"/>
    <w:rsid w:val="00492AA9"/>
    <w:rsid w:val="00494FBA"/>
    <w:rsid w:val="004C21A0"/>
    <w:rsid w:val="004C329C"/>
    <w:rsid w:val="004D2342"/>
    <w:rsid w:val="004E7108"/>
    <w:rsid w:val="0050430E"/>
    <w:rsid w:val="00504AF1"/>
    <w:rsid w:val="005100D7"/>
    <w:rsid w:val="00511247"/>
    <w:rsid w:val="00532548"/>
    <w:rsid w:val="00563A3E"/>
    <w:rsid w:val="0056772C"/>
    <w:rsid w:val="00587917"/>
    <w:rsid w:val="00595276"/>
    <w:rsid w:val="005D0818"/>
    <w:rsid w:val="005E712F"/>
    <w:rsid w:val="005F7F7D"/>
    <w:rsid w:val="00606EA1"/>
    <w:rsid w:val="0062327C"/>
    <w:rsid w:val="00626C70"/>
    <w:rsid w:val="00630878"/>
    <w:rsid w:val="006471B3"/>
    <w:rsid w:val="00652139"/>
    <w:rsid w:val="006727FA"/>
    <w:rsid w:val="0067481F"/>
    <w:rsid w:val="0067578B"/>
    <w:rsid w:val="006B7BB8"/>
    <w:rsid w:val="006C01B3"/>
    <w:rsid w:val="006F6A89"/>
    <w:rsid w:val="00704C3F"/>
    <w:rsid w:val="00715EDD"/>
    <w:rsid w:val="00723DC5"/>
    <w:rsid w:val="007411DF"/>
    <w:rsid w:val="007412F4"/>
    <w:rsid w:val="007639DB"/>
    <w:rsid w:val="0079133D"/>
    <w:rsid w:val="007A27F9"/>
    <w:rsid w:val="007B1EFF"/>
    <w:rsid w:val="007C34E3"/>
    <w:rsid w:val="007F08F0"/>
    <w:rsid w:val="008221A6"/>
    <w:rsid w:val="00832DE0"/>
    <w:rsid w:val="008736A9"/>
    <w:rsid w:val="00880D4C"/>
    <w:rsid w:val="00891AAF"/>
    <w:rsid w:val="008A0F30"/>
    <w:rsid w:val="008A2987"/>
    <w:rsid w:val="008A5236"/>
    <w:rsid w:val="008B386F"/>
    <w:rsid w:val="008C2DD2"/>
    <w:rsid w:val="008C64C5"/>
    <w:rsid w:val="008C70AE"/>
    <w:rsid w:val="008D6335"/>
    <w:rsid w:val="008D7DCC"/>
    <w:rsid w:val="008F1351"/>
    <w:rsid w:val="009143E1"/>
    <w:rsid w:val="00923A6E"/>
    <w:rsid w:val="009246CB"/>
    <w:rsid w:val="00954B57"/>
    <w:rsid w:val="00955230"/>
    <w:rsid w:val="0097274D"/>
    <w:rsid w:val="00973B42"/>
    <w:rsid w:val="00981D10"/>
    <w:rsid w:val="00985B86"/>
    <w:rsid w:val="009F5DB6"/>
    <w:rsid w:val="00A06362"/>
    <w:rsid w:val="00A34D5A"/>
    <w:rsid w:val="00A549B1"/>
    <w:rsid w:val="00A57CED"/>
    <w:rsid w:val="00A90121"/>
    <w:rsid w:val="00A960D3"/>
    <w:rsid w:val="00A968DC"/>
    <w:rsid w:val="00AA53CC"/>
    <w:rsid w:val="00AB0FED"/>
    <w:rsid w:val="00AF4051"/>
    <w:rsid w:val="00B040C8"/>
    <w:rsid w:val="00B06316"/>
    <w:rsid w:val="00B31BFD"/>
    <w:rsid w:val="00B32B78"/>
    <w:rsid w:val="00B57A1D"/>
    <w:rsid w:val="00B80FD5"/>
    <w:rsid w:val="00B9128C"/>
    <w:rsid w:val="00B94AC8"/>
    <w:rsid w:val="00BB2CE8"/>
    <w:rsid w:val="00C103E3"/>
    <w:rsid w:val="00C27D47"/>
    <w:rsid w:val="00C45423"/>
    <w:rsid w:val="00C611BF"/>
    <w:rsid w:val="00C77690"/>
    <w:rsid w:val="00C868FF"/>
    <w:rsid w:val="00C86FF8"/>
    <w:rsid w:val="00C9491F"/>
    <w:rsid w:val="00CD055E"/>
    <w:rsid w:val="00CF2F0C"/>
    <w:rsid w:val="00D01F24"/>
    <w:rsid w:val="00D4640C"/>
    <w:rsid w:val="00D96DB5"/>
    <w:rsid w:val="00DC2740"/>
    <w:rsid w:val="00DF2713"/>
    <w:rsid w:val="00E2716F"/>
    <w:rsid w:val="00E629EE"/>
    <w:rsid w:val="00E868FA"/>
    <w:rsid w:val="00EA4378"/>
    <w:rsid w:val="00EB6CDF"/>
    <w:rsid w:val="00EC0025"/>
    <w:rsid w:val="00EE01C0"/>
    <w:rsid w:val="00EE2E1E"/>
    <w:rsid w:val="00EF3EC4"/>
    <w:rsid w:val="00F02900"/>
    <w:rsid w:val="00F02D3A"/>
    <w:rsid w:val="00F0308C"/>
    <w:rsid w:val="00F03B3B"/>
    <w:rsid w:val="00F04C24"/>
    <w:rsid w:val="00F15661"/>
    <w:rsid w:val="00F15DE1"/>
    <w:rsid w:val="00F40A75"/>
    <w:rsid w:val="00F5281F"/>
    <w:rsid w:val="00F63EDF"/>
    <w:rsid w:val="00F7359A"/>
    <w:rsid w:val="00F741B7"/>
    <w:rsid w:val="00F80BCF"/>
    <w:rsid w:val="00F81C26"/>
    <w:rsid w:val="00F93C74"/>
    <w:rsid w:val="00FA4DDD"/>
    <w:rsid w:val="00FB5594"/>
    <w:rsid w:val="00FC01C0"/>
    <w:rsid w:val="00FC7455"/>
    <w:rsid w:val="00FD6D00"/>
    <w:rsid w:val="00FE1FDF"/>
    <w:rsid w:val="00FF16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3BEF3"/>
  <w15:chartTrackingRefBased/>
  <w15:docId w15:val="{233E94E5-8E1A-4A54-8D0A-2C631354E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AAF"/>
    <w:pPr>
      <w:spacing w:after="0" w:line="360" w:lineRule="auto"/>
      <w:ind w:firstLine="720"/>
      <w:jc w:val="both"/>
    </w:pPr>
    <w:rPr>
      <w:rFonts w:ascii="Arial" w:hAnsi="Arial"/>
      <w:sz w:val="24"/>
      <w:lang w:val="en-GB"/>
    </w:rPr>
  </w:style>
  <w:style w:type="paragraph" w:styleId="Titlu1">
    <w:name w:val="heading 1"/>
    <w:basedOn w:val="Normal"/>
    <w:next w:val="Normal"/>
    <w:link w:val="Titlu1Caracter"/>
    <w:uiPriority w:val="9"/>
    <w:qFormat/>
    <w:rsid w:val="002E183F"/>
    <w:pPr>
      <w:keepNext/>
      <w:keepLines/>
      <w:ind w:firstLine="0"/>
      <w:outlineLvl w:val="0"/>
    </w:pPr>
    <w:rPr>
      <w:rFonts w:eastAsiaTheme="majorEastAsia" w:cstheme="majorBidi"/>
      <w:b/>
      <w:szCs w:val="32"/>
      <w:lang w:val="en-US"/>
    </w:rPr>
  </w:style>
  <w:style w:type="paragraph" w:styleId="Titlu2">
    <w:name w:val="heading 2"/>
    <w:basedOn w:val="Normal"/>
    <w:next w:val="Normal"/>
    <w:link w:val="Titlu2Caracter"/>
    <w:uiPriority w:val="9"/>
    <w:unhideWhenUsed/>
    <w:qFormat/>
    <w:rsid w:val="002E183F"/>
    <w:pPr>
      <w:keepNext/>
      <w:keepLines/>
      <w:ind w:firstLine="0"/>
      <w:outlineLvl w:val="1"/>
    </w:pPr>
    <w:rPr>
      <w:rFonts w:eastAsia="Times New Roman" w:cstheme="majorBidi"/>
      <w:b/>
      <w:i/>
      <w:szCs w:val="26"/>
      <w:lang w:val="en-US"/>
    </w:rPr>
  </w:style>
  <w:style w:type="paragraph" w:styleId="Titlu3">
    <w:name w:val="heading 3"/>
    <w:basedOn w:val="Normal"/>
    <w:next w:val="Normal"/>
    <w:link w:val="Titlu3Caracter"/>
    <w:uiPriority w:val="9"/>
    <w:unhideWhenUsed/>
    <w:qFormat/>
    <w:rsid w:val="00EA4378"/>
    <w:pPr>
      <w:keepNext/>
      <w:keepLines/>
      <w:jc w:val="center"/>
      <w:outlineLvl w:val="2"/>
    </w:pPr>
    <w:rPr>
      <w:rFonts w:eastAsiaTheme="majorEastAsia" w:cstheme="majorBidi"/>
      <w:b/>
      <w:szCs w:val="24"/>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orptext">
    <w:name w:val="Body Text"/>
    <w:basedOn w:val="Normal"/>
    <w:link w:val="CorptextCaracter"/>
    <w:uiPriority w:val="1"/>
    <w:qFormat/>
    <w:rsid w:val="00EE01C0"/>
    <w:pPr>
      <w:ind w:left="720" w:hanging="720"/>
    </w:pPr>
    <w:rPr>
      <w:lang w:val="en-US"/>
    </w:rPr>
  </w:style>
  <w:style w:type="character" w:customStyle="1" w:styleId="CorptextCaracter">
    <w:name w:val="Corp text Caracter"/>
    <w:basedOn w:val="Fontdeparagrafimplicit"/>
    <w:link w:val="Corptext"/>
    <w:uiPriority w:val="1"/>
    <w:rsid w:val="00EE01C0"/>
    <w:rPr>
      <w:rFonts w:ascii="Arial" w:hAnsi="Arial" w:cs="Times New Roman"/>
      <w:sz w:val="24"/>
      <w:szCs w:val="24"/>
    </w:rPr>
  </w:style>
  <w:style w:type="character" w:customStyle="1" w:styleId="Titlu1Caracter">
    <w:name w:val="Titlu 1 Caracter"/>
    <w:basedOn w:val="Fontdeparagrafimplicit"/>
    <w:link w:val="Titlu1"/>
    <w:uiPriority w:val="9"/>
    <w:rsid w:val="002E183F"/>
    <w:rPr>
      <w:rFonts w:ascii="Arial" w:eastAsiaTheme="majorEastAsia" w:hAnsi="Arial" w:cstheme="majorBidi"/>
      <w:b/>
      <w:sz w:val="24"/>
      <w:szCs w:val="32"/>
    </w:rPr>
  </w:style>
  <w:style w:type="character" w:customStyle="1" w:styleId="Titlu2Caracter">
    <w:name w:val="Titlu 2 Caracter"/>
    <w:basedOn w:val="Fontdeparagrafimplicit"/>
    <w:link w:val="Titlu2"/>
    <w:uiPriority w:val="9"/>
    <w:rsid w:val="002E183F"/>
    <w:rPr>
      <w:rFonts w:ascii="Arial" w:eastAsia="Times New Roman" w:hAnsi="Arial" w:cstheme="majorBidi"/>
      <w:b/>
      <w:i/>
      <w:sz w:val="24"/>
      <w:szCs w:val="26"/>
    </w:rPr>
  </w:style>
  <w:style w:type="character" w:customStyle="1" w:styleId="Titlu3Caracter">
    <w:name w:val="Titlu 3 Caracter"/>
    <w:basedOn w:val="Fontdeparagrafimplicit"/>
    <w:link w:val="Titlu3"/>
    <w:uiPriority w:val="9"/>
    <w:rsid w:val="00EA4378"/>
    <w:rPr>
      <w:rFonts w:ascii="Arial" w:eastAsiaTheme="majorEastAsia" w:hAnsi="Arial" w:cstheme="majorBidi"/>
      <w:b/>
      <w:sz w:val="24"/>
      <w:szCs w:val="24"/>
    </w:rPr>
  </w:style>
  <w:style w:type="paragraph" w:styleId="Frspaiere">
    <w:name w:val="No Spacing"/>
    <w:uiPriority w:val="1"/>
    <w:qFormat/>
    <w:rsid w:val="00DF2713"/>
    <w:pPr>
      <w:pBdr>
        <w:top w:val="nil"/>
        <w:left w:val="nil"/>
        <w:bottom w:val="nil"/>
        <w:right w:val="nil"/>
        <w:between w:val="nil"/>
        <w:bar w:val="nil"/>
      </w:pBdr>
      <w:spacing w:after="0" w:line="360" w:lineRule="auto"/>
      <w:ind w:left="720" w:hanging="720"/>
      <w:jc w:val="both"/>
    </w:pPr>
    <w:rPr>
      <w:rFonts w:ascii="Arial" w:hAnsi="Arial" w:cs="Times New Roman"/>
      <w:sz w:val="24"/>
      <w:szCs w:val="24"/>
      <w:bdr w:val="nil"/>
      <w:lang w:val="en-GB"/>
    </w:rPr>
  </w:style>
  <w:style w:type="paragraph" w:styleId="Listparagraf">
    <w:name w:val="List Paragraph"/>
    <w:basedOn w:val="Normal"/>
    <w:uiPriority w:val="34"/>
    <w:qFormat/>
    <w:rsid w:val="00371B14"/>
    <w:pPr>
      <w:ind w:left="720"/>
      <w:contextualSpacing/>
    </w:pPr>
  </w:style>
  <w:style w:type="character" w:styleId="Hyperlink">
    <w:name w:val="Hyperlink"/>
    <w:basedOn w:val="Fontdeparagrafimplicit"/>
    <w:uiPriority w:val="99"/>
    <w:unhideWhenUsed/>
    <w:rsid w:val="0062327C"/>
    <w:rPr>
      <w:color w:val="0563C1" w:themeColor="hyperlink"/>
      <w:u w:val="single"/>
    </w:rPr>
  </w:style>
  <w:style w:type="paragraph" w:styleId="NormalWeb">
    <w:name w:val="Normal (Web)"/>
    <w:basedOn w:val="Normal"/>
    <w:uiPriority w:val="99"/>
    <w:unhideWhenUsed/>
    <w:rsid w:val="00B31BFD"/>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Accentuat">
    <w:name w:val="Emphasis"/>
    <w:basedOn w:val="Fontdeparagrafimplicit"/>
    <w:uiPriority w:val="20"/>
    <w:qFormat/>
    <w:rsid w:val="00B31BFD"/>
    <w:rPr>
      <w:i/>
      <w:iCs/>
    </w:rPr>
  </w:style>
  <w:style w:type="paragraph" w:styleId="Titlucuprins">
    <w:name w:val="TOC Heading"/>
    <w:basedOn w:val="Titlu1"/>
    <w:next w:val="Normal"/>
    <w:uiPriority w:val="39"/>
    <w:unhideWhenUsed/>
    <w:qFormat/>
    <w:rsid w:val="004E7108"/>
    <w:pPr>
      <w:spacing w:before="240"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4E7108"/>
    <w:pPr>
      <w:spacing w:after="100"/>
    </w:pPr>
  </w:style>
  <w:style w:type="paragraph" w:styleId="Cuprins2">
    <w:name w:val="toc 2"/>
    <w:basedOn w:val="Normal"/>
    <w:next w:val="Normal"/>
    <w:autoRedefine/>
    <w:uiPriority w:val="39"/>
    <w:unhideWhenUsed/>
    <w:rsid w:val="004E7108"/>
    <w:pPr>
      <w:spacing w:after="100"/>
      <w:ind w:left="240"/>
    </w:pPr>
  </w:style>
  <w:style w:type="character" w:styleId="Robust">
    <w:name w:val="Strong"/>
    <w:basedOn w:val="Fontdeparagrafimplicit"/>
    <w:uiPriority w:val="22"/>
    <w:qFormat/>
    <w:rsid w:val="000E76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www.legislation.gov.uk/ukpga/1968/60/section/8" TargetMode="Externa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BC28E-A9A7-4366-966B-6DCA19E671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1633</Words>
  <Characters>9476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VANCU</dc:creator>
  <cp:lastModifiedBy>Roxana Vancu</cp:lastModifiedBy>
  <cp:revision>2</cp:revision>
  <dcterms:created xsi:type="dcterms:W3CDTF">2023-01-12T21:21:00Z</dcterms:created>
  <dcterms:modified xsi:type="dcterms:W3CDTF">2023-01-12T21:21:00Z</dcterms:modified>
</cp:coreProperties>
</file>