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BA772" w14:textId="23AB1302" w:rsidR="00FA6854" w:rsidRDefault="270A4416" w:rsidP="1BEF82D1">
      <w:pPr>
        <w:spacing w:after="0"/>
        <w:jc w:val="center"/>
        <w:rPr>
          <w:rFonts w:ascii="Calibri" w:eastAsia="Calibri" w:hAnsi="Calibri" w:cs="Calibri"/>
          <w:sz w:val="52"/>
          <w:szCs w:val="52"/>
          <w:u w:val="single"/>
        </w:rPr>
      </w:pPr>
      <w:r w:rsidRPr="1BEF82D1">
        <w:rPr>
          <w:rFonts w:ascii="Calibri" w:eastAsia="Calibri" w:hAnsi="Calibri" w:cs="Calibri"/>
          <w:sz w:val="52"/>
          <w:szCs w:val="52"/>
          <w:u w:val="single"/>
        </w:rPr>
        <w:t xml:space="preserve">Synthesize a solution to a potential </w:t>
      </w:r>
      <w:r w:rsidR="4A8D548B" w:rsidRPr="1BEF82D1">
        <w:rPr>
          <w:rFonts w:ascii="Calibri" w:eastAsia="Calibri" w:hAnsi="Calibri" w:cs="Calibri"/>
          <w:sz w:val="52"/>
          <w:szCs w:val="52"/>
          <w:u w:val="single"/>
        </w:rPr>
        <w:t>real-life</w:t>
      </w:r>
      <w:r w:rsidRPr="1BEF82D1">
        <w:rPr>
          <w:rFonts w:ascii="Calibri" w:eastAsia="Calibri" w:hAnsi="Calibri" w:cs="Calibri"/>
          <w:sz w:val="52"/>
          <w:szCs w:val="52"/>
          <w:u w:val="single"/>
        </w:rPr>
        <w:t xml:space="preserve"> scenario</w:t>
      </w:r>
    </w:p>
    <w:p w14:paraId="61C04088" w14:textId="59452DA5" w:rsidR="00FA6854" w:rsidRDefault="00FA6854" w:rsidP="1BEF82D1">
      <w:pPr>
        <w:spacing w:after="0"/>
        <w:jc w:val="center"/>
        <w:rPr>
          <w:rFonts w:ascii="Calibri" w:eastAsia="Calibri" w:hAnsi="Calibri" w:cs="Calibri"/>
        </w:rPr>
      </w:pPr>
    </w:p>
    <w:p w14:paraId="1D4000F1" w14:textId="636EABF6" w:rsidR="00FA6854" w:rsidRPr="00B759AD" w:rsidRDefault="00FA6854" w:rsidP="1BEF82D1">
      <w:pPr>
        <w:spacing w:after="0"/>
        <w:rPr>
          <w:rFonts w:ascii="Calibri" w:eastAsia="Calibri" w:hAnsi="Calibri" w:cs="Calibri"/>
        </w:rPr>
      </w:pPr>
    </w:p>
    <w:p w14:paraId="583BABAD" w14:textId="7370614B" w:rsidR="003776BB" w:rsidRPr="00B759AD" w:rsidRDefault="003776BB" w:rsidP="00B759AD">
      <w:pPr>
        <w:spacing w:after="0"/>
        <w:jc w:val="center"/>
        <w:rPr>
          <w:rFonts w:ascii="Calibri" w:eastAsia="Calibri" w:hAnsi="Calibri" w:cs="Calibri"/>
        </w:rPr>
      </w:pPr>
      <w:r w:rsidRPr="00B759AD">
        <w:rPr>
          <w:rFonts w:ascii="Calibri" w:eastAsia="Calibri" w:hAnsi="Calibri" w:cs="Calibri"/>
        </w:rPr>
        <w:t>Aaron Miles</w:t>
      </w:r>
    </w:p>
    <w:p w14:paraId="0526E74A" w14:textId="3C2509B1" w:rsidR="003776BB" w:rsidRPr="00B759AD" w:rsidRDefault="003776BB" w:rsidP="00B759AD">
      <w:pPr>
        <w:spacing w:after="0"/>
        <w:jc w:val="center"/>
        <w:rPr>
          <w:rFonts w:ascii="Calibri" w:eastAsia="Calibri" w:hAnsi="Calibri" w:cs="Calibri"/>
        </w:rPr>
      </w:pPr>
      <w:r w:rsidRPr="00B759AD">
        <w:rPr>
          <w:rFonts w:ascii="Calibri" w:eastAsia="Calibri" w:hAnsi="Calibri" w:cs="Calibri"/>
        </w:rPr>
        <w:t>2404521</w:t>
      </w:r>
    </w:p>
    <w:p w14:paraId="5F363A0E" w14:textId="2A6D58A1" w:rsidR="00B759AD" w:rsidRDefault="00B759AD" w:rsidP="00B759AD">
      <w:pPr>
        <w:spacing w:after="0"/>
        <w:jc w:val="center"/>
        <w:rPr>
          <w:rFonts w:ascii="Calibri" w:eastAsia="Calibri" w:hAnsi="Calibri" w:cs="Calibri"/>
        </w:rPr>
      </w:pPr>
      <w:r w:rsidRPr="00B759AD">
        <w:rPr>
          <w:rFonts w:ascii="Calibri" w:eastAsia="Calibri" w:hAnsi="Calibri" w:cs="Calibri"/>
        </w:rPr>
        <w:t>Network and Cybersecurity Essentials</w:t>
      </w:r>
    </w:p>
    <w:p w14:paraId="74742876" w14:textId="77777777" w:rsidR="00B759AD" w:rsidRDefault="00B759AD" w:rsidP="00B759AD">
      <w:pPr>
        <w:spacing w:after="0"/>
        <w:jc w:val="center"/>
        <w:rPr>
          <w:rFonts w:ascii="Calibri" w:eastAsia="Calibri" w:hAnsi="Calibri" w:cs="Calibri"/>
        </w:rPr>
      </w:pPr>
    </w:p>
    <w:p w14:paraId="27968F0D" w14:textId="37730B86" w:rsidR="00E65F31" w:rsidRPr="004D5F7E" w:rsidRDefault="00E65F31" w:rsidP="00B759AD">
      <w:pPr>
        <w:spacing w:after="0"/>
        <w:rPr>
          <w:rFonts w:ascii="Calibri" w:eastAsia="Calibri" w:hAnsi="Calibri" w:cs="Calibri"/>
          <w:u w:val="single"/>
        </w:rPr>
      </w:pPr>
      <w:r w:rsidRPr="004D5F7E">
        <w:rPr>
          <w:rFonts w:ascii="Calibri" w:eastAsia="Calibri" w:hAnsi="Calibri" w:cs="Calibri"/>
          <w:u w:val="single"/>
        </w:rPr>
        <w:t>Table of Con</w:t>
      </w:r>
      <w:r w:rsidR="004D5F7E" w:rsidRPr="004D5F7E">
        <w:rPr>
          <w:rFonts w:ascii="Calibri" w:eastAsia="Calibri" w:hAnsi="Calibri" w:cs="Calibri"/>
          <w:u w:val="single"/>
        </w:rPr>
        <w:t>tents</w:t>
      </w:r>
    </w:p>
    <w:p w14:paraId="3CB75E81" w14:textId="182391A1" w:rsidR="00B759AD" w:rsidRPr="00B759AD" w:rsidRDefault="00B759AD" w:rsidP="00B759AD">
      <w:pPr>
        <w:spacing w:after="0"/>
        <w:rPr>
          <w:rFonts w:ascii="Calibri" w:eastAsia="Calibri" w:hAnsi="Calibri" w:cs="Calibri"/>
          <w:u w:val="single"/>
        </w:rPr>
      </w:pPr>
      <w:r>
        <w:rPr>
          <w:rFonts w:ascii="Calibri" w:eastAsia="Calibri" w:hAnsi="Calibri" w:cs="Calibri"/>
        </w:rPr>
        <w:t>1.</w:t>
      </w:r>
      <w:r w:rsidRPr="1BEF82D1">
        <w:rPr>
          <w:rFonts w:ascii="Calibri" w:eastAsia="Calibri" w:hAnsi="Calibri" w:cs="Calibri"/>
          <w:u w:val="single"/>
        </w:rPr>
        <w:t>Introduction</w:t>
      </w:r>
      <w:r w:rsidRPr="1BEF82D1">
        <w:rPr>
          <w:rFonts w:ascii="Calibri" w:eastAsia="Calibri" w:hAnsi="Calibri" w:cs="Calibri"/>
        </w:rPr>
        <w:t xml:space="preserve"> </w:t>
      </w:r>
    </w:p>
    <w:p w14:paraId="536E6A38" w14:textId="370C2490" w:rsidR="00B759AD" w:rsidRDefault="00B759AD" w:rsidP="00B759AD">
      <w:pPr>
        <w:spacing w:after="0"/>
        <w:rPr>
          <w:rFonts w:ascii="Calibri" w:eastAsia="Calibri" w:hAnsi="Calibri" w:cs="Calibri"/>
          <w:u w:val="single"/>
        </w:rPr>
      </w:pPr>
      <w:r>
        <w:rPr>
          <w:rFonts w:ascii="Calibri" w:eastAsia="Calibri" w:hAnsi="Calibri" w:cs="Calibri"/>
        </w:rPr>
        <w:t>2.</w:t>
      </w:r>
      <w:r w:rsidRPr="00B759AD">
        <w:rPr>
          <w:rFonts w:ascii="Calibri" w:eastAsia="Calibri" w:hAnsi="Calibri" w:cs="Calibri"/>
          <w:u w:val="single"/>
        </w:rPr>
        <w:t xml:space="preserve"> </w:t>
      </w:r>
      <w:r w:rsidRPr="1BEF82D1">
        <w:rPr>
          <w:rFonts w:ascii="Calibri" w:eastAsia="Calibri" w:hAnsi="Calibri" w:cs="Calibri"/>
          <w:u w:val="single"/>
        </w:rPr>
        <w:t>Identification of Threats</w:t>
      </w:r>
    </w:p>
    <w:p w14:paraId="57FDBF43" w14:textId="466BF685" w:rsidR="00B759AD" w:rsidRDefault="00B759AD" w:rsidP="00B759AD">
      <w:pPr>
        <w:spacing w:after="0"/>
        <w:rPr>
          <w:rFonts w:ascii="Calibri" w:eastAsia="Calibri" w:hAnsi="Calibri" w:cs="Calibri"/>
          <w:u w:val="single"/>
        </w:rPr>
      </w:pPr>
      <w:r>
        <w:rPr>
          <w:rFonts w:ascii="Calibri" w:eastAsia="Calibri" w:hAnsi="Calibri" w:cs="Calibri"/>
        </w:rPr>
        <w:t>3.</w:t>
      </w:r>
      <w:r w:rsidRPr="00B759AD">
        <w:rPr>
          <w:rFonts w:ascii="Calibri" w:eastAsia="Calibri" w:hAnsi="Calibri" w:cs="Calibri"/>
          <w:u w:val="single"/>
        </w:rPr>
        <w:t xml:space="preserve"> </w:t>
      </w:r>
      <w:r w:rsidRPr="1BEF82D1">
        <w:rPr>
          <w:rFonts w:ascii="Calibri" w:eastAsia="Calibri" w:hAnsi="Calibri" w:cs="Calibri"/>
          <w:u w:val="single"/>
        </w:rPr>
        <w:t>Security Policies</w:t>
      </w:r>
    </w:p>
    <w:p w14:paraId="1B0AE553" w14:textId="23186CC3" w:rsidR="0065422C" w:rsidRDefault="00B759AD" w:rsidP="0065422C">
      <w:pPr>
        <w:rPr>
          <w:rFonts w:ascii="Calibri" w:eastAsia="Calibri" w:hAnsi="Calibri" w:cs="Calibri"/>
          <w:u w:val="single"/>
        </w:rPr>
      </w:pPr>
      <w:r>
        <w:rPr>
          <w:rFonts w:ascii="Calibri" w:eastAsia="Calibri" w:hAnsi="Calibri" w:cs="Calibri"/>
        </w:rPr>
        <w:t>4.</w:t>
      </w:r>
      <w:r w:rsidRPr="00B759AD">
        <w:rPr>
          <w:rFonts w:ascii="Calibri" w:eastAsia="Calibri" w:hAnsi="Calibri" w:cs="Calibri"/>
          <w:u w:val="single"/>
        </w:rPr>
        <w:t xml:space="preserve"> </w:t>
      </w:r>
      <w:r w:rsidRPr="1BEF82D1">
        <w:rPr>
          <w:rFonts w:ascii="Calibri" w:eastAsia="Calibri" w:hAnsi="Calibri" w:cs="Calibri"/>
          <w:u w:val="single"/>
        </w:rPr>
        <w:t>Mitigation Measures</w:t>
      </w:r>
    </w:p>
    <w:p w14:paraId="13FAA681" w14:textId="77777777" w:rsidR="0065422C" w:rsidRDefault="0065422C" w:rsidP="0065422C">
      <w:pPr>
        <w:rPr>
          <w:rFonts w:ascii="Calibri" w:eastAsia="Calibri" w:hAnsi="Calibri" w:cs="Calibri"/>
          <w:u w:val="single"/>
        </w:rPr>
      </w:pPr>
      <w:r w:rsidRPr="0065422C">
        <w:rPr>
          <w:rFonts w:ascii="Calibri" w:eastAsia="Calibri" w:hAnsi="Calibri" w:cs="Calibri"/>
        </w:rPr>
        <w:t>5.</w:t>
      </w:r>
      <w:r w:rsidRPr="0065422C">
        <w:rPr>
          <w:rFonts w:ascii="Calibri" w:eastAsia="Calibri" w:hAnsi="Calibri" w:cs="Calibri"/>
          <w:u w:val="single"/>
        </w:rPr>
        <w:t xml:space="preserve"> </w:t>
      </w:r>
      <w:r w:rsidRPr="1BEF82D1">
        <w:rPr>
          <w:rFonts w:ascii="Calibri" w:eastAsia="Calibri" w:hAnsi="Calibri" w:cs="Calibri"/>
          <w:u w:val="single"/>
        </w:rPr>
        <w:t>Monitoring and Incident Response</w:t>
      </w:r>
    </w:p>
    <w:p w14:paraId="25615DE9" w14:textId="5D70D33B" w:rsidR="00E65F31" w:rsidRDefault="0065422C" w:rsidP="00E65F31">
      <w:pPr>
        <w:rPr>
          <w:rFonts w:ascii="Calibri" w:eastAsia="Calibri" w:hAnsi="Calibri" w:cs="Calibri"/>
          <w:u w:val="single"/>
        </w:rPr>
      </w:pPr>
      <w:r>
        <w:rPr>
          <w:rFonts w:ascii="Calibri" w:eastAsia="Calibri" w:hAnsi="Calibri" w:cs="Calibri"/>
        </w:rPr>
        <w:t>6.</w:t>
      </w:r>
      <w:r w:rsidR="00E65F31">
        <w:rPr>
          <w:rFonts w:ascii="Calibri" w:eastAsia="Calibri" w:hAnsi="Calibri" w:cs="Calibri"/>
          <w:u w:val="single"/>
        </w:rPr>
        <w:t xml:space="preserve"> </w:t>
      </w:r>
      <w:r w:rsidR="00E65F31" w:rsidRPr="1BEF82D1">
        <w:rPr>
          <w:rFonts w:ascii="Calibri" w:eastAsia="Calibri" w:hAnsi="Calibri" w:cs="Calibri"/>
          <w:u w:val="single"/>
        </w:rPr>
        <w:t>Conclusion</w:t>
      </w:r>
    </w:p>
    <w:p w14:paraId="449E7012" w14:textId="51B7ED9D" w:rsidR="00B759AD" w:rsidRPr="00E65F31" w:rsidRDefault="00E65F31" w:rsidP="0065422C">
      <w:pPr>
        <w:rPr>
          <w:rFonts w:ascii="Calibri" w:eastAsia="Calibri" w:hAnsi="Calibri" w:cs="Calibri"/>
        </w:rPr>
      </w:pPr>
      <w:r w:rsidRPr="00E65F31">
        <w:rPr>
          <w:rFonts w:ascii="Calibri" w:eastAsia="Calibri" w:hAnsi="Calibri" w:cs="Calibri"/>
        </w:rPr>
        <w:t>7.</w:t>
      </w:r>
      <w:r w:rsidRPr="00E65F31">
        <w:rPr>
          <w:rFonts w:ascii="Calibri" w:eastAsia="Calibri" w:hAnsi="Calibri" w:cs="Calibri"/>
          <w:u w:val="single"/>
        </w:rPr>
        <w:t>References</w:t>
      </w:r>
      <w:r>
        <w:rPr>
          <w:rFonts w:ascii="Calibri" w:eastAsia="Calibri" w:hAnsi="Calibri" w:cs="Calibri"/>
        </w:rPr>
        <w:t xml:space="preserve"> </w:t>
      </w:r>
    </w:p>
    <w:p w14:paraId="5FDA57D5" w14:textId="77777777" w:rsidR="004D5F7E" w:rsidRDefault="004D5F7E" w:rsidP="1BEF82D1">
      <w:pPr>
        <w:spacing w:after="0"/>
        <w:rPr>
          <w:rFonts w:ascii="Calibri" w:eastAsia="Calibri" w:hAnsi="Calibri" w:cs="Calibri"/>
        </w:rPr>
      </w:pPr>
    </w:p>
    <w:p w14:paraId="47FC33B7" w14:textId="28D3C932" w:rsidR="00FA6854" w:rsidRDefault="02B736A4" w:rsidP="1BEF82D1">
      <w:pPr>
        <w:spacing w:after="0"/>
        <w:rPr>
          <w:rFonts w:ascii="Calibri" w:eastAsia="Calibri" w:hAnsi="Calibri" w:cs="Calibri"/>
        </w:rPr>
      </w:pPr>
      <w:r w:rsidRPr="1BEF82D1">
        <w:rPr>
          <w:rFonts w:ascii="Calibri" w:eastAsia="Calibri" w:hAnsi="Calibri" w:cs="Calibri"/>
          <w:u w:val="single"/>
        </w:rPr>
        <w:t>Introduction</w:t>
      </w:r>
      <w:r w:rsidRPr="1BEF82D1">
        <w:rPr>
          <w:rFonts w:ascii="Calibri" w:eastAsia="Calibri" w:hAnsi="Calibri" w:cs="Calibri"/>
        </w:rPr>
        <w:t xml:space="preserve"> </w:t>
      </w:r>
    </w:p>
    <w:p w14:paraId="18E2A5EC" w14:textId="68DC6386" w:rsidR="00FA6854" w:rsidRDefault="02B736A4" w:rsidP="1BEF82D1">
      <w:pPr>
        <w:spacing w:after="0"/>
        <w:rPr>
          <w:rFonts w:ascii="Calibri" w:eastAsia="Calibri" w:hAnsi="Calibri" w:cs="Calibri"/>
        </w:rPr>
      </w:pPr>
      <w:r w:rsidRPr="1BEF82D1">
        <w:rPr>
          <w:rFonts w:ascii="Calibri" w:eastAsia="Calibri" w:hAnsi="Calibri" w:cs="Calibri"/>
        </w:rPr>
        <w:t xml:space="preserve">The increasing number and complexity of cyber threats present a profound risk to companies of all kinds, especially those in the financial sector, like </w:t>
      </w:r>
      <w:r w:rsidR="003C7FB7" w:rsidRPr="1BEF82D1">
        <w:rPr>
          <w:rFonts w:ascii="Calibri" w:eastAsia="Calibri" w:hAnsi="Calibri" w:cs="Calibri"/>
        </w:rPr>
        <w:t>Fin Secure</w:t>
      </w:r>
      <w:r w:rsidRPr="1BEF82D1">
        <w:rPr>
          <w:rFonts w:ascii="Calibri" w:eastAsia="Calibri" w:hAnsi="Calibri" w:cs="Calibri"/>
        </w:rPr>
        <w:t xml:space="preserve"> Ltd (FSL). As cybercriminals become ever more sophisticated, it is essential for companies like FSL to push back hard on their would-be attackers and implement strong cybersecurity measures to protect their data, systems, and hard-won reputations. FSL has not long ago experienced a series of security difficulties: phishing schemes directed at its employees and attempts to gain unauthorized access to its computer systems, among other things. Both incidents enumerated in this paragraph suggest FBI step up efforts and prompt drive over to the UK to proceed with a face-to-face with those responsible; incident response by way of training the 200 possible human assets they would utilize in an FBI undercover operation. However, there is more to these incidents than meets the eye.</w:t>
      </w:r>
    </w:p>
    <w:p w14:paraId="64D4FB07" w14:textId="5331DBC3" w:rsidR="00FA6854" w:rsidRDefault="00FA6854" w:rsidP="1BEF82D1">
      <w:pPr>
        <w:spacing w:after="0"/>
        <w:rPr>
          <w:rFonts w:ascii="Calibri" w:eastAsia="Calibri" w:hAnsi="Calibri" w:cs="Calibri"/>
        </w:rPr>
      </w:pPr>
    </w:p>
    <w:p w14:paraId="1A8C31C5" w14:textId="598641FD" w:rsidR="00FA6854" w:rsidRDefault="17431F59" w:rsidP="1BEF82D1">
      <w:pPr>
        <w:spacing w:after="0"/>
        <w:rPr>
          <w:rFonts w:ascii="Calibri" w:eastAsia="Calibri" w:hAnsi="Calibri" w:cs="Calibri"/>
          <w:u w:val="single"/>
        </w:rPr>
      </w:pPr>
      <w:r w:rsidRPr="1BEF82D1">
        <w:rPr>
          <w:rFonts w:ascii="Calibri" w:eastAsia="Calibri" w:hAnsi="Calibri" w:cs="Calibri"/>
          <w:u w:val="single"/>
        </w:rPr>
        <w:t>Identification of Threats</w:t>
      </w:r>
    </w:p>
    <w:p w14:paraId="527F6A1A" w14:textId="58F949F7" w:rsidR="00FA6854" w:rsidRDefault="17431F59" w:rsidP="1BEF82D1">
      <w:pPr>
        <w:spacing w:after="0"/>
        <w:rPr>
          <w:rFonts w:ascii="Calibri" w:eastAsia="Calibri" w:hAnsi="Calibri" w:cs="Calibri"/>
        </w:rPr>
      </w:pPr>
      <w:r w:rsidRPr="1BEF82D1">
        <w:rPr>
          <w:rFonts w:ascii="Calibri" w:eastAsia="Calibri" w:hAnsi="Calibri" w:cs="Calibri"/>
        </w:rPr>
        <w:t>FSL is faced with cyber threats that can be classified as either internal or external. Internal risks come from those who have access to systems and data. External risks come from those who do not have access to systems and data but want to get at them. Each kind of risk requires a different approach to make the organization secure.</w:t>
      </w:r>
    </w:p>
    <w:p w14:paraId="07A6D5C8" w14:textId="2D143E91" w:rsidR="00FA6854" w:rsidRDefault="17431F59" w:rsidP="1BEF82D1">
      <w:pPr>
        <w:spacing w:after="0"/>
        <w:rPr>
          <w:rFonts w:ascii="Calibri" w:eastAsia="Calibri" w:hAnsi="Calibri" w:cs="Calibri"/>
        </w:rPr>
      </w:pPr>
      <w:r w:rsidRPr="1BEF82D1">
        <w:rPr>
          <w:rFonts w:ascii="Calibri" w:eastAsia="Calibri" w:hAnsi="Calibri" w:cs="Calibri"/>
        </w:rPr>
        <w:t>There are internal threats that compromise security, resulting from employees or contractors who may do so intentionally or unwittingly. These insider threats could come from those who leak sensitive information, misuse access privileges, or mishandle confidential data. Financial Shared Services (FSL) handles financial data, so security breaches resulting from insider threats are especially damaging. Poor password practices present another internal risk. Simple, easily guessed passwords are a problem—especially when used by a significant number of employees across an organization. Even worse is the cumulative effect of reusing those same weak passwords on multiple different platforms. There might be some imprudent access control measures at play as well, enabling an environment in which first-line employees can access sensitive data that they have no business touching.</w:t>
      </w:r>
    </w:p>
    <w:p w14:paraId="78DE5B4D" w14:textId="55F03D1D" w:rsidR="00FA6854" w:rsidRDefault="17431F59" w:rsidP="1BEF82D1">
      <w:pPr>
        <w:spacing w:after="0"/>
        <w:rPr>
          <w:rFonts w:ascii="Calibri" w:eastAsia="Calibri" w:hAnsi="Calibri" w:cs="Calibri"/>
        </w:rPr>
      </w:pPr>
      <w:r w:rsidRPr="1BEF82D1">
        <w:rPr>
          <w:rFonts w:ascii="Calibri" w:eastAsia="Calibri" w:hAnsi="Calibri" w:cs="Calibri"/>
        </w:rPr>
        <w:t>Phishing attacks, ransomware, distributed denial of service (DDoS) attacks, malware, and supply chain attacks primarily comprise external threats. Cybercriminals send deceptive emails or create fake websites in phishing attacks to trick employees into disclosing sensitive information such as login credentials or financial data. Another major threat is posed by ransomware attacks, where malicious software locks company files and demands payment for their release.</w:t>
      </w:r>
      <w:sdt>
        <w:sdtPr>
          <w:rPr>
            <w:rFonts w:ascii="Calibri" w:eastAsia="Calibri" w:hAnsi="Calibri" w:cs="Calibri"/>
          </w:rPr>
          <w:id w:val="-130474689"/>
          <w:citation/>
        </w:sdtPr>
        <w:sdtContent>
          <w:r w:rsidR="00440D0B">
            <w:rPr>
              <w:rFonts w:ascii="Calibri" w:eastAsia="Calibri" w:hAnsi="Calibri" w:cs="Calibri"/>
            </w:rPr>
            <w:fldChar w:fldCharType="begin"/>
          </w:r>
          <w:r w:rsidR="00440D0B">
            <w:rPr>
              <w:rFonts w:ascii="Calibri" w:eastAsia="Calibri" w:hAnsi="Calibri" w:cs="Calibri"/>
            </w:rPr>
            <w:instrText xml:space="preserve"> CITATION AKu12 \l 2057 </w:instrText>
          </w:r>
          <w:r w:rsidR="00440D0B">
            <w:rPr>
              <w:rFonts w:ascii="Calibri" w:eastAsia="Calibri" w:hAnsi="Calibri" w:cs="Calibri"/>
            </w:rPr>
            <w:fldChar w:fldCharType="separate"/>
          </w:r>
          <w:r w:rsidR="003C7FB7">
            <w:rPr>
              <w:rFonts w:ascii="Calibri" w:eastAsia="Calibri" w:hAnsi="Calibri" w:cs="Calibri"/>
              <w:noProof/>
            </w:rPr>
            <w:t xml:space="preserve"> </w:t>
          </w:r>
          <w:r w:rsidR="003C7FB7" w:rsidRPr="003C7FB7">
            <w:rPr>
              <w:rFonts w:ascii="Calibri" w:eastAsia="Calibri" w:hAnsi="Calibri" w:cs="Calibri"/>
              <w:noProof/>
            </w:rPr>
            <w:t>[1]</w:t>
          </w:r>
          <w:r w:rsidR="00440D0B">
            <w:rPr>
              <w:rFonts w:ascii="Calibri" w:eastAsia="Calibri" w:hAnsi="Calibri" w:cs="Calibri"/>
            </w:rPr>
            <w:fldChar w:fldCharType="end"/>
          </w:r>
        </w:sdtContent>
      </w:sdt>
      <w:r w:rsidRPr="1BEF82D1">
        <w:rPr>
          <w:rFonts w:ascii="Calibri" w:eastAsia="Calibri" w:hAnsi="Calibri" w:cs="Calibri"/>
        </w:rPr>
        <w:t xml:space="preserve"> Given the nature of its business, FSL is a prime target for such attacks. A network can be overwhelmed by DDoS attacks, causing system downtime and service disruption. Malware, including viruses and other malicious software, can infiltrate FSL's systems, steal sensitive information, or cause data to be corrupted. Finally, supply chain attacks, which are becoming more common, involve targeting a company's third-party vendors or partners to get at that company itself.</w:t>
      </w:r>
      <w:sdt>
        <w:sdtPr>
          <w:rPr>
            <w:rFonts w:ascii="Calibri" w:eastAsia="Calibri" w:hAnsi="Calibri" w:cs="Calibri"/>
          </w:rPr>
          <w:id w:val="1520041828"/>
          <w:citation/>
        </w:sdtPr>
        <w:sdtContent>
          <w:r w:rsidR="00440D0B">
            <w:rPr>
              <w:rFonts w:ascii="Calibri" w:eastAsia="Calibri" w:hAnsi="Calibri" w:cs="Calibri"/>
            </w:rPr>
            <w:fldChar w:fldCharType="begin"/>
          </w:r>
          <w:r w:rsidR="00440D0B">
            <w:rPr>
              <w:rFonts w:ascii="Calibri" w:eastAsia="Calibri" w:hAnsi="Calibri" w:cs="Calibri"/>
            </w:rPr>
            <w:instrText xml:space="preserve"> CITATION MSH19 \l 2057 </w:instrText>
          </w:r>
          <w:r w:rsidR="00440D0B">
            <w:rPr>
              <w:rFonts w:ascii="Calibri" w:eastAsia="Calibri" w:hAnsi="Calibri" w:cs="Calibri"/>
            </w:rPr>
            <w:fldChar w:fldCharType="separate"/>
          </w:r>
          <w:r w:rsidR="003C7FB7">
            <w:rPr>
              <w:rFonts w:ascii="Calibri" w:eastAsia="Calibri" w:hAnsi="Calibri" w:cs="Calibri"/>
              <w:noProof/>
            </w:rPr>
            <w:t xml:space="preserve"> </w:t>
          </w:r>
          <w:r w:rsidR="003C7FB7" w:rsidRPr="003C7FB7">
            <w:rPr>
              <w:rFonts w:ascii="Calibri" w:eastAsia="Calibri" w:hAnsi="Calibri" w:cs="Calibri"/>
              <w:noProof/>
            </w:rPr>
            <w:t>[2]</w:t>
          </w:r>
          <w:r w:rsidR="00440D0B">
            <w:rPr>
              <w:rFonts w:ascii="Calibri" w:eastAsia="Calibri" w:hAnsi="Calibri" w:cs="Calibri"/>
            </w:rPr>
            <w:fldChar w:fldCharType="end"/>
          </w:r>
        </w:sdtContent>
      </w:sdt>
    </w:p>
    <w:p w14:paraId="3DF808AD" w14:textId="14DD988C" w:rsidR="00FA6854" w:rsidRDefault="00FA6854" w:rsidP="1BEF82D1">
      <w:pPr>
        <w:spacing w:after="0"/>
        <w:rPr>
          <w:rFonts w:ascii="Calibri" w:eastAsia="Calibri" w:hAnsi="Calibri" w:cs="Calibri"/>
        </w:rPr>
      </w:pPr>
    </w:p>
    <w:p w14:paraId="6122472E" w14:textId="543D62DE" w:rsidR="00FA6854" w:rsidRDefault="6A2ADE58" w:rsidP="1BEF82D1">
      <w:pPr>
        <w:spacing w:after="0"/>
        <w:rPr>
          <w:rFonts w:ascii="Calibri" w:eastAsia="Calibri" w:hAnsi="Calibri" w:cs="Calibri"/>
          <w:u w:val="single"/>
        </w:rPr>
      </w:pPr>
      <w:r w:rsidRPr="1BEF82D1">
        <w:rPr>
          <w:rFonts w:ascii="Calibri" w:eastAsia="Calibri" w:hAnsi="Calibri" w:cs="Calibri"/>
          <w:u w:val="single"/>
        </w:rPr>
        <w:t>Security Policies</w:t>
      </w:r>
    </w:p>
    <w:p w14:paraId="2377E17D" w14:textId="5696F0C4" w:rsidR="00FA6854" w:rsidRDefault="6A2ADE58" w:rsidP="1BEF82D1">
      <w:pPr>
        <w:spacing w:after="0"/>
        <w:rPr>
          <w:rFonts w:ascii="Calibri" w:eastAsia="Calibri" w:hAnsi="Calibri" w:cs="Calibri"/>
        </w:rPr>
      </w:pPr>
      <w:r w:rsidRPr="1BEF82D1">
        <w:rPr>
          <w:rFonts w:ascii="Calibri" w:eastAsia="Calibri" w:hAnsi="Calibri" w:cs="Calibri"/>
        </w:rPr>
        <w:t xml:space="preserve">FSL needs to implement security policies that are clear, practical, and effective, </w:t>
      </w:r>
      <w:r w:rsidR="0030573A" w:rsidRPr="1BEF82D1">
        <w:rPr>
          <w:rFonts w:ascii="Calibri" w:eastAsia="Calibri" w:hAnsi="Calibri" w:cs="Calibri"/>
        </w:rPr>
        <w:t>to</w:t>
      </w:r>
      <w:r w:rsidRPr="1BEF82D1">
        <w:rPr>
          <w:rFonts w:ascii="Calibri" w:eastAsia="Calibri" w:hAnsi="Calibri" w:cs="Calibri"/>
        </w:rPr>
        <w:t xml:space="preserve"> reduce the risks internal and external threats pose to it. These policies should be based on industry standards such as ISO 27001, NIST, and GDPR compliance.</w:t>
      </w:r>
      <w:sdt>
        <w:sdtPr>
          <w:rPr>
            <w:rFonts w:ascii="Calibri" w:eastAsia="Calibri" w:hAnsi="Calibri" w:cs="Calibri"/>
          </w:rPr>
          <w:id w:val="819929865"/>
          <w:citation/>
        </w:sdtPr>
        <w:sdtContent>
          <w:r w:rsidR="00277F7A">
            <w:rPr>
              <w:rFonts w:ascii="Calibri" w:eastAsia="Calibri" w:hAnsi="Calibri" w:cs="Calibri"/>
            </w:rPr>
            <w:fldChar w:fldCharType="begin"/>
          </w:r>
          <w:r w:rsidR="00277F7A">
            <w:rPr>
              <w:rFonts w:ascii="Calibri" w:eastAsia="Calibri" w:hAnsi="Calibri" w:cs="Calibri"/>
            </w:rPr>
            <w:instrText xml:space="preserve">CITATION ISO13 \l 2057 </w:instrText>
          </w:r>
          <w:r w:rsidR="00277F7A">
            <w:rPr>
              <w:rFonts w:ascii="Calibri" w:eastAsia="Calibri" w:hAnsi="Calibri" w:cs="Calibri"/>
            </w:rPr>
            <w:fldChar w:fldCharType="separate"/>
          </w:r>
          <w:r w:rsidR="003C7FB7">
            <w:rPr>
              <w:rFonts w:ascii="Calibri" w:eastAsia="Calibri" w:hAnsi="Calibri" w:cs="Calibri"/>
              <w:noProof/>
            </w:rPr>
            <w:t xml:space="preserve"> </w:t>
          </w:r>
          <w:r w:rsidR="003C7FB7" w:rsidRPr="003C7FB7">
            <w:rPr>
              <w:rFonts w:ascii="Calibri" w:eastAsia="Calibri" w:hAnsi="Calibri" w:cs="Calibri"/>
              <w:noProof/>
            </w:rPr>
            <w:t>[3]</w:t>
          </w:r>
          <w:r w:rsidR="00277F7A">
            <w:rPr>
              <w:rFonts w:ascii="Calibri" w:eastAsia="Calibri" w:hAnsi="Calibri" w:cs="Calibri"/>
            </w:rPr>
            <w:fldChar w:fldCharType="end"/>
          </w:r>
        </w:sdtContent>
      </w:sdt>
    </w:p>
    <w:p w14:paraId="7B7E4C54" w14:textId="654FE3E8" w:rsidR="00FA6854" w:rsidRDefault="6A2ADE58" w:rsidP="1BEF82D1">
      <w:pPr>
        <w:spacing w:after="0"/>
        <w:rPr>
          <w:rFonts w:ascii="Calibri" w:eastAsia="Calibri" w:hAnsi="Calibri" w:cs="Calibri"/>
        </w:rPr>
      </w:pPr>
      <w:r w:rsidRPr="1BEF82D1">
        <w:rPr>
          <w:rFonts w:ascii="Calibri" w:eastAsia="Calibri" w:hAnsi="Calibri" w:cs="Calibri"/>
        </w:rPr>
        <w:t xml:space="preserve">Access Control </w:t>
      </w:r>
      <w:r w:rsidR="3F8A170D" w:rsidRPr="1BEF82D1">
        <w:rPr>
          <w:rFonts w:ascii="Calibri" w:eastAsia="Calibri" w:hAnsi="Calibri" w:cs="Calibri"/>
        </w:rPr>
        <w:t>Policy, Among</w:t>
      </w:r>
      <w:r w:rsidRPr="1BEF82D1">
        <w:rPr>
          <w:rFonts w:ascii="Calibri" w:eastAsia="Calibri" w:hAnsi="Calibri" w:cs="Calibri"/>
        </w:rPr>
        <w:t xml:space="preserve"> the key policies that FSL should adopt is the Principle of Least Privilege. It ensures that employees are granted access only to the resources they need to perform their jobs. This will minimize the risk of unauthorized access to sensitive data. Role-Based Access Control (RBAC) is a sufficient method to restrict access. It grants access based on job roles. Employees have access to the data necessary for their specific jobs and only that data. Regular audits should be done to access this access control and make sure it's in compliance with these policies.</w:t>
      </w:r>
      <w:sdt>
        <w:sdtPr>
          <w:rPr>
            <w:rFonts w:ascii="Calibri" w:eastAsia="Calibri" w:hAnsi="Calibri" w:cs="Calibri"/>
          </w:rPr>
          <w:id w:val="-1899272632"/>
          <w:citation/>
        </w:sdtPr>
        <w:sdtContent>
          <w:r w:rsidR="00277F7A">
            <w:rPr>
              <w:rFonts w:ascii="Calibri" w:eastAsia="Calibri" w:hAnsi="Calibri" w:cs="Calibri"/>
            </w:rPr>
            <w:fldChar w:fldCharType="begin"/>
          </w:r>
          <w:r w:rsidR="00277F7A">
            <w:rPr>
              <w:rFonts w:ascii="Calibri" w:eastAsia="Calibri" w:hAnsi="Calibri" w:cs="Calibri"/>
            </w:rPr>
            <w:instrText xml:space="preserve"> CITATION Nat18 \l 2057 </w:instrText>
          </w:r>
          <w:r w:rsidR="00277F7A">
            <w:rPr>
              <w:rFonts w:ascii="Calibri" w:eastAsia="Calibri" w:hAnsi="Calibri" w:cs="Calibri"/>
            </w:rPr>
            <w:fldChar w:fldCharType="separate"/>
          </w:r>
          <w:r w:rsidR="003C7FB7">
            <w:rPr>
              <w:rFonts w:ascii="Calibri" w:eastAsia="Calibri" w:hAnsi="Calibri" w:cs="Calibri"/>
              <w:noProof/>
            </w:rPr>
            <w:t xml:space="preserve"> </w:t>
          </w:r>
          <w:r w:rsidR="003C7FB7" w:rsidRPr="003C7FB7">
            <w:rPr>
              <w:rFonts w:ascii="Calibri" w:eastAsia="Calibri" w:hAnsi="Calibri" w:cs="Calibri"/>
              <w:noProof/>
            </w:rPr>
            <w:t>[4]</w:t>
          </w:r>
          <w:r w:rsidR="00277F7A">
            <w:rPr>
              <w:rFonts w:ascii="Calibri" w:eastAsia="Calibri" w:hAnsi="Calibri" w:cs="Calibri"/>
            </w:rPr>
            <w:fldChar w:fldCharType="end"/>
          </w:r>
        </w:sdtContent>
      </w:sdt>
    </w:p>
    <w:p w14:paraId="7505878B" w14:textId="644B9337" w:rsidR="00FA6854" w:rsidRDefault="6A2ADE58" w:rsidP="1BEF82D1">
      <w:pPr>
        <w:spacing w:after="0"/>
        <w:rPr>
          <w:rFonts w:ascii="Calibri" w:eastAsia="Calibri" w:hAnsi="Calibri" w:cs="Calibri"/>
        </w:rPr>
      </w:pPr>
      <w:r w:rsidRPr="1BEF82D1">
        <w:rPr>
          <w:rFonts w:ascii="Calibri" w:eastAsia="Calibri" w:hAnsi="Calibri" w:cs="Calibri"/>
        </w:rPr>
        <w:t xml:space="preserve">Password Policy, </w:t>
      </w:r>
      <w:proofErr w:type="gramStart"/>
      <w:r w:rsidRPr="1BEF82D1">
        <w:rPr>
          <w:rFonts w:ascii="Calibri" w:eastAsia="Calibri" w:hAnsi="Calibri" w:cs="Calibri"/>
        </w:rPr>
        <w:t>To</w:t>
      </w:r>
      <w:proofErr w:type="gramEnd"/>
      <w:r w:rsidRPr="1BEF82D1">
        <w:rPr>
          <w:rFonts w:ascii="Calibri" w:eastAsia="Calibri" w:hAnsi="Calibri" w:cs="Calibri"/>
        </w:rPr>
        <w:t xml:space="preserve"> stop unauthorized access that comes from people using weak passwords, FSL should implement a strong password policy. Such a policy must, at a minimum, require that passwords be at least 12 characters long and contain several different kinds of characters: letters (both upper and lower case), numbers, and special characters (e.g., punctuation). In addition to that, FSL should require the use of something called "Multi-Factor Authentication" (or MFA) for all the "really important" computers and "really important" systems that the organization possesses.</w:t>
      </w:r>
    </w:p>
    <w:p w14:paraId="323BF32A" w14:textId="30088E7F" w:rsidR="00FA6854" w:rsidRDefault="6A2ADE58" w:rsidP="1BEF82D1">
      <w:pPr>
        <w:spacing w:after="0"/>
        <w:rPr>
          <w:rFonts w:ascii="Calibri" w:eastAsia="Calibri" w:hAnsi="Calibri" w:cs="Calibri"/>
        </w:rPr>
      </w:pPr>
      <w:r w:rsidRPr="1BEF82D1">
        <w:rPr>
          <w:rFonts w:ascii="Calibri" w:eastAsia="Calibri" w:hAnsi="Calibri" w:cs="Calibri"/>
        </w:rPr>
        <w:t xml:space="preserve">Incident Response Policy, </w:t>
      </w:r>
      <w:proofErr w:type="gramStart"/>
      <w:r w:rsidRPr="1BEF82D1">
        <w:rPr>
          <w:rFonts w:ascii="Calibri" w:eastAsia="Calibri" w:hAnsi="Calibri" w:cs="Calibri"/>
        </w:rPr>
        <w:t>An</w:t>
      </w:r>
      <w:proofErr w:type="gramEnd"/>
      <w:r w:rsidRPr="1BEF82D1">
        <w:rPr>
          <w:rFonts w:ascii="Calibri" w:eastAsia="Calibri" w:hAnsi="Calibri" w:cs="Calibri"/>
        </w:rPr>
        <w:t xml:space="preserve"> unambiguous and efficient Incident Response Policy is vital to dealing with security incidents. This policy should categorize incidents roughly into three groups based on their severity: low, medium, and high. For each group, the policy should specify the not-so-appropriate measures (to be honest) that we should take when responding to low-, medium-, or high-severity incidents. Again, naming things clearly and unambiguously and ensuring that what we say matches what we mean is critical.</w:t>
      </w:r>
    </w:p>
    <w:p w14:paraId="1C27E83C" w14:textId="5E3BEC09" w:rsidR="00FA6854" w:rsidRDefault="6A2ADE58" w:rsidP="1BEF82D1">
      <w:pPr>
        <w:spacing w:after="0"/>
        <w:rPr>
          <w:rFonts w:ascii="Calibri" w:eastAsia="Calibri" w:hAnsi="Calibri" w:cs="Calibri"/>
        </w:rPr>
      </w:pPr>
      <w:r w:rsidRPr="1BEF82D1">
        <w:rPr>
          <w:rFonts w:ascii="Calibri" w:eastAsia="Calibri" w:hAnsi="Calibri" w:cs="Calibri"/>
        </w:rPr>
        <w:t>Data Protection and Privacy Policy, FSL must put in place a Data Protection and Privacy Policy that ensures that sensitive data is kept from unauthorized access or exposure. This policy should mandate that all sensitive data is encrypted not just during transmission but also while at rest. The preferred encryption method, here and elsewhere, for strong, reliable encryption is AES (Advanced Encryption Standard), a block cipher that can encrypt data in 128-bit, 192-bit, and 256-bit (AES-256) key lengths. This policy should also govern Data Retention. FSL should hold on to the data it collects only for as long as necessary to satisfy the original purpose for which it was collected. And when it no longer needs to keep that data, it should securely delete it.</w:t>
      </w:r>
      <w:sdt>
        <w:sdtPr>
          <w:rPr>
            <w:rFonts w:ascii="Calibri" w:eastAsia="Calibri" w:hAnsi="Calibri" w:cs="Calibri"/>
          </w:rPr>
          <w:id w:val="-1028560812"/>
          <w:citation/>
        </w:sdtPr>
        <w:sdtContent>
          <w:r w:rsidR="0024483D">
            <w:rPr>
              <w:rFonts w:ascii="Calibri" w:eastAsia="Calibri" w:hAnsi="Calibri" w:cs="Calibri"/>
            </w:rPr>
            <w:fldChar w:fldCharType="begin"/>
          </w:r>
          <w:r w:rsidR="0024483D">
            <w:rPr>
              <w:rFonts w:ascii="Calibri" w:eastAsia="Calibri" w:hAnsi="Calibri" w:cs="Calibri"/>
            </w:rPr>
            <w:instrText xml:space="preserve"> CITATION Gen18 \l 2057 </w:instrText>
          </w:r>
          <w:r w:rsidR="0024483D">
            <w:rPr>
              <w:rFonts w:ascii="Calibri" w:eastAsia="Calibri" w:hAnsi="Calibri" w:cs="Calibri"/>
            </w:rPr>
            <w:fldChar w:fldCharType="separate"/>
          </w:r>
          <w:r w:rsidR="003C7FB7">
            <w:rPr>
              <w:rFonts w:ascii="Calibri" w:eastAsia="Calibri" w:hAnsi="Calibri" w:cs="Calibri"/>
              <w:noProof/>
            </w:rPr>
            <w:t xml:space="preserve"> </w:t>
          </w:r>
          <w:r w:rsidR="003C7FB7" w:rsidRPr="003C7FB7">
            <w:rPr>
              <w:rFonts w:ascii="Calibri" w:eastAsia="Calibri" w:hAnsi="Calibri" w:cs="Calibri"/>
              <w:noProof/>
            </w:rPr>
            <w:t>[5]</w:t>
          </w:r>
          <w:r w:rsidR="0024483D">
            <w:rPr>
              <w:rFonts w:ascii="Calibri" w:eastAsia="Calibri" w:hAnsi="Calibri" w:cs="Calibri"/>
            </w:rPr>
            <w:fldChar w:fldCharType="end"/>
          </w:r>
        </w:sdtContent>
      </w:sdt>
    </w:p>
    <w:p w14:paraId="6AE1D936" w14:textId="2A1463FD" w:rsidR="00FA6854" w:rsidRDefault="6A2ADE58" w:rsidP="1BEF82D1">
      <w:pPr>
        <w:spacing w:after="0"/>
        <w:rPr>
          <w:rFonts w:ascii="Calibri" w:eastAsia="Calibri" w:hAnsi="Calibri" w:cs="Calibri"/>
        </w:rPr>
      </w:pPr>
      <w:r w:rsidRPr="1BEF82D1">
        <w:rPr>
          <w:rFonts w:ascii="Calibri" w:eastAsia="Calibri" w:hAnsi="Calibri" w:cs="Calibri"/>
        </w:rPr>
        <w:t xml:space="preserve">Remote Work Security Policy, </w:t>
      </w:r>
      <w:proofErr w:type="gramStart"/>
      <w:r w:rsidRPr="1BEF82D1">
        <w:rPr>
          <w:rFonts w:ascii="Calibri" w:eastAsia="Calibri" w:hAnsi="Calibri" w:cs="Calibri"/>
        </w:rPr>
        <w:t>As</w:t>
      </w:r>
      <w:proofErr w:type="gramEnd"/>
      <w:r w:rsidRPr="1BEF82D1">
        <w:rPr>
          <w:rFonts w:ascii="Calibri" w:eastAsia="Calibri" w:hAnsi="Calibri" w:cs="Calibri"/>
        </w:rPr>
        <w:t xml:space="preserve"> remote work becomes more common, the necessity for a strong Remote Work Security Policy grows. Such a policy ensures that employees access company systems from remote locations in a secure way, using a VPN that encrypts communications. They are also required to use only company-approved devices for work purposes. These devices must be kept up to date, with regular maintenance checks that make certain there are no vulnerabilities that can be exploited by hackers.</w:t>
      </w:r>
    </w:p>
    <w:p w14:paraId="209C3CBD" w14:textId="73485538" w:rsidR="00FA6854" w:rsidRDefault="6A2ADE58" w:rsidP="1BEF82D1">
      <w:pPr>
        <w:spacing w:after="0"/>
        <w:rPr>
          <w:rFonts w:ascii="Calibri" w:eastAsia="Calibri" w:hAnsi="Calibri" w:cs="Calibri"/>
        </w:rPr>
      </w:pPr>
      <w:r w:rsidRPr="1BEF82D1">
        <w:rPr>
          <w:rFonts w:ascii="Calibri" w:eastAsia="Calibri" w:hAnsi="Calibri" w:cs="Calibri"/>
        </w:rPr>
        <w:t xml:space="preserve">Email Security and Phishing Prevention Policy, </w:t>
      </w:r>
      <w:proofErr w:type="gramStart"/>
      <w:r w:rsidRPr="1BEF82D1">
        <w:rPr>
          <w:rFonts w:ascii="Calibri" w:eastAsia="Calibri" w:hAnsi="Calibri" w:cs="Calibri"/>
        </w:rPr>
        <w:t>To</w:t>
      </w:r>
      <w:proofErr w:type="gramEnd"/>
      <w:r w:rsidRPr="1BEF82D1">
        <w:rPr>
          <w:rFonts w:ascii="Calibri" w:eastAsia="Calibri" w:hAnsi="Calibri" w:cs="Calibri"/>
        </w:rPr>
        <w:t xml:space="preserve"> defend against phishing attempts, FSL ought to introduce email filtering systems that will detect and intercept dubious emails and keep them from reaching the employees' inboxes. Furthermore, FSL ought to establish a regular training regimen for all employees to educate the workforce on how to recognize phishing attempts and how to avoid being ensnared by emails or links that look suspicious.</w:t>
      </w:r>
    </w:p>
    <w:p w14:paraId="5E5787A5" w14:textId="6CC3B491" w:rsidR="00FA6854" w:rsidRDefault="00FA6854" w:rsidP="1BEF82D1">
      <w:pPr>
        <w:rPr>
          <w:rFonts w:ascii="Calibri" w:eastAsia="Calibri" w:hAnsi="Calibri" w:cs="Calibri"/>
        </w:rPr>
      </w:pPr>
    </w:p>
    <w:p w14:paraId="3B40CDC7" w14:textId="0E5A5868" w:rsidR="072460DB" w:rsidRDefault="072460DB" w:rsidP="1BEF82D1">
      <w:pPr>
        <w:rPr>
          <w:rFonts w:ascii="Calibri" w:eastAsia="Calibri" w:hAnsi="Calibri" w:cs="Calibri"/>
          <w:u w:val="single"/>
        </w:rPr>
      </w:pPr>
      <w:r w:rsidRPr="1BEF82D1">
        <w:rPr>
          <w:rFonts w:ascii="Calibri" w:eastAsia="Calibri" w:hAnsi="Calibri" w:cs="Calibri"/>
          <w:u w:val="single"/>
        </w:rPr>
        <w:t>Mitigation Measures</w:t>
      </w:r>
    </w:p>
    <w:p w14:paraId="5E9D80A5" w14:textId="32296DBA" w:rsidR="072460DB" w:rsidRDefault="072460DB" w:rsidP="1BEF82D1">
      <w:pPr>
        <w:rPr>
          <w:rFonts w:ascii="Calibri" w:eastAsia="Calibri" w:hAnsi="Calibri" w:cs="Calibri"/>
        </w:rPr>
      </w:pPr>
      <w:r w:rsidRPr="1BEF82D1">
        <w:rPr>
          <w:rFonts w:ascii="Calibri" w:eastAsia="Calibri" w:hAnsi="Calibri" w:cs="Calibri"/>
        </w:rPr>
        <w:t>FSL should take several important steps to increase safety and security to neutralize the threats identified.</w:t>
      </w:r>
      <w:r w:rsidR="003C7FB7">
        <w:rPr>
          <w:rFonts w:ascii="Calibri" w:eastAsia="Calibri" w:hAnsi="Calibri" w:cs="Calibri"/>
        </w:rPr>
        <w:t xml:space="preserve"> </w:t>
      </w:r>
      <w:r w:rsidRPr="1BEF82D1">
        <w:rPr>
          <w:rFonts w:ascii="Calibri" w:eastAsia="Calibri" w:hAnsi="Calibri" w:cs="Calibri"/>
        </w:rPr>
        <w:t>Multi-Factor Authentication (MFA)</w:t>
      </w:r>
      <w:r w:rsidR="003C7FB7">
        <w:rPr>
          <w:rFonts w:ascii="Calibri" w:eastAsia="Calibri" w:hAnsi="Calibri" w:cs="Calibri"/>
        </w:rPr>
        <w:t>-</w:t>
      </w:r>
      <w:r w:rsidRPr="1BEF82D1">
        <w:rPr>
          <w:rFonts w:ascii="Calibri" w:eastAsia="Calibri" w:hAnsi="Calibri" w:cs="Calibri"/>
        </w:rPr>
        <w:t>All staff who access sensitive data or systems that are "critical" should be accessing them with multifactor authentication. That way, even if an attacker gets a hold of a password, they won't be able to access the system because they won't have the second factor required.</w:t>
      </w:r>
    </w:p>
    <w:p w14:paraId="1341DB7A" w14:textId="30246E96" w:rsidR="072460DB" w:rsidRDefault="072460DB" w:rsidP="1BEF82D1">
      <w:pPr>
        <w:rPr>
          <w:rFonts w:ascii="Calibri" w:eastAsia="Calibri" w:hAnsi="Calibri" w:cs="Calibri"/>
        </w:rPr>
      </w:pPr>
      <w:r w:rsidRPr="1BEF82D1">
        <w:rPr>
          <w:rFonts w:ascii="Calibri" w:eastAsia="Calibri" w:hAnsi="Calibri" w:cs="Calibri"/>
        </w:rPr>
        <w:t>Regular Software Updates</w:t>
      </w:r>
      <w:r w:rsidR="003C7FB7">
        <w:rPr>
          <w:rFonts w:ascii="Calibri" w:eastAsia="Calibri" w:hAnsi="Calibri" w:cs="Calibri"/>
        </w:rPr>
        <w:t>-</w:t>
      </w:r>
      <w:r w:rsidRPr="1BEF82D1">
        <w:rPr>
          <w:rFonts w:ascii="Calibri" w:eastAsia="Calibri" w:hAnsi="Calibri" w:cs="Calibri"/>
        </w:rPr>
        <w:t>Keeping software, applications, and devices up to date is critical to maintaining security. Vulnerabilities discovered by researchers and malicious hackers are routinely exploited in the wild. When these kinds of exploits are found, the affected companies (and sometimes third-party researchers) take the covers off the problems and work quickly to fix them. The fixes are then pushed out to users in the form of updates—sets of changes that are installed on top of the existing software. These updates often come with the public service announcement that they should be installed ASAP, especially since they are usually accompanied by a set of enticing new features. So why are updates so crucial? And why is getting them installed as soon as possible so important?</w:t>
      </w:r>
    </w:p>
    <w:p w14:paraId="4CA4AFB7" w14:textId="75B6FBF3" w:rsidR="072460DB" w:rsidRDefault="072460DB" w:rsidP="1BEF82D1">
      <w:pPr>
        <w:rPr>
          <w:rFonts w:ascii="Calibri" w:eastAsia="Calibri" w:hAnsi="Calibri" w:cs="Calibri"/>
        </w:rPr>
      </w:pPr>
      <w:r w:rsidRPr="1BEF82D1">
        <w:rPr>
          <w:rFonts w:ascii="Calibri" w:eastAsia="Calibri" w:hAnsi="Calibri" w:cs="Calibri"/>
        </w:rPr>
        <w:t>Endpoint Security</w:t>
      </w:r>
      <w:r w:rsidR="003C7FB7">
        <w:rPr>
          <w:rFonts w:ascii="Calibri" w:eastAsia="Calibri" w:hAnsi="Calibri" w:cs="Calibri"/>
        </w:rPr>
        <w:t>-</w:t>
      </w:r>
      <w:r w:rsidRPr="1BEF82D1">
        <w:rPr>
          <w:rFonts w:ascii="Calibri" w:eastAsia="Calibri" w:hAnsi="Calibri" w:cs="Calibri"/>
        </w:rPr>
        <w:t>Any devices employed by personnel must have anti-virus and anti-malware software installed. These systems should be regularly scanned to detect and remove any rogue software before it can cause significant harm.</w:t>
      </w:r>
      <w:sdt>
        <w:sdtPr>
          <w:rPr>
            <w:rFonts w:ascii="Calibri" w:eastAsia="Calibri" w:hAnsi="Calibri" w:cs="Calibri"/>
          </w:rPr>
          <w:id w:val="-2011055231"/>
          <w:citation/>
        </w:sdtPr>
        <w:sdtContent>
          <w:r w:rsidR="0024059E">
            <w:rPr>
              <w:rFonts w:ascii="Calibri" w:eastAsia="Calibri" w:hAnsi="Calibri" w:cs="Calibri"/>
            </w:rPr>
            <w:fldChar w:fldCharType="begin"/>
          </w:r>
          <w:r w:rsidR="0024059E">
            <w:rPr>
              <w:rFonts w:ascii="Calibri" w:eastAsia="Calibri" w:hAnsi="Calibri" w:cs="Calibri"/>
            </w:rPr>
            <w:instrText xml:space="preserve"> CITATION PAn18 \l 2057 </w:instrText>
          </w:r>
          <w:r w:rsidR="0024059E">
            <w:rPr>
              <w:rFonts w:ascii="Calibri" w:eastAsia="Calibri" w:hAnsi="Calibri" w:cs="Calibri"/>
            </w:rPr>
            <w:fldChar w:fldCharType="separate"/>
          </w:r>
          <w:r w:rsidR="003C7FB7">
            <w:rPr>
              <w:rFonts w:ascii="Calibri" w:eastAsia="Calibri" w:hAnsi="Calibri" w:cs="Calibri"/>
              <w:noProof/>
            </w:rPr>
            <w:t xml:space="preserve"> </w:t>
          </w:r>
          <w:r w:rsidR="003C7FB7" w:rsidRPr="003C7FB7">
            <w:rPr>
              <w:rFonts w:ascii="Calibri" w:eastAsia="Calibri" w:hAnsi="Calibri" w:cs="Calibri"/>
              <w:noProof/>
            </w:rPr>
            <w:t>[6]</w:t>
          </w:r>
          <w:r w:rsidR="0024059E">
            <w:rPr>
              <w:rFonts w:ascii="Calibri" w:eastAsia="Calibri" w:hAnsi="Calibri" w:cs="Calibri"/>
            </w:rPr>
            <w:fldChar w:fldCharType="end"/>
          </w:r>
        </w:sdtContent>
      </w:sdt>
    </w:p>
    <w:p w14:paraId="69B3BF66" w14:textId="32B29C1B" w:rsidR="072460DB" w:rsidRDefault="072460DB" w:rsidP="1BEF82D1">
      <w:pPr>
        <w:rPr>
          <w:rFonts w:ascii="Calibri" w:eastAsia="Calibri" w:hAnsi="Calibri" w:cs="Calibri"/>
        </w:rPr>
      </w:pPr>
      <w:r w:rsidRPr="1BEF82D1">
        <w:rPr>
          <w:rFonts w:ascii="Calibri" w:eastAsia="Calibri" w:hAnsi="Calibri" w:cs="Calibri"/>
        </w:rPr>
        <w:t>Data Encryption</w:t>
      </w:r>
      <w:r w:rsidR="003C7FB7">
        <w:rPr>
          <w:rFonts w:ascii="Calibri" w:eastAsia="Calibri" w:hAnsi="Calibri" w:cs="Calibri"/>
        </w:rPr>
        <w:t>-</w:t>
      </w:r>
      <w:r w:rsidRPr="1BEF82D1">
        <w:rPr>
          <w:rFonts w:ascii="Calibri" w:eastAsia="Calibri" w:hAnsi="Calibri" w:cs="Calibri"/>
        </w:rPr>
        <w:t xml:space="preserve">All sensitive information, whether at rest or in transit, should be subjected to encryption using standard protocols of the industry. This should guarantee that even should the information be intercepted or accessed by unauthorized </w:t>
      </w:r>
      <w:r w:rsidR="003C7FB7" w:rsidRPr="1BEF82D1">
        <w:rPr>
          <w:rFonts w:ascii="Calibri" w:eastAsia="Calibri" w:hAnsi="Calibri" w:cs="Calibri"/>
        </w:rPr>
        <w:t>individuals;</w:t>
      </w:r>
      <w:r w:rsidRPr="1BEF82D1">
        <w:rPr>
          <w:rFonts w:ascii="Calibri" w:eastAsia="Calibri" w:hAnsi="Calibri" w:cs="Calibri"/>
        </w:rPr>
        <w:t xml:space="preserve"> it would remain in a state that should not be readable.</w:t>
      </w:r>
    </w:p>
    <w:p w14:paraId="4FB2EB8C" w14:textId="78AD6895" w:rsidR="072460DB" w:rsidRDefault="072460DB" w:rsidP="1BEF82D1">
      <w:pPr>
        <w:rPr>
          <w:rFonts w:ascii="Calibri" w:eastAsia="Calibri" w:hAnsi="Calibri" w:cs="Calibri"/>
        </w:rPr>
      </w:pPr>
      <w:r w:rsidRPr="1BEF82D1">
        <w:rPr>
          <w:rFonts w:ascii="Calibri" w:eastAsia="Calibri" w:hAnsi="Calibri" w:cs="Calibri"/>
        </w:rPr>
        <w:t>Network Firewalls and VPNs</w:t>
      </w:r>
      <w:r w:rsidR="003C7FB7">
        <w:rPr>
          <w:rFonts w:ascii="Calibri" w:eastAsia="Calibri" w:hAnsi="Calibri" w:cs="Calibri"/>
        </w:rPr>
        <w:t>-</w:t>
      </w:r>
      <w:r w:rsidRPr="1BEF82D1">
        <w:rPr>
          <w:rFonts w:ascii="Calibri" w:eastAsia="Calibri" w:hAnsi="Calibri" w:cs="Calibri"/>
        </w:rPr>
        <w:t>FSL must set up powerful network firewalls to protect its internal systems from unauthorized access. Also, remote workers should use secure VPN connections to make sure that all data transferred between the company network and remote sites is encrypted.</w:t>
      </w:r>
    </w:p>
    <w:p w14:paraId="1193EA31" w14:textId="3089B693" w:rsidR="072460DB" w:rsidRDefault="072460DB" w:rsidP="1BEF82D1">
      <w:pPr>
        <w:rPr>
          <w:rFonts w:ascii="Calibri" w:eastAsia="Calibri" w:hAnsi="Calibri" w:cs="Calibri"/>
        </w:rPr>
      </w:pPr>
      <w:r w:rsidRPr="1BEF82D1">
        <w:rPr>
          <w:rFonts w:ascii="Calibri" w:eastAsia="Calibri" w:hAnsi="Calibri" w:cs="Calibri"/>
        </w:rPr>
        <w:t>Backup and Disaster Recovery</w:t>
      </w:r>
      <w:r w:rsidR="003C7FB7">
        <w:rPr>
          <w:rFonts w:ascii="Calibri" w:eastAsia="Calibri" w:hAnsi="Calibri" w:cs="Calibri"/>
        </w:rPr>
        <w:t>-</w:t>
      </w:r>
      <w:r w:rsidRPr="1BEF82D1">
        <w:rPr>
          <w:rFonts w:ascii="Calibri" w:eastAsia="Calibri" w:hAnsi="Calibri" w:cs="Calibri"/>
        </w:rPr>
        <w:t>Backups of vital information must be made regularly and stored securely in several different places. A thorough disaster recovery plan must be established so that FSL can rapidly reinstate its systems and data if they are damaged by an attack or experience a catastrophic failure.</w:t>
      </w:r>
    </w:p>
    <w:p w14:paraId="52114789" w14:textId="5E73CE25" w:rsidR="1BEF82D1" w:rsidRDefault="1BEF82D1" w:rsidP="1BEF82D1">
      <w:pPr>
        <w:rPr>
          <w:rFonts w:ascii="Calibri" w:eastAsia="Calibri" w:hAnsi="Calibri" w:cs="Calibri"/>
        </w:rPr>
      </w:pPr>
    </w:p>
    <w:p w14:paraId="13500577" w14:textId="4271D42A" w:rsidR="5491A834" w:rsidRDefault="5491A834" w:rsidP="1BEF82D1">
      <w:pPr>
        <w:rPr>
          <w:rFonts w:ascii="Calibri" w:eastAsia="Calibri" w:hAnsi="Calibri" w:cs="Calibri"/>
          <w:u w:val="single"/>
        </w:rPr>
      </w:pPr>
      <w:r w:rsidRPr="1BEF82D1">
        <w:rPr>
          <w:rFonts w:ascii="Calibri" w:eastAsia="Calibri" w:hAnsi="Calibri" w:cs="Calibri"/>
          <w:u w:val="single"/>
        </w:rPr>
        <w:t>Monitoring and Incident Response</w:t>
      </w:r>
    </w:p>
    <w:p w14:paraId="71610980" w14:textId="206D0F80" w:rsidR="5491A834" w:rsidRDefault="5491A834" w:rsidP="1BEF82D1">
      <w:pPr>
        <w:rPr>
          <w:rFonts w:ascii="Calibri" w:eastAsia="Calibri" w:hAnsi="Calibri" w:cs="Calibri"/>
        </w:rPr>
      </w:pPr>
      <w:r w:rsidRPr="1BEF82D1">
        <w:rPr>
          <w:rFonts w:ascii="Calibri" w:eastAsia="Calibri" w:hAnsi="Calibri" w:cs="Calibri"/>
        </w:rPr>
        <w:t>For FSL to effectively react to security incidents, it is fundamental to establish a sound monitoring and incident response strategy.</w:t>
      </w:r>
    </w:p>
    <w:p w14:paraId="019EC153" w14:textId="3FD48EA3" w:rsidR="5491A834" w:rsidRDefault="5491A834" w:rsidP="1BEF82D1">
      <w:pPr>
        <w:rPr>
          <w:rFonts w:ascii="Calibri" w:eastAsia="Calibri" w:hAnsi="Calibri" w:cs="Calibri"/>
        </w:rPr>
      </w:pPr>
      <w:r w:rsidRPr="1BEF82D1">
        <w:rPr>
          <w:rFonts w:ascii="Calibri" w:eastAsia="Calibri" w:hAnsi="Calibri" w:cs="Calibri"/>
        </w:rPr>
        <w:t>Monitoring Tools</w:t>
      </w:r>
      <w:r w:rsidR="00D62BFF">
        <w:rPr>
          <w:rFonts w:ascii="Calibri" w:eastAsia="Calibri" w:hAnsi="Calibri" w:cs="Calibri"/>
        </w:rPr>
        <w:t>-</w:t>
      </w:r>
      <w:r w:rsidRPr="1BEF82D1">
        <w:rPr>
          <w:rFonts w:ascii="Calibri" w:eastAsia="Calibri" w:hAnsi="Calibri" w:cs="Calibri"/>
        </w:rPr>
        <w:t xml:space="preserve">A Security Information and Event Management (SIEM) system should be what FSL employs to collect and </w:t>
      </w:r>
      <w:r w:rsidR="0022586C" w:rsidRPr="1BEF82D1">
        <w:rPr>
          <w:rFonts w:ascii="Calibri" w:eastAsia="Calibri" w:hAnsi="Calibri" w:cs="Calibri"/>
        </w:rPr>
        <w:t>analyse</w:t>
      </w:r>
      <w:r w:rsidRPr="1BEF82D1">
        <w:rPr>
          <w:rFonts w:ascii="Calibri" w:eastAsia="Calibri" w:hAnsi="Calibri" w:cs="Calibri"/>
        </w:rPr>
        <w:t xml:space="preserve"> security event data in real time. This would, in effect, allow FSL to create an "event" baselining of sorts that could be used in suspicious activity detection. And with the level of suspicious activity that FSL has already detected on its systems, this seems like a good idea. On the other hand, Intrusion Detection and Prevention Systems (IDPS) can serve a similar function for traffic "events" by detecting and preventing intruders from causing harm to the system.</w:t>
      </w:r>
    </w:p>
    <w:p w14:paraId="5FEFA281" w14:textId="6CD287B7" w:rsidR="5491A834" w:rsidRDefault="5491A834" w:rsidP="1BEF82D1">
      <w:pPr>
        <w:rPr>
          <w:rFonts w:ascii="Calibri" w:eastAsia="Calibri" w:hAnsi="Calibri" w:cs="Calibri"/>
        </w:rPr>
      </w:pPr>
      <w:r w:rsidRPr="1BEF82D1">
        <w:rPr>
          <w:rFonts w:ascii="Calibri" w:eastAsia="Calibri" w:hAnsi="Calibri" w:cs="Calibri"/>
        </w:rPr>
        <w:t>Incident Response Flowchart</w:t>
      </w:r>
      <w:r w:rsidR="00D62BFF">
        <w:rPr>
          <w:rFonts w:ascii="Calibri" w:eastAsia="Calibri" w:hAnsi="Calibri" w:cs="Calibri"/>
        </w:rPr>
        <w:t>-</w:t>
      </w:r>
      <w:r w:rsidRPr="1BEF82D1">
        <w:rPr>
          <w:rFonts w:ascii="Calibri" w:eastAsia="Calibri" w:hAnsi="Calibri" w:cs="Calibri"/>
        </w:rPr>
        <w:t>FSL must have an unambiguous incident response flowchart that leads the team through the actions to take during a security incident. The flowchart must include steps for identifying, containing, eradicating, recovering from, and reviewing security incidents to guarantee effective and efficient incident response.</w:t>
      </w:r>
    </w:p>
    <w:p w14:paraId="00FBCFF6" w14:textId="2D599AB2" w:rsidR="3DB56727" w:rsidRDefault="3DB56727" w:rsidP="1BEF82D1">
      <w:pPr>
        <w:rPr>
          <w:rFonts w:ascii="Calibri" w:eastAsia="Calibri" w:hAnsi="Calibri" w:cs="Calibri"/>
        </w:rPr>
      </w:pPr>
      <w:r w:rsidRPr="1BEF82D1">
        <w:rPr>
          <w:rFonts w:ascii="Calibri" w:eastAsia="Calibri" w:hAnsi="Calibri" w:cs="Calibri"/>
        </w:rPr>
        <w:t>Training and Awareness</w:t>
      </w:r>
      <w:r w:rsidR="00D62BFF">
        <w:rPr>
          <w:rFonts w:ascii="Calibri" w:eastAsia="Calibri" w:hAnsi="Calibri" w:cs="Calibri"/>
        </w:rPr>
        <w:t>-</w:t>
      </w:r>
      <w:r w:rsidRPr="1BEF82D1">
        <w:rPr>
          <w:rFonts w:ascii="Calibri" w:eastAsia="Calibri" w:hAnsi="Calibri" w:cs="Calibri"/>
        </w:rPr>
        <w:t>Ongoing employee training is an investment that FSL should make to ensure that staff are aware of cybersecurity best practices and understand how to protect themselves and the company from cyber threats.</w:t>
      </w:r>
      <w:sdt>
        <w:sdtPr>
          <w:rPr>
            <w:rFonts w:ascii="Calibri" w:eastAsia="Calibri" w:hAnsi="Calibri" w:cs="Calibri"/>
          </w:rPr>
          <w:id w:val="-1843011202"/>
          <w:citation/>
        </w:sdtPr>
        <w:sdtContent>
          <w:r w:rsidR="00C618F2">
            <w:rPr>
              <w:rFonts w:ascii="Calibri" w:eastAsia="Calibri" w:hAnsi="Calibri" w:cs="Calibri"/>
            </w:rPr>
            <w:fldChar w:fldCharType="begin"/>
          </w:r>
          <w:r w:rsidR="00C618F2">
            <w:rPr>
              <w:rFonts w:ascii="Calibri" w:eastAsia="Calibri" w:hAnsi="Calibri" w:cs="Calibri"/>
            </w:rPr>
            <w:instrText xml:space="preserve"> CITATION GLe17 \l 2057 </w:instrText>
          </w:r>
          <w:r w:rsidR="00C618F2">
            <w:rPr>
              <w:rFonts w:ascii="Calibri" w:eastAsia="Calibri" w:hAnsi="Calibri" w:cs="Calibri"/>
            </w:rPr>
            <w:fldChar w:fldCharType="separate"/>
          </w:r>
          <w:r w:rsidR="003C7FB7">
            <w:rPr>
              <w:rFonts w:ascii="Calibri" w:eastAsia="Calibri" w:hAnsi="Calibri" w:cs="Calibri"/>
              <w:noProof/>
            </w:rPr>
            <w:t xml:space="preserve"> </w:t>
          </w:r>
          <w:r w:rsidR="003C7FB7" w:rsidRPr="003C7FB7">
            <w:rPr>
              <w:rFonts w:ascii="Calibri" w:eastAsia="Calibri" w:hAnsi="Calibri" w:cs="Calibri"/>
              <w:noProof/>
            </w:rPr>
            <w:t>[7]</w:t>
          </w:r>
          <w:r w:rsidR="00C618F2">
            <w:rPr>
              <w:rFonts w:ascii="Calibri" w:eastAsia="Calibri" w:hAnsi="Calibri" w:cs="Calibri"/>
            </w:rPr>
            <w:fldChar w:fldCharType="end"/>
          </w:r>
        </w:sdtContent>
      </w:sdt>
    </w:p>
    <w:p w14:paraId="49150758" w14:textId="40D91132" w:rsidR="3DB56727" w:rsidRDefault="3DB56727" w:rsidP="1BEF82D1">
      <w:pPr>
        <w:rPr>
          <w:rFonts w:ascii="Calibri" w:eastAsia="Calibri" w:hAnsi="Calibri" w:cs="Calibri"/>
        </w:rPr>
      </w:pPr>
      <w:r w:rsidRPr="1BEF82D1">
        <w:rPr>
          <w:rFonts w:ascii="Calibri" w:eastAsia="Calibri" w:hAnsi="Calibri" w:cs="Calibri"/>
        </w:rPr>
        <w:t>Phishing and Social Engineering Awareness</w:t>
      </w:r>
      <w:r w:rsidR="00D62BFF">
        <w:rPr>
          <w:rFonts w:ascii="Calibri" w:eastAsia="Calibri" w:hAnsi="Calibri" w:cs="Calibri"/>
        </w:rPr>
        <w:t>-</w:t>
      </w:r>
      <w:r w:rsidRPr="1BEF82D1">
        <w:rPr>
          <w:rFonts w:ascii="Calibri" w:eastAsia="Calibri" w:hAnsi="Calibri" w:cs="Calibri"/>
        </w:rPr>
        <w:t>Employees should receive regular training to help them identify phishing emails, suspicious links, and other social engineering tactics. Otherwise, the likelihood that our employees will be tricked into carrying out some malicious person's wishes will only increase.</w:t>
      </w:r>
    </w:p>
    <w:p w14:paraId="6E10F3EB" w14:textId="1289196A" w:rsidR="3DB56727" w:rsidRDefault="3DB56727" w:rsidP="1BEF82D1">
      <w:pPr>
        <w:rPr>
          <w:rFonts w:ascii="Calibri" w:eastAsia="Calibri" w:hAnsi="Calibri" w:cs="Calibri"/>
        </w:rPr>
      </w:pPr>
      <w:r w:rsidRPr="1BEF82D1">
        <w:rPr>
          <w:rFonts w:ascii="Calibri" w:eastAsia="Calibri" w:hAnsi="Calibri" w:cs="Calibri"/>
        </w:rPr>
        <w:t>Password Management</w:t>
      </w:r>
      <w:r w:rsidR="00D62BFF">
        <w:rPr>
          <w:rFonts w:ascii="Calibri" w:eastAsia="Calibri" w:hAnsi="Calibri" w:cs="Calibri"/>
        </w:rPr>
        <w:t>-</w:t>
      </w:r>
      <w:r w:rsidRPr="1BEF82D1">
        <w:rPr>
          <w:rFonts w:ascii="Calibri" w:eastAsia="Calibri" w:hAnsi="Calibri" w:cs="Calibri"/>
        </w:rPr>
        <w:t>Staff training is necessary to ensure that employees know how to create robust, one-of-a-kind passwords. Moreover, training should cover the significance of using password managers to store them securely.</w:t>
      </w:r>
    </w:p>
    <w:p w14:paraId="1CE4D876" w14:textId="1E0BBAF0" w:rsidR="3DB56727" w:rsidRDefault="3DB56727" w:rsidP="1BEF82D1">
      <w:pPr>
        <w:rPr>
          <w:rFonts w:ascii="Calibri" w:eastAsia="Calibri" w:hAnsi="Calibri" w:cs="Calibri"/>
        </w:rPr>
      </w:pPr>
      <w:r w:rsidRPr="1BEF82D1">
        <w:rPr>
          <w:rFonts w:ascii="Calibri" w:eastAsia="Calibri" w:hAnsi="Calibri" w:cs="Calibri"/>
        </w:rPr>
        <w:t>Incident Reporting</w:t>
      </w:r>
      <w:r w:rsidR="00D62BFF">
        <w:rPr>
          <w:rFonts w:ascii="Calibri" w:eastAsia="Calibri" w:hAnsi="Calibri" w:cs="Calibri"/>
        </w:rPr>
        <w:t>-</w:t>
      </w:r>
      <w:r w:rsidRPr="1BEF82D1">
        <w:rPr>
          <w:rFonts w:ascii="Calibri" w:eastAsia="Calibri" w:hAnsi="Calibri" w:cs="Calibri"/>
        </w:rPr>
        <w:t>It is essential for the staff to know how to use FSL's internal reporting system to notify anyone of a security incident. This will assure at least the possibility that a threat, which in some cases could endanger the life of a worker or the very existence of a facility, is detected and dealt with in a timely manner.</w:t>
      </w:r>
      <w:sdt>
        <w:sdtPr>
          <w:rPr>
            <w:rFonts w:ascii="Calibri" w:eastAsia="Calibri" w:hAnsi="Calibri" w:cs="Calibri"/>
          </w:rPr>
          <w:id w:val="-501662620"/>
          <w:citation/>
        </w:sdtPr>
        <w:sdtContent>
          <w:r w:rsidR="00002B77">
            <w:rPr>
              <w:rFonts w:ascii="Calibri" w:eastAsia="Calibri" w:hAnsi="Calibri" w:cs="Calibri"/>
            </w:rPr>
            <w:fldChar w:fldCharType="begin"/>
          </w:r>
          <w:r w:rsidR="00002B77">
            <w:rPr>
              <w:rFonts w:ascii="Calibri" w:eastAsia="Calibri" w:hAnsi="Calibri" w:cs="Calibri"/>
            </w:rPr>
            <w:instrText xml:space="preserve"> CITATION MRK19 \l 2057 </w:instrText>
          </w:r>
          <w:r w:rsidR="00002B77">
            <w:rPr>
              <w:rFonts w:ascii="Calibri" w:eastAsia="Calibri" w:hAnsi="Calibri" w:cs="Calibri"/>
            </w:rPr>
            <w:fldChar w:fldCharType="separate"/>
          </w:r>
          <w:r w:rsidR="003C7FB7">
            <w:rPr>
              <w:rFonts w:ascii="Calibri" w:eastAsia="Calibri" w:hAnsi="Calibri" w:cs="Calibri"/>
              <w:noProof/>
            </w:rPr>
            <w:t xml:space="preserve"> </w:t>
          </w:r>
          <w:r w:rsidR="003C7FB7" w:rsidRPr="003C7FB7">
            <w:rPr>
              <w:rFonts w:ascii="Calibri" w:eastAsia="Calibri" w:hAnsi="Calibri" w:cs="Calibri"/>
              <w:noProof/>
            </w:rPr>
            <w:t>[8]</w:t>
          </w:r>
          <w:r w:rsidR="00002B77">
            <w:rPr>
              <w:rFonts w:ascii="Calibri" w:eastAsia="Calibri" w:hAnsi="Calibri" w:cs="Calibri"/>
            </w:rPr>
            <w:fldChar w:fldCharType="end"/>
          </w:r>
        </w:sdtContent>
      </w:sdt>
    </w:p>
    <w:p w14:paraId="2D8A961D" w14:textId="660D721F" w:rsidR="3DB56727" w:rsidRDefault="3DB56727" w:rsidP="1BEF82D1">
      <w:pPr>
        <w:rPr>
          <w:rFonts w:ascii="Calibri" w:eastAsia="Calibri" w:hAnsi="Calibri" w:cs="Calibri"/>
        </w:rPr>
      </w:pPr>
      <w:r w:rsidRPr="1BEF82D1">
        <w:rPr>
          <w:rFonts w:ascii="Calibri" w:eastAsia="Calibri" w:hAnsi="Calibri" w:cs="Calibri"/>
        </w:rPr>
        <w:t>Security Best Practices</w:t>
      </w:r>
      <w:r w:rsidR="00D62BFF">
        <w:rPr>
          <w:rFonts w:ascii="Calibri" w:eastAsia="Calibri" w:hAnsi="Calibri" w:cs="Calibri"/>
        </w:rPr>
        <w:t>-</w:t>
      </w:r>
      <w:r w:rsidRPr="1BEF82D1">
        <w:rPr>
          <w:rFonts w:ascii="Calibri" w:eastAsia="Calibri" w:hAnsi="Calibri" w:cs="Calibri"/>
        </w:rPr>
        <w:t>Continual education should encompass most recent practices for securely conducting affairs with company systems, steering clear of public Wi-Fi for work-related matters, and in general, being alerted to potentially dangerous virtual situations.</w:t>
      </w:r>
      <w:sdt>
        <w:sdtPr>
          <w:rPr>
            <w:rFonts w:ascii="Calibri" w:eastAsia="Calibri" w:hAnsi="Calibri" w:cs="Calibri"/>
          </w:rPr>
          <w:id w:val="-146593133"/>
          <w:citation/>
        </w:sdtPr>
        <w:sdtContent>
          <w:r w:rsidR="001145CF">
            <w:rPr>
              <w:rFonts w:ascii="Calibri" w:eastAsia="Calibri" w:hAnsi="Calibri" w:cs="Calibri"/>
            </w:rPr>
            <w:fldChar w:fldCharType="begin"/>
          </w:r>
          <w:r w:rsidR="001145CF">
            <w:rPr>
              <w:rFonts w:ascii="Calibri" w:eastAsia="Calibri" w:hAnsi="Calibri" w:cs="Calibri"/>
            </w:rPr>
            <w:instrText xml:space="preserve"> CITATION JTB20 \l 2057 </w:instrText>
          </w:r>
          <w:r w:rsidR="001145CF">
            <w:rPr>
              <w:rFonts w:ascii="Calibri" w:eastAsia="Calibri" w:hAnsi="Calibri" w:cs="Calibri"/>
            </w:rPr>
            <w:fldChar w:fldCharType="separate"/>
          </w:r>
          <w:r w:rsidR="003C7FB7">
            <w:rPr>
              <w:rFonts w:ascii="Calibri" w:eastAsia="Calibri" w:hAnsi="Calibri" w:cs="Calibri"/>
              <w:noProof/>
            </w:rPr>
            <w:t xml:space="preserve"> </w:t>
          </w:r>
          <w:r w:rsidR="003C7FB7" w:rsidRPr="003C7FB7">
            <w:rPr>
              <w:rFonts w:ascii="Calibri" w:eastAsia="Calibri" w:hAnsi="Calibri" w:cs="Calibri"/>
              <w:noProof/>
            </w:rPr>
            <w:t>[9]</w:t>
          </w:r>
          <w:r w:rsidR="001145CF">
            <w:rPr>
              <w:rFonts w:ascii="Calibri" w:eastAsia="Calibri" w:hAnsi="Calibri" w:cs="Calibri"/>
            </w:rPr>
            <w:fldChar w:fldCharType="end"/>
          </w:r>
        </w:sdtContent>
      </w:sdt>
    </w:p>
    <w:p w14:paraId="72B09B7A" w14:textId="45F84B02" w:rsidR="3DB56727" w:rsidRDefault="3DB56727" w:rsidP="1BEF82D1">
      <w:pPr>
        <w:rPr>
          <w:rFonts w:ascii="Calibri" w:eastAsia="Calibri" w:hAnsi="Calibri" w:cs="Calibri"/>
        </w:rPr>
      </w:pPr>
      <w:r w:rsidRPr="1BEF82D1">
        <w:rPr>
          <w:rFonts w:ascii="Calibri" w:eastAsia="Calibri" w:hAnsi="Calibri" w:cs="Calibri"/>
        </w:rPr>
        <w:t>Testing and Simulations</w:t>
      </w:r>
      <w:r w:rsidR="00D62BFF">
        <w:rPr>
          <w:rFonts w:ascii="Calibri" w:eastAsia="Calibri" w:hAnsi="Calibri" w:cs="Calibri"/>
        </w:rPr>
        <w:t>-</w:t>
      </w:r>
      <w:r w:rsidRPr="1BEF82D1">
        <w:rPr>
          <w:rFonts w:ascii="Calibri" w:eastAsia="Calibri" w:hAnsi="Calibri" w:cs="Calibri"/>
        </w:rPr>
        <w:t>FSL is to conduct simulated phishing attacks and other security tests. These are to be used to evaluate employee vigilance and reinforce the strong security posture. FSL is not trying to catch anyone off guard. Phishing attempts are more successful when the target is not on high alert. Security is a team effort. Everyone must do their part.</w:t>
      </w:r>
    </w:p>
    <w:p w14:paraId="2ABEFDC5" w14:textId="6DAEEED4" w:rsidR="1BEF82D1" w:rsidRDefault="1BEF82D1" w:rsidP="1BEF82D1">
      <w:pPr>
        <w:rPr>
          <w:rFonts w:ascii="Calibri" w:eastAsia="Calibri" w:hAnsi="Calibri" w:cs="Calibri"/>
        </w:rPr>
      </w:pPr>
    </w:p>
    <w:p w14:paraId="332AC049" w14:textId="2B8F4F76" w:rsidR="3DB56727" w:rsidRDefault="3DB56727" w:rsidP="1BEF82D1">
      <w:pPr>
        <w:rPr>
          <w:rFonts w:ascii="Calibri" w:eastAsia="Calibri" w:hAnsi="Calibri" w:cs="Calibri"/>
          <w:u w:val="single"/>
        </w:rPr>
      </w:pPr>
      <w:r w:rsidRPr="1BEF82D1">
        <w:rPr>
          <w:rFonts w:ascii="Calibri" w:eastAsia="Calibri" w:hAnsi="Calibri" w:cs="Calibri"/>
          <w:u w:val="single"/>
        </w:rPr>
        <w:t>Conclusion</w:t>
      </w:r>
    </w:p>
    <w:p w14:paraId="44B5C7B6" w14:textId="2FDCFBB0" w:rsidR="3DB56727" w:rsidRDefault="3DB56727" w:rsidP="1BEF82D1">
      <w:pPr>
        <w:rPr>
          <w:rFonts w:ascii="Calibri" w:eastAsia="Calibri" w:hAnsi="Calibri" w:cs="Calibri"/>
        </w:rPr>
      </w:pPr>
      <w:r w:rsidRPr="1BEF82D1">
        <w:rPr>
          <w:rFonts w:ascii="Calibri" w:eastAsia="Calibri" w:hAnsi="Calibri" w:cs="Calibri"/>
        </w:rPr>
        <w:t xml:space="preserve">FSL must remain in the cybersecurity vanguard, busily defending its virtual turf, while the cyber cowboys of the world try to breach its data, systems, and operations. Multiply by the number of potential targets in cyberspace, and the mandate becomes: risk assessment and management; clear security policies; translation of those policies into everyday best practices; provision of continuous, engaging </w:t>
      </w:r>
      <w:r w:rsidR="31C10B0D" w:rsidRPr="1BEF82D1">
        <w:rPr>
          <w:rFonts w:ascii="Calibri" w:eastAsia="Calibri" w:hAnsi="Calibri" w:cs="Calibri"/>
        </w:rPr>
        <w:t>training for</w:t>
      </w:r>
      <w:r w:rsidRPr="1BEF82D1">
        <w:rPr>
          <w:rFonts w:ascii="Calibri" w:eastAsia="Calibri" w:hAnsi="Calibri" w:cs="Calibri"/>
        </w:rPr>
        <w:t xml:space="preserve"> staff and student communities; and consistent checks of FSL's posture, with timely corrections of any identified problems.</w:t>
      </w:r>
    </w:p>
    <w:p w14:paraId="418605BD" w14:textId="321DE1E0" w:rsidR="003C7FB7" w:rsidRDefault="00CA282F" w:rsidP="1BEF82D1">
      <w:pPr>
        <w:rPr>
          <w:rFonts w:ascii="Calibri" w:eastAsia="Calibri" w:hAnsi="Calibri" w:cs="Calibri"/>
        </w:rPr>
      </w:pPr>
      <w:r w:rsidRPr="00CA282F">
        <w:rPr>
          <w:rFonts w:ascii="Calibri" w:eastAsia="Calibri" w:hAnsi="Calibri" w:cs="Calibri"/>
        </w:rPr>
        <w:drawing>
          <wp:inline distT="0" distB="0" distL="0" distR="0" wp14:anchorId="3F6F2538" wp14:editId="0DD42F6F">
            <wp:extent cx="3934374" cy="6068272"/>
            <wp:effectExtent l="0" t="0" r="9525" b="8890"/>
            <wp:docPr id="565490989"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490989" name="Picture 1" descr="A poster with text and symbols&#10;&#10;AI-generated content may be incorrect."/>
                    <pic:cNvPicPr/>
                  </pic:nvPicPr>
                  <pic:blipFill>
                    <a:blip r:embed="rId9"/>
                    <a:stretch>
                      <a:fillRect/>
                    </a:stretch>
                  </pic:blipFill>
                  <pic:spPr>
                    <a:xfrm>
                      <a:off x="0" y="0"/>
                      <a:ext cx="3934374" cy="6068272"/>
                    </a:xfrm>
                    <a:prstGeom prst="rect">
                      <a:avLst/>
                    </a:prstGeom>
                  </pic:spPr>
                </pic:pic>
              </a:graphicData>
            </a:graphic>
          </wp:inline>
        </w:drawing>
      </w:r>
    </w:p>
    <w:p w14:paraId="3279E0D7" w14:textId="77777777" w:rsidR="003C7FB7" w:rsidRDefault="003C7FB7" w:rsidP="1BEF82D1">
      <w:pPr>
        <w:rPr>
          <w:rFonts w:ascii="Calibri" w:eastAsia="Calibri" w:hAnsi="Calibri" w:cs="Calibri"/>
        </w:rPr>
      </w:pPr>
    </w:p>
    <w:sdt>
      <w:sdtPr>
        <w:id w:val="828722639"/>
        <w:docPartObj>
          <w:docPartGallery w:val="Bibliographies"/>
          <w:docPartUnique/>
        </w:docPartObj>
      </w:sdtPr>
      <w:sdtEndPr>
        <w:rPr>
          <w:rFonts w:asciiTheme="minorHAnsi" w:eastAsiaTheme="minorEastAsia" w:hAnsiTheme="minorHAnsi" w:cstheme="minorBidi"/>
          <w:color w:val="auto"/>
          <w:sz w:val="24"/>
          <w:szCs w:val="24"/>
        </w:rPr>
      </w:sdtEndPr>
      <w:sdtContent>
        <w:p w14:paraId="6B9DCFAB" w14:textId="5DDD953C" w:rsidR="003C7FB7" w:rsidRDefault="003C7FB7">
          <w:pPr>
            <w:pStyle w:val="Heading1"/>
          </w:pPr>
          <w:r>
            <w:t>References</w:t>
          </w:r>
        </w:p>
        <w:sdt>
          <w:sdtPr>
            <w:id w:val="-573587230"/>
            <w:bibliography/>
          </w:sdtPr>
          <w:sdtContent>
            <w:p w14:paraId="76A4EC69" w14:textId="77777777" w:rsidR="003C7FB7" w:rsidRDefault="003C7FB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3C7FB7" w14:paraId="372A559C" w14:textId="77777777">
                <w:trPr>
                  <w:divId w:val="1489253069"/>
                  <w:tblCellSpacing w:w="15" w:type="dxa"/>
                </w:trPr>
                <w:tc>
                  <w:tcPr>
                    <w:tcW w:w="50" w:type="pct"/>
                    <w:hideMark/>
                  </w:tcPr>
                  <w:p w14:paraId="6C3FAB23" w14:textId="11795455" w:rsidR="003C7FB7" w:rsidRDefault="003C7FB7">
                    <w:pPr>
                      <w:pStyle w:val="Bibliography"/>
                      <w:rPr>
                        <w:noProof/>
                      </w:rPr>
                    </w:pPr>
                    <w:r>
                      <w:rPr>
                        <w:noProof/>
                      </w:rPr>
                      <w:t xml:space="preserve">[1] </w:t>
                    </w:r>
                  </w:p>
                </w:tc>
                <w:tc>
                  <w:tcPr>
                    <w:tcW w:w="0" w:type="auto"/>
                    <w:hideMark/>
                  </w:tcPr>
                  <w:p w14:paraId="6195494F" w14:textId="77777777" w:rsidR="003C7FB7" w:rsidRDefault="003C7FB7">
                    <w:pPr>
                      <w:pStyle w:val="Bibliography"/>
                      <w:rPr>
                        <w:noProof/>
                      </w:rPr>
                    </w:pPr>
                    <w:r>
                      <w:rPr>
                        <w:noProof/>
                      </w:rPr>
                      <w:t xml:space="preserve">P. B. a. S. G. A. Kumar, “A survey on phishing attacks and countermeasures,” International Journal of Computer Applications,” Vols. vol. 43, no. 15,, pp. 42-49, 2012. </w:t>
                    </w:r>
                  </w:p>
                </w:tc>
              </w:tr>
              <w:tr w:rsidR="003C7FB7" w14:paraId="00282E29" w14:textId="77777777">
                <w:trPr>
                  <w:divId w:val="1489253069"/>
                  <w:tblCellSpacing w:w="15" w:type="dxa"/>
                </w:trPr>
                <w:tc>
                  <w:tcPr>
                    <w:tcW w:w="50" w:type="pct"/>
                    <w:hideMark/>
                  </w:tcPr>
                  <w:p w14:paraId="6E230973" w14:textId="77777777" w:rsidR="003C7FB7" w:rsidRDefault="003C7FB7">
                    <w:pPr>
                      <w:pStyle w:val="Bibliography"/>
                      <w:rPr>
                        <w:noProof/>
                      </w:rPr>
                    </w:pPr>
                    <w:r>
                      <w:rPr>
                        <w:noProof/>
                      </w:rPr>
                      <w:t xml:space="preserve">[2] </w:t>
                    </w:r>
                  </w:p>
                </w:tc>
                <w:tc>
                  <w:tcPr>
                    <w:tcW w:w="0" w:type="auto"/>
                    <w:hideMark/>
                  </w:tcPr>
                  <w:p w14:paraId="512E816E" w14:textId="77777777" w:rsidR="003C7FB7" w:rsidRDefault="003C7FB7">
                    <w:pPr>
                      <w:pStyle w:val="Bibliography"/>
                      <w:rPr>
                        <w:noProof/>
                      </w:rPr>
                    </w:pPr>
                    <w:r>
                      <w:rPr>
                        <w:noProof/>
                      </w:rPr>
                      <w:t xml:space="preserve">S. R. I. a. A. A.-H. M. S. Hossain, “Ransomware: A survey and analysis of recent trends,” Journal of Computer Networks and Communications,” p. https://onlinelibrary.wiley.com/doi/10.1155/2019/2820694, vol. 2019, 2019. </w:t>
                    </w:r>
                  </w:p>
                </w:tc>
              </w:tr>
              <w:tr w:rsidR="003C7FB7" w14:paraId="6D22036B" w14:textId="77777777">
                <w:trPr>
                  <w:divId w:val="1489253069"/>
                  <w:tblCellSpacing w:w="15" w:type="dxa"/>
                </w:trPr>
                <w:tc>
                  <w:tcPr>
                    <w:tcW w:w="50" w:type="pct"/>
                    <w:hideMark/>
                  </w:tcPr>
                  <w:p w14:paraId="207F7C2A" w14:textId="77777777" w:rsidR="003C7FB7" w:rsidRDefault="003C7FB7">
                    <w:pPr>
                      <w:pStyle w:val="Bibliography"/>
                      <w:rPr>
                        <w:noProof/>
                      </w:rPr>
                    </w:pPr>
                    <w:r>
                      <w:rPr>
                        <w:noProof/>
                      </w:rPr>
                      <w:t xml:space="preserve">[3] </w:t>
                    </w:r>
                  </w:p>
                </w:tc>
                <w:tc>
                  <w:tcPr>
                    <w:tcW w:w="0" w:type="auto"/>
                    <w:hideMark/>
                  </w:tcPr>
                  <w:p w14:paraId="55CB239C" w14:textId="77777777" w:rsidR="003C7FB7" w:rsidRDefault="003C7FB7">
                    <w:pPr>
                      <w:pStyle w:val="Bibliography"/>
                      <w:rPr>
                        <w:noProof/>
                      </w:rPr>
                    </w:pPr>
                    <w:r>
                      <w:rPr>
                        <w:noProof/>
                      </w:rPr>
                      <w:t>I. 27001, “Information Security Management Systems — Requirements. International Organization for Standardization,” https://www.iso.org/standard/27001, 2013.</w:t>
                    </w:r>
                  </w:p>
                </w:tc>
              </w:tr>
              <w:tr w:rsidR="003C7FB7" w14:paraId="43C00B7E" w14:textId="77777777">
                <w:trPr>
                  <w:divId w:val="1489253069"/>
                  <w:tblCellSpacing w:w="15" w:type="dxa"/>
                </w:trPr>
                <w:tc>
                  <w:tcPr>
                    <w:tcW w:w="50" w:type="pct"/>
                    <w:hideMark/>
                  </w:tcPr>
                  <w:p w14:paraId="4CEA015A" w14:textId="77777777" w:rsidR="003C7FB7" w:rsidRDefault="003C7FB7">
                    <w:pPr>
                      <w:pStyle w:val="Bibliography"/>
                      <w:rPr>
                        <w:noProof/>
                      </w:rPr>
                    </w:pPr>
                    <w:r>
                      <w:rPr>
                        <w:noProof/>
                      </w:rPr>
                      <w:t xml:space="preserve">[4] </w:t>
                    </w:r>
                  </w:p>
                </w:tc>
                <w:tc>
                  <w:tcPr>
                    <w:tcW w:w="0" w:type="auto"/>
                    <w:hideMark/>
                  </w:tcPr>
                  <w:p w14:paraId="4842BFAC" w14:textId="77777777" w:rsidR="003C7FB7" w:rsidRDefault="003C7FB7">
                    <w:pPr>
                      <w:pStyle w:val="Bibliography"/>
                      <w:rPr>
                        <w:noProof/>
                      </w:rPr>
                    </w:pPr>
                    <w:r>
                      <w:rPr>
                        <w:noProof/>
                      </w:rPr>
                      <w:t>N. I. o. S. a. T. (NIST), “Framework for Improving Critical Infrastructure Cybersecurity, NIST,” https://www.nist.gov/cyberframework, 2018.</w:t>
                    </w:r>
                  </w:p>
                </w:tc>
              </w:tr>
              <w:tr w:rsidR="003C7FB7" w14:paraId="346D4A53" w14:textId="77777777">
                <w:trPr>
                  <w:divId w:val="1489253069"/>
                  <w:tblCellSpacing w:w="15" w:type="dxa"/>
                </w:trPr>
                <w:tc>
                  <w:tcPr>
                    <w:tcW w:w="50" w:type="pct"/>
                    <w:hideMark/>
                  </w:tcPr>
                  <w:p w14:paraId="3985AABA" w14:textId="77777777" w:rsidR="003C7FB7" w:rsidRDefault="003C7FB7">
                    <w:pPr>
                      <w:pStyle w:val="Bibliography"/>
                      <w:rPr>
                        <w:noProof/>
                      </w:rPr>
                    </w:pPr>
                    <w:r>
                      <w:rPr>
                        <w:noProof/>
                      </w:rPr>
                      <w:t xml:space="preserve">[5] </w:t>
                    </w:r>
                  </w:p>
                </w:tc>
                <w:tc>
                  <w:tcPr>
                    <w:tcW w:w="0" w:type="auto"/>
                    <w:hideMark/>
                  </w:tcPr>
                  <w:p w14:paraId="57F3861F" w14:textId="77777777" w:rsidR="003C7FB7" w:rsidRDefault="003C7FB7">
                    <w:pPr>
                      <w:pStyle w:val="Bibliography"/>
                      <w:rPr>
                        <w:noProof/>
                      </w:rPr>
                    </w:pPr>
                    <w:r>
                      <w:rPr>
                        <w:noProof/>
                      </w:rPr>
                      <w:t>G. D. P. R. (. C. Guidelines, “General Data Protection Regulation (GDPR) Compliance Guidelines,European Commission,” https://eur-lex.europa.eu/eli/reg/2016/679/oj, 2018.</w:t>
                    </w:r>
                  </w:p>
                </w:tc>
              </w:tr>
              <w:tr w:rsidR="003C7FB7" w14:paraId="123B9C31" w14:textId="77777777">
                <w:trPr>
                  <w:divId w:val="1489253069"/>
                  <w:tblCellSpacing w:w="15" w:type="dxa"/>
                </w:trPr>
                <w:tc>
                  <w:tcPr>
                    <w:tcW w:w="50" w:type="pct"/>
                    <w:hideMark/>
                  </w:tcPr>
                  <w:p w14:paraId="5FC91DAE" w14:textId="77777777" w:rsidR="003C7FB7" w:rsidRDefault="003C7FB7">
                    <w:pPr>
                      <w:pStyle w:val="Bibliography"/>
                      <w:rPr>
                        <w:noProof/>
                      </w:rPr>
                    </w:pPr>
                    <w:r>
                      <w:rPr>
                        <w:noProof/>
                      </w:rPr>
                      <w:t xml:space="preserve">[6] </w:t>
                    </w:r>
                  </w:p>
                </w:tc>
                <w:tc>
                  <w:tcPr>
                    <w:tcW w:w="0" w:type="auto"/>
                    <w:hideMark/>
                  </w:tcPr>
                  <w:p w14:paraId="418479A6" w14:textId="77777777" w:rsidR="003C7FB7" w:rsidRDefault="003C7FB7">
                    <w:pPr>
                      <w:pStyle w:val="Bibliography"/>
                      <w:rPr>
                        <w:noProof/>
                      </w:rPr>
                    </w:pPr>
                    <w:r>
                      <w:rPr>
                        <w:noProof/>
                      </w:rPr>
                      <w:t xml:space="preserve">P. Anderson, ““Cyber security for the Internet of Things: A survey,” Journal of Cyber Security,” vol. vol. 14, no. https://www.sciencedirect.com/browse/journals-and-books, pp. pp. 15-2, 2018. </w:t>
                    </w:r>
                  </w:p>
                </w:tc>
              </w:tr>
              <w:tr w:rsidR="003C7FB7" w14:paraId="27404C06" w14:textId="77777777">
                <w:trPr>
                  <w:divId w:val="1489253069"/>
                  <w:tblCellSpacing w:w="15" w:type="dxa"/>
                </w:trPr>
                <w:tc>
                  <w:tcPr>
                    <w:tcW w:w="50" w:type="pct"/>
                    <w:hideMark/>
                  </w:tcPr>
                  <w:p w14:paraId="13E3B0D6" w14:textId="77777777" w:rsidR="003C7FB7" w:rsidRDefault="003C7FB7">
                    <w:pPr>
                      <w:pStyle w:val="Bibliography"/>
                      <w:rPr>
                        <w:noProof/>
                      </w:rPr>
                    </w:pPr>
                    <w:r>
                      <w:rPr>
                        <w:noProof/>
                      </w:rPr>
                      <w:t xml:space="preserve">[7] </w:t>
                    </w:r>
                  </w:p>
                </w:tc>
                <w:tc>
                  <w:tcPr>
                    <w:tcW w:w="0" w:type="auto"/>
                    <w:hideMark/>
                  </w:tcPr>
                  <w:p w14:paraId="2103BB97" w14:textId="77777777" w:rsidR="003C7FB7" w:rsidRDefault="003C7FB7">
                    <w:pPr>
                      <w:pStyle w:val="Bibliography"/>
                      <w:rPr>
                        <w:noProof/>
                      </w:rPr>
                    </w:pPr>
                    <w:r>
                      <w:rPr>
                        <w:noProof/>
                      </w:rPr>
                      <w:t xml:space="preserve">G. Lee, “The importance of employee cybersecurity training," Journal of Information Security,” vol. vol. 32, no. https://onlinelibrary.wiley.com/, pp. 78-85, 2017. </w:t>
                    </w:r>
                  </w:p>
                </w:tc>
              </w:tr>
              <w:tr w:rsidR="003C7FB7" w14:paraId="48AC4BC8" w14:textId="77777777">
                <w:trPr>
                  <w:divId w:val="1489253069"/>
                  <w:tblCellSpacing w:w="15" w:type="dxa"/>
                </w:trPr>
                <w:tc>
                  <w:tcPr>
                    <w:tcW w:w="50" w:type="pct"/>
                    <w:hideMark/>
                  </w:tcPr>
                  <w:p w14:paraId="68B1568C" w14:textId="77777777" w:rsidR="003C7FB7" w:rsidRDefault="003C7FB7">
                    <w:pPr>
                      <w:pStyle w:val="Bibliography"/>
                      <w:rPr>
                        <w:noProof/>
                      </w:rPr>
                    </w:pPr>
                    <w:r>
                      <w:rPr>
                        <w:noProof/>
                      </w:rPr>
                      <w:t xml:space="preserve">[8] </w:t>
                    </w:r>
                  </w:p>
                </w:tc>
                <w:tc>
                  <w:tcPr>
                    <w:tcW w:w="0" w:type="auto"/>
                    <w:hideMark/>
                  </w:tcPr>
                  <w:p w14:paraId="765226ED" w14:textId="77777777" w:rsidR="003C7FB7" w:rsidRDefault="003C7FB7">
                    <w:pPr>
                      <w:pStyle w:val="Bibliography"/>
                      <w:rPr>
                        <w:noProof/>
                      </w:rPr>
                    </w:pPr>
                    <w:r>
                      <w:rPr>
                        <w:noProof/>
                      </w:rPr>
                      <w:t xml:space="preserve">M. R. K. S. R. a. K. S. Rajasekaran, “Incident response and management for organizations,” International Journal of Computer Science and Technology,” Vols. vol. 5, no. 1, no. https://www.ijcst.org/, pp. 95-102, 2019. </w:t>
                    </w:r>
                  </w:p>
                </w:tc>
              </w:tr>
              <w:tr w:rsidR="003C7FB7" w14:paraId="345EBD77" w14:textId="77777777">
                <w:trPr>
                  <w:divId w:val="1489253069"/>
                  <w:tblCellSpacing w:w="15" w:type="dxa"/>
                </w:trPr>
                <w:tc>
                  <w:tcPr>
                    <w:tcW w:w="50" w:type="pct"/>
                    <w:hideMark/>
                  </w:tcPr>
                  <w:p w14:paraId="14E410E6" w14:textId="77777777" w:rsidR="003C7FB7" w:rsidRDefault="003C7FB7">
                    <w:pPr>
                      <w:pStyle w:val="Bibliography"/>
                      <w:rPr>
                        <w:noProof/>
                      </w:rPr>
                    </w:pPr>
                    <w:r>
                      <w:rPr>
                        <w:noProof/>
                      </w:rPr>
                      <w:t xml:space="preserve">[9] </w:t>
                    </w:r>
                  </w:p>
                </w:tc>
                <w:tc>
                  <w:tcPr>
                    <w:tcW w:w="0" w:type="auto"/>
                    <w:hideMark/>
                  </w:tcPr>
                  <w:p w14:paraId="0C6907D9" w14:textId="77777777" w:rsidR="003C7FB7" w:rsidRDefault="003C7FB7">
                    <w:pPr>
                      <w:pStyle w:val="Bibliography"/>
                      <w:rPr>
                        <w:noProof/>
                      </w:rPr>
                    </w:pPr>
                    <w:r>
                      <w:rPr>
                        <w:noProof/>
                      </w:rPr>
                      <w:t xml:space="preserve">J. T. Barr, “"Cyber Security: Why Businesses Should Embrace Security Awareness Training," Cyber Security Journal,” vol. vol. 12, no. https://www.cybersecurityjournal.com/lander, pp. 30-35, 2020. </w:t>
                    </w:r>
                  </w:p>
                </w:tc>
              </w:tr>
            </w:tbl>
            <w:p w14:paraId="31974976" w14:textId="77777777" w:rsidR="003C7FB7" w:rsidRDefault="003C7FB7">
              <w:pPr>
                <w:divId w:val="1489253069"/>
                <w:rPr>
                  <w:rFonts w:eastAsia="Times New Roman"/>
                  <w:noProof/>
                </w:rPr>
              </w:pPr>
            </w:p>
            <w:p w14:paraId="2034D0A1" w14:textId="2F57FEFA" w:rsidR="003C7FB7" w:rsidRDefault="003C7FB7">
              <w:r>
                <w:rPr>
                  <w:b/>
                  <w:bCs/>
                  <w:noProof/>
                </w:rPr>
                <w:fldChar w:fldCharType="end"/>
              </w:r>
            </w:p>
          </w:sdtContent>
        </w:sdt>
      </w:sdtContent>
    </w:sdt>
    <w:p w14:paraId="651ED9FE" w14:textId="77777777" w:rsidR="003C7FB7" w:rsidRDefault="003C7FB7" w:rsidP="1BEF82D1">
      <w:pPr>
        <w:rPr>
          <w:rFonts w:ascii="Calibri" w:eastAsia="Calibri" w:hAnsi="Calibri" w:cs="Calibri"/>
        </w:rPr>
      </w:pPr>
    </w:p>
    <w:sectPr w:rsidR="003C7FB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C47DF"/>
    <w:multiLevelType w:val="hybridMultilevel"/>
    <w:tmpl w:val="6322A646"/>
    <w:lvl w:ilvl="0" w:tplc="7FD6A544">
      <w:start w:val="1"/>
      <w:numFmt w:val="decimal"/>
      <w:lvlText w:val="%1."/>
      <w:lvlJc w:val="left"/>
      <w:pPr>
        <w:ind w:left="720" w:hanging="360"/>
      </w:pPr>
    </w:lvl>
    <w:lvl w:ilvl="1" w:tplc="A51469FE">
      <w:start w:val="1"/>
      <w:numFmt w:val="lowerLetter"/>
      <w:lvlText w:val="%2."/>
      <w:lvlJc w:val="left"/>
      <w:pPr>
        <w:ind w:left="1440" w:hanging="360"/>
      </w:pPr>
    </w:lvl>
    <w:lvl w:ilvl="2" w:tplc="B02C38CE">
      <w:start w:val="1"/>
      <w:numFmt w:val="lowerRoman"/>
      <w:lvlText w:val="%3."/>
      <w:lvlJc w:val="right"/>
      <w:pPr>
        <w:ind w:left="2160" w:hanging="180"/>
      </w:pPr>
    </w:lvl>
    <w:lvl w:ilvl="3" w:tplc="C2468E16">
      <w:start w:val="1"/>
      <w:numFmt w:val="decimal"/>
      <w:lvlText w:val="%4."/>
      <w:lvlJc w:val="left"/>
      <w:pPr>
        <w:ind w:left="2880" w:hanging="360"/>
      </w:pPr>
    </w:lvl>
    <w:lvl w:ilvl="4" w:tplc="8C9EF28C">
      <w:start w:val="1"/>
      <w:numFmt w:val="lowerLetter"/>
      <w:lvlText w:val="%5."/>
      <w:lvlJc w:val="left"/>
      <w:pPr>
        <w:ind w:left="3600" w:hanging="360"/>
      </w:pPr>
    </w:lvl>
    <w:lvl w:ilvl="5" w:tplc="70D4F9F6">
      <w:start w:val="1"/>
      <w:numFmt w:val="lowerRoman"/>
      <w:lvlText w:val="%6."/>
      <w:lvlJc w:val="right"/>
      <w:pPr>
        <w:ind w:left="4320" w:hanging="180"/>
      </w:pPr>
    </w:lvl>
    <w:lvl w:ilvl="6" w:tplc="D908B55A">
      <w:start w:val="1"/>
      <w:numFmt w:val="decimal"/>
      <w:lvlText w:val="%7."/>
      <w:lvlJc w:val="left"/>
      <w:pPr>
        <w:ind w:left="5040" w:hanging="360"/>
      </w:pPr>
    </w:lvl>
    <w:lvl w:ilvl="7" w:tplc="EDC4265C">
      <w:start w:val="1"/>
      <w:numFmt w:val="lowerLetter"/>
      <w:lvlText w:val="%8."/>
      <w:lvlJc w:val="left"/>
      <w:pPr>
        <w:ind w:left="5760" w:hanging="360"/>
      </w:pPr>
    </w:lvl>
    <w:lvl w:ilvl="8" w:tplc="DAD0E5B2">
      <w:start w:val="1"/>
      <w:numFmt w:val="lowerRoman"/>
      <w:lvlText w:val="%9."/>
      <w:lvlJc w:val="right"/>
      <w:pPr>
        <w:ind w:left="6480" w:hanging="180"/>
      </w:pPr>
    </w:lvl>
  </w:abstractNum>
  <w:num w:numId="1" w16cid:durableId="1229346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B4D673"/>
    <w:rsid w:val="00002B77"/>
    <w:rsid w:val="001145CF"/>
    <w:rsid w:val="0022586C"/>
    <w:rsid w:val="0024059E"/>
    <w:rsid w:val="0024483D"/>
    <w:rsid w:val="00277F7A"/>
    <w:rsid w:val="0030573A"/>
    <w:rsid w:val="003776BB"/>
    <w:rsid w:val="003C7FB7"/>
    <w:rsid w:val="00440D0B"/>
    <w:rsid w:val="00480A7F"/>
    <w:rsid w:val="004D5F7E"/>
    <w:rsid w:val="0065422C"/>
    <w:rsid w:val="00B759AD"/>
    <w:rsid w:val="00C618F2"/>
    <w:rsid w:val="00CA282F"/>
    <w:rsid w:val="00D62BFF"/>
    <w:rsid w:val="00E65F31"/>
    <w:rsid w:val="00F47E79"/>
    <w:rsid w:val="00FA6854"/>
    <w:rsid w:val="02B736A4"/>
    <w:rsid w:val="034BBE9F"/>
    <w:rsid w:val="0446BBF8"/>
    <w:rsid w:val="04743D83"/>
    <w:rsid w:val="05226589"/>
    <w:rsid w:val="072460DB"/>
    <w:rsid w:val="0A66E070"/>
    <w:rsid w:val="0B223756"/>
    <w:rsid w:val="0C7932F2"/>
    <w:rsid w:val="0C8BD5D2"/>
    <w:rsid w:val="17431F59"/>
    <w:rsid w:val="18C9DFA9"/>
    <w:rsid w:val="1BEF82D1"/>
    <w:rsid w:val="1D334658"/>
    <w:rsid w:val="1F7A5633"/>
    <w:rsid w:val="23D265EE"/>
    <w:rsid w:val="25048D89"/>
    <w:rsid w:val="2601A900"/>
    <w:rsid w:val="270A4416"/>
    <w:rsid w:val="278E1A28"/>
    <w:rsid w:val="2873F864"/>
    <w:rsid w:val="28C9D1E3"/>
    <w:rsid w:val="2A229E4F"/>
    <w:rsid w:val="2AACA231"/>
    <w:rsid w:val="2D457A36"/>
    <w:rsid w:val="305DFAF9"/>
    <w:rsid w:val="3148CCD2"/>
    <w:rsid w:val="31C10B0D"/>
    <w:rsid w:val="349B01B9"/>
    <w:rsid w:val="3767C1D9"/>
    <w:rsid w:val="38024E76"/>
    <w:rsid w:val="3DB56727"/>
    <w:rsid w:val="3F8A170D"/>
    <w:rsid w:val="41BFC074"/>
    <w:rsid w:val="456ADEC1"/>
    <w:rsid w:val="4A8D548B"/>
    <w:rsid w:val="4F99EEEB"/>
    <w:rsid w:val="51799FC7"/>
    <w:rsid w:val="5491A834"/>
    <w:rsid w:val="5F7F50DE"/>
    <w:rsid w:val="64B4D673"/>
    <w:rsid w:val="661D1D2A"/>
    <w:rsid w:val="67090B35"/>
    <w:rsid w:val="6709751D"/>
    <w:rsid w:val="6A2ADE58"/>
    <w:rsid w:val="6ABAEE5C"/>
    <w:rsid w:val="6FEA9464"/>
    <w:rsid w:val="768F260B"/>
    <w:rsid w:val="77173139"/>
    <w:rsid w:val="79169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D673"/>
  <w15:chartTrackingRefBased/>
  <w15:docId w15:val="{35C87383-F87D-4DB9-AF06-433761D1C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BEF82D1"/>
    <w:pPr>
      <w:ind w:left="720"/>
      <w:contextualSpacing/>
    </w:pPr>
  </w:style>
  <w:style w:type="paragraph" w:styleId="Bibliography">
    <w:name w:val="Bibliography"/>
    <w:basedOn w:val="Normal"/>
    <w:next w:val="Normal"/>
    <w:uiPriority w:val="37"/>
    <w:unhideWhenUsed/>
    <w:rsid w:val="003C7FB7"/>
  </w:style>
  <w:style w:type="paragraph" w:styleId="TOCHeading">
    <w:name w:val="TOC Heading"/>
    <w:basedOn w:val="Heading1"/>
    <w:next w:val="Normal"/>
    <w:uiPriority w:val="39"/>
    <w:unhideWhenUsed/>
    <w:qFormat/>
    <w:rsid w:val="00B759AD"/>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B759AD"/>
    <w:pPr>
      <w:spacing w:after="100"/>
    </w:pPr>
  </w:style>
  <w:style w:type="character" w:styleId="Hyperlink">
    <w:name w:val="Hyperlink"/>
    <w:basedOn w:val="DefaultParagraphFont"/>
    <w:uiPriority w:val="99"/>
    <w:unhideWhenUsed/>
    <w:rsid w:val="00B759A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18383">
      <w:bodyDiv w:val="1"/>
      <w:marLeft w:val="0"/>
      <w:marRight w:val="0"/>
      <w:marTop w:val="0"/>
      <w:marBottom w:val="0"/>
      <w:divBdr>
        <w:top w:val="none" w:sz="0" w:space="0" w:color="auto"/>
        <w:left w:val="none" w:sz="0" w:space="0" w:color="auto"/>
        <w:bottom w:val="none" w:sz="0" w:space="0" w:color="auto"/>
        <w:right w:val="none" w:sz="0" w:space="0" w:color="auto"/>
      </w:divBdr>
    </w:div>
    <w:div w:id="34669291">
      <w:bodyDiv w:val="1"/>
      <w:marLeft w:val="0"/>
      <w:marRight w:val="0"/>
      <w:marTop w:val="0"/>
      <w:marBottom w:val="0"/>
      <w:divBdr>
        <w:top w:val="none" w:sz="0" w:space="0" w:color="auto"/>
        <w:left w:val="none" w:sz="0" w:space="0" w:color="auto"/>
        <w:bottom w:val="none" w:sz="0" w:space="0" w:color="auto"/>
        <w:right w:val="none" w:sz="0" w:space="0" w:color="auto"/>
      </w:divBdr>
    </w:div>
    <w:div w:id="39938912">
      <w:bodyDiv w:val="1"/>
      <w:marLeft w:val="0"/>
      <w:marRight w:val="0"/>
      <w:marTop w:val="0"/>
      <w:marBottom w:val="0"/>
      <w:divBdr>
        <w:top w:val="none" w:sz="0" w:space="0" w:color="auto"/>
        <w:left w:val="none" w:sz="0" w:space="0" w:color="auto"/>
        <w:bottom w:val="none" w:sz="0" w:space="0" w:color="auto"/>
        <w:right w:val="none" w:sz="0" w:space="0" w:color="auto"/>
      </w:divBdr>
    </w:div>
    <w:div w:id="83384215">
      <w:bodyDiv w:val="1"/>
      <w:marLeft w:val="0"/>
      <w:marRight w:val="0"/>
      <w:marTop w:val="0"/>
      <w:marBottom w:val="0"/>
      <w:divBdr>
        <w:top w:val="none" w:sz="0" w:space="0" w:color="auto"/>
        <w:left w:val="none" w:sz="0" w:space="0" w:color="auto"/>
        <w:bottom w:val="none" w:sz="0" w:space="0" w:color="auto"/>
        <w:right w:val="none" w:sz="0" w:space="0" w:color="auto"/>
      </w:divBdr>
    </w:div>
    <w:div w:id="86847131">
      <w:bodyDiv w:val="1"/>
      <w:marLeft w:val="0"/>
      <w:marRight w:val="0"/>
      <w:marTop w:val="0"/>
      <w:marBottom w:val="0"/>
      <w:divBdr>
        <w:top w:val="none" w:sz="0" w:space="0" w:color="auto"/>
        <w:left w:val="none" w:sz="0" w:space="0" w:color="auto"/>
        <w:bottom w:val="none" w:sz="0" w:space="0" w:color="auto"/>
        <w:right w:val="none" w:sz="0" w:space="0" w:color="auto"/>
      </w:divBdr>
    </w:div>
    <w:div w:id="86972525">
      <w:bodyDiv w:val="1"/>
      <w:marLeft w:val="0"/>
      <w:marRight w:val="0"/>
      <w:marTop w:val="0"/>
      <w:marBottom w:val="0"/>
      <w:divBdr>
        <w:top w:val="none" w:sz="0" w:space="0" w:color="auto"/>
        <w:left w:val="none" w:sz="0" w:space="0" w:color="auto"/>
        <w:bottom w:val="none" w:sz="0" w:space="0" w:color="auto"/>
        <w:right w:val="none" w:sz="0" w:space="0" w:color="auto"/>
      </w:divBdr>
    </w:div>
    <w:div w:id="155844917">
      <w:bodyDiv w:val="1"/>
      <w:marLeft w:val="0"/>
      <w:marRight w:val="0"/>
      <w:marTop w:val="0"/>
      <w:marBottom w:val="0"/>
      <w:divBdr>
        <w:top w:val="none" w:sz="0" w:space="0" w:color="auto"/>
        <w:left w:val="none" w:sz="0" w:space="0" w:color="auto"/>
        <w:bottom w:val="none" w:sz="0" w:space="0" w:color="auto"/>
        <w:right w:val="none" w:sz="0" w:space="0" w:color="auto"/>
      </w:divBdr>
    </w:div>
    <w:div w:id="198009816">
      <w:bodyDiv w:val="1"/>
      <w:marLeft w:val="0"/>
      <w:marRight w:val="0"/>
      <w:marTop w:val="0"/>
      <w:marBottom w:val="0"/>
      <w:divBdr>
        <w:top w:val="none" w:sz="0" w:space="0" w:color="auto"/>
        <w:left w:val="none" w:sz="0" w:space="0" w:color="auto"/>
        <w:bottom w:val="none" w:sz="0" w:space="0" w:color="auto"/>
        <w:right w:val="none" w:sz="0" w:space="0" w:color="auto"/>
      </w:divBdr>
    </w:div>
    <w:div w:id="279532724">
      <w:bodyDiv w:val="1"/>
      <w:marLeft w:val="0"/>
      <w:marRight w:val="0"/>
      <w:marTop w:val="0"/>
      <w:marBottom w:val="0"/>
      <w:divBdr>
        <w:top w:val="none" w:sz="0" w:space="0" w:color="auto"/>
        <w:left w:val="none" w:sz="0" w:space="0" w:color="auto"/>
        <w:bottom w:val="none" w:sz="0" w:space="0" w:color="auto"/>
        <w:right w:val="none" w:sz="0" w:space="0" w:color="auto"/>
      </w:divBdr>
    </w:div>
    <w:div w:id="329914012">
      <w:bodyDiv w:val="1"/>
      <w:marLeft w:val="0"/>
      <w:marRight w:val="0"/>
      <w:marTop w:val="0"/>
      <w:marBottom w:val="0"/>
      <w:divBdr>
        <w:top w:val="none" w:sz="0" w:space="0" w:color="auto"/>
        <w:left w:val="none" w:sz="0" w:space="0" w:color="auto"/>
        <w:bottom w:val="none" w:sz="0" w:space="0" w:color="auto"/>
        <w:right w:val="none" w:sz="0" w:space="0" w:color="auto"/>
      </w:divBdr>
    </w:div>
    <w:div w:id="342631711">
      <w:bodyDiv w:val="1"/>
      <w:marLeft w:val="0"/>
      <w:marRight w:val="0"/>
      <w:marTop w:val="0"/>
      <w:marBottom w:val="0"/>
      <w:divBdr>
        <w:top w:val="none" w:sz="0" w:space="0" w:color="auto"/>
        <w:left w:val="none" w:sz="0" w:space="0" w:color="auto"/>
        <w:bottom w:val="none" w:sz="0" w:space="0" w:color="auto"/>
        <w:right w:val="none" w:sz="0" w:space="0" w:color="auto"/>
      </w:divBdr>
    </w:div>
    <w:div w:id="358438233">
      <w:bodyDiv w:val="1"/>
      <w:marLeft w:val="0"/>
      <w:marRight w:val="0"/>
      <w:marTop w:val="0"/>
      <w:marBottom w:val="0"/>
      <w:divBdr>
        <w:top w:val="none" w:sz="0" w:space="0" w:color="auto"/>
        <w:left w:val="none" w:sz="0" w:space="0" w:color="auto"/>
        <w:bottom w:val="none" w:sz="0" w:space="0" w:color="auto"/>
        <w:right w:val="none" w:sz="0" w:space="0" w:color="auto"/>
      </w:divBdr>
    </w:div>
    <w:div w:id="372316863">
      <w:bodyDiv w:val="1"/>
      <w:marLeft w:val="0"/>
      <w:marRight w:val="0"/>
      <w:marTop w:val="0"/>
      <w:marBottom w:val="0"/>
      <w:divBdr>
        <w:top w:val="none" w:sz="0" w:space="0" w:color="auto"/>
        <w:left w:val="none" w:sz="0" w:space="0" w:color="auto"/>
        <w:bottom w:val="none" w:sz="0" w:space="0" w:color="auto"/>
        <w:right w:val="none" w:sz="0" w:space="0" w:color="auto"/>
      </w:divBdr>
    </w:div>
    <w:div w:id="391077761">
      <w:bodyDiv w:val="1"/>
      <w:marLeft w:val="0"/>
      <w:marRight w:val="0"/>
      <w:marTop w:val="0"/>
      <w:marBottom w:val="0"/>
      <w:divBdr>
        <w:top w:val="none" w:sz="0" w:space="0" w:color="auto"/>
        <w:left w:val="none" w:sz="0" w:space="0" w:color="auto"/>
        <w:bottom w:val="none" w:sz="0" w:space="0" w:color="auto"/>
        <w:right w:val="none" w:sz="0" w:space="0" w:color="auto"/>
      </w:divBdr>
    </w:div>
    <w:div w:id="395081910">
      <w:bodyDiv w:val="1"/>
      <w:marLeft w:val="0"/>
      <w:marRight w:val="0"/>
      <w:marTop w:val="0"/>
      <w:marBottom w:val="0"/>
      <w:divBdr>
        <w:top w:val="none" w:sz="0" w:space="0" w:color="auto"/>
        <w:left w:val="none" w:sz="0" w:space="0" w:color="auto"/>
        <w:bottom w:val="none" w:sz="0" w:space="0" w:color="auto"/>
        <w:right w:val="none" w:sz="0" w:space="0" w:color="auto"/>
      </w:divBdr>
    </w:div>
    <w:div w:id="395931990">
      <w:bodyDiv w:val="1"/>
      <w:marLeft w:val="0"/>
      <w:marRight w:val="0"/>
      <w:marTop w:val="0"/>
      <w:marBottom w:val="0"/>
      <w:divBdr>
        <w:top w:val="none" w:sz="0" w:space="0" w:color="auto"/>
        <w:left w:val="none" w:sz="0" w:space="0" w:color="auto"/>
        <w:bottom w:val="none" w:sz="0" w:space="0" w:color="auto"/>
        <w:right w:val="none" w:sz="0" w:space="0" w:color="auto"/>
      </w:divBdr>
    </w:div>
    <w:div w:id="402992392">
      <w:bodyDiv w:val="1"/>
      <w:marLeft w:val="0"/>
      <w:marRight w:val="0"/>
      <w:marTop w:val="0"/>
      <w:marBottom w:val="0"/>
      <w:divBdr>
        <w:top w:val="none" w:sz="0" w:space="0" w:color="auto"/>
        <w:left w:val="none" w:sz="0" w:space="0" w:color="auto"/>
        <w:bottom w:val="none" w:sz="0" w:space="0" w:color="auto"/>
        <w:right w:val="none" w:sz="0" w:space="0" w:color="auto"/>
      </w:divBdr>
    </w:div>
    <w:div w:id="413205390">
      <w:bodyDiv w:val="1"/>
      <w:marLeft w:val="0"/>
      <w:marRight w:val="0"/>
      <w:marTop w:val="0"/>
      <w:marBottom w:val="0"/>
      <w:divBdr>
        <w:top w:val="none" w:sz="0" w:space="0" w:color="auto"/>
        <w:left w:val="none" w:sz="0" w:space="0" w:color="auto"/>
        <w:bottom w:val="none" w:sz="0" w:space="0" w:color="auto"/>
        <w:right w:val="none" w:sz="0" w:space="0" w:color="auto"/>
      </w:divBdr>
    </w:div>
    <w:div w:id="413555613">
      <w:bodyDiv w:val="1"/>
      <w:marLeft w:val="0"/>
      <w:marRight w:val="0"/>
      <w:marTop w:val="0"/>
      <w:marBottom w:val="0"/>
      <w:divBdr>
        <w:top w:val="none" w:sz="0" w:space="0" w:color="auto"/>
        <w:left w:val="none" w:sz="0" w:space="0" w:color="auto"/>
        <w:bottom w:val="none" w:sz="0" w:space="0" w:color="auto"/>
        <w:right w:val="none" w:sz="0" w:space="0" w:color="auto"/>
      </w:divBdr>
    </w:div>
    <w:div w:id="439108081">
      <w:bodyDiv w:val="1"/>
      <w:marLeft w:val="0"/>
      <w:marRight w:val="0"/>
      <w:marTop w:val="0"/>
      <w:marBottom w:val="0"/>
      <w:divBdr>
        <w:top w:val="none" w:sz="0" w:space="0" w:color="auto"/>
        <w:left w:val="none" w:sz="0" w:space="0" w:color="auto"/>
        <w:bottom w:val="none" w:sz="0" w:space="0" w:color="auto"/>
        <w:right w:val="none" w:sz="0" w:space="0" w:color="auto"/>
      </w:divBdr>
    </w:div>
    <w:div w:id="482426473">
      <w:bodyDiv w:val="1"/>
      <w:marLeft w:val="0"/>
      <w:marRight w:val="0"/>
      <w:marTop w:val="0"/>
      <w:marBottom w:val="0"/>
      <w:divBdr>
        <w:top w:val="none" w:sz="0" w:space="0" w:color="auto"/>
        <w:left w:val="none" w:sz="0" w:space="0" w:color="auto"/>
        <w:bottom w:val="none" w:sz="0" w:space="0" w:color="auto"/>
        <w:right w:val="none" w:sz="0" w:space="0" w:color="auto"/>
      </w:divBdr>
    </w:div>
    <w:div w:id="502009289">
      <w:bodyDiv w:val="1"/>
      <w:marLeft w:val="0"/>
      <w:marRight w:val="0"/>
      <w:marTop w:val="0"/>
      <w:marBottom w:val="0"/>
      <w:divBdr>
        <w:top w:val="none" w:sz="0" w:space="0" w:color="auto"/>
        <w:left w:val="none" w:sz="0" w:space="0" w:color="auto"/>
        <w:bottom w:val="none" w:sz="0" w:space="0" w:color="auto"/>
        <w:right w:val="none" w:sz="0" w:space="0" w:color="auto"/>
      </w:divBdr>
    </w:div>
    <w:div w:id="519666553">
      <w:bodyDiv w:val="1"/>
      <w:marLeft w:val="0"/>
      <w:marRight w:val="0"/>
      <w:marTop w:val="0"/>
      <w:marBottom w:val="0"/>
      <w:divBdr>
        <w:top w:val="none" w:sz="0" w:space="0" w:color="auto"/>
        <w:left w:val="none" w:sz="0" w:space="0" w:color="auto"/>
        <w:bottom w:val="none" w:sz="0" w:space="0" w:color="auto"/>
        <w:right w:val="none" w:sz="0" w:space="0" w:color="auto"/>
      </w:divBdr>
    </w:div>
    <w:div w:id="522977515">
      <w:bodyDiv w:val="1"/>
      <w:marLeft w:val="0"/>
      <w:marRight w:val="0"/>
      <w:marTop w:val="0"/>
      <w:marBottom w:val="0"/>
      <w:divBdr>
        <w:top w:val="none" w:sz="0" w:space="0" w:color="auto"/>
        <w:left w:val="none" w:sz="0" w:space="0" w:color="auto"/>
        <w:bottom w:val="none" w:sz="0" w:space="0" w:color="auto"/>
        <w:right w:val="none" w:sz="0" w:space="0" w:color="auto"/>
      </w:divBdr>
    </w:div>
    <w:div w:id="538589785">
      <w:bodyDiv w:val="1"/>
      <w:marLeft w:val="0"/>
      <w:marRight w:val="0"/>
      <w:marTop w:val="0"/>
      <w:marBottom w:val="0"/>
      <w:divBdr>
        <w:top w:val="none" w:sz="0" w:space="0" w:color="auto"/>
        <w:left w:val="none" w:sz="0" w:space="0" w:color="auto"/>
        <w:bottom w:val="none" w:sz="0" w:space="0" w:color="auto"/>
        <w:right w:val="none" w:sz="0" w:space="0" w:color="auto"/>
      </w:divBdr>
    </w:div>
    <w:div w:id="542064878">
      <w:bodyDiv w:val="1"/>
      <w:marLeft w:val="0"/>
      <w:marRight w:val="0"/>
      <w:marTop w:val="0"/>
      <w:marBottom w:val="0"/>
      <w:divBdr>
        <w:top w:val="none" w:sz="0" w:space="0" w:color="auto"/>
        <w:left w:val="none" w:sz="0" w:space="0" w:color="auto"/>
        <w:bottom w:val="none" w:sz="0" w:space="0" w:color="auto"/>
        <w:right w:val="none" w:sz="0" w:space="0" w:color="auto"/>
      </w:divBdr>
    </w:div>
    <w:div w:id="584462919">
      <w:bodyDiv w:val="1"/>
      <w:marLeft w:val="0"/>
      <w:marRight w:val="0"/>
      <w:marTop w:val="0"/>
      <w:marBottom w:val="0"/>
      <w:divBdr>
        <w:top w:val="none" w:sz="0" w:space="0" w:color="auto"/>
        <w:left w:val="none" w:sz="0" w:space="0" w:color="auto"/>
        <w:bottom w:val="none" w:sz="0" w:space="0" w:color="auto"/>
        <w:right w:val="none" w:sz="0" w:space="0" w:color="auto"/>
      </w:divBdr>
    </w:div>
    <w:div w:id="596600578">
      <w:bodyDiv w:val="1"/>
      <w:marLeft w:val="0"/>
      <w:marRight w:val="0"/>
      <w:marTop w:val="0"/>
      <w:marBottom w:val="0"/>
      <w:divBdr>
        <w:top w:val="none" w:sz="0" w:space="0" w:color="auto"/>
        <w:left w:val="none" w:sz="0" w:space="0" w:color="auto"/>
        <w:bottom w:val="none" w:sz="0" w:space="0" w:color="auto"/>
        <w:right w:val="none" w:sz="0" w:space="0" w:color="auto"/>
      </w:divBdr>
    </w:div>
    <w:div w:id="612326272">
      <w:bodyDiv w:val="1"/>
      <w:marLeft w:val="0"/>
      <w:marRight w:val="0"/>
      <w:marTop w:val="0"/>
      <w:marBottom w:val="0"/>
      <w:divBdr>
        <w:top w:val="none" w:sz="0" w:space="0" w:color="auto"/>
        <w:left w:val="none" w:sz="0" w:space="0" w:color="auto"/>
        <w:bottom w:val="none" w:sz="0" w:space="0" w:color="auto"/>
        <w:right w:val="none" w:sz="0" w:space="0" w:color="auto"/>
      </w:divBdr>
    </w:div>
    <w:div w:id="617417915">
      <w:bodyDiv w:val="1"/>
      <w:marLeft w:val="0"/>
      <w:marRight w:val="0"/>
      <w:marTop w:val="0"/>
      <w:marBottom w:val="0"/>
      <w:divBdr>
        <w:top w:val="none" w:sz="0" w:space="0" w:color="auto"/>
        <w:left w:val="none" w:sz="0" w:space="0" w:color="auto"/>
        <w:bottom w:val="none" w:sz="0" w:space="0" w:color="auto"/>
        <w:right w:val="none" w:sz="0" w:space="0" w:color="auto"/>
      </w:divBdr>
    </w:div>
    <w:div w:id="732043322">
      <w:bodyDiv w:val="1"/>
      <w:marLeft w:val="0"/>
      <w:marRight w:val="0"/>
      <w:marTop w:val="0"/>
      <w:marBottom w:val="0"/>
      <w:divBdr>
        <w:top w:val="none" w:sz="0" w:space="0" w:color="auto"/>
        <w:left w:val="none" w:sz="0" w:space="0" w:color="auto"/>
        <w:bottom w:val="none" w:sz="0" w:space="0" w:color="auto"/>
        <w:right w:val="none" w:sz="0" w:space="0" w:color="auto"/>
      </w:divBdr>
    </w:div>
    <w:div w:id="735052760">
      <w:bodyDiv w:val="1"/>
      <w:marLeft w:val="0"/>
      <w:marRight w:val="0"/>
      <w:marTop w:val="0"/>
      <w:marBottom w:val="0"/>
      <w:divBdr>
        <w:top w:val="none" w:sz="0" w:space="0" w:color="auto"/>
        <w:left w:val="none" w:sz="0" w:space="0" w:color="auto"/>
        <w:bottom w:val="none" w:sz="0" w:space="0" w:color="auto"/>
        <w:right w:val="none" w:sz="0" w:space="0" w:color="auto"/>
      </w:divBdr>
    </w:div>
    <w:div w:id="758676400">
      <w:bodyDiv w:val="1"/>
      <w:marLeft w:val="0"/>
      <w:marRight w:val="0"/>
      <w:marTop w:val="0"/>
      <w:marBottom w:val="0"/>
      <w:divBdr>
        <w:top w:val="none" w:sz="0" w:space="0" w:color="auto"/>
        <w:left w:val="none" w:sz="0" w:space="0" w:color="auto"/>
        <w:bottom w:val="none" w:sz="0" w:space="0" w:color="auto"/>
        <w:right w:val="none" w:sz="0" w:space="0" w:color="auto"/>
      </w:divBdr>
    </w:div>
    <w:div w:id="793906391">
      <w:bodyDiv w:val="1"/>
      <w:marLeft w:val="0"/>
      <w:marRight w:val="0"/>
      <w:marTop w:val="0"/>
      <w:marBottom w:val="0"/>
      <w:divBdr>
        <w:top w:val="none" w:sz="0" w:space="0" w:color="auto"/>
        <w:left w:val="none" w:sz="0" w:space="0" w:color="auto"/>
        <w:bottom w:val="none" w:sz="0" w:space="0" w:color="auto"/>
        <w:right w:val="none" w:sz="0" w:space="0" w:color="auto"/>
      </w:divBdr>
    </w:div>
    <w:div w:id="811677321">
      <w:bodyDiv w:val="1"/>
      <w:marLeft w:val="0"/>
      <w:marRight w:val="0"/>
      <w:marTop w:val="0"/>
      <w:marBottom w:val="0"/>
      <w:divBdr>
        <w:top w:val="none" w:sz="0" w:space="0" w:color="auto"/>
        <w:left w:val="none" w:sz="0" w:space="0" w:color="auto"/>
        <w:bottom w:val="none" w:sz="0" w:space="0" w:color="auto"/>
        <w:right w:val="none" w:sz="0" w:space="0" w:color="auto"/>
      </w:divBdr>
    </w:div>
    <w:div w:id="918102253">
      <w:bodyDiv w:val="1"/>
      <w:marLeft w:val="0"/>
      <w:marRight w:val="0"/>
      <w:marTop w:val="0"/>
      <w:marBottom w:val="0"/>
      <w:divBdr>
        <w:top w:val="none" w:sz="0" w:space="0" w:color="auto"/>
        <w:left w:val="none" w:sz="0" w:space="0" w:color="auto"/>
        <w:bottom w:val="none" w:sz="0" w:space="0" w:color="auto"/>
        <w:right w:val="none" w:sz="0" w:space="0" w:color="auto"/>
      </w:divBdr>
    </w:div>
    <w:div w:id="968784574">
      <w:bodyDiv w:val="1"/>
      <w:marLeft w:val="0"/>
      <w:marRight w:val="0"/>
      <w:marTop w:val="0"/>
      <w:marBottom w:val="0"/>
      <w:divBdr>
        <w:top w:val="none" w:sz="0" w:space="0" w:color="auto"/>
        <w:left w:val="none" w:sz="0" w:space="0" w:color="auto"/>
        <w:bottom w:val="none" w:sz="0" w:space="0" w:color="auto"/>
        <w:right w:val="none" w:sz="0" w:space="0" w:color="auto"/>
      </w:divBdr>
    </w:div>
    <w:div w:id="1044676547">
      <w:bodyDiv w:val="1"/>
      <w:marLeft w:val="0"/>
      <w:marRight w:val="0"/>
      <w:marTop w:val="0"/>
      <w:marBottom w:val="0"/>
      <w:divBdr>
        <w:top w:val="none" w:sz="0" w:space="0" w:color="auto"/>
        <w:left w:val="none" w:sz="0" w:space="0" w:color="auto"/>
        <w:bottom w:val="none" w:sz="0" w:space="0" w:color="auto"/>
        <w:right w:val="none" w:sz="0" w:space="0" w:color="auto"/>
      </w:divBdr>
    </w:div>
    <w:div w:id="1073042378">
      <w:bodyDiv w:val="1"/>
      <w:marLeft w:val="0"/>
      <w:marRight w:val="0"/>
      <w:marTop w:val="0"/>
      <w:marBottom w:val="0"/>
      <w:divBdr>
        <w:top w:val="none" w:sz="0" w:space="0" w:color="auto"/>
        <w:left w:val="none" w:sz="0" w:space="0" w:color="auto"/>
        <w:bottom w:val="none" w:sz="0" w:space="0" w:color="auto"/>
        <w:right w:val="none" w:sz="0" w:space="0" w:color="auto"/>
      </w:divBdr>
    </w:div>
    <w:div w:id="1082871889">
      <w:bodyDiv w:val="1"/>
      <w:marLeft w:val="0"/>
      <w:marRight w:val="0"/>
      <w:marTop w:val="0"/>
      <w:marBottom w:val="0"/>
      <w:divBdr>
        <w:top w:val="none" w:sz="0" w:space="0" w:color="auto"/>
        <w:left w:val="none" w:sz="0" w:space="0" w:color="auto"/>
        <w:bottom w:val="none" w:sz="0" w:space="0" w:color="auto"/>
        <w:right w:val="none" w:sz="0" w:space="0" w:color="auto"/>
      </w:divBdr>
    </w:div>
    <w:div w:id="1086849718">
      <w:bodyDiv w:val="1"/>
      <w:marLeft w:val="0"/>
      <w:marRight w:val="0"/>
      <w:marTop w:val="0"/>
      <w:marBottom w:val="0"/>
      <w:divBdr>
        <w:top w:val="none" w:sz="0" w:space="0" w:color="auto"/>
        <w:left w:val="none" w:sz="0" w:space="0" w:color="auto"/>
        <w:bottom w:val="none" w:sz="0" w:space="0" w:color="auto"/>
        <w:right w:val="none" w:sz="0" w:space="0" w:color="auto"/>
      </w:divBdr>
    </w:div>
    <w:div w:id="1091925196">
      <w:bodyDiv w:val="1"/>
      <w:marLeft w:val="0"/>
      <w:marRight w:val="0"/>
      <w:marTop w:val="0"/>
      <w:marBottom w:val="0"/>
      <w:divBdr>
        <w:top w:val="none" w:sz="0" w:space="0" w:color="auto"/>
        <w:left w:val="none" w:sz="0" w:space="0" w:color="auto"/>
        <w:bottom w:val="none" w:sz="0" w:space="0" w:color="auto"/>
        <w:right w:val="none" w:sz="0" w:space="0" w:color="auto"/>
      </w:divBdr>
    </w:div>
    <w:div w:id="1102267336">
      <w:bodyDiv w:val="1"/>
      <w:marLeft w:val="0"/>
      <w:marRight w:val="0"/>
      <w:marTop w:val="0"/>
      <w:marBottom w:val="0"/>
      <w:divBdr>
        <w:top w:val="none" w:sz="0" w:space="0" w:color="auto"/>
        <w:left w:val="none" w:sz="0" w:space="0" w:color="auto"/>
        <w:bottom w:val="none" w:sz="0" w:space="0" w:color="auto"/>
        <w:right w:val="none" w:sz="0" w:space="0" w:color="auto"/>
      </w:divBdr>
    </w:div>
    <w:div w:id="1205748134">
      <w:bodyDiv w:val="1"/>
      <w:marLeft w:val="0"/>
      <w:marRight w:val="0"/>
      <w:marTop w:val="0"/>
      <w:marBottom w:val="0"/>
      <w:divBdr>
        <w:top w:val="none" w:sz="0" w:space="0" w:color="auto"/>
        <w:left w:val="none" w:sz="0" w:space="0" w:color="auto"/>
        <w:bottom w:val="none" w:sz="0" w:space="0" w:color="auto"/>
        <w:right w:val="none" w:sz="0" w:space="0" w:color="auto"/>
      </w:divBdr>
    </w:div>
    <w:div w:id="1214803851">
      <w:bodyDiv w:val="1"/>
      <w:marLeft w:val="0"/>
      <w:marRight w:val="0"/>
      <w:marTop w:val="0"/>
      <w:marBottom w:val="0"/>
      <w:divBdr>
        <w:top w:val="none" w:sz="0" w:space="0" w:color="auto"/>
        <w:left w:val="none" w:sz="0" w:space="0" w:color="auto"/>
        <w:bottom w:val="none" w:sz="0" w:space="0" w:color="auto"/>
        <w:right w:val="none" w:sz="0" w:space="0" w:color="auto"/>
      </w:divBdr>
    </w:div>
    <w:div w:id="1236667907">
      <w:bodyDiv w:val="1"/>
      <w:marLeft w:val="0"/>
      <w:marRight w:val="0"/>
      <w:marTop w:val="0"/>
      <w:marBottom w:val="0"/>
      <w:divBdr>
        <w:top w:val="none" w:sz="0" w:space="0" w:color="auto"/>
        <w:left w:val="none" w:sz="0" w:space="0" w:color="auto"/>
        <w:bottom w:val="none" w:sz="0" w:space="0" w:color="auto"/>
        <w:right w:val="none" w:sz="0" w:space="0" w:color="auto"/>
      </w:divBdr>
    </w:div>
    <w:div w:id="1237783199">
      <w:bodyDiv w:val="1"/>
      <w:marLeft w:val="0"/>
      <w:marRight w:val="0"/>
      <w:marTop w:val="0"/>
      <w:marBottom w:val="0"/>
      <w:divBdr>
        <w:top w:val="none" w:sz="0" w:space="0" w:color="auto"/>
        <w:left w:val="none" w:sz="0" w:space="0" w:color="auto"/>
        <w:bottom w:val="none" w:sz="0" w:space="0" w:color="auto"/>
        <w:right w:val="none" w:sz="0" w:space="0" w:color="auto"/>
      </w:divBdr>
    </w:div>
    <w:div w:id="1242522008">
      <w:bodyDiv w:val="1"/>
      <w:marLeft w:val="0"/>
      <w:marRight w:val="0"/>
      <w:marTop w:val="0"/>
      <w:marBottom w:val="0"/>
      <w:divBdr>
        <w:top w:val="none" w:sz="0" w:space="0" w:color="auto"/>
        <w:left w:val="none" w:sz="0" w:space="0" w:color="auto"/>
        <w:bottom w:val="none" w:sz="0" w:space="0" w:color="auto"/>
        <w:right w:val="none" w:sz="0" w:space="0" w:color="auto"/>
      </w:divBdr>
    </w:div>
    <w:div w:id="1249003463">
      <w:bodyDiv w:val="1"/>
      <w:marLeft w:val="0"/>
      <w:marRight w:val="0"/>
      <w:marTop w:val="0"/>
      <w:marBottom w:val="0"/>
      <w:divBdr>
        <w:top w:val="none" w:sz="0" w:space="0" w:color="auto"/>
        <w:left w:val="none" w:sz="0" w:space="0" w:color="auto"/>
        <w:bottom w:val="none" w:sz="0" w:space="0" w:color="auto"/>
        <w:right w:val="none" w:sz="0" w:space="0" w:color="auto"/>
      </w:divBdr>
    </w:div>
    <w:div w:id="1249117624">
      <w:bodyDiv w:val="1"/>
      <w:marLeft w:val="0"/>
      <w:marRight w:val="0"/>
      <w:marTop w:val="0"/>
      <w:marBottom w:val="0"/>
      <w:divBdr>
        <w:top w:val="none" w:sz="0" w:space="0" w:color="auto"/>
        <w:left w:val="none" w:sz="0" w:space="0" w:color="auto"/>
        <w:bottom w:val="none" w:sz="0" w:space="0" w:color="auto"/>
        <w:right w:val="none" w:sz="0" w:space="0" w:color="auto"/>
      </w:divBdr>
    </w:div>
    <w:div w:id="1268149686">
      <w:bodyDiv w:val="1"/>
      <w:marLeft w:val="0"/>
      <w:marRight w:val="0"/>
      <w:marTop w:val="0"/>
      <w:marBottom w:val="0"/>
      <w:divBdr>
        <w:top w:val="none" w:sz="0" w:space="0" w:color="auto"/>
        <w:left w:val="none" w:sz="0" w:space="0" w:color="auto"/>
        <w:bottom w:val="none" w:sz="0" w:space="0" w:color="auto"/>
        <w:right w:val="none" w:sz="0" w:space="0" w:color="auto"/>
      </w:divBdr>
    </w:div>
    <w:div w:id="1288512277">
      <w:bodyDiv w:val="1"/>
      <w:marLeft w:val="0"/>
      <w:marRight w:val="0"/>
      <w:marTop w:val="0"/>
      <w:marBottom w:val="0"/>
      <w:divBdr>
        <w:top w:val="none" w:sz="0" w:space="0" w:color="auto"/>
        <w:left w:val="none" w:sz="0" w:space="0" w:color="auto"/>
        <w:bottom w:val="none" w:sz="0" w:space="0" w:color="auto"/>
        <w:right w:val="none" w:sz="0" w:space="0" w:color="auto"/>
      </w:divBdr>
    </w:div>
    <w:div w:id="1301573485">
      <w:bodyDiv w:val="1"/>
      <w:marLeft w:val="0"/>
      <w:marRight w:val="0"/>
      <w:marTop w:val="0"/>
      <w:marBottom w:val="0"/>
      <w:divBdr>
        <w:top w:val="none" w:sz="0" w:space="0" w:color="auto"/>
        <w:left w:val="none" w:sz="0" w:space="0" w:color="auto"/>
        <w:bottom w:val="none" w:sz="0" w:space="0" w:color="auto"/>
        <w:right w:val="none" w:sz="0" w:space="0" w:color="auto"/>
      </w:divBdr>
    </w:div>
    <w:div w:id="1329554469">
      <w:bodyDiv w:val="1"/>
      <w:marLeft w:val="0"/>
      <w:marRight w:val="0"/>
      <w:marTop w:val="0"/>
      <w:marBottom w:val="0"/>
      <w:divBdr>
        <w:top w:val="none" w:sz="0" w:space="0" w:color="auto"/>
        <w:left w:val="none" w:sz="0" w:space="0" w:color="auto"/>
        <w:bottom w:val="none" w:sz="0" w:space="0" w:color="auto"/>
        <w:right w:val="none" w:sz="0" w:space="0" w:color="auto"/>
      </w:divBdr>
    </w:div>
    <w:div w:id="1357806508">
      <w:bodyDiv w:val="1"/>
      <w:marLeft w:val="0"/>
      <w:marRight w:val="0"/>
      <w:marTop w:val="0"/>
      <w:marBottom w:val="0"/>
      <w:divBdr>
        <w:top w:val="none" w:sz="0" w:space="0" w:color="auto"/>
        <w:left w:val="none" w:sz="0" w:space="0" w:color="auto"/>
        <w:bottom w:val="none" w:sz="0" w:space="0" w:color="auto"/>
        <w:right w:val="none" w:sz="0" w:space="0" w:color="auto"/>
      </w:divBdr>
    </w:div>
    <w:div w:id="1363675860">
      <w:bodyDiv w:val="1"/>
      <w:marLeft w:val="0"/>
      <w:marRight w:val="0"/>
      <w:marTop w:val="0"/>
      <w:marBottom w:val="0"/>
      <w:divBdr>
        <w:top w:val="none" w:sz="0" w:space="0" w:color="auto"/>
        <w:left w:val="none" w:sz="0" w:space="0" w:color="auto"/>
        <w:bottom w:val="none" w:sz="0" w:space="0" w:color="auto"/>
        <w:right w:val="none" w:sz="0" w:space="0" w:color="auto"/>
      </w:divBdr>
    </w:div>
    <w:div w:id="1393119365">
      <w:bodyDiv w:val="1"/>
      <w:marLeft w:val="0"/>
      <w:marRight w:val="0"/>
      <w:marTop w:val="0"/>
      <w:marBottom w:val="0"/>
      <w:divBdr>
        <w:top w:val="none" w:sz="0" w:space="0" w:color="auto"/>
        <w:left w:val="none" w:sz="0" w:space="0" w:color="auto"/>
        <w:bottom w:val="none" w:sz="0" w:space="0" w:color="auto"/>
        <w:right w:val="none" w:sz="0" w:space="0" w:color="auto"/>
      </w:divBdr>
    </w:div>
    <w:div w:id="1404717217">
      <w:bodyDiv w:val="1"/>
      <w:marLeft w:val="0"/>
      <w:marRight w:val="0"/>
      <w:marTop w:val="0"/>
      <w:marBottom w:val="0"/>
      <w:divBdr>
        <w:top w:val="none" w:sz="0" w:space="0" w:color="auto"/>
        <w:left w:val="none" w:sz="0" w:space="0" w:color="auto"/>
        <w:bottom w:val="none" w:sz="0" w:space="0" w:color="auto"/>
        <w:right w:val="none" w:sz="0" w:space="0" w:color="auto"/>
      </w:divBdr>
    </w:div>
    <w:div w:id="1439179467">
      <w:bodyDiv w:val="1"/>
      <w:marLeft w:val="0"/>
      <w:marRight w:val="0"/>
      <w:marTop w:val="0"/>
      <w:marBottom w:val="0"/>
      <w:divBdr>
        <w:top w:val="none" w:sz="0" w:space="0" w:color="auto"/>
        <w:left w:val="none" w:sz="0" w:space="0" w:color="auto"/>
        <w:bottom w:val="none" w:sz="0" w:space="0" w:color="auto"/>
        <w:right w:val="none" w:sz="0" w:space="0" w:color="auto"/>
      </w:divBdr>
    </w:div>
    <w:div w:id="1446659405">
      <w:bodyDiv w:val="1"/>
      <w:marLeft w:val="0"/>
      <w:marRight w:val="0"/>
      <w:marTop w:val="0"/>
      <w:marBottom w:val="0"/>
      <w:divBdr>
        <w:top w:val="none" w:sz="0" w:space="0" w:color="auto"/>
        <w:left w:val="none" w:sz="0" w:space="0" w:color="auto"/>
        <w:bottom w:val="none" w:sz="0" w:space="0" w:color="auto"/>
        <w:right w:val="none" w:sz="0" w:space="0" w:color="auto"/>
      </w:divBdr>
    </w:div>
    <w:div w:id="1472165159">
      <w:bodyDiv w:val="1"/>
      <w:marLeft w:val="0"/>
      <w:marRight w:val="0"/>
      <w:marTop w:val="0"/>
      <w:marBottom w:val="0"/>
      <w:divBdr>
        <w:top w:val="none" w:sz="0" w:space="0" w:color="auto"/>
        <w:left w:val="none" w:sz="0" w:space="0" w:color="auto"/>
        <w:bottom w:val="none" w:sz="0" w:space="0" w:color="auto"/>
        <w:right w:val="none" w:sz="0" w:space="0" w:color="auto"/>
      </w:divBdr>
    </w:div>
    <w:div w:id="1477451088">
      <w:bodyDiv w:val="1"/>
      <w:marLeft w:val="0"/>
      <w:marRight w:val="0"/>
      <w:marTop w:val="0"/>
      <w:marBottom w:val="0"/>
      <w:divBdr>
        <w:top w:val="none" w:sz="0" w:space="0" w:color="auto"/>
        <w:left w:val="none" w:sz="0" w:space="0" w:color="auto"/>
        <w:bottom w:val="none" w:sz="0" w:space="0" w:color="auto"/>
        <w:right w:val="none" w:sz="0" w:space="0" w:color="auto"/>
      </w:divBdr>
    </w:div>
    <w:div w:id="1483891504">
      <w:bodyDiv w:val="1"/>
      <w:marLeft w:val="0"/>
      <w:marRight w:val="0"/>
      <w:marTop w:val="0"/>
      <w:marBottom w:val="0"/>
      <w:divBdr>
        <w:top w:val="none" w:sz="0" w:space="0" w:color="auto"/>
        <w:left w:val="none" w:sz="0" w:space="0" w:color="auto"/>
        <w:bottom w:val="none" w:sz="0" w:space="0" w:color="auto"/>
        <w:right w:val="none" w:sz="0" w:space="0" w:color="auto"/>
      </w:divBdr>
    </w:div>
    <w:div w:id="1489253069">
      <w:bodyDiv w:val="1"/>
      <w:marLeft w:val="0"/>
      <w:marRight w:val="0"/>
      <w:marTop w:val="0"/>
      <w:marBottom w:val="0"/>
      <w:divBdr>
        <w:top w:val="none" w:sz="0" w:space="0" w:color="auto"/>
        <w:left w:val="none" w:sz="0" w:space="0" w:color="auto"/>
        <w:bottom w:val="none" w:sz="0" w:space="0" w:color="auto"/>
        <w:right w:val="none" w:sz="0" w:space="0" w:color="auto"/>
      </w:divBdr>
    </w:div>
    <w:div w:id="1512647556">
      <w:bodyDiv w:val="1"/>
      <w:marLeft w:val="0"/>
      <w:marRight w:val="0"/>
      <w:marTop w:val="0"/>
      <w:marBottom w:val="0"/>
      <w:divBdr>
        <w:top w:val="none" w:sz="0" w:space="0" w:color="auto"/>
        <w:left w:val="none" w:sz="0" w:space="0" w:color="auto"/>
        <w:bottom w:val="none" w:sz="0" w:space="0" w:color="auto"/>
        <w:right w:val="none" w:sz="0" w:space="0" w:color="auto"/>
      </w:divBdr>
    </w:div>
    <w:div w:id="1535580668">
      <w:bodyDiv w:val="1"/>
      <w:marLeft w:val="0"/>
      <w:marRight w:val="0"/>
      <w:marTop w:val="0"/>
      <w:marBottom w:val="0"/>
      <w:divBdr>
        <w:top w:val="none" w:sz="0" w:space="0" w:color="auto"/>
        <w:left w:val="none" w:sz="0" w:space="0" w:color="auto"/>
        <w:bottom w:val="none" w:sz="0" w:space="0" w:color="auto"/>
        <w:right w:val="none" w:sz="0" w:space="0" w:color="auto"/>
      </w:divBdr>
    </w:div>
    <w:div w:id="1542280125">
      <w:bodyDiv w:val="1"/>
      <w:marLeft w:val="0"/>
      <w:marRight w:val="0"/>
      <w:marTop w:val="0"/>
      <w:marBottom w:val="0"/>
      <w:divBdr>
        <w:top w:val="none" w:sz="0" w:space="0" w:color="auto"/>
        <w:left w:val="none" w:sz="0" w:space="0" w:color="auto"/>
        <w:bottom w:val="none" w:sz="0" w:space="0" w:color="auto"/>
        <w:right w:val="none" w:sz="0" w:space="0" w:color="auto"/>
      </w:divBdr>
    </w:div>
    <w:div w:id="1591960839">
      <w:bodyDiv w:val="1"/>
      <w:marLeft w:val="0"/>
      <w:marRight w:val="0"/>
      <w:marTop w:val="0"/>
      <w:marBottom w:val="0"/>
      <w:divBdr>
        <w:top w:val="none" w:sz="0" w:space="0" w:color="auto"/>
        <w:left w:val="none" w:sz="0" w:space="0" w:color="auto"/>
        <w:bottom w:val="none" w:sz="0" w:space="0" w:color="auto"/>
        <w:right w:val="none" w:sz="0" w:space="0" w:color="auto"/>
      </w:divBdr>
    </w:div>
    <w:div w:id="1602489757">
      <w:bodyDiv w:val="1"/>
      <w:marLeft w:val="0"/>
      <w:marRight w:val="0"/>
      <w:marTop w:val="0"/>
      <w:marBottom w:val="0"/>
      <w:divBdr>
        <w:top w:val="none" w:sz="0" w:space="0" w:color="auto"/>
        <w:left w:val="none" w:sz="0" w:space="0" w:color="auto"/>
        <w:bottom w:val="none" w:sz="0" w:space="0" w:color="auto"/>
        <w:right w:val="none" w:sz="0" w:space="0" w:color="auto"/>
      </w:divBdr>
    </w:div>
    <w:div w:id="1718816847">
      <w:bodyDiv w:val="1"/>
      <w:marLeft w:val="0"/>
      <w:marRight w:val="0"/>
      <w:marTop w:val="0"/>
      <w:marBottom w:val="0"/>
      <w:divBdr>
        <w:top w:val="none" w:sz="0" w:space="0" w:color="auto"/>
        <w:left w:val="none" w:sz="0" w:space="0" w:color="auto"/>
        <w:bottom w:val="none" w:sz="0" w:space="0" w:color="auto"/>
        <w:right w:val="none" w:sz="0" w:space="0" w:color="auto"/>
      </w:divBdr>
    </w:div>
    <w:div w:id="1725450315">
      <w:bodyDiv w:val="1"/>
      <w:marLeft w:val="0"/>
      <w:marRight w:val="0"/>
      <w:marTop w:val="0"/>
      <w:marBottom w:val="0"/>
      <w:divBdr>
        <w:top w:val="none" w:sz="0" w:space="0" w:color="auto"/>
        <w:left w:val="none" w:sz="0" w:space="0" w:color="auto"/>
        <w:bottom w:val="none" w:sz="0" w:space="0" w:color="auto"/>
        <w:right w:val="none" w:sz="0" w:space="0" w:color="auto"/>
      </w:divBdr>
    </w:div>
    <w:div w:id="1743016873">
      <w:bodyDiv w:val="1"/>
      <w:marLeft w:val="0"/>
      <w:marRight w:val="0"/>
      <w:marTop w:val="0"/>
      <w:marBottom w:val="0"/>
      <w:divBdr>
        <w:top w:val="none" w:sz="0" w:space="0" w:color="auto"/>
        <w:left w:val="none" w:sz="0" w:space="0" w:color="auto"/>
        <w:bottom w:val="none" w:sz="0" w:space="0" w:color="auto"/>
        <w:right w:val="none" w:sz="0" w:space="0" w:color="auto"/>
      </w:divBdr>
    </w:div>
    <w:div w:id="1833329836">
      <w:bodyDiv w:val="1"/>
      <w:marLeft w:val="0"/>
      <w:marRight w:val="0"/>
      <w:marTop w:val="0"/>
      <w:marBottom w:val="0"/>
      <w:divBdr>
        <w:top w:val="none" w:sz="0" w:space="0" w:color="auto"/>
        <w:left w:val="none" w:sz="0" w:space="0" w:color="auto"/>
        <w:bottom w:val="none" w:sz="0" w:space="0" w:color="auto"/>
        <w:right w:val="none" w:sz="0" w:space="0" w:color="auto"/>
      </w:divBdr>
    </w:div>
    <w:div w:id="1859270980">
      <w:bodyDiv w:val="1"/>
      <w:marLeft w:val="0"/>
      <w:marRight w:val="0"/>
      <w:marTop w:val="0"/>
      <w:marBottom w:val="0"/>
      <w:divBdr>
        <w:top w:val="none" w:sz="0" w:space="0" w:color="auto"/>
        <w:left w:val="none" w:sz="0" w:space="0" w:color="auto"/>
        <w:bottom w:val="none" w:sz="0" w:space="0" w:color="auto"/>
        <w:right w:val="none" w:sz="0" w:space="0" w:color="auto"/>
      </w:divBdr>
    </w:div>
    <w:div w:id="1860728600">
      <w:bodyDiv w:val="1"/>
      <w:marLeft w:val="0"/>
      <w:marRight w:val="0"/>
      <w:marTop w:val="0"/>
      <w:marBottom w:val="0"/>
      <w:divBdr>
        <w:top w:val="none" w:sz="0" w:space="0" w:color="auto"/>
        <w:left w:val="none" w:sz="0" w:space="0" w:color="auto"/>
        <w:bottom w:val="none" w:sz="0" w:space="0" w:color="auto"/>
        <w:right w:val="none" w:sz="0" w:space="0" w:color="auto"/>
      </w:divBdr>
    </w:div>
    <w:div w:id="1868371483">
      <w:bodyDiv w:val="1"/>
      <w:marLeft w:val="0"/>
      <w:marRight w:val="0"/>
      <w:marTop w:val="0"/>
      <w:marBottom w:val="0"/>
      <w:divBdr>
        <w:top w:val="none" w:sz="0" w:space="0" w:color="auto"/>
        <w:left w:val="none" w:sz="0" w:space="0" w:color="auto"/>
        <w:bottom w:val="none" w:sz="0" w:space="0" w:color="auto"/>
        <w:right w:val="none" w:sz="0" w:space="0" w:color="auto"/>
      </w:divBdr>
    </w:div>
    <w:div w:id="1882939186">
      <w:bodyDiv w:val="1"/>
      <w:marLeft w:val="0"/>
      <w:marRight w:val="0"/>
      <w:marTop w:val="0"/>
      <w:marBottom w:val="0"/>
      <w:divBdr>
        <w:top w:val="none" w:sz="0" w:space="0" w:color="auto"/>
        <w:left w:val="none" w:sz="0" w:space="0" w:color="auto"/>
        <w:bottom w:val="none" w:sz="0" w:space="0" w:color="auto"/>
        <w:right w:val="none" w:sz="0" w:space="0" w:color="auto"/>
      </w:divBdr>
    </w:div>
    <w:div w:id="1911622107">
      <w:bodyDiv w:val="1"/>
      <w:marLeft w:val="0"/>
      <w:marRight w:val="0"/>
      <w:marTop w:val="0"/>
      <w:marBottom w:val="0"/>
      <w:divBdr>
        <w:top w:val="none" w:sz="0" w:space="0" w:color="auto"/>
        <w:left w:val="none" w:sz="0" w:space="0" w:color="auto"/>
        <w:bottom w:val="none" w:sz="0" w:space="0" w:color="auto"/>
        <w:right w:val="none" w:sz="0" w:space="0" w:color="auto"/>
      </w:divBdr>
    </w:div>
    <w:div w:id="1937053789">
      <w:bodyDiv w:val="1"/>
      <w:marLeft w:val="0"/>
      <w:marRight w:val="0"/>
      <w:marTop w:val="0"/>
      <w:marBottom w:val="0"/>
      <w:divBdr>
        <w:top w:val="none" w:sz="0" w:space="0" w:color="auto"/>
        <w:left w:val="none" w:sz="0" w:space="0" w:color="auto"/>
        <w:bottom w:val="none" w:sz="0" w:space="0" w:color="auto"/>
        <w:right w:val="none" w:sz="0" w:space="0" w:color="auto"/>
      </w:divBdr>
    </w:div>
    <w:div w:id="1958371685">
      <w:bodyDiv w:val="1"/>
      <w:marLeft w:val="0"/>
      <w:marRight w:val="0"/>
      <w:marTop w:val="0"/>
      <w:marBottom w:val="0"/>
      <w:divBdr>
        <w:top w:val="none" w:sz="0" w:space="0" w:color="auto"/>
        <w:left w:val="none" w:sz="0" w:space="0" w:color="auto"/>
        <w:bottom w:val="none" w:sz="0" w:space="0" w:color="auto"/>
        <w:right w:val="none" w:sz="0" w:space="0" w:color="auto"/>
      </w:divBdr>
    </w:div>
    <w:div w:id="2033527342">
      <w:bodyDiv w:val="1"/>
      <w:marLeft w:val="0"/>
      <w:marRight w:val="0"/>
      <w:marTop w:val="0"/>
      <w:marBottom w:val="0"/>
      <w:divBdr>
        <w:top w:val="none" w:sz="0" w:space="0" w:color="auto"/>
        <w:left w:val="none" w:sz="0" w:space="0" w:color="auto"/>
        <w:bottom w:val="none" w:sz="0" w:space="0" w:color="auto"/>
        <w:right w:val="none" w:sz="0" w:space="0" w:color="auto"/>
      </w:divBdr>
    </w:div>
    <w:div w:id="2036229889">
      <w:bodyDiv w:val="1"/>
      <w:marLeft w:val="0"/>
      <w:marRight w:val="0"/>
      <w:marTop w:val="0"/>
      <w:marBottom w:val="0"/>
      <w:divBdr>
        <w:top w:val="none" w:sz="0" w:space="0" w:color="auto"/>
        <w:left w:val="none" w:sz="0" w:space="0" w:color="auto"/>
        <w:bottom w:val="none" w:sz="0" w:space="0" w:color="auto"/>
        <w:right w:val="none" w:sz="0" w:space="0" w:color="auto"/>
      </w:divBdr>
    </w:div>
    <w:div w:id="2065643774">
      <w:bodyDiv w:val="1"/>
      <w:marLeft w:val="0"/>
      <w:marRight w:val="0"/>
      <w:marTop w:val="0"/>
      <w:marBottom w:val="0"/>
      <w:divBdr>
        <w:top w:val="none" w:sz="0" w:space="0" w:color="auto"/>
        <w:left w:val="none" w:sz="0" w:space="0" w:color="auto"/>
        <w:bottom w:val="none" w:sz="0" w:space="0" w:color="auto"/>
        <w:right w:val="none" w:sz="0" w:space="0" w:color="auto"/>
      </w:divBdr>
    </w:div>
    <w:div w:id="211197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Nat18</b:Tag>
    <b:SourceType>Report</b:SourceType>
    <b:Guid>{475F0A05-BCED-4AA3-B11D-0D5EE29E7CF8}</b:Guid>
    <b:Author>
      <b:Author>
        <b:NameList>
          <b:Person>
            <b:Last>(NIST)</b:Last>
            <b:First>National</b:First>
            <b:Middle>Institute of Standards and Technology</b:Middle>
          </b:Person>
        </b:NameList>
      </b:Author>
    </b:Author>
    <b:Title>Framework for Improving Critical Infrastructure Cybersecurity, NIST</b:Title>
    <b:Year>2018</b:Year>
    <b:Publisher>https://www.nist.gov/cyberframework</b:Publisher>
    <b:RefOrder>4</b:RefOrder>
  </b:Source>
  <b:Source>
    <b:Tag>ISO13</b:Tag>
    <b:SourceType>Report</b:SourceType>
    <b:Guid>{BCEB6C8B-51FB-4412-9FB4-8F97BB6D87E1}</b:Guid>
    <b:Title>Information Security Management Systems — Requirements. International Organization for Standardization</b:Title>
    <b:Year>2013</b:Year>
    <b:Author>
      <b:Author>
        <b:NameList>
          <b:Person>
            <b:Last>27001</b:Last>
            <b:First>ISO/IEC</b:First>
          </b:Person>
        </b:NameList>
      </b:Author>
    </b:Author>
    <b:Publisher>https://www.iso.org/standard/27001</b:Publisher>
    <b:RefOrder>3</b:RefOrder>
  </b:Source>
  <b:Source>
    <b:Tag>Gen18</b:Tag>
    <b:SourceType>Report</b:SourceType>
    <b:Guid>{4511A349-663E-4C4D-BDC4-5CD1F89AC870}</b:Guid>
    <b:Author>
      <b:Author>
        <b:NameList>
          <b:Person>
            <b:Last>Guidelines</b:Last>
            <b:First>General</b:First>
            <b:Middle>Data Protection Regulation (GDPR) Compliance</b:Middle>
          </b:Person>
        </b:NameList>
      </b:Author>
    </b:Author>
    <b:Title>General Data Protection Regulation (GDPR) Compliance Guidelines,European Commission</b:Title>
    <b:Year>2018</b:Year>
    <b:Publisher>https://eur-lex.europa.eu/eli/reg/2016/679/oj</b:Publisher>
    <b:RefOrder>5</b:RefOrder>
  </b:Source>
  <b:Source>
    <b:Tag>AKu12</b:Tag>
    <b:SourceType>JournalArticle</b:SourceType>
    <b:Guid>{3CCD2D94-12A2-4EAE-AB26-AAB61AB52949}</b:Guid>
    <b:Title>A survey on phishing attacks and countermeasures,” International Journal of Computer Applications</b:Title>
    <b:Year>2012</b:Year>
    <b:Pages>42-49</b:Pages>
    <b:Author>
      <b:Author>
        <b:NameList>
          <b:Person>
            <b:Last>A. Kumar</b:Last>
            <b:First>P.</b:First>
            <b:Middle>Bhattacharyya, and S. Ghosh</b:Middle>
          </b:Person>
        </b:NameList>
      </b:Author>
    </b:Author>
    <b:Volume>vol. 43, no. 15,</b:Volume>
    <b:RefOrder>1</b:RefOrder>
  </b:Source>
  <b:Source>
    <b:Tag>MSH19</b:Tag>
    <b:SourceType>JournalArticle</b:SourceType>
    <b:Guid>{3A03401B-795A-46C6-86B9-437CB92F2E22}</b:Guid>
    <b:Author>
      <b:Author>
        <b:NameList>
          <b:Person>
            <b:Last>M. S. Hossain</b:Last>
            <b:First>S.</b:First>
            <b:Middle>R. Islam, and A. Al-Hashmi</b:Middle>
          </b:Person>
        </b:NameList>
      </b:Author>
    </b:Author>
    <b:Title>Ransomware: A survey and analysis of recent trends,” Journal of Computer Networks and Communications</b:Title>
    <b:Year>vol. 2019, 2019</b:Year>
    <b:Pages>https://onlinelibrary.wiley.com/doi/10.1155/2019/2820694</b:Pages>
    <b:RefOrder>2</b:RefOrder>
  </b:Source>
  <b:Source>
    <b:Tag>PAn18</b:Tag>
    <b:SourceType>JournalArticle</b:SourceType>
    <b:Guid>{62BB59E3-69D0-4502-A06D-CC21FD74E994}</b:Guid>
    <b:Author>
      <b:Author>
        <b:NameList>
          <b:Person>
            <b:Last>Anderson</b:Last>
            <b:First>P.</b:First>
          </b:Person>
        </b:NameList>
      </b:Author>
    </b:Author>
    <b:Title>“Cyber security for the Internet of Things: A survey,” Journal of Cyber Security</b:Title>
    <b:Year>2018</b:Year>
    <b:Pages>pp. 15-2</b:Pages>
    <b:Volume>vol. 14</b:Volume>
    <b:Issue>https://www.sciencedirect.com/browse/journals-and-books</b:Issue>
    <b:RefOrder>6</b:RefOrder>
  </b:Source>
  <b:Source>
    <b:Tag>GLe17</b:Tag>
    <b:SourceType>JournalArticle</b:SourceType>
    <b:Guid>{6D98BE17-7589-4852-9B44-E37625C29DA2}</b:Guid>
    <b:Author>
      <b:Author>
        <b:NameList>
          <b:Person>
            <b:Last>Lee</b:Last>
            <b:First>G.</b:First>
          </b:Person>
        </b:NameList>
      </b:Author>
    </b:Author>
    <b:Title>The importance of employee cybersecurity training," Journal of Information Security</b:Title>
    <b:Year>2017</b:Year>
    <b:Pages>78-85</b:Pages>
    <b:Volume>vol. 32</b:Volume>
    <b:Issue>https://onlinelibrary.wiley.com/</b:Issue>
    <b:RefOrder>7</b:RefOrder>
  </b:Source>
  <b:Source>
    <b:Tag>MRK19</b:Tag>
    <b:SourceType>JournalArticle</b:SourceType>
    <b:Guid>{3A2A2F98-C4F9-40D3-94B6-977A5EA83C37}</b:Guid>
    <b:Author>
      <b:Author>
        <b:NameList>
          <b:Person>
            <b:Last>Rajasekaran</b:Last>
            <b:First>M.</b:First>
            <b:Middle>R. K. S. Rao and K. S.</b:Middle>
          </b:Person>
        </b:NameList>
      </b:Author>
    </b:Author>
    <b:Title>Incident response and management for organizations,” International Journal of Computer Science and Technology</b:Title>
    <b:Year>2019</b:Year>
    <b:Pages> 95-102</b:Pages>
    <b:Volume>vol. 5, no. 1</b:Volume>
    <b:Issue>https://www.ijcst.org/</b:Issue>
    <b:RefOrder>8</b:RefOrder>
  </b:Source>
  <b:Source>
    <b:Tag>JTB20</b:Tag>
    <b:SourceType>JournalArticle</b:SourceType>
    <b:Guid>{72BC84FE-7557-463C-9633-9E9B0413004D}</b:Guid>
    <b:Author>
      <b:Author>
        <b:NameList>
          <b:Person>
            <b:Last>Barr</b:Last>
            <b:First>J.</b:First>
            <b:Middle>T.</b:Middle>
          </b:Person>
        </b:NameList>
      </b:Author>
    </b:Author>
    <b:Title>"Cyber Security: Why Businesses Should Embrace Security Awareness Training," Cyber Security Journal</b:Title>
    <b:Year>2020</b:Year>
    <b:Pages>30-35</b:Pages>
    <b:Volume>vol. 12</b:Volume>
    <b:Issue>https://www.cybersecurityjournal.com/lander</b:Issue>
    <b:RefOrder>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5d7a49653832e3ca5089137514ab8df5">
  <xsd:schema xmlns:xsd="http://www.w3.org/2001/XMLSchema" xmlns:xs="http://www.w3.org/2001/XMLSchema" xmlns:p="http://schemas.microsoft.com/office/2006/metadata/properties" xmlns:ns3="0085e1a2-9cbf-4b92-866b-21f3c89040b6" targetNamespace="http://schemas.microsoft.com/office/2006/metadata/properties" ma:root="true" ma:fieldsID="89387d6d45b248078e14e345f568345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05783DA4-E682-4E6C-B132-F4BECC255182}">
  <ds:schemaRefs>
    <ds:schemaRef ds:uri="http://schemas.openxmlformats.org/officeDocument/2006/bibliography"/>
  </ds:schemaRefs>
</ds:datastoreItem>
</file>

<file path=customXml/itemProps2.xml><?xml version="1.0" encoding="utf-8"?>
<ds:datastoreItem xmlns:ds="http://schemas.openxmlformats.org/officeDocument/2006/customXml" ds:itemID="{BA5A5D9D-845A-4036-8D3C-EF44CDB66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4B60AF-D1A2-468D-BDEF-A3C949B4CB65}">
  <ds:schemaRefs>
    <ds:schemaRef ds:uri="http://schemas.microsoft.com/sharepoint/v3/contenttype/forms"/>
  </ds:schemaRefs>
</ds:datastoreItem>
</file>

<file path=customXml/itemProps4.xml><?xml version="1.0" encoding="utf-8"?>
<ds:datastoreItem xmlns:ds="http://schemas.openxmlformats.org/officeDocument/2006/customXml" ds:itemID="{30A3D9FC-8E7C-41CC-B0BC-DB2723F5F264}">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0085e1a2-9cbf-4b92-866b-21f3c89040b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2218</Words>
  <Characters>12649</Characters>
  <Application>Microsoft Office Word</Application>
  <DocSecurity>0</DocSecurity>
  <Lines>105</Lines>
  <Paragraphs>29</Paragraphs>
  <ScaleCrop>false</ScaleCrop>
  <Company/>
  <LinksUpToDate>false</LinksUpToDate>
  <CharactersWithSpaces>14838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Miles (2404521)</dc:creator>
  <cp:keywords/>
  <dc:description/>
  <cp:lastModifiedBy>Aaron Miles (2404521)</cp:lastModifiedBy>
  <cp:revision>2</cp:revision>
  <dcterms:created xsi:type="dcterms:W3CDTF">2025-05-13T13:10:00Z</dcterms:created>
  <dcterms:modified xsi:type="dcterms:W3CDTF">2025-05-13T13:10:00Z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