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1D39D" w14:textId="42F257B1" w:rsidR="00D57C25" w:rsidRPr="00D57C25" w:rsidRDefault="00D57C25" w:rsidP="00E6536C">
      <w:pPr>
        <w:spacing w:after="0" w:line="480" w:lineRule="auto"/>
        <w:rPr>
          <w:rFonts w:ascii="Times New Roman" w:hAnsi="Times New Roman" w:cs="Times New Roman"/>
          <w:b/>
          <w:bCs/>
          <w:sz w:val="52"/>
          <w:szCs w:val="52"/>
        </w:rPr>
      </w:pPr>
      <w:r w:rsidRPr="00D57C25">
        <w:rPr>
          <w:rFonts w:ascii="Times New Roman" w:hAnsi="Times New Roman" w:cs="Times New Roman"/>
          <w:b/>
          <w:bCs/>
          <w:sz w:val="52"/>
          <w:szCs w:val="52"/>
        </w:rPr>
        <w:t xml:space="preserve">Principles of Health and Social Care Practice </w:t>
      </w:r>
    </w:p>
    <w:p w14:paraId="3685AA34" w14:textId="0DD57685" w:rsidR="00D57C25" w:rsidRPr="00D57C25" w:rsidRDefault="00D57C25" w:rsidP="00E6536C">
      <w:pPr>
        <w:spacing w:after="0" w:line="480" w:lineRule="auto"/>
        <w:rPr>
          <w:rFonts w:ascii="Times New Roman" w:hAnsi="Times New Roman" w:cs="Times New Roman"/>
          <w:b/>
          <w:bCs/>
          <w:sz w:val="52"/>
          <w:szCs w:val="52"/>
        </w:rPr>
      </w:pPr>
      <w:r w:rsidRPr="00D57C25">
        <w:rPr>
          <w:rFonts w:ascii="Times New Roman" w:hAnsi="Times New Roman" w:cs="Times New Roman"/>
          <w:b/>
          <w:bCs/>
          <w:sz w:val="52"/>
          <w:szCs w:val="52"/>
        </w:rPr>
        <w:t>BMHP5016</w:t>
      </w:r>
    </w:p>
    <w:p w14:paraId="4DB47422" w14:textId="14FC4BCB" w:rsidR="00D57C25" w:rsidRPr="00D57C25" w:rsidRDefault="00D57C25" w:rsidP="00E6536C">
      <w:pPr>
        <w:spacing w:after="0" w:line="480" w:lineRule="auto"/>
        <w:rPr>
          <w:rFonts w:ascii="Times New Roman" w:hAnsi="Times New Roman" w:cs="Times New Roman"/>
          <w:b/>
          <w:bCs/>
          <w:sz w:val="52"/>
          <w:szCs w:val="52"/>
        </w:rPr>
      </w:pPr>
      <w:r w:rsidRPr="00D57C25">
        <w:rPr>
          <w:rFonts w:ascii="Times New Roman" w:hAnsi="Times New Roman" w:cs="Times New Roman"/>
          <w:b/>
          <w:bCs/>
          <w:sz w:val="52"/>
          <w:szCs w:val="52"/>
        </w:rPr>
        <w:t>Component 2: Written Assignment (Report)</w:t>
      </w:r>
    </w:p>
    <w:p w14:paraId="144DD12E" w14:textId="06E74A87" w:rsidR="00D57C25" w:rsidRPr="00D57C25" w:rsidRDefault="00D57C25" w:rsidP="00E6536C">
      <w:pPr>
        <w:spacing w:after="0" w:line="480" w:lineRule="auto"/>
        <w:rPr>
          <w:rFonts w:ascii="Times New Roman" w:hAnsi="Times New Roman" w:cs="Times New Roman"/>
          <w:b/>
          <w:bCs/>
          <w:sz w:val="52"/>
          <w:szCs w:val="52"/>
        </w:rPr>
      </w:pPr>
      <w:r w:rsidRPr="00D57C25">
        <w:rPr>
          <w:rFonts w:ascii="Times New Roman" w:hAnsi="Times New Roman" w:cs="Times New Roman"/>
          <w:b/>
          <w:bCs/>
          <w:sz w:val="52"/>
          <w:szCs w:val="52"/>
        </w:rPr>
        <w:t>By 2411425</w:t>
      </w:r>
    </w:p>
    <w:p w14:paraId="3CF3EC7F" w14:textId="32530168" w:rsidR="00D57C25" w:rsidRPr="00D57C25" w:rsidRDefault="00D57C25" w:rsidP="00E6536C">
      <w:pPr>
        <w:spacing w:after="0" w:line="480" w:lineRule="auto"/>
        <w:rPr>
          <w:rFonts w:ascii="Times New Roman" w:hAnsi="Times New Roman" w:cs="Times New Roman"/>
          <w:b/>
          <w:bCs/>
          <w:sz w:val="52"/>
          <w:szCs w:val="52"/>
        </w:rPr>
      </w:pPr>
      <w:r w:rsidRPr="00D57C25">
        <w:rPr>
          <w:rFonts w:ascii="Times New Roman" w:hAnsi="Times New Roman" w:cs="Times New Roman"/>
          <w:b/>
          <w:bCs/>
          <w:sz w:val="52"/>
          <w:szCs w:val="52"/>
        </w:rPr>
        <w:t xml:space="preserve">Lecturer: Farah Islam </w:t>
      </w:r>
    </w:p>
    <w:p w14:paraId="052D72A6" w14:textId="77777777" w:rsidR="00D57C25" w:rsidRDefault="00D57C25" w:rsidP="00E6536C">
      <w:pPr>
        <w:spacing w:after="0" w:line="480" w:lineRule="auto"/>
        <w:rPr>
          <w:rFonts w:ascii="Times New Roman" w:hAnsi="Times New Roman" w:cs="Times New Roman"/>
          <w:b/>
          <w:bCs/>
          <w:sz w:val="28"/>
          <w:szCs w:val="28"/>
        </w:rPr>
      </w:pPr>
    </w:p>
    <w:p w14:paraId="39B7B998" w14:textId="77777777" w:rsidR="00D57C25" w:rsidRDefault="00D57C25" w:rsidP="00E6536C">
      <w:pPr>
        <w:spacing w:after="0" w:line="480" w:lineRule="auto"/>
        <w:rPr>
          <w:rFonts w:ascii="Times New Roman" w:hAnsi="Times New Roman" w:cs="Times New Roman"/>
          <w:b/>
          <w:bCs/>
          <w:sz w:val="28"/>
          <w:szCs w:val="28"/>
        </w:rPr>
      </w:pPr>
    </w:p>
    <w:p w14:paraId="3A7FC8DC" w14:textId="77777777" w:rsidR="00D57C25" w:rsidRDefault="00D57C25" w:rsidP="00E6536C">
      <w:pPr>
        <w:spacing w:after="0" w:line="480" w:lineRule="auto"/>
        <w:rPr>
          <w:rFonts w:ascii="Times New Roman" w:hAnsi="Times New Roman" w:cs="Times New Roman"/>
          <w:b/>
          <w:bCs/>
          <w:sz w:val="28"/>
          <w:szCs w:val="28"/>
        </w:rPr>
      </w:pPr>
    </w:p>
    <w:p w14:paraId="412AC98B" w14:textId="77777777" w:rsidR="00D57C25" w:rsidRDefault="00D57C25" w:rsidP="00E6536C">
      <w:pPr>
        <w:spacing w:after="0" w:line="480" w:lineRule="auto"/>
        <w:rPr>
          <w:rFonts w:ascii="Times New Roman" w:hAnsi="Times New Roman" w:cs="Times New Roman"/>
          <w:b/>
          <w:bCs/>
          <w:sz w:val="28"/>
          <w:szCs w:val="28"/>
        </w:rPr>
      </w:pPr>
    </w:p>
    <w:p w14:paraId="2D942283" w14:textId="77777777" w:rsidR="00D57C25" w:rsidRDefault="00D57C25" w:rsidP="00E6536C">
      <w:pPr>
        <w:spacing w:after="0" w:line="480" w:lineRule="auto"/>
        <w:rPr>
          <w:rFonts w:ascii="Times New Roman" w:hAnsi="Times New Roman" w:cs="Times New Roman"/>
          <w:b/>
          <w:bCs/>
          <w:sz w:val="28"/>
          <w:szCs w:val="28"/>
        </w:rPr>
      </w:pPr>
    </w:p>
    <w:p w14:paraId="4983F1F0" w14:textId="77777777" w:rsidR="00D57C25" w:rsidRDefault="00D57C25" w:rsidP="00E6536C">
      <w:pPr>
        <w:spacing w:after="0" w:line="480" w:lineRule="auto"/>
        <w:rPr>
          <w:rFonts w:ascii="Times New Roman" w:hAnsi="Times New Roman" w:cs="Times New Roman"/>
          <w:b/>
          <w:bCs/>
          <w:sz w:val="28"/>
          <w:szCs w:val="28"/>
        </w:rPr>
      </w:pPr>
    </w:p>
    <w:p w14:paraId="658B4C7B" w14:textId="77777777" w:rsidR="00D57C25" w:rsidRDefault="00D57C25" w:rsidP="00E6536C">
      <w:pPr>
        <w:spacing w:after="0" w:line="480" w:lineRule="auto"/>
        <w:rPr>
          <w:rFonts w:ascii="Times New Roman" w:hAnsi="Times New Roman" w:cs="Times New Roman"/>
          <w:b/>
          <w:bCs/>
          <w:sz w:val="28"/>
          <w:szCs w:val="28"/>
        </w:rPr>
      </w:pPr>
    </w:p>
    <w:p w14:paraId="5AE50B2F" w14:textId="586DAEED" w:rsidR="002C6A16" w:rsidRPr="006E23A4" w:rsidRDefault="002C6A16" w:rsidP="00E6536C">
      <w:pPr>
        <w:spacing w:after="0" w:line="480" w:lineRule="auto"/>
        <w:rPr>
          <w:rFonts w:ascii="Times New Roman" w:hAnsi="Times New Roman" w:cs="Times New Roman"/>
          <w:b/>
          <w:bCs/>
          <w:sz w:val="28"/>
          <w:szCs w:val="28"/>
        </w:rPr>
      </w:pPr>
      <w:r w:rsidRPr="006E23A4">
        <w:rPr>
          <w:rFonts w:ascii="Times New Roman" w:hAnsi="Times New Roman" w:cs="Times New Roman"/>
          <w:b/>
          <w:bCs/>
          <w:sz w:val="28"/>
          <w:szCs w:val="28"/>
        </w:rPr>
        <w:lastRenderedPageBreak/>
        <w:t>Evaluation of Person-Centred Care and Partnership Working in Health and Social Care.</w:t>
      </w:r>
    </w:p>
    <w:p w14:paraId="1FEAFCCB" w14:textId="77777777" w:rsidR="002C6A16" w:rsidRPr="00E6536C" w:rsidRDefault="002C6A16" w:rsidP="00E6536C">
      <w:pPr>
        <w:pStyle w:val="Heading1"/>
      </w:pPr>
      <w:r w:rsidRPr="00E6536C">
        <w:t>1.0 Introduction</w:t>
      </w:r>
    </w:p>
    <w:p w14:paraId="14F0AEBF" w14:textId="476EE458" w:rsidR="002C6A16" w:rsidRPr="00E6536C" w:rsidRDefault="000F76BF" w:rsidP="00E6536C">
      <w:pPr>
        <w:spacing w:after="0" w:line="480" w:lineRule="auto"/>
        <w:rPr>
          <w:rFonts w:ascii="Times New Roman" w:hAnsi="Times New Roman" w:cs="Times New Roman"/>
          <w:sz w:val="24"/>
          <w:szCs w:val="24"/>
        </w:rPr>
      </w:pPr>
      <w:r w:rsidRPr="000F76BF">
        <w:rPr>
          <w:rFonts w:ascii="Times New Roman" w:hAnsi="Times New Roman" w:cs="Times New Roman"/>
          <w:sz w:val="24"/>
          <w:szCs w:val="24"/>
        </w:rPr>
        <w:t xml:space="preserve">The health and social care sector </w:t>
      </w:r>
      <w:r w:rsidR="003B0A5D" w:rsidRPr="000F76BF">
        <w:rPr>
          <w:rFonts w:ascii="Times New Roman" w:hAnsi="Times New Roman" w:cs="Times New Roman"/>
          <w:sz w:val="24"/>
          <w:szCs w:val="24"/>
        </w:rPr>
        <w:t>have</w:t>
      </w:r>
      <w:r w:rsidRPr="000F76BF">
        <w:rPr>
          <w:rFonts w:ascii="Times New Roman" w:hAnsi="Times New Roman" w:cs="Times New Roman"/>
          <w:sz w:val="24"/>
          <w:szCs w:val="24"/>
        </w:rPr>
        <w:t xml:space="preserve"> experienced a change in the recent history making it more of a focus on the integration of individualised, holistic approaches that make the service users the centre of care provision (Village and Office for the Care of the Elderly, 2023). Policy modifications and legislative changes have encouraged the use of person-centred care and collegiate alliances to be adopted as the building blocks of the modern system</w:t>
      </w:r>
      <w:r w:rsidR="00731971" w:rsidRPr="00731971">
        <w:rPr>
          <w:rFonts w:ascii="Times New Roman" w:hAnsi="Times New Roman" w:cs="Times New Roman"/>
          <w:sz w:val="24"/>
          <w:szCs w:val="24"/>
        </w:rPr>
        <w:t>. This report considers interconnected elements, theories, and practices, as well as the impact on professional practice in the context of residential care</w:t>
      </w:r>
      <w:r w:rsidR="002C6A16" w:rsidRPr="00E6536C">
        <w:rPr>
          <w:rFonts w:ascii="Times New Roman" w:hAnsi="Times New Roman" w:cs="Times New Roman"/>
          <w:sz w:val="24"/>
          <w:szCs w:val="24"/>
        </w:rPr>
        <w:t>.</w:t>
      </w:r>
    </w:p>
    <w:p w14:paraId="706C954C" w14:textId="77777777" w:rsidR="002C6A16" w:rsidRPr="00E6536C" w:rsidRDefault="002C6A16" w:rsidP="00E6536C">
      <w:pPr>
        <w:pStyle w:val="Heading1"/>
      </w:pPr>
      <w:r w:rsidRPr="00E6536C">
        <w:t>2.0 Defining Person-Centred Care: Benefits and Limitations</w:t>
      </w:r>
    </w:p>
    <w:p w14:paraId="629378CB" w14:textId="1A0F35C5" w:rsidR="00985A26" w:rsidRPr="00985A26" w:rsidRDefault="00425535" w:rsidP="00985A26">
      <w:pPr>
        <w:spacing w:after="0" w:line="480" w:lineRule="auto"/>
        <w:rPr>
          <w:rFonts w:ascii="Times New Roman" w:hAnsi="Times New Roman" w:cs="Times New Roman"/>
          <w:sz w:val="24"/>
          <w:szCs w:val="24"/>
        </w:rPr>
      </w:pPr>
      <w:r w:rsidRPr="00425535">
        <w:rPr>
          <w:rFonts w:ascii="Times New Roman" w:hAnsi="Times New Roman" w:cs="Times New Roman"/>
          <w:sz w:val="24"/>
          <w:szCs w:val="24"/>
        </w:rPr>
        <w:t>Person-centred care (PCC) assumes that service users are human beings that need dignity and autonomy which further suggests that care service users should not be viewed as passive consumers of care (Yao and Kabir, 2023</w:t>
      </w:r>
      <w:r w:rsidR="00731971" w:rsidRPr="00731971">
        <w:rPr>
          <w:rFonts w:ascii="Times New Roman" w:hAnsi="Times New Roman" w:cs="Times New Roman"/>
          <w:sz w:val="24"/>
          <w:szCs w:val="24"/>
        </w:rPr>
        <w:t xml:space="preserve">). </w:t>
      </w:r>
      <w:r w:rsidR="00985A26" w:rsidRPr="00985A26">
        <w:rPr>
          <w:rFonts w:ascii="Times New Roman" w:hAnsi="Times New Roman" w:cs="Times New Roman"/>
          <w:sz w:val="24"/>
          <w:szCs w:val="24"/>
        </w:rPr>
        <w:t>The main advantages of PCC are the improved satisfaction of the service users, health outcomes, and the involvement of the latter in the processes of care. By making them feel valued and listened to, people show a higher level of compliance with treatment plans and have a better psychological wellbeing (Yao and Kabir, 2023). PCC is based on dignity and respect as essential rights that are incorporated in healthcare laws. Moreover, this strategy can minimize unneeded interventions with the priority on things that are the most important to a person, which could result in the more productive use of resources.</w:t>
      </w:r>
    </w:p>
    <w:p w14:paraId="20DB9194" w14:textId="785A3043" w:rsidR="002C6A16" w:rsidRPr="00E6536C"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lastRenderedPageBreak/>
        <w:t>Nevertheless, PCC has a number of limitations. It consumes considerable resources in terms of time and effort on the part of the practitioners, which is difficult to implement in resource-limiting settings whereby the staff themselves are tasked with competing demands (Njuguna et al., 2025). Moreover, the organisational cultures that are task-oriented and standardised care could be hostile to the flexibility that is needed when working with real people (Moore et al., 2017). These power relationships between professionals and service users may be maintained even when philosophical ideals suggest that partnership is an option, especially in cases where people lack confidence or have structural obstacles to involvement</w:t>
      </w:r>
      <w:r w:rsidR="002C6A16" w:rsidRPr="00E6536C">
        <w:rPr>
          <w:rFonts w:ascii="Times New Roman" w:hAnsi="Times New Roman" w:cs="Times New Roman"/>
          <w:sz w:val="24"/>
          <w:szCs w:val="24"/>
        </w:rPr>
        <w:t>.</w:t>
      </w:r>
    </w:p>
    <w:p w14:paraId="226C9D61" w14:textId="77777777" w:rsidR="002C6A16" w:rsidRPr="00E6536C" w:rsidRDefault="002C6A16" w:rsidP="00CB7C72">
      <w:pPr>
        <w:pStyle w:val="Heading1"/>
      </w:pPr>
      <w:r w:rsidRPr="00E6536C">
        <w:t>3.0 Theoretical Framework: The Social Model of Care</w:t>
      </w:r>
    </w:p>
    <w:p w14:paraId="5194FAF8" w14:textId="77777777"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Person-centred practice has a strong theoretical framework based on the social model of care. This paradigm, which developed as a result of disability right movements, is a fundamental challenge of medical model approaches, which find the problem in the body or minds of individuals (Lawson and Beckett, 2020). Instead, the social model recognizes disabling barriers in the society such as environmental barriers, attitudinal prejudices and institutional structures that inhibit participation.</w:t>
      </w:r>
    </w:p>
    <w:p w14:paraId="59D951DA" w14:textId="647332AE" w:rsidR="002C6A16" w:rsidRPr="00E6536C"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 xml:space="preserve">To the care context, the social model shifts attention on correcting people and focuses on eliminating barriers and enabling environments (Lawson and Beckett, 2020). Obviously, this paradigm shift is closely related to the tenets of person-centred because it focuses on </w:t>
      </w:r>
      <w:r w:rsidR="00EB2A91" w:rsidRPr="00985A26">
        <w:rPr>
          <w:rFonts w:ascii="Times New Roman" w:hAnsi="Times New Roman" w:cs="Times New Roman"/>
          <w:sz w:val="24"/>
          <w:szCs w:val="24"/>
        </w:rPr>
        <w:t>strengths</w:t>
      </w:r>
      <w:r w:rsidRPr="00985A26">
        <w:rPr>
          <w:rFonts w:ascii="Times New Roman" w:hAnsi="Times New Roman" w:cs="Times New Roman"/>
          <w:sz w:val="24"/>
          <w:szCs w:val="24"/>
        </w:rPr>
        <w:t xml:space="preserve">, abilities, and rights and does not prioritize deficits and dependencies (Claessen, 2025). The model acknowledges that disability and care requirements are not due to natural constraints, but are a result of interactions between an individual and his environment. A critical review of this model indicates that there are significant strengths. It makes service users strong by making their experiences right and confronting oppressive actions. The model also upholds social justice </w:t>
      </w:r>
      <w:r w:rsidRPr="00985A26">
        <w:rPr>
          <w:rFonts w:ascii="Times New Roman" w:hAnsi="Times New Roman" w:cs="Times New Roman"/>
          <w:sz w:val="24"/>
          <w:szCs w:val="24"/>
        </w:rPr>
        <w:lastRenderedPageBreak/>
        <w:t xml:space="preserve">because it emphasizes the way policies, attitudes, and structures cause disadvantage (Lawson and Beckett, 2020). However, criticisms have been cast on the social model. It has been said to underestimate the differences that impairment, pain, or illness can have on the lives of people and thus it can marginalise these experiences (Thorneycroft, 2024). Thorneycroft, (2024) also states that the model might be difficult to operationalise in acute medical environments in which physiological interventions continue to be critical. </w:t>
      </w:r>
    </w:p>
    <w:p w14:paraId="0125F782" w14:textId="77777777" w:rsidR="002C6A16" w:rsidRPr="00E6536C" w:rsidRDefault="002C6A16" w:rsidP="009C0A0D">
      <w:pPr>
        <w:pStyle w:val="Heading1"/>
      </w:pPr>
      <w:r w:rsidRPr="00E6536C">
        <w:t>4.0 Ethical Fundamentals of Health and Social Care</w:t>
      </w:r>
    </w:p>
    <w:p w14:paraId="21B86484" w14:textId="10B2D966"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 xml:space="preserve">Ethical standards are used to give the moral compass in the practice of health and social care. </w:t>
      </w:r>
      <w:r w:rsidR="00425535" w:rsidRPr="00425535">
        <w:rPr>
          <w:rFonts w:ascii="Times New Roman" w:hAnsi="Times New Roman" w:cs="Times New Roman"/>
          <w:sz w:val="24"/>
          <w:szCs w:val="24"/>
        </w:rPr>
        <w:t>Four concepts dominate ethics in biomedical research, including beneficence, justice, autonomy, and non-maleficence (Beauchamp and Childress, 2019). Autonomy recognizes the right of people to make their decisions about the treatment based on the informed choice but it is an open support of person-centred approaches (Beauchamp and Childress, 2019</w:t>
      </w:r>
      <w:r w:rsidRPr="00985A26">
        <w:rPr>
          <w:rFonts w:ascii="Times New Roman" w:hAnsi="Times New Roman" w:cs="Times New Roman"/>
          <w:sz w:val="24"/>
          <w:szCs w:val="24"/>
        </w:rPr>
        <w:t>). Beneficence means that practitioners must serve the best interests of service users, whereas non-maleficence demands that they should not cause harm (Beauchamp and Childress, 2019). Justice requires equitable allocation of resources and equal treatment irrespective of features such as old age, ethnicity and socio-economic background.</w:t>
      </w:r>
    </w:p>
    <w:p w14:paraId="39F4F2DF" w14:textId="77777777"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These values are related to PCC and partnership working. True person-centredness involves the respect of autonomy where individuals are included in making decisions that involve their lives (Beauchamp and Childress, 2019). Ethical dilemma however, occurs when there is conflict between autonomy and other principles. As an example, practitioners might be put in situations that cause tensions involving people making decisions that the professional regards as harmful and have to walk a fine line between autonomy and duty of care obligations.</w:t>
      </w:r>
    </w:p>
    <w:p w14:paraId="57E72D3E" w14:textId="1EFF63E3" w:rsidR="002C6A16" w:rsidRPr="00E6536C"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lastRenderedPageBreak/>
        <w:t>Other ethical issues are respect, privacy and confidentiality. Dignity is a core value in the Care Act 2014, and the services must respect people and help them in their wellbeing (Department of Health, 2014). Working in partnership increases the issues of confidentiality since there is need to share information among agencies and balance between transparency and privacy must be considered.</w:t>
      </w:r>
      <w:r w:rsidR="002C6A16" w:rsidRPr="00E6536C">
        <w:rPr>
          <w:rFonts w:ascii="Times New Roman" w:hAnsi="Times New Roman" w:cs="Times New Roman"/>
          <w:sz w:val="24"/>
          <w:szCs w:val="24"/>
        </w:rPr>
        <w:t xml:space="preserve"> </w:t>
      </w:r>
    </w:p>
    <w:p w14:paraId="5ABF8587" w14:textId="77777777" w:rsidR="002C6A16" w:rsidRPr="00E6536C" w:rsidRDefault="002C6A16" w:rsidP="009C0A0D">
      <w:pPr>
        <w:pStyle w:val="Heading1"/>
      </w:pPr>
      <w:r w:rsidRPr="00E6536C">
        <w:t>5.0 Evaluating Partnership Working in Health and Social Care</w:t>
      </w:r>
    </w:p>
    <w:p w14:paraId="7EAAFB3A" w14:textId="77777777"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Partnership working entails cooperative associations among professionals, organisations, service clients, and communities toward the accomplishment of mutual objectives. This has been observed to identify complex health and social care needs as multi-disciplinary and coordinated responses that cross organisational boundaries (Hunter and Perkins, 2012). Successful collaborations combine the experiences of various sources, minimize the fragmentation of the services, and enhance the results with the help of complete assistance.</w:t>
      </w:r>
    </w:p>
    <w:p w14:paraId="0074EA78" w14:textId="77777777"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There are a number of models of partnership. Multi-disciplinary teams are made up of professionals working in various fields to offer coordinated care (Schot, Tummers and Noordegraaf, 2020). Inter-agency partnerships entail the cooperation of agencies including NHS trusts, local authorities and voluntary sector providers. Co-production is the most participatory style, where the service users are considered as the equal members in designing and provision of services.</w:t>
      </w:r>
    </w:p>
    <w:p w14:paraId="20539D97" w14:textId="77777777" w:rsidR="00985A26" w:rsidRPr="00985A26"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 xml:space="preserve">There are great advantages of partnership working. It allows conducting an all-encompassing evaluation in terms of various perspectives and expertise domains (Davies, 2016). Joint strategies minimize redundancy, enhance productivity, and the customer experience. Partnerships also make the exchange of information easier, which promotes continuity of care as individuals move </w:t>
      </w:r>
      <w:r w:rsidRPr="00985A26">
        <w:rPr>
          <w:rFonts w:ascii="Times New Roman" w:hAnsi="Times New Roman" w:cs="Times New Roman"/>
          <w:sz w:val="24"/>
          <w:szCs w:val="24"/>
        </w:rPr>
        <w:lastRenderedPageBreak/>
        <w:t>across services (Bucy and Cross, 2023). Also, the participation of service users in the partnerships enhances empowerment and makes the services actually address the needs.</w:t>
      </w:r>
    </w:p>
    <w:p w14:paraId="26B5D14F" w14:textId="782F5DEF" w:rsidR="002C6A16" w:rsidRPr="00E6536C" w:rsidRDefault="00985A26" w:rsidP="00985A26">
      <w:pPr>
        <w:spacing w:after="0" w:line="480" w:lineRule="auto"/>
        <w:rPr>
          <w:rFonts w:ascii="Times New Roman" w:hAnsi="Times New Roman" w:cs="Times New Roman"/>
          <w:sz w:val="24"/>
          <w:szCs w:val="24"/>
        </w:rPr>
      </w:pPr>
      <w:r w:rsidRPr="00985A26">
        <w:rPr>
          <w:rFonts w:ascii="Times New Roman" w:hAnsi="Times New Roman" w:cs="Times New Roman"/>
          <w:sz w:val="24"/>
          <w:szCs w:val="24"/>
        </w:rPr>
        <w:t>There are however serious challenges associated with partnership working. Tensions can arise due to various organisational cultures and priorities as well as funding arrangements. Hierarchies and professional boundaries can hinder collaboration in working, especially in cases of power distance (Steihaug et al., 2019). Information sharing necessitates strong systems and well-understood protocols, and data protection issues may limit communication (Kaewkungwal et al., 2020). Limitation of resources can restrict the ability of organisations to invest in infrastructure of partnership. Moreover, it is difficult to measure the effectiveness of partnerships because the results can be manifested in long periods of time and can be attributed to a variety of factors</w:t>
      </w:r>
      <w:r w:rsidR="002C6A16" w:rsidRPr="00E6536C">
        <w:rPr>
          <w:rFonts w:ascii="Times New Roman" w:hAnsi="Times New Roman" w:cs="Times New Roman"/>
          <w:sz w:val="24"/>
          <w:szCs w:val="24"/>
        </w:rPr>
        <w:t>.</w:t>
      </w:r>
    </w:p>
    <w:p w14:paraId="282B991F" w14:textId="77777777" w:rsidR="002C6A16" w:rsidRPr="00E6536C" w:rsidRDefault="002C6A16" w:rsidP="009C0A0D">
      <w:pPr>
        <w:pStyle w:val="Heading1"/>
      </w:pPr>
      <w:r w:rsidRPr="00E6536C">
        <w:t>6.0 Partnership Working in Residential Care Settings</w:t>
      </w:r>
    </w:p>
    <w:p w14:paraId="6216699F" w14:textId="77777777" w:rsidR="00A5643B" w:rsidRPr="00A5643B" w:rsidRDefault="00A5643B" w:rsidP="00A5643B">
      <w:pPr>
        <w:spacing w:after="0" w:line="480" w:lineRule="auto"/>
        <w:rPr>
          <w:rFonts w:ascii="Times New Roman" w:hAnsi="Times New Roman" w:cs="Times New Roman"/>
          <w:sz w:val="24"/>
          <w:szCs w:val="24"/>
        </w:rPr>
      </w:pPr>
      <w:r w:rsidRPr="00A5643B">
        <w:rPr>
          <w:rFonts w:ascii="Times New Roman" w:hAnsi="Times New Roman" w:cs="Times New Roman"/>
          <w:sz w:val="24"/>
          <w:szCs w:val="24"/>
        </w:rPr>
        <w:t>Residential care homes offer descriptive contexts to which partnership working practical applications may be applied. Such settings assist people who cannot live on their own and usually include elderly persons with complex conditions such as dementia, physical disabilities, and various health problems (Hallam-Bowles et al., 2022). Good residential care involves collaboration between care home workers, NHS services, social workers, families and the residents themselves.</w:t>
      </w:r>
    </w:p>
    <w:p w14:paraId="10DEDF6B" w14:textId="77777777" w:rsidR="00A5643B" w:rsidRPr="00A5643B" w:rsidRDefault="00A5643B" w:rsidP="00A5643B">
      <w:pPr>
        <w:spacing w:after="0" w:line="480" w:lineRule="auto"/>
        <w:rPr>
          <w:rFonts w:ascii="Times New Roman" w:hAnsi="Times New Roman" w:cs="Times New Roman"/>
          <w:sz w:val="24"/>
          <w:szCs w:val="24"/>
        </w:rPr>
      </w:pPr>
      <w:r w:rsidRPr="00A5643B">
        <w:rPr>
          <w:rFonts w:ascii="Times New Roman" w:hAnsi="Times New Roman" w:cs="Times New Roman"/>
          <w:sz w:val="24"/>
          <w:szCs w:val="24"/>
        </w:rPr>
        <w:t>In residential care, the needs of residents are regularly evaluated by multi-disciplinary teams that design care plans incorporating medical, social, and personal aspects of care (Steel et al., 2022). Physiotherapists, mental health specialists, occupational therapists, nurses and general practitioners are experts who provide comprehensive support (Champoux, Poirier and Hudon, 2025). When required, social workers support the assessment process and as part of the Care Act 2014 organize care packages and protect interventions.</w:t>
      </w:r>
    </w:p>
    <w:p w14:paraId="5780CF97" w14:textId="3FF73B48" w:rsidR="002C6A16" w:rsidRPr="00E6536C" w:rsidRDefault="00A5643B" w:rsidP="00A5643B">
      <w:pPr>
        <w:spacing w:after="0" w:line="480" w:lineRule="auto"/>
        <w:rPr>
          <w:rFonts w:ascii="Times New Roman" w:hAnsi="Times New Roman" w:cs="Times New Roman"/>
          <w:sz w:val="24"/>
          <w:szCs w:val="24"/>
        </w:rPr>
      </w:pPr>
      <w:r w:rsidRPr="00A5643B">
        <w:rPr>
          <w:rFonts w:ascii="Times New Roman" w:hAnsi="Times New Roman" w:cs="Times New Roman"/>
          <w:sz w:val="24"/>
          <w:szCs w:val="24"/>
        </w:rPr>
        <w:lastRenderedPageBreak/>
        <w:t>Difficulties arise in the residential care partnerships. Time in collaborative working may be curtailed by insufficiency of staff and large workloads. This may result in challenges in accessing external specialist support especially in rural communities or when there is high demand (Chapman et al., 2025). Sometimes, the tensions exist between care home (quality of life) and NHS services (medical management) as a result of differing priorities (Davies et al., 2011). Besides, the ability to keep the voices of the residents at the center in case of cognitive impairment that impacts the communication process necessitates proficient advocacy and imaginative engagement methodologies</w:t>
      </w:r>
      <w:r w:rsidR="002C6A16" w:rsidRPr="00E6536C">
        <w:rPr>
          <w:rFonts w:ascii="Times New Roman" w:hAnsi="Times New Roman" w:cs="Times New Roman"/>
          <w:sz w:val="24"/>
          <w:szCs w:val="24"/>
        </w:rPr>
        <w:t>.</w:t>
      </w:r>
    </w:p>
    <w:p w14:paraId="03A8BA49" w14:textId="77777777" w:rsidR="002C6A16" w:rsidRPr="00E6536C" w:rsidRDefault="002C6A16" w:rsidP="009C0A0D">
      <w:pPr>
        <w:pStyle w:val="Heading1"/>
      </w:pPr>
      <w:r w:rsidRPr="00E6536C">
        <w:t>7.0 Policy and Legislative Framework</w:t>
      </w:r>
    </w:p>
    <w:p w14:paraId="5DB31DBC" w14:textId="77777777" w:rsidR="00663593" w:rsidRPr="00663593" w:rsidRDefault="00663593" w:rsidP="00663593">
      <w:pPr>
        <w:spacing w:after="0" w:line="480" w:lineRule="auto"/>
        <w:rPr>
          <w:rFonts w:ascii="Times New Roman" w:hAnsi="Times New Roman" w:cs="Times New Roman"/>
          <w:sz w:val="24"/>
          <w:szCs w:val="24"/>
        </w:rPr>
      </w:pPr>
      <w:r w:rsidRPr="00663593">
        <w:rPr>
          <w:rFonts w:ascii="Times New Roman" w:hAnsi="Times New Roman" w:cs="Times New Roman"/>
          <w:sz w:val="24"/>
          <w:szCs w:val="24"/>
        </w:rPr>
        <w:t>PCC and partnership working is formed by several policies and legislative instruments. The Care Act 2014 is a groundbreaking law, making wellbeing the principle of adult social care (Barnes et al., 2017). The Act requires person-centred methods by necessitating a personalised care planning, individual budgets, and meaningful involvement of personal participation in the assessment (Coulter and Oldham, 2016). It provides responsibilities of integration between health care and social care with the aim of partnership working via Better Care Fund arrangements and joint commissioning.</w:t>
      </w:r>
    </w:p>
    <w:p w14:paraId="13BCF0E2" w14:textId="248D8305" w:rsidR="002C6A16" w:rsidRPr="00E6536C" w:rsidRDefault="00663593" w:rsidP="00663593">
      <w:pPr>
        <w:spacing w:after="0" w:line="480" w:lineRule="auto"/>
        <w:rPr>
          <w:rFonts w:ascii="Times New Roman" w:hAnsi="Times New Roman" w:cs="Times New Roman"/>
          <w:sz w:val="24"/>
          <w:szCs w:val="24"/>
        </w:rPr>
      </w:pPr>
      <w:r w:rsidRPr="00663593">
        <w:rPr>
          <w:rFonts w:ascii="Times New Roman" w:hAnsi="Times New Roman" w:cs="Times New Roman"/>
          <w:sz w:val="24"/>
          <w:szCs w:val="24"/>
        </w:rPr>
        <w:t xml:space="preserve">Health and Social Care Act 2012 reinvented the organisation of the NHS, established Clinical Commissioning Groups, and encouraged patient choice and participation (Glover Thomas, 2013). NHS Constitution for England specifies the rights of patients to participate in treatment decisions and receive person centred care. The latest policy updates such as the NHS Long Term Plan focus on the individual approach by including social prescribing and shared decision making. Mental Capacity Act 2005 provides protection to people who are incapable of making decisions and ensures autonomy to the maximum by applying the assumptions capacity principle </w:t>
      </w:r>
      <w:r w:rsidRPr="00663593">
        <w:rPr>
          <w:rFonts w:ascii="Times New Roman" w:hAnsi="Times New Roman" w:cs="Times New Roman"/>
          <w:sz w:val="24"/>
          <w:szCs w:val="24"/>
        </w:rPr>
        <w:lastRenderedPageBreak/>
        <w:t>and least restrictive principle (Johnston and Liddle, 2007). In legal practice, person centred principles must be enshrined by legislation which mandates practitioners to facilitate supported decision making and to honour advance decisions. Equality Act 2010 also provides protections that provide services to diverse needs, disallow discrimination, and reasonable adjustments (Disability Rights UK, 2022). The law reinforces partnership strategies by requiring the use of disabled individuals and other vulnerable groups in service design</w:t>
      </w:r>
      <w:r w:rsidR="002C6A16" w:rsidRPr="00E6536C">
        <w:rPr>
          <w:rFonts w:ascii="Times New Roman" w:hAnsi="Times New Roman" w:cs="Times New Roman"/>
          <w:sz w:val="24"/>
          <w:szCs w:val="24"/>
        </w:rPr>
        <w:t>.</w:t>
      </w:r>
    </w:p>
    <w:p w14:paraId="5271CCF7" w14:textId="77777777" w:rsidR="002C6A16" w:rsidRPr="00E6536C" w:rsidRDefault="002C6A16" w:rsidP="00203AB1">
      <w:pPr>
        <w:pStyle w:val="Heading1"/>
      </w:pPr>
      <w:r w:rsidRPr="00E6536C">
        <w:t>8.0 Recommendations for Future Development</w:t>
      </w:r>
    </w:p>
    <w:p w14:paraId="4151942D" w14:textId="238D1258" w:rsidR="00EC1F4C" w:rsidRPr="00EC1F4C" w:rsidRDefault="00F931F3" w:rsidP="00EC1F4C">
      <w:pPr>
        <w:spacing w:after="0" w:line="480" w:lineRule="auto"/>
        <w:rPr>
          <w:rFonts w:ascii="Times New Roman" w:hAnsi="Times New Roman" w:cs="Times New Roman"/>
          <w:sz w:val="24"/>
          <w:szCs w:val="24"/>
        </w:rPr>
      </w:pPr>
      <w:r w:rsidRPr="00F931F3">
        <w:rPr>
          <w:rFonts w:ascii="Times New Roman" w:hAnsi="Times New Roman" w:cs="Times New Roman"/>
          <w:sz w:val="24"/>
          <w:szCs w:val="24"/>
        </w:rPr>
        <w:t>Expanding partnerships and patient-centered care (PCC) demand complex policy, organizational, and practice systems change. In the first place, it is important to invest in working out the workforce</w:t>
      </w:r>
      <w:r w:rsidR="00EC1F4C" w:rsidRPr="00EC1F4C">
        <w:rPr>
          <w:rFonts w:ascii="Times New Roman" w:hAnsi="Times New Roman" w:cs="Times New Roman"/>
          <w:sz w:val="24"/>
          <w:szCs w:val="24"/>
        </w:rPr>
        <w:t>. Training programs should incorporate person-centered practice and collaborative competencies during education, going beyond theory to practice. Brouwer, Joling, and Kaper (2022) recognize the value of encouraging active reflection on the practitioner’s role and the power dynamics of the partnerships.</w:t>
      </w:r>
    </w:p>
    <w:p w14:paraId="584AAD75" w14:textId="462530DD" w:rsidR="002C6A16" w:rsidRPr="00E6536C" w:rsidRDefault="00EC1F4C" w:rsidP="00EC1F4C">
      <w:pPr>
        <w:spacing w:after="0" w:line="480" w:lineRule="auto"/>
        <w:rPr>
          <w:rFonts w:ascii="Times New Roman" w:hAnsi="Times New Roman" w:cs="Times New Roman"/>
          <w:sz w:val="24"/>
          <w:szCs w:val="24"/>
        </w:rPr>
      </w:pPr>
      <w:r w:rsidRPr="00EC1F4C">
        <w:rPr>
          <w:rFonts w:ascii="Times New Roman" w:hAnsi="Times New Roman" w:cs="Times New Roman"/>
          <w:sz w:val="24"/>
          <w:szCs w:val="24"/>
        </w:rPr>
        <w:t>The second focus is on the necessary change in organizational culture. Leaders need to articulate and demonstrate Person Centered Values and commit the necessary resources to relational and collaborative approaches that are encouraged rather than penalized in the administrative performance measurement and quality frameworks (Marshoudi et al, 2023). Easing administrative burdens should free up practitioner time to more fully engage with the service user and should lead to less bureaucratic practice</w:t>
      </w:r>
      <w:r w:rsidR="002C6A16" w:rsidRPr="00E6536C">
        <w:rPr>
          <w:rFonts w:ascii="Times New Roman" w:hAnsi="Times New Roman" w:cs="Times New Roman"/>
          <w:sz w:val="24"/>
          <w:szCs w:val="24"/>
        </w:rPr>
        <w:t>.</w:t>
      </w:r>
    </w:p>
    <w:p w14:paraId="4C6AFEB1" w14:textId="0360A6A2" w:rsidR="002C6A16" w:rsidRPr="00E6536C" w:rsidRDefault="00EC1F4C" w:rsidP="00E6536C">
      <w:pPr>
        <w:spacing w:after="0" w:line="480" w:lineRule="auto"/>
        <w:rPr>
          <w:rFonts w:ascii="Times New Roman" w:hAnsi="Times New Roman" w:cs="Times New Roman"/>
          <w:sz w:val="24"/>
          <w:szCs w:val="24"/>
        </w:rPr>
      </w:pPr>
      <w:r w:rsidRPr="00EC1F4C">
        <w:rPr>
          <w:rFonts w:ascii="Times New Roman" w:hAnsi="Times New Roman" w:cs="Times New Roman"/>
          <w:sz w:val="24"/>
          <w:szCs w:val="24"/>
        </w:rPr>
        <w:t>Third, technology has the potential to strengthen partnerships by streamlining the exchange of information across organizations with electronic records so long as the right privacy controls are in place (Ibrahim et al., 2024). Digital tools enable the participation of service users in the care planning processes and allow for remote consultations, improving access to services.</w:t>
      </w:r>
      <w:r w:rsidR="00731971">
        <w:rPr>
          <w:rFonts w:ascii="Times New Roman" w:hAnsi="Times New Roman" w:cs="Times New Roman"/>
          <w:sz w:val="24"/>
          <w:szCs w:val="24"/>
        </w:rPr>
        <w:t xml:space="preserve"> </w:t>
      </w:r>
      <w:r w:rsidRPr="00EC1F4C">
        <w:rPr>
          <w:rFonts w:ascii="Times New Roman" w:hAnsi="Times New Roman" w:cs="Times New Roman"/>
          <w:sz w:val="24"/>
          <w:szCs w:val="24"/>
        </w:rPr>
        <w:t>Fourth, co-</w:t>
      </w:r>
      <w:r w:rsidRPr="00EC1F4C">
        <w:rPr>
          <w:rFonts w:ascii="Times New Roman" w:hAnsi="Times New Roman" w:cs="Times New Roman"/>
          <w:sz w:val="24"/>
          <w:szCs w:val="24"/>
        </w:rPr>
        <w:lastRenderedPageBreak/>
        <w:t xml:space="preserve">production should be the rule and not the exception. Regular collaboration with service users, their families, and the affected communities in the design, implementation, and assessment of services ensures that the services are designed and delivered to truly meet their needs, and take their preferences into account (Albert et al., 2023). </w:t>
      </w:r>
      <w:r w:rsidR="00A756FD" w:rsidRPr="00A756FD">
        <w:rPr>
          <w:rFonts w:ascii="Times New Roman" w:hAnsi="Times New Roman" w:cs="Times New Roman"/>
          <w:sz w:val="24"/>
          <w:szCs w:val="24"/>
        </w:rPr>
        <w:t>The empowerment of the suppressed voices in service models is also a result of the development of service user forums, peer advocacy and support networks. Fifth, partnerships should not be hindered by integrated commissioning and funding arrangements but assisted</w:t>
      </w:r>
      <w:r w:rsidRPr="00EC1F4C">
        <w:rPr>
          <w:rFonts w:ascii="Times New Roman" w:hAnsi="Times New Roman" w:cs="Times New Roman"/>
          <w:sz w:val="24"/>
          <w:szCs w:val="24"/>
        </w:rPr>
        <w:t>. Collaborative working is incentivized by pooled funding, shared accountability models, and commissioning for results (outcomes) to align siloes across organizations (Tebaldi and Stokes, 2022</w:t>
      </w:r>
      <w:r w:rsidR="002C6A16" w:rsidRPr="00E6536C">
        <w:rPr>
          <w:rFonts w:ascii="Times New Roman" w:hAnsi="Times New Roman" w:cs="Times New Roman"/>
          <w:sz w:val="24"/>
          <w:szCs w:val="24"/>
        </w:rPr>
        <w:t>).</w:t>
      </w:r>
    </w:p>
    <w:p w14:paraId="3FB99761" w14:textId="77777777" w:rsidR="002C6A16" w:rsidRPr="00E6536C" w:rsidRDefault="002C6A16" w:rsidP="00C86464">
      <w:pPr>
        <w:pStyle w:val="Heading1"/>
      </w:pPr>
      <w:r w:rsidRPr="00E6536C">
        <w:t>9.0 Conclusion</w:t>
      </w:r>
    </w:p>
    <w:p w14:paraId="7E61344D" w14:textId="354D7BE1" w:rsidR="002C6A16" w:rsidRPr="00E6536C" w:rsidRDefault="00EC1F4C" w:rsidP="001B2786">
      <w:pPr>
        <w:spacing w:after="0" w:line="480" w:lineRule="auto"/>
        <w:rPr>
          <w:rFonts w:ascii="Times New Roman" w:hAnsi="Times New Roman" w:cs="Times New Roman"/>
          <w:sz w:val="24"/>
          <w:szCs w:val="24"/>
        </w:rPr>
      </w:pPr>
      <w:r w:rsidRPr="00EC1F4C">
        <w:rPr>
          <w:rFonts w:ascii="Times New Roman" w:hAnsi="Times New Roman" w:cs="Times New Roman"/>
          <w:sz w:val="24"/>
          <w:szCs w:val="24"/>
        </w:rPr>
        <w:t>Individualised care and collaborative working are interlinked ways of reengineering the mechanisms of health and social care. These innovative ways are a departure of the traditional service models which include a range of professionals and entities in the care continuum. These models are challenged by the individualised care and partnership approaches that place ethical considerations of autonomy, dignity, and justice in the center of care. In theory, social model is a set of ideas that support these approaches, and in practice, legislative frameworks such as the Care Act 2014 mandate these approaches.</w:t>
      </w:r>
      <w:r w:rsidR="000F76BF">
        <w:rPr>
          <w:rFonts w:ascii="Times New Roman" w:hAnsi="Times New Roman" w:cs="Times New Roman"/>
          <w:sz w:val="24"/>
          <w:szCs w:val="24"/>
        </w:rPr>
        <w:t xml:space="preserve"> </w:t>
      </w:r>
      <w:r w:rsidR="001B2786" w:rsidRPr="001B2786">
        <w:rPr>
          <w:rFonts w:ascii="Times New Roman" w:hAnsi="Times New Roman" w:cs="Times New Roman"/>
          <w:sz w:val="24"/>
          <w:szCs w:val="24"/>
        </w:rPr>
        <w:t>Reform in the future must continue to work on workforce development, cultural change, modernisation of primary care, new technologies, true coproduction, and integrated commissioning</w:t>
      </w:r>
      <w:r w:rsidRPr="00EC1F4C">
        <w:rPr>
          <w:rFonts w:ascii="Times New Roman" w:hAnsi="Times New Roman" w:cs="Times New Roman"/>
          <w:sz w:val="24"/>
          <w:szCs w:val="24"/>
        </w:rPr>
        <w:t>. Only by sophisticated models which look at multiple levels of the system and collaboration can these approaches achieve the change that will make health and social care services responsive to the needs of people and societies which they exist to serve</w:t>
      </w:r>
      <w:r w:rsidR="002C6A16" w:rsidRPr="00E6536C">
        <w:rPr>
          <w:rFonts w:ascii="Times New Roman" w:hAnsi="Times New Roman" w:cs="Times New Roman"/>
          <w:sz w:val="24"/>
          <w:szCs w:val="24"/>
        </w:rPr>
        <w:t>.</w:t>
      </w:r>
    </w:p>
    <w:p w14:paraId="179D26B4" w14:textId="1E60CAC5" w:rsidR="0008105A" w:rsidRPr="00FE421F" w:rsidRDefault="0008105A" w:rsidP="00FE421F">
      <w:pPr>
        <w:pStyle w:val="Heading1"/>
      </w:pPr>
      <w:r>
        <w:lastRenderedPageBreak/>
        <w:t xml:space="preserve">10: </w:t>
      </w:r>
      <w:r w:rsidR="002C6A16" w:rsidRPr="00E6536C">
        <w:t>References</w:t>
      </w:r>
    </w:p>
    <w:p w14:paraId="70F4C7E7" w14:textId="77777777" w:rsidR="00FE421F" w:rsidRDefault="00FE421F" w:rsidP="00FE421F">
      <w:pPr>
        <w:pStyle w:val="NormalWeb"/>
        <w:spacing w:before="0" w:beforeAutospacing="0" w:after="0" w:afterAutospacing="0" w:line="480" w:lineRule="auto"/>
        <w:ind w:left="720" w:hanging="720"/>
        <w:contextualSpacing/>
      </w:pPr>
      <w:r>
        <w:t xml:space="preserve">Ahmed, A., Muijsenbergh, M.E.T.C. van den and Vrijhoef, H.J.M. (2022). Person‐centred Care in Primary care: What Works for whom, How and in What circumstances? </w:t>
      </w:r>
      <w:r>
        <w:rPr>
          <w:i/>
          <w:iCs/>
        </w:rPr>
        <w:t>Health &amp; Social Care in the Community</w:t>
      </w:r>
      <w:r>
        <w:t>, [online] 30(6). Available at: https://onlinelibrary.wiley.com/doi/full/10.1111/hsc.13913.</w:t>
      </w:r>
    </w:p>
    <w:p w14:paraId="79A5E4D9" w14:textId="77777777" w:rsidR="00FE421F" w:rsidRDefault="00FE421F" w:rsidP="00FE421F">
      <w:pPr>
        <w:pStyle w:val="NormalWeb"/>
        <w:spacing w:before="0" w:beforeAutospacing="0" w:after="0" w:afterAutospacing="0" w:line="480" w:lineRule="auto"/>
        <w:ind w:left="720" w:hanging="720"/>
        <w:contextualSpacing/>
      </w:pPr>
      <w:r>
        <w:t xml:space="preserve">Albert, A., Islam, S., Haklay, M. and McEachan, R.R.C. (2023). Nothing about us without us: A co‐production strategy for communities, researchers and stakeholders to identify ways of improving health and reducing inequalities. </w:t>
      </w:r>
      <w:r>
        <w:rPr>
          <w:i/>
          <w:iCs/>
        </w:rPr>
        <w:t>Health Expectations</w:t>
      </w:r>
      <w:r>
        <w:t>, [online] 26(2). doi:https://doi.org/10.1111/hex.13709.</w:t>
      </w:r>
    </w:p>
    <w:p w14:paraId="6C494374" w14:textId="77777777" w:rsidR="00FE421F" w:rsidRDefault="00FE421F" w:rsidP="00FE421F">
      <w:pPr>
        <w:pStyle w:val="NormalWeb"/>
        <w:spacing w:before="0" w:beforeAutospacing="0" w:after="0" w:afterAutospacing="0" w:line="480" w:lineRule="auto"/>
        <w:ind w:left="720" w:hanging="720"/>
        <w:contextualSpacing/>
      </w:pPr>
      <w:r>
        <w:t xml:space="preserve">Barnes, D., Boland, B., Linhart, K. and Wilson, K. (2017). Personalisation and Social Care Assessment – the Care Act 2014. </w:t>
      </w:r>
      <w:r>
        <w:rPr>
          <w:i/>
          <w:iCs/>
        </w:rPr>
        <w:t>BJPsych Bulletin</w:t>
      </w:r>
      <w:r>
        <w:t>, [online] 41(3), pp.176–180. doi:https://doi.org/10.1192/pb.bp.116.053660.</w:t>
      </w:r>
    </w:p>
    <w:p w14:paraId="51ADA543" w14:textId="77777777" w:rsidR="00FE421F" w:rsidRDefault="00FE421F" w:rsidP="00FE421F">
      <w:pPr>
        <w:pStyle w:val="NormalWeb"/>
        <w:spacing w:before="0" w:beforeAutospacing="0" w:after="0" w:afterAutospacing="0" w:line="480" w:lineRule="auto"/>
        <w:ind w:left="720" w:hanging="720"/>
        <w:contextualSpacing/>
      </w:pPr>
      <w:r>
        <w:t xml:space="preserve">Beauchamp, T. and Childress, J. (2019). Principles of Biomedical Ethics: Marking Its Fortieth Anniversary. </w:t>
      </w:r>
      <w:r>
        <w:rPr>
          <w:i/>
          <w:iCs/>
        </w:rPr>
        <w:t>The American Journal of Bioethics</w:t>
      </w:r>
      <w:r>
        <w:t>, [online] 19(11), pp.9–12. doi:https://doi.org/10.1080/15265161.2019.1665402.</w:t>
      </w:r>
    </w:p>
    <w:p w14:paraId="0DA9D961" w14:textId="77777777" w:rsidR="00FE421F" w:rsidRDefault="00FE421F" w:rsidP="00FE421F">
      <w:pPr>
        <w:pStyle w:val="NormalWeb"/>
        <w:spacing w:before="0" w:beforeAutospacing="0" w:after="0" w:afterAutospacing="0" w:line="480" w:lineRule="auto"/>
        <w:ind w:left="720" w:hanging="720"/>
        <w:contextualSpacing/>
      </w:pPr>
      <w:r>
        <w:t xml:space="preserve">Brouwer, N., Joling, E. and Kaper, W. (2022). Effect of a person-centred, tailor-made, teaching practice-oriented training programme on continuous professional development of STEM lecturers. </w:t>
      </w:r>
      <w:r>
        <w:rPr>
          <w:i/>
          <w:iCs/>
        </w:rPr>
        <w:t>Teaching and Teacher Education</w:t>
      </w:r>
      <w:r>
        <w:t>, 119, p.103848. doi:https://doi.org/10.1016/j.tate.2022.103848.</w:t>
      </w:r>
    </w:p>
    <w:p w14:paraId="48051024" w14:textId="77777777" w:rsidR="00FE421F" w:rsidRDefault="00FE421F" w:rsidP="00FE421F">
      <w:pPr>
        <w:pStyle w:val="NormalWeb"/>
        <w:spacing w:before="0" w:beforeAutospacing="0" w:after="0" w:afterAutospacing="0" w:line="480" w:lineRule="auto"/>
        <w:ind w:left="720" w:hanging="720"/>
        <w:contextualSpacing/>
      </w:pPr>
      <w:r>
        <w:t>Bucy, T. and Cross, D.A. (2023). Information sharing to support care transitions for patients with complex mental health and social needs. doi:https://doi.org/10.1111/jgs.18278.</w:t>
      </w:r>
    </w:p>
    <w:p w14:paraId="05490DDF" w14:textId="77777777" w:rsidR="00FE421F" w:rsidRDefault="00FE421F" w:rsidP="00FE421F">
      <w:pPr>
        <w:pStyle w:val="NormalWeb"/>
        <w:spacing w:before="0" w:beforeAutospacing="0" w:after="0" w:afterAutospacing="0" w:line="480" w:lineRule="auto"/>
        <w:ind w:left="720" w:hanging="720"/>
        <w:contextualSpacing/>
      </w:pPr>
      <w:r>
        <w:lastRenderedPageBreak/>
        <w:t xml:space="preserve">Champoux, M., Poirier, A. and Hudon, C. (2025). Roles of physiotherapists in primary care teams: a scoping review . </w:t>
      </w:r>
      <w:r>
        <w:rPr>
          <w:i/>
          <w:iCs/>
        </w:rPr>
        <w:t>BMJ Open</w:t>
      </w:r>
      <w:r>
        <w:t>, [online] 15(2), p.e092276. doi:https://doi.org/10.1136/bmjopen-2024-092276.</w:t>
      </w:r>
    </w:p>
    <w:p w14:paraId="5EA5E0DA" w14:textId="77777777" w:rsidR="00FE421F" w:rsidRDefault="00FE421F" w:rsidP="00FE421F">
      <w:pPr>
        <w:pStyle w:val="NormalWeb"/>
        <w:spacing w:before="0" w:beforeAutospacing="0" w:after="0" w:afterAutospacing="0" w:line="480" w:lineRule="auto"/>
        <w:ind w:left="720" w:hanging="720"/>
        <w:contextualSpacing/>
      </w:pPr>
      <w:r>
        <w:t xml:space="preserve">Chapman, A., Buccheri, A., Mohotti, D., Wong Shee, A., Huggins, C.E., Alston, L., Hutchinson, A.M., Yoong, S.L., Beks, H., Mc Namara, K., Peeters, A. and Ugalde, A. (2025). Staff-reported barriers and facilitators to the implementation of healthcare interventions within regional and rural areas: a rapid review. </w:t>
      </w:r>
      <w:r>
        <w:rPr>
          <w:i/>
          <w:iCs/>
        </w:rPr>
        <w:t>BMC Health Services Research</w:t>
      </w:r>
      <w:r>
        <w:t>, [online] 25(1). doi:https://doi.org/10.1186/s12913-025-12480-8.</w:t>
      </w:r>
    </w:p>
    <w:p w14:paraId="1CAFF7EB" w14:textId="77777777" w:rsidR="00FE421F" w:rsidRDefault="00FE421F" w:rsidP="00FE421F">
      <w:pPr>
        <w:pStyle w:val="NormalWeb"/>
        <w:spacing w:before="0" w:beforeAutospacing="0" w:after="0" w:afterAutospacing="0" w:line="480" w:lineRule="auto"/>
        <w:ind w:left="720" w:hanging="720"/>
        <w:contextualSpacing/>
      </w:pPr>
      <w:r>
        <w:t xml:space="preserve">Claessen, D. (2025). Striking a Balance Between Counseling and Compliance: Social Workers’ Legal Consciousness at the Forefront of Human Rights Implementation. </w:t>
      </w:r>
      <w:r>
        <w:rPr>
          <w:i/>
          <w:iCs/>
        </w:rPr>
        <w:t>Journal of Human Rights and Social Work</w:t>
      </w:r>
      <w:r>
        <w:t>. doi:https://doi.org/10.1007/s41134-025-00396-6.</w:t>
      </w:r>
    </w:p>
    <w:p w14:paraId="25C6BB5A" w14:textId="77777777" w:rsidR="00FE421F" w:rsidRDefault="00FE421F" w:rsidP="00FE421F">
      <w:pPr>
        <w:pStyle w:val="NormalWeb"/>
        <w:spacing w:before="0" w:beforeAutospacing="0" w:after="0" w:afterAutospacing="0" w:line="480" w:lineRule="auto"/>
        <w:ind w:left="720" w:hanging="720"/>
        <w:contextualSpacing/>
      </w:pPr>
      <w:r>
        <w:t xml:space="preserve">Coulter, A. and Oldham, J. (2016). Person-centred care: What Is It and How Do We Get there? </w:t>
      </w:r>
      <w:r>
        <w:rPr>
          <w:i/>
          <w:iCs/>
        </w:rPr>
        <w:t>Future Hospital Journal</w:t>
      </w:r>
      <w:r>
        <w:t>, [online] 3(2), pp.114–116. doi:https://doi.org/10.7861/futurehosp.3-2-114.</w:t>
      </w:r>
    </w:p>
    <w:p w14:paraId="540E4263" w14:textId="77777777" w:rsidR="00FE421F" w:rsidRDefault="00FE421F" w:rsidP="00FE421F">
      <w:pPr>
        <w:pStyle w:val="NormalWeb"/>
        <w:spacing w:before="0" w:beforeAutospacing="0" w:after="0" w:afterAutospacing="0" w:line="480" w:lineRule="auto"/>
        <w:ind w:left="720" w:hanging="720"/>
        <w:contextualSpacing/>
      </w:pPr>
      <w:r>
        <w:t xml:space="preserve">Davies, E. (2016). Partnership working and new roles and responsibilities. </w:t>
      </w:r>
      <w:r>
        <w:rPr>
          <w:i/>
          <w:iCs/>
        </w:rPr>
        <w:t>Future Hospital Journal</w:t>
      </w:r>
      <w:r>
        <w:t>, [online] 3(2), pp.123–127. doi:https://doi.org/10.7861/futurehosp.3-2-123.</w:t>
      </w:r>
    </w:p>
    <w:p w14:paraId="4215AFE0" w14:textId="77777777" w:rsidR="00FE421F" w:rsidRDefault="00FE421F" w:rsidP="00FE421F">
      <w:pPr>
        <w:pStyle w:val="NormalWeb"/>
        <w:spacing w:before="0" w:beforeAutospacing="0" w:after="0" w:afterAutospacing="0" w:line="480" w:lineRule="auto"/>
        <w:ind w:left="720" w:hanging="720"/>
        <w:contextualSpacing/>
      </w:pPr>
      <w:r>
        <w:t xml:space="preserve">Davies, S.L., Goodman, C., Bunn, F., Victor, C., Dickinson, A., Iliffe, S., Gage, H., Martin, W. and Froggatt, K. (2011). A Systematic Review of Integrated Working between Care Homes and Health Care Services. </w:t>
      </w:r>
      <w:r>
        <w:rPr>
          <w:i/>
          <w:iCs/>
        </w:rPr>
        <w:t>BMC Health Services Research</w:t>
      </w:r>
      <w:r>
        <w:t>, [online] 11(1). doi:https://doi.org/10.1186/1472-6963-11-320.</w:t>
      </w:r>
    </w:p>
    <w:p w14:paraId="5508EB08" w14:textId="77777777" w:rsidR="00FE421F" w:rsidRDefault="00FE421F" w:rsidP="00FE421F">
      <w:pPr>
        <w:pStyle w:val="NormalWeb"/>
        <w:spacing w:before="0" w:beforeAutospacing="0" w:after="0" w:afterAutospacing="0" w:line="480" w:lineRule="auto"/>
        <w:ind w:left="720" w:hanging="720"/>
        <w:contextualSpacing/>
      </w:pPr>
      <w:r>
        <w:t xml:space="preserve">Department of Health (2014). </w:t>
      </w:r>
      <w:r>
        <w:rPr>
          <w:i/>
          <w:iCs/>
        </w:rPr>
        <w:t>Care Act 2014</w:t>
      </w:r>
      <w:r>
        <w:t>. [online] Legislation.gov.uk. Available at: https://www.legislation.gov.uk/ukpga/2014/23/contents.</w:t>
      </w:r>
    </w:p>
    <w:p w14:paraId="522D76C2" w14:textId="77777777" w:rsidR="00FE421F" w:rsidRDefault="00FE421F" w:rsidP="00FE421F">
      <w:pPr>
        <w:pStyle w:val="NormalWeb"/>
        <w:spacing w:before="0" w:beforeAutospacing="0" w:after="0" w:afterAutospacing="0" w:line="480" w:lineRule="auto"/>
        <w:ind w:left="720" w:hanging="720"/>
        <w:contextualSpacing/>
      </w:pPr>
      <w:r>
        <w:lastRenderedPageBreak/>
        <w:t xml:space="preserve">Disability Rights UK (2022). </w:t>
      </w:r>
      <w:r>
        <w:rPr>
          <w:i/>
          <w:iCs/>
        </w:rPr>
        <w:t>The Equality Act and Disabled people | Disability Rights UK</w:t>
      </w:r>
      <w:r>
        <w:t>. [online] www.disabilityrightsuk.org. Available at: https://www.disabilityrightsuk.org/resources/equality-act-and-disabled-people.</w:t>
      </w:r>
    </w:p>
    <w:p w14:paraId="3531DD0C" w14:textId="77777777" w:rsidR="00FE421F" w:rsidRDefault="00FE421F" w:rsidP="00FE421F">
      <w:pPr>
        <w:pStyle w:val="NormalWeb"/>
        <w:spacing w:before="0" w:beforeAutospacing="0" w:after="0" w:afterAutospacing="0" w:line="480" w:lineRule="auto"/>
        <w:ind w:left="720" w:hanging="720"/>
        <w:contextualSpacing/>
      </w:pPr>
      <w:r>
        <w:t xml:space="preserve">Glover-Thomas, N. (2013). The Health and Social Care Act 2012. </w:t>
      </w:r>
      <w:r>
        <w:rPr>
          <w:i/>
          <w:iCs/>
        </w:rPr>
        <w:t>Medical Law International</w:t>
      </w:r>
      <w:r>
        <w:t>, [online] 13(4), pp.279–297. doi:https://doi.org/10.1177/0968533214521090.</w:t>
      </w:r>
    </w:p>
    <w:p w14:paraId="54F9F6C4" w14:textId="77777777" w:rsidR="00FE421F" w:rsidRDefault="00FE421F" w:rsidP="00FE421F">
      <w:pPr>
        <w:pStyle w:val="NormalWeb"/>
        <w:spacing w:before="0" w:beforeAutospacing="0" w:after="0" w:afterAutospacing="0" w:line="480" w:lineRule="auto"/>
        <w:ind w:left="720" w:hanging="720"/>
        <w:contextualSpacing/>
      </w:pPr>
      <w:r>
        <w:t xml:space="preserve">Hallam-Bowles, F.V., Logan, P.A., Timmons, S. and Robinson, K.R. (2022). Approaches to co-production of research in care homes: a scoping review. </w:t>
      </w:r>
      <w:r>
        <w:rPr>
          <w:i/>
          <w:iCs/>
        </w:rPr>
        <w:t>Research Involvement and Engagement</w:t>
      </w:r>
      <w:r>
        <w:t>, 8(1). doi:https://doi.org/10.1186/s40900-022-00408-z.</w:t>
      </w:r>
    </w:p>
    <w:p w14:paraId="147C9C24" w14:textId="77777777" w:rsidR="00FE421F" w:rsidRDefault="00FE421F" w:rsidP="00FE421F">
      <w:pPr>
        <w:pStyle w:val="NormalWeb"/>
        <w:spacing w:before="0" w:beforeAutospacing="0" w:after="0" w:afterAutospacing="0" w:line="480" w:lineRule="auto"/>
        <w:ind w:left="720" w:hanging="720"/>
        <w:contextualSpacing/>
      </w:pPr>
      <w:r>
        <w:t xml:space="preserve">Hunter, D. and Perkins, N. (2012). Partnership Working in Public health: the Implications for Governance of a Systems Approach. </w:t>
      </w:r>
      <w:r>
        <w:rPr>
          <w:i/>
          <w:iCs/>
        </w:rPr>
        <w:t>Journal of Health Services Research &amp; Policy</w:t>
      </w:r>
      <w:r>
        <w:t>, [online] 17 Suppl 2(2), pp.45–52. doi:https://doi.org/10.1258/jhsrp.2012.011127.</w:t>
      </w:r>
    </w:p>
    <w:p w14:paraId="0B7EC9E1" w14:textId="77777777" w:rsidR="00FE421F" w:rsidRDefault="00FE421F" w:rsidP="00FE421F">
      <w:pPr>
        <w:pStyle w:val="NormalWeb"/>
        <w:spacing w:before="0" w:beforeAutospacing="0" w:after="0" w:afterAutospacing="0" w:line="480" w:lineRule="auto"/>
        <w:ind w:left="720" w:hanging="720"/>
        <w:contextualSpacing/>
      </w:pPr>
      <w:r>
        <w:t xml:space="preserve">Ibrahim, A.M., Abdel-Aziz, H.R., Hamed, A., Mohamed, N., Hassan, G.A., Shaban, M., El-Nablaway, M., Aldughmi, O.N. and Aboelola, T.H. (2024). Balancing confidentiality and care coordination: Challenges in patient privacy. </w:t>
      </w:r>
      <w:r>
        <w:rPr>
          <w:i/>
          <w:iCs/>
        </w:rPr>
        <w:t>BMC Nursing</w:t>
      </w:r>
      <w:r>
        <w:t>, [online] 23(1), p.564. doi:https://doi.org/10.1186/s12912-024-02231-1.</w:t>
      </w:r>
    </w:p>
    <w:p w14:paraId="1A136414" w14:textId="77777777" w:rsidR="00FE421F" w:rsidRDefault="00FE421F" w:rsidP="00FE421F">
      <w:pPr>
        <w:pStyle w:val="NormalWeb"/>
        <w:spacing w:before="0" w:beforeAutospacing="0" w:after="0" w:afterAutospacing="0" w:line="480" w:lineRule="auto"/>
        <w:ind w:left="720" w:hanging="720"/>
        <w:contextualSpacing/>
      </w:pPr>
      <w:r>
        <w:t xml:space="preserve">Johnston, C. and Liddle, J. (2007). The Mental Capacity Act 2005: a New Framework for Healthcare Decision Making. </w:t>
      </w:r>
      <w:r>
        <w:rPr>
          <w:i/>
          <w:iCs/>
        </w:rPr>
        <w:t>Journal of Medical Ethics</w:t>
      </w:r>
      <w:r>
        <w:t>, [online] 33(2), pp.94–97. Available at: https://pmc.ncbi.nlm.nih.gov/articles/PMC2598235/.</w:t>
      </w:r>
    </w:p>
    <w:p w14:paraId="74F3149A" w14:textId="77777777" w:rsidR="00FE421F" w:rsidRDefault="00FE421F" w:rsidP="00FE421F">
      <w:pPr>
        <w:pStyle w:val="NormalWeb"/>
        <w:spacing w:before="0" w:beforeAutospacing="0" w:after="0" w:afterAutospacing="0" w:line="480" w:lineRule="auto"/>
        <w:ind w:left="720" w:hanging="720"/>
        <w:contextualSpacing/>
      </w:pPr>
      <w:r>
        <w:t xml:space="preserve">Kaewkungwal, J., Adams, P., Sattabongkot, J., Lie, R.K. and Wendler, D. (2020). Issues and Challenges Associated with Data-Sharing in LMICs: Perspectives of Researchers in Thailand. </w:t>
      </w:r>
      <w:r>
        <w:rPr>
          <w:i/>
          <w:iCs/>
        </w:rPr>
        <w:t>The American Journal of Tropical Medicine and Hygiene</w:t>
      </w:r>
      <w:r>
        <w:t>, [online] 103(1), pp.528–536. doi:https://doi.org/10.4269/ajtmh.19-0651.</w:t>
      </w:r>
    </w:p>
    <w:p w14:paraId="2C6A40C6" w14:textId="77777777" w:rsidR="00FE421F" w:rsidRDefault="00FE421F" w:rsidP="00FE421F">
      <w:pPr>
        <w:pStyle w:val="NormalWeb"/>
        <w:spacing w:before="0" w:beforeAutospacing="0" w:after="0" w:afterAutospacing="0" w:line="480" w:lineRule="auto"/>
        <w:ind w:left="720" w:hanging="720"/>
        <w:contextualSpacing/>
      </w:pPr>
      <w:r>
        <w:lastRenderedPageBreak/>
        <w:t xml:space="preserve">Lawson, A. and Beckett, A.E. (2020). The social and human rights models of disability: Towards a complementarity thesis. </w:t>
      </w:r>
      <w:r>
        <w:rPr>
          <w:i/>
          <w:iCs/>
        </w:rPr>
        <w:t>The International Journal of Human Rights</w:t>
      </w:r>
      <w:r>
        <w:t>, [online] 25(2), pp.348–379. doi:https://doi.org/10.1080/13642987.2020.1783533.</w:t>
      </w:r>
    </w:p>
    <w:p w14:paraId="0343A3E8" w14:textId="77777777" w:rsidR="00FE421F" w:rsidRDefault="00FE421F" w:rsidP="00FE421F">
      <w:pPr>
        <w:pStyle w:val="NormalWeb"/>
        <w:spacing w:before="0" w:beforeAutospacing="0" w:after="0" w:afterAutospacing="0" w:line="480" w:lineRule="auto"/>
        <w:ind w:left="720" w:hanging="720"/>
        <w:contextualSpacing/>
      </w:pPr>
      <w:r>
        <w:t xml:space="preserve">Marshoudi, F.B.A., Jamaluddin, Z., Aween, A.M.B., Balushi, F.I.A. and Mohammad, B.A. (2023). The Mediating Role of Employee Engagement in the Relationship Between Leadership Styles and Organizational Performance. </w:t>
      </w:r>
      <w:r>
        <w:rPr>
          <w:i/>
          <w:iCs/>
        </w:rPr>
        <w:t>International Journal of Management Thinking</w:t>
      </w:r>
      <w:r>
        <w:t>, [online] 1(2), pp.40–61. doi:https://doi.org/10.56868/ijmt.v1i2.26.</w:t>
      </w:r>
    </w:p>
    <w:p w14:paraId="54F3A2B1" w14:textId="77777777" w:rsidR="00FE421F" w:rsidRDefault="00FE421F" w:rsidP="00FE421F">
      <w:pPr>
        <w:pStyle w:val="NormalWeb"/>
        <w:spacing w:before="0" w:beforeAutospacing="0" w:after="0" w:afterAutospacing="0" w:line="480" w:lineRule="auto"/>
        <w:ind w:left="720" w:hanging="720"/>
        <w:contextualSpacing/>
      </w:pPr>
      <w:r>
        <w:t xml:space="preserve">Moore, L., Britten, N., Lydahl, D., Naldemirci, Ö., Elam, M. and Wolf, A. (2017). Barriers and Facilitators to the Implementation of person-centred Care in Different Healthcare Contexts. </w:t>
      </w:r>
      <w:r>
        <w:rPr>
          <w:i/>
          <w:iCs/>
        </w:rPr>
        <w:t>Scandinavian Journal of Caring Sciences</w:t>
      </w:r>
      <w:r>
        <w:t>, 31(4), pp.662–673. doi:https://doi.org/10.1111/scs.12376.</w:t>
      </w:r>
    </w:p>
    <w:p w14:paraId="21B54EF9" w14:textId="77777777" w:rsidR="00FE421F" w:rsidRDefault="00FE421F" w:rsidP="00FE421F">
      <w:pPr>
        <w:pStyle w:val="NormalWeb"/>
        <w:spacing w:before="0" w:beforeAutospacing="0" w:after="0" w:afterAutospacing="0" w:line="480" w:lineRule="auto"/>
        <w:ind w:left="720" w:hanging="720"/>
        <w:contextualSpacing/>
      </w:pPr>
      <w:r>
        <w:t xml:space="preserve">Njuguna, M., Ngune, I. and Middlewick, Y. (2025). Mental Health Support Workers Perspectives on Barriers to and Facilitators of the Effective Delivery of their Roles: A Systematic Review and Meta-aggregation. </w:t>
      </w:r>
      <w:r>
        <w:rPr>
          <w:i/>
          <w:iCs/>
        </w:rPr>
        <w:t>Community Mental Health Journal</w:t>
      </w:r>
      <w:r>
        <w:t>. doi:https://doi.org/10.1007/s10597-025-01490-9.</w:t>
      </w:r>
    </w:p>
    <w:p w14:paraId="43A37BCD" w14:textId="77777777" w:rsidR="00FE421F" w:rsidRDefault="00FE421F" w:rsidP="00FE421F">
      <w:pPr>
        <w:pStyle w:val="NormalWeb"/>
        <w:spacing w:before="0" w:beforeAutospacing="0" w:after="0" w:afterAutospacing="0" w:line="480" w:lineRule="auto"/>
        <w:ind w:left="720" w:hanging="720"/>
        <w:contextualSpacing/>
      </w:pPr>
      <w:r>
        <w:t xml:space="preserve">Schot, E., Tummers, L. and Noordegraaf, M. (2020). Working on Working together: a Systematic Review on How Healthcare Professionals Contribute to Interprofessional Collaboration. </w:t>
      </w:r>
      <w:r>
        <w:rPr>
          <w:i/>
          <w:iCs/>
        </w:rPr>
        <w:t>Journal of Interprofessional Care</w:t>
      </w:r>
      <w:r>
        <w:t>, [online] 34(3), pp.332–342. doi:https://doi.org/10.1080/13561820.2019.1636007.</w:t>
      </w:r>
    </w:p>
    <w:p w14:paraId="71D13D0A" w14:textId="77777777" w:rsidR="00FE421F" w:rsidRDefault="00FE421F" w:rsidP="00FE421F">
      <w:pPr>
        <w:pStyle w:val="NormalWeb"/>
        <w:spacing w:before="0" w:beforeAutospacing="0" w:after="0" w:afterAutospacing="0" w:line="480" w:lineRule="auto"/>
        <w:ind w:left="720" w:hanging="720"/>
        <w:contextualSpacing/>
      </w:pPr>
      <w:r>
        <w:t xml:space="preserve">Steel, A., Hopwood, H., Goodwin, E. and Sampson, E.L. (2022). Multidisciplinary residential home intervention to improve outcomes for frail residents. </w:t>
      </w:r>
      <w:r>
        <w:rPr>
          <w:i/>
          <w:iCs/>
        </w:rPr>
        <w:t>BMC Health Services Research</w:t>
      </w:r>
      <w:r>
        <w:t>, 22(1). doi:https://doi.org/10.1186/s12913-021-07407-y.</w:t>
      </w:r>
    </w:p>
    <w:p w14:paraId="031F931C" w14:textId="77777777" w:rsidR="00FE421F" w:rsidRDefault="00FE421F" w:rsidP="00FE421F">
      <w:pPr>
        <w:pStyle w:val="NormalWeb"/>
        <w:spacing w:before="0" w:beforeAutospacing="0" w:after="0" w:afterAutospacing="0" w:line="480" w:lineRule="auto"/>
        <w:ind w:left="720" w:hanging="720"/>
        <w:contextualSpacing/>
      </w:pPr>
      <w:r>
        <w:lastRenderedPageBreak/>
        <w:t xml:space="preserve">Steihaug, S., Johannessen, A.-K., Ådnanes, M., Paulsen, B. and Mannion, R. (2019). Challenges in Achieving Collaboration in Clinical Practice: the Case of Norwegian Health Care. </w:t>
      </w:r>
      <w:r>
        <w:rPr>
          <w:i/>
          <w:iCs/>
        </w:rPr>
        <w:t>International Journal of Integrated Care</w:t>
      </w:r>
      <w:r>
        <w:t>, [online] 16(3). doi:https://doi.org/10.5334/ijic.2217.</w:t>
      </w:r>
    </w:p>
    <w:p w14:paraId="6D5B50FE" w14:textId="77777777" w:rsidR="00FE421F" w:rsidRDefault="00FE421F" w:rsidP="00FE421F">
      <w:pPr>
        <w:pStyle w:val="NormalWeb"/>
        <w:spacing w:before="0" w:beforeAutospacing="0" w:after="0" w:afterAutospacing="0" w:line="480" w:lineRule="auto"/>
        <w:ind w:left="720" w:hanging="720"/>
        <w:contextualSpacing/>
      </w:pPr>
      <w:r>
        <w:t xml:space="preserve">Tebaldi, D. and Stokes, J. (2022). Defining Pooled’ Place-Based’ Budgets for Health and Social Care: A Scoping Review. </w:t>
      </w:r>
      <w:r>
        <w:rPr>
          <w:i/>
          <w:iCs/>
        </w:rPr>
        <w:t>International Journal of Integrated Care</w:t>
      </w:r>
      <w:r>
        <w:t>, 22(3), p.16. doi:https://doi.org/10.5334/ijic.6507.</w:t>
      </w:r>
    </w:p>
    <w:p w14:paraId="633F067A" w14:textId="77777777" w:rsidR="00FE421F" w:rsidRDefault="00FE421F" w:rsidP="00FE421F">
      <w:pPr>
        <w:pStyle w:val="NormalWeb"/>
        <w:spacing w:before="0" w:beforeAutospacing="0" w:after="0" w:afterAutospacing="0" w:line="480" w:lineRule="auto"/>
        <w:ind w:left="720" w:hanging="720"/>
        <w:contextualSpacing/>
      </w:pPr>
      <w:r>
        <w:t xml:space="preserve">Thorneycroft, R. (2024). Screwing the Social Model of Disability. </w:t>
      </w:r>
      <w:r>
        <w:rPr>
          <w:i/>
          <w:iCs/>
        </w:rPr>
        <w:t>Scandinavian journal of disability research</w:t>
      </w:r>
      <w:r>
        <w:t>, [online] 26(1), pp.286–299. doi:https://doi.org/10.16993/sjdr.1130.</w:t>
      </w:r>
    </w:p>
    <w:p w14:paraId="03E85DF3" w14:textId="77777777" w:rsidR="00FE421F" w:rsidRDefault="00FE421F" w:rsidP="00FE421F">
      <w:pPr>
        <w:pStyle w:val="NormalWeb"/>
        <w:spacing w:before="0" w:beforeAutospacing="0" w:after="0" w:afterAutospacing="0" w:line="480" w:lineRule="auto"/>
        <w:ind w:left="720" w:hanging="720"/>
        <w:contextualSpacing/>
      </w:pPr>
      <w:r>
        <w:t xml:space="preserve">Yao, L. and Kabir, R. (2023). </w:t>
      </w:r>
      <w:r>
        <w:rPr>
          <w:i/>
          <w:iCs/>
        </w:rPr>
        <w:t>Person-Centered Therapy (Rogerian Therapy)</w:t>
      </w:r>
      <w:r>
        <w:t>. [online] PubMed. Available at: https://www.ncbi.nlm.nih.gov/books/NBK589708/.</w:t>
      </w:r>
    </w:p>
    <w:p w14:paraId="43DC8919" w14:textId="2F9334E9" w:rsidR="0008105A" w:rsidRDefault="0008105A" w:rsidP="00E6536C">
      <w:pPr>
        <w:spacing w:after="0" w:line="480" w:lineRule="auto"/>
        <w:rPr>
          <w:rFonts w:ascii="Times New Roman" w:hAnsi="Times New Roman" w:cs="Times New Roman"/>
          <w:sz w:val="24"/>
          <w:szCs w:val="24"/>
        </w:rPr>
      </w:pPr>
    </w:p>
    <w:p w14:paraId="13415B5D" w14:textId="77777777" w:rsidR="00C15F92" w:rsidRPr="00E6536C" w:rsidRDefault="00C15F92" w:rsidP="00E6536C">
      <w:pPr>
        <w:spacing w:after="0" w:line="480" w:lineRule="auto"/>
        <w:rPr>
          <w:rFonts w:ascii="Times New Roman" w:hAnsi="Times New Roman" w:cs="Times New Roman"/>
          <w:sz w:val="24"/>
          <w:szCs w:val="24"/>
        </w:rPr>
      </w:pPr>
    </w:p>
    <w:sectPr w:rsidR="00C15F92" w:rsidRPr="00E6536C">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36A66" w14:textId="77777777" w:rsidR="00E3584E" w:rsidRDefault="00E3584E" w:rsidP="00DA0F19">
      <w:pPr>
        <w:spacing w:after="0" w:line="240" w:lineRule="auto"/>
      </w:pPr>
      <w:r>
        <w:separator/>
      </w:r>
    </w:p>
  </w:endnote>
  <w:endnote w:type="continuationSeparator" w:id="0">
    <w:p w14:paraId="1A146928" w14:textId="77777777" w:rsidR="00E3584E" w:rsidRDefault="00E3584E" w:rsidP="00DA0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452E8" w14:textId="77777777" w:rsidR="00E3584E" w:rsidRDefault="00E3584E" w:rsidP="00DA0F19">
      <w:pPr>
        <w:spacing w:after="0" w:line="240" w:lineRule="auto"/>
      </w:pPr>
      <w:r>
        <w:separator/>
      </w:r>
    </w:p>
  </w:footnote>
  <w:footnote w:type="continuationSeparator" w:id="0">
    <w:p w14:paraId="4CF975E1" w14:textId="77777777" w:rsidR="00E3584E" w:rsidRDefault="00E3584E" w:rsidP="00DA0F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55D744" w14:textId="2AC05D8A" w:rsidR="00DA0F19" w:rsidRPr="00DA0F19" w:rsidRDefault="00DA0F19">
    <w:pPr>
      <w:pStyle w:val="Header"/>
      <w:rPr>
        <w:rFonts w:ascii="Times New Roman" w:hAnsi="Times New Roman" w:cs="Times New Roman"/>
        <w:sz w:val="24"/>
        <w:szCs w:val="24"/>
      </w:rPr>
    </w:pPr>
    <w:r w:rsidRPr="00DA0F19">
      <w:rPr>
        <w:rFonts w:ascii="Times New Roman" w:hAnsi="Times New Roman" w:cs="Times New Roman"/>
        <w:sz w:val="24"/>
        <w:szCs w:val="24"/>
      </w:rPr>
      <w:tab/>
    </w:r>
    <w:r w:rsidRPr="00DA0F19">
      <w:rPr>
        <w:rFonts w:ascii="Times New Roman" w:hAnsi="Times New Roman" w:cs="Times New Roman"/>
        <w:sz w:val="24"/>
        <w:szCs w:val="24"/>
      </w:rPr>
      <w:tab/>
    </w:r>
    <w:r w:rsidRPr="00DA0F19">
      <w:rPr>
        <w:rFonts w:ascii="Times New Roman" w:hAnsi="Times New Roman" w:cs="Times New Roman"/>
        <w:sz w:val="24"/>
        <w:szCs w:val="24"/>
      </w:rPr>
      <w:fldChar w:fldCharType="begin"/>
    </w:r>
    <w:r w:rsidRPr="00DA0F19">
      <w:rPr>
        <w:rFonts w:ascii="Times New Roman" w:hAnsi="Times New Roman" w:cs="Times New Roman"/>
        <w:sz w:val="24"/>
        <w:szCs w:val="24"/>
      </w:rPr>
      <w:instrText xml:space="preserve"> PAGE   \* MERGEFORMAT </w:instrText>
    </w:r>
    <w:r w:rsidRPr="00DA0F19">
      <w:rPr>
        <w:rFonts w:ascii="Times New Roman" w:hAnsi="Times New Roman" w:cs="Times New Roman"/>
        <w:sz w:val="24"/>
        <w:szCs w:val="24"/>
      </w:rPr>
      <w:fldChar w:fldCharType="separate"/>
    </w:r>
    <w:r w:rsidRPr="00DA0F19">
      <w:rPr>
        <w:rFonts w:ascii="Times New Roman" w:hAnsi="Times New Roman" w:cs="Times New Roman"/>
        <w:noProof/>
        <w:sz w:val="24"/>
        <w:szCs w:val="24"/>
      </w:rPr>
      <w:t>1</w:t>
    </w:r>
    <w:r w:rsidRPr="00DA0F19">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1NzMwM7W0NDM1MTRS0lEKTi0uzszPAykwrAUA6RD/AiwAAAA="/>
  </w:docVars>
  <w:rsids>
    <w:rsidRoot w:val="002C6A16"/>
    <w:rsid w:val="0008105A"/>
    <w:rsid w:val="000A1624"/>
    <w:rsid w:val="000E35A1"/>
    <w:rsid w:val="000F2C8F"/>
    <w:rsid w:val="000F76BF"/>
    <w:rsid w:val="001B2786"/>
    <w:rsid w:val="00203AB1"/>
    <w:rsid w:val="002C6A16"/>
    <w:rsid w:val="00377E4A"/>
    <w:rsid w:val="003A1FAC"/>
    <w:rsid w:val="003B0A5D"/>
    <w:rsid w:val="00425535"/>
    <w:rsid w:val="00663593"/>
    <w:rsid w:val="006E23A4"/>
    <w:rsid w:val="006E2815"/>
    <w:rsid w:val="00731971"/>
    <w:rsid w:val="00732BA1"/>
    <w:rsid w:val="00757231"/>
    <w:rsid w:val="008D089B"/>
    <w:rsid w:val="0094252F"/>
    <w:rsid w:val="00985A26"/>
    <w:rsid w:val="009A7589"/>
    <w:rsid w:val="009C0A0D"/>
    <w:rsid w:val="00A01ECB"/>
    <w:rsid w:val="00A5643B"/>
    <w:rsid w:val="00A756FD"/>
    <w:rsid w:val="00C15F92"/>
    <w:rsid w:val="00C86464"/>
    <w:rsid w:val="00CB7C72"/>
    <w:rsid w:val="00D47ED5"/>
    <w:rsid w:val="00D57C25"/>
    <w:rsid w:val="00DA0F19"/>
    <w:rsid w:val="00E3584E"/>
    <w:rsid w:val="00E6536C"/>
    <w:rsid w:val="00EB2A91"/>
    <w:rsid w:val="00EC1F4C"/>
    <w:rsid w:val="00F931F3"/>
    <w:rsid w:val="00FA1987"/>
    <w:rsid w:val="00FC1134"/>
    <w:rsid w:val="00FE42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94E16"/>
  <w15:chartTrackingRefBased/>
  <w15:docId w15:val="{38492E5A-F314-434A-B0F4-8EB2A391B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536C"/>
    <w:pPr>
      <w:spacing w:before="100" w:beforeAutospacing="1" w:after="100" w:afterAutospacing="1" w:line="240" w:lineRule="auto"/>
      <w:outlineLvl w:val="0"/>
    </w:pPr>
    <w:rPr>
      <w:rFonts w:ascii="Times New Roman" w:eastAsia="Times New Roman" w:hAnsi="Times New Roman" w:cs="Times New Roman"/>
      <w:b/>
      <w:bCs/>
      <w:kern w:val="36"/>
      <w:sz w:val="28"/>
      <w:szCs w:val="48"/>
    </w:rPr>
  </w:style>
  <w:style w:type="paragraph" w:styleId="Heading2">
    <w:name w:val="heading 2"/>
    <w:basedOn w:val="Normal"/>
    <w:link w:val="Heading2Char"/>
    <w:uiPriority w:val="9"/>
    <w:qFormat/>
    <w:rsid w:val="002C6A1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36C"/>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rsid w:val="002C6A1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C6A1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C6A16"/>
    <w:rPr>
      <w:b/>
      <w:bCs/>
    </w:rPr>
  </w:style>
  <w:style w:type="character" w:styleId="Emphasis">
    <w:name w:val="Emphasis"/>
    <w:basedOn w:val="DefaultParagraphFont"/>
    <w:uiPriority w:val="20"/>
    <w:qFormat/>
    <w:rsid w:val="002C6A16"/>
    <w:rPr>
      <w:i/>
      <w:iCs/>
    </w:rPr>
  </w:style>
  <w:style w:type="paragraph" w:styleId="NoSpacing">
    <w:name w:val="No Spacing"/>
    <w:uiPriority w:val="1"/>
    <w:qFormat/>
    <w:rsid w:val="00E6536C"/>
    <w:pPr>
      <w:spacing w:after="0" w:line="240" w:lineRule="auto"/>
    </w:pPr>
  </w:style>
  <w:style w:type="paragraph" w:styleId="Header">
    <w:name w:val="header"/>
    <w:basedOn w:val="Normal"/>
    <w:link w:val="HeaderChar"/>
    <w:uiPriority w:val="99"/>
    <w:unhideWhenUsed/>
    <w:rsid w:val="00DA0F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F19"/>
  </w:style>
  <w:style w:type="paragraph" w:styleId="Footer">
    <w:name w:val="footer"/>
    <w:basedOn w:val="Normal"/>
    <w:link w:val="FooterChar"/>
    <w:uiPriority w:val="99"/>
    <w:unhideWhenUsed/>
    <w:rsid w:val="00DA0F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899870">
      <w:bodyDiv w:val="1"/>
      <w:marLeft w:val="0"/>
      <w:marRight w:val="0"/>
      <w:marTop w:val="0"/>
      <w:marBottom w:val="0"/>
      <w:divBdr>
        <w:top w:val="none" w:sz="0" w:space="0" w:color="auto"/>
        <w:left w:val="none" w:sz="0" w:space="0" w:color="auto"/>
        <w:bottom w:val="none" w:sz="0" w:space="0" w:color="auto"/>
        <w:right w:val="none" w:sz="0" w:space="0" w:color="auto"/>
      </w:divBdr>
    </w:div>
    <w:div w:id="128328327">
      <w:bodyDiv w:val="1"/>
      <w:marLeft w:val="0"/>
      <w:marRight w:val="0"/>
      <w:marTop w:val="0"/>
      <w:marBottom w:val="0"/>
      <w:divBdr>
        <w:top w:val="none" w:sz="0" w:space="0" w:color="auto"/>
        <w:left w:val="none" w:sz="0" w:space="0" w:color="auto"/>
        <w:bottom w:val="none" w:sz="0" w:space="0" w:color="auto"/>
        <w:right w:val="none" w:sz="0" w:space="0" w:color="auto"/>
      </w:divBdr>
    </w:div>
    <w:div w:id="1093866413">
      <w:bodyDiv w:val="1"/>
      <w:marLeft w:val="0"/>
      <w:marRight w:val="0"/>
      <w:marTop w:val="0"/>
      <w:marBottom w:val="0"/>
      <w:divBdr>
        <w:top w:val="none" w:sz="0" w:space="0" w:color="auto"/>
        <w:left w:val="none" w:sz="0" w:space="0" w:color="auto"/>
        <w:bottom w:val="none" w:sz="0" w:space="0" w:color="auto"/>
        <w:right w:val="none" w:sz="0" w:space="0" w:color="auto"/>
      </w:divBdr>
    </w:div>
    <w:div w:id="1226259088">
      <w:bodyDiv w:val="1"/>
      <w:marLeft w:val="0"/>
      <w:marRight w:val="0"/>
      <w:marTop w:val="0"/>
      <w:marBottom w:val="0"/>
      <w:divBdr>
        <w:top w:val="none" w:sz="0" w:space="0" w:color="auto"/>
        <w:left w:val="none" w:sz="0" w:space="0" w:color="auto"/>
        <w:bottom w:val="none" w:sz="0" w:space="0" w:color="auto"/>
        <w:right w:val="none" w:sz="0" w:space="0" w:color="auto"/>
      </w:divBdr>
    </w:div>
    <w:div w:id="1269777607">
      <w:bodyDiv w:val="1"/>
      <w:marLeft w:val="0"/>
      <w:marRight w:val="0"/>
      <w:marTop w:val="0"/>
      <w:marBottom w:val="0"/>
      <w:divBdr>
        <w:top w:val="none" w:sz="0" w:space="0" w:color="auto"/>
        <w:left w:val="none" w:sz="0" w:space="0" w:color="auto"/>
        <w:bottom w:val="none" w:sz="0" w:space="0" w:color="auto"/>
        <w:right w:val="none" w:sz="0" w:space="0" w:color="auto"/>
      </w:divBdr>
      <w:divsChild>
        <w:div w:id="1726836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3389</Words>
  <Characters>19320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adejoke adozi</cp:lastModifiedBy>
  <cp:revision>2</cp:revision>
  <dcterms:created xsi:type="dcterms:W3CDTF">2025-11-14T19:10:00Z</dcterms:created>
  <dcterms:modified xsi:type="dcterms:W3CDTF">2025-11-14T19:10:00Z</dcterms:modified>
</cp:coreProperties>
</file>