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2049911"/>
        <w:docPartObj>
          <w:docPartGallery w:val="Cover Pages"/>
          <w:docPartUnique/>
        </w:docPartObj>
      </w:sdtPr>
      <w:sdtContent>
        <w:p w14:paraId="690EBBCF" w14:textId="641B0610" w:rsidR="00DF2C4D" w:rsidRDefault="00DF2C4D">
          <w:r>
            <w:rPr>
              <w:noProof/>
            </w:rPr>
            <mc:AlternateContent>
              <mc:Choice Requires="wpg">
                <w:drawing>
                  <wp:anchor distT="0" distB="0" distL="114300" distR="114300" simplePos="0" relativeHeight="251662336" behindDoc="0" locked="0" layoutInCell="1" allowOverlap="1" wp14:anchorId="7547EAF5" wp14:editId="630DB5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A526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F45E86" wp14:editId="7CDB000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665773" w14:textId="479BB1DA" w:rsidR="00DF2C4D" w:rsidRDefault="00DF2C4D">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3C35C213" w14:textId="7B69A69C" w:rsidR="00DF2C4D" w:rsidRDefault="00DF2C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F45E8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665773" w14:textId="479BB1DA" w:rsidR="00DF2C4D" w:rsidRDefault="00DF2C4D">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3C35C213" w14:textId="7B69A69C" w:rsidR="00DF2C4D" w:rsidRDefault="00DF2C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9E474B" wp14:editId="6B21E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593F73" w14:textId="7E4ABBA8" w:rsidR="00DF2C4D" w:rsidRDefault="00DF2C4D">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E41E14" w14:textId="285351B1" w:rsidR="00DF2C4D" w:rsidRDefault="00DF2C4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9E474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9593F73" w14:textId="7E4ABBA8" w:rsidR="00DF2C4D" w:rsidRDefault="00DF2C4D">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E41E14" w14:textId="285351B1" w:rsidR="00DF2C4D" w:rsidRDefault="00DF2C4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BCE2CB" wp14:editId="5C5530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B1834" w14:textId="334BEE94" w:rsidR="00DF2C4D" w:rsidRDefault="00DF2C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Operational policing exam</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16C75D4" w14:textId="1249A8D4" w:rsidR="00DF2C4D" w:rsidRDefault="00DF2C4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BCE2C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3CB1834" w14:textId="334BEE94" w:rsidR="00DF2C4D" w:rsidRDefault="00DF2C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Operational policing exam</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16C75D4" w14:textId="1249A8D4" w:rsidR="00DF2C4D" w:rsidRDefault="00DF2C4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FDC9F20" w14:textId="77777777" w:rsidR="00DF2C4D" w:rsidRDefault="00DF2C4D" w:rsidP="00DF2C4D">
          <w:r>
            <w:br w:type="page"/>
          </w:r>
        </w:p>
        <w:p w14:paraId="28793574" w14:textId="4D047A82" w:rsidR="00DF2C4D" w:rsidRDefault="00DF2C4D" w:rsidP="00DF2C4D"/>
      </w:sdtContent>
    </w:sdt>
    <w:p w14:paraId="2B13E589" w14:textId="403ABD33" w:rsidR="00DF2C4D" w:rsidRPr="00DF2C4D" w:rsidRDefault="00DF2C4D" w:rsidP="00DF2C4D">
      <w:r w:rsidRPr="00DF2C4D">
        <w:rPr>
          <w:rFonts w:ascii="Times New Roman" w:eastAsia="Times New Roman" w:hAnsi="Times New Roman" w:cs="Times New Roman"/>
          <w:color w:val="000000"/>
          <w:sz w:val="28"/>
          <w:szCs w:val="28"/>
          <w:lang w:eastAsia="en-GB"/>
        </w:rPr>
        <w:t> </w:t>
      </w:r>
    </w:p>
    <w:p w14:paraId="35597697" w14:textId="77777777" w:rsidR="00DF2C4D" w:rsidRPr="00DF2C4D" w:rsidRDefault="00DF2C4D" w:rsidP="00DF2C4D">
      <w:pPr>
        <w:spacing w:after="0" w:line="480" w:lineRule="auto"/>
        <w:ind w:left="780" w:hanging="36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1.</w:t>
      </w:r>
      <w:r w:rsidRPr="00DF2C4D">
        <w:rPr>
          <w:rFonts w:ascii="Arial" w:eastAsia="Times New Roman" w:hAnsi="Arial" w:cs="Arial"/>
          <w:color w:val="000000"/>
          <w:sz w:val="24"/>
          <w:szCs w:val="24"/>
          <w:lang w:eastAsia="en-GB"/>
        </w:rPr>
        <w:tab/>
        <w:t>A person is guilty of theft under Section 1 Theft Act 1968 which states:</w:t>
      </w:r>
    </w:p>
    <w:p w14:paraId="442743B7"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315D9A8C" w14:textId="77777777" w:rsidR="00DF2C4D" w:rsidRPr="00DF2C4D" w:rsidRDefault="00DF2C4D" w:rsidP="00DF2C4D">
      <w:pPr>
        <w:spacing w:after="0" w:line="480" w:lineRule="auto"/>
        <w:ind w:left="1140" w:right="10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 ‘A person is guilty of theft if he dishonestly appropriates property, belonging to another, with the intention of permanently depriving the other of it.’</w:t>
      </w:r>
    </w:p>
    <w:p w14:paraId="6EFEC93E"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3F7B4E4D"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proofErr w:type="gramStart"/>
      <w:r w:rsidRPr="00DF2C4D">
        <w:rPr>
          <w:rFonts w:ascii="Arial" w:eastAsia="Times New Roman" w:hAnsi="Arial" w:cs="Arial"/>
          <w:color w:val="000000"/>
          <w:sz w:val="24"/>
          <w:szCs w:val="24"/>
          <w:lang w:eastAsia="en-GB"/>
        </w:rPr>
        <w:t>In order to</w:t>
      </w:r>
      <w:proofErr w:type="gramEnd"/>
      <w:r w:rsidRPr="00DF2C4D">
        <w:rPr>
          <w:rFonts w:ascii="Arial" w:eastAsia="Times New Roman" w:hAnsi="Arial" w:cs="Arial"/>
          <w:color w:val="000000"/>
          <w:sz w:val="24"/>
          <w:szCs w:val="24"/>
          <w:lang w:eastAsia="en-GB"/>
        </w:rPr>
        <w:t xml:space="preserve"> establish an offence of theft each of the five elements of the offence must be proved, these are:</w:t>
      </w:r>
    </w:p>
    <w:p w14:paraId="7877C6B2"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Dishonestly</w:t>
      </w:r>
    </w:p>
    <w:p w14:paraId="260E9BFE"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Appropriates</w:t>
      </w:r>
    </w:p>
    <w:p w14:paraId="19832688"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Property</w:t>
      </w:r>
    </w:p>
    <w:p w14:paraId="5769FF47"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 Belonging to </w:t>
      </w:r>
      <w:proofErr w:type="gramStart"/>
      <w:r w:rsidRPr="00DF2C4D">
        <w:rPr>
          <w:rFonts w:ascii="Arial" w:eastAsia="Times New Roman" w:hAnsi="Arial" w:cs="Arial"/>
          <w:color w:val="000000"/>
          <w:sz w:val="24"/>
          <w:szCs w:val="24"/>
          <w:lang w:eastAsia="en-GB"/>
        </w:rPr>
        <w:t>another</w:t>
      </w:r>
      <w:proofErr w:type="gramEnd"/>
    </w:p>
    <w:p w14:paraId="187338C3"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Intention to permanently deprive.</w:t>
      </w:r>
    </w:p>
    <w:p w14:paraId="17554EE2"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3EBFF6DD"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Explain the elements ‘Dishonesty’ and ‘</w:t>
      </w:r>
      <w:proofErr w:type="gramStart"/>
      <w:r w:rsidRPr="00DF2C4D">
        <w:rPr>
          <w:rFonts w:ascii="Arial" w:eastAsia="Times New Roman" w:hAnsi="Arial" w:cs="Arial"/>
          <w:b/>
          <w:bCs/>
          <w:color w:val="000000"/>
          <w:sz w:val="24"/>
          <w:szCs w:val="24"/>
          <w:lang w:eastAsia="en-GB"/>
        </w:rPr>
        <w:t>Property’</w:t>
      </w:r>
      <w:proofErr w:type="gramEnd"/>
      <w:r w:rsidRPr="00DF2C4D">
        <w:rPr>
          <w:rFonts w:ascii="Arial" w:eastAsia="Times New Roman" w:hAnsi="Arial" w:cs="Arial"/>
          <w:b/>
          <w:bCs/>
          <w:color w:val="000000"/>
          <w:sz w:val="24"/>
          <w:szCs w:val="24"/>
          <w:lang w:eastAsia="en-GB"/>
        </w:rPr>
        <w:t>             </w:t>
      </w:r>
    </w:p>
    <w:p w14:paraId="656E500E"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Dishonesty in some way may be a little more complex than other terms to be explained due to there being no definition in the law regarding the term dishonesty. However, due to case law being observed over the past decades allows for the term to be defined within the situation of the case. Furthermore, in section 2 (2) of the Theft Act (1968), it does regard someone dishonest even if they are willing to pay for an item they have stolen, in some way it proves that they within their own mind are guilty of the act which they have committed. Section 2 (1) of the Theft Act (1968) describes the defences for dishonesty which are the following: </w:t>
      </w:r>
    </w:p>
    <w:p w14:paraId="540205C5" w14:textId="77777777" w:rsidR="00DF2C4D" w:rsidRPr="00DF2C4D" w:rsidRDefault="00DF2C4D" w:rsidP="00DF2C4D">
      <w:pPr>
        <w:numPr>
          <w:ilvl w:val="0"/>
          <w:numId w:val="1"/>
        </w:numPr>
        <w:spacing w:before="240" w:after="0" w:line="480" w:lineRule="auto"/>
        <w:jc w:val="both"/>
        <w:textAlignment w:val="baseline"/>
        <w:rPr>
          <w:rFonts w:ascii="Arial" w:eastAsia="Times New Roman" w:hAnsi="Arial" w:cs="Arial"/>
          <w:color w:val="000000"/>
          <w:sz w:val="24"/>
          <w:szCs w:val="24"/>
          <w:lang w:eastAsia="en-GB"/>
        </w:rPr>
      </w:pPr>
      <w:r w:rsidRPr="00DF2C4D">
        <w:rPr>
          <w:rFonts w:ascii="Arial" w:eastAsia="Times New Roman" w:hAnsi="Arial" w:cs="Arial"/>
          <w:color w:val="000000"/>
          <w:sz w:val="24"/>
          <w:szCs w:val="24"/>
          <w:lang w:eastAsia="en-GB"/>
        </w:rPr>
        <w:lastRenderedPageBreak/>
        <w:t>If the person believes they had the lawful right to take the item</w:t>
      </w:r>
    </w:p>
    <w:p w14:paraId="6CA44ADA" w14:textId="77777777" w:rsidR="00DF2C4D" w:rsidRPr="00DF2C4D" w:rsidRDefault="00DF2C4D" w:rsidP="00DF2C4D">
      <w:pPr>
        <w:numPr>
          <w:ilvl w:val="0"/>
          <w:numId w:val="1"/>
        </w:numPr>
        <w:spacing w:after="0" w:line="480" w:lineRule="auto"/>
        <w:jc w:val="both"/>
        <w:textAlignment w:val="baseline"/>
        <w:rPr>
          <w:rFonts w:ascii="Arial" w:eastAsia="Times New Roman" w:hAnsi="Arial" w:cs="Arial"/>
          <w:color w:val="000000"/>
          <w:sz w:val="24"/>
          <w:szCs w:val="24"/>
          <w:lang w:eastAsia="en-GB"/>
        </w:rPr>
      </w:pPr>
      <w:r w:rsidRPr="00DF2C4D">
        <w:rPr>
          <w:rFonts w:ascii="Arial" w:eastAsia="Times New Roman" w:hAnsi="Arial" w:cs="Arial"/>
          <w:color w:val="000000"/>
          <w:sz w:val="24"/>
          <w:szCs w:val="24"/>
          <w:lang w:eastAsia="en-GB"/>
        </w:rPr>
        <w:t>If the person believes they would have the consent of the owner if the owner had known the circumstance</w:t>
      </w:r>
    </w:p>
    <w:p w14:paraId="75D889CC" w14:textId="77777777" w:rsidR="00DF2C4D" w:rsidRPr="00DF2C4D" w:rsidRDefault="00DF2C4D" w:rsidP="00DF2C4D">
      <w:pPr>
        <w:numPr>
          <w:ilvl w:val="0"/>
          <w:numId w:val="1"/>
        </w:numPr>
        <w:spacing w:after="0" w:line="480" w:lineRule="auto"/>
        <w:jc w:val="both"/>
        <w:textAlignment w:val="baseline"/>
        <w:rPr>
          <w:rFonts w:ascii="Arial" w:eastAsia="Times New Roman" w:hAnsi="Arial" w:cs="Arial"/>
          <w:color w:val="000000"/>
          <w:sz w:val="24"/>
          <w:szCs w:val="24"/>
          <w:lang w:eastAsia="en-GB"/>
        </w:rPr>
      </w:pPr>
      <w:r w:rsidRPr="00DF2C4D">
        <w:rPr>
          <w:rFonts w:ascii="Arial" w:eastAsia="Times New Roman" w:hAnsi="Arial" w:cs="Arial"/>
          <w:color w:val="000000"/>
          <w:sz w:val="24"/>
          <w:szCs w:val="24"/>
          <w:lang w:eastAsia="en-GB"/>
        </w:rPr>
        <w:t xml:space="preserve">If the owner cannot be found regarding an item, for example, if someone found a wallet with money but the wallet had no identification in </w:t>
      </w:r>
      <w:proofErr w:type="gramStart"/>
      <w:r w:rsidRPr="00DF2C4D">
        <w:rPr>
          <w:rFonts w:ascii="Arial" w:eastAsia="Times New Roman" w:hAnsi="Arial" w:cs="Arial"/>
          <w:color w:val="000000"/>
          <w:sz w:val="24"/>
          <w:szCs w:val="24"/>
          <w:lang w:eastAsia="en-GB"/>
        </w:rPr>
        <w:t>it</w:t>
      </w:r>
      <w:proofErr w:type="gramEnd"/>
      <w:r w:rsidRPr="00DF2C4D">
        <w:rPr>
          <w:rFonts w:ascii="Arial" w:eastAsia="Times New Roman" w:hAnsi="Arial" w:cs="Arial"/>
          <w:color w:val="000000"/>
          <w:sz w:val="24"/>
          <w:szCs w:val="24"/>
          <w:lang w:eastAsia="en-GB"/>
        </w:rPr>
        <w:t xml:space="preserve"> and they tried to find the owner but could not. (</w:t>
      </w:r>
      <w:proofErr w:type="spellStart"/>
      <w:r w:rsidRPr="00DF2C4D">
        <w:rPr>
          <w:rFonts w:ascii="Arial" w:eastAsia="Times New Roman" w:hAnsi="Arial" w:cs="Arial"/>
          <w:color w:val="000000"/>
          <w:sz w:val="24"/>
          <w:szCs w:val="24"/>
          <w:lang w:eastAsia="en-GB"/>
        </w:rPr>
        <w:t>Blackstones</w:t>
      </w:r>
      <w:proofErr w:type="spellEnd"/>
      <w:r w:rsidRPr="00DF2C4D">
        <w:rPr>
          <w:rFonts w:ascii="Arial" w:eastAsia="Times New Roman" w:hAnsi="Arial" w:cs="Arial"/>
          <w:color w:val="000000"/>
          <w:sz w:val="24"/>
          <w:szCs w:val="24"/>
          <w:lang w:eastAsia="en-GB"/>
        </w:rPr>
        <w:t>, 2021).</w:t>
      </w:r>
    </w:p>
    <w:p w14:paraId="0F2B5A03"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There are two main ways to establish dishonesty in a court of law. In R v Ghosh (1982) these two main tests were made evident and are used in courts today. This objective style of establishing is done by firstly looking at:</w:t>
      </w:r>
    </w:p>
    <w:p w14:paraId="0D28E528" w14:textId="77777777" w:rsidR="00DF2C4D" w:rsidRPr="00DF2C4D" w:rsidRDefault="00DF2C4D" w:rsidP="00DF2C4D">
      <w:pPr>
        <w:numPr>
          <w:ilvl w:val="0"/>
          <w:numId w:val="2"/>
        </w:numPr>
        <w:spacing w:before="240" w:after="0" w:line="480" w:lineRule="auto"/>
        <w:jc w:val="both"/>
        <w:textAlignment w:val="baseline"/>
        <w:rPr>
          <w:rFonts w:ascii="Arial" w:eastAsia="Times New Roman" w:hAnsi="Arial" w:cs="Arial"/>
          <w:color w:val="000000"/>
          <w:sz w:val="24"/>
          <w:szCs w:val="24"/>
          <w:lang w:eastAsia="en-GB"/>
        </w:rPr>
      </w:pPr>
      <w:r w:rsidRPr="00DF2C4D">
        <w:rPr>
          <w:rFonts w:ascii="Arial" w:eastAsia="Times New Roman" w:hAnsi="Arial" w:cs="Arial"/>
          <w:color w:val="000000"/>
          <w:sz w:val="24"/>
          <w:szCs w:val="24"/>
          <w:lang w:eastAsia="en-GB"/>
        </w:rPr>
        <w:t>If ordinary and honest people by objective standards would say the action was dishonesty</w:t>
      </w:r>
    </w:p>
    <w:p w14:paraId="74EBEE9E" w14:textId="77777777" w:rsidR="00DF2C4D" w:rsidRPr="00DF2C4D" w:rsidRDefault="00DF2C4D" w:rsidP="00DF2C4D">
      <w:pPr>
        <w:numPr>
          <w:ilvl w:val="0"/>
          <w:numId w:val="2"/>
        </w:numPr>
        <w:spacing w:after="0" w:line="480" w:lineRule="auto"/>
        <w:jc w:val="both"/>
        <w:textAlignment w:val="baseline"/>
        <w:rPr>
          <w:rFonts w:ascii="Arial" w:eastAsia="Times New Roman" w:hAnsi="Arial" w:cs="Arial"/>
          <w:color w:val="000000"/>
          <w:sz w:val="24"/>
          <w:szCs w:val="24"/>
          <w:lang w:eastAsia="en-GB"/>
        </w:rPr>
      </w:pPr>
      <w:r w:rsidRPr="00DF2C4D">
        <w:rPr>
          <w:rFonts w:ascii="Arial" w:eastAsia="Times New Roman" w:hAnsi="Arial" w:cs="Arial"/>
          <w:color w:val="000000"/>
          <w:sz w:val="24"/>
          <w:szCs w:val="24"/>
          <w:lang w:eastAsia="en-GB"/>
        </w:rPr>
        <w:t>Whether the defendant believed that ordinary and honest people would regard their behaviour as dishonest.</w:t>
      </w:r>
    </w:p>
    <w:p w14:paraId="1A2E215B"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These two methods were proved to be used in the case of Ivey v Genting Casinos (2017). In which the defendant believed his methods of exploiting the casino for a win was his skill and not dishonest. However, the court believed that ordinary people would say that he used methods of exploiting for financial gain in which he was found dishonest.</w:t>
      </w:r>
    </w:p>
    <w:p w14:paraId="76C26092" w14:textId="77777777" w:rsidR="00DF2C4D" w:rsidRPr="00DF2C4D" w:rsidRDefault="00DF2C4D" w:rsidP="00DF2C4D">
      <w:pPr>
        <w:spacing w:after="0" w:line="480" w:lineRule="auto"/>
        <w:rPr>
          <w:rFonts w:ascii="Arial" w:eastAsia="Times New Roman" w:hAnsi="Arial" w:cs="Arial"/>
          <w:sz w:val="24"/>
          <w:szCs w:val="24"/>
          <w:lang w:eastAsia="en-GB"/>
        </w:rPr>
      </w:pPr>
    </w:p>
    <w:p w14:paraId="19FFA9F1"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Property in law is simple in its general meaning which under section 4 of the Theft Act (1968) means a movable object or someone’s personal property which only they would own for example items such as money and other physical items. However, it may also be intangible items such as oxygen in an oxygen tank, this does not include electricity as it can only be abstracted not stolen. The property also includes land as seen in the </w:t>
      </w:r>
      <w:r w:rsidRPr="00DF2C4D">
        <w:rPr>
          <w:rFonts w:ascii="Arial" w:eastAsia="Times New Roman" w:hAnsi="Arial" w:cs="Arial"/>
          <w:color w:val="000000"/>
          <w:sz w:val="24"/>
          <w:szCs w:val="24"/>
          <w:lang w:eastAsia="en-GB"/>
        </w:rPr>
        <w:lastRenderedPageBreak/>
        <w:t xml:space="preserve">case of Waverly Borough Council v Fletcher (1996) in which the defendant dug up council land as he found items underground with a metal detector and was charged with criminal damage. Furthermore, fruit, flowers, </w:t>
      </w:r>
      <w:proofErr w:type="gramStart"/>
      <w:r w:rsidRPr="00DF2C4D">
        <w:rPr>
          <w:rFonts w:ascii="Arial" w:eastAsia="Times New Roman" w:hAnsi="Arial" w:cs="Arial"/>
          <w:color w:val="000000"/>
          <w:sz w:val="24"/>
          <w:szCs w:val="24"/>
          <w:lang w:eastAsia="en-GB"/>
        </w:rPr>
        <w:t>fungi</w:t>
      </w:r>
      <w:proofErr w:type="gramEnd"/>
      <w:r w:rsidRPr="00DF2C4D">
        <w:rPr>
          <w:rFonts w:ascii="Arial" w:eastAsia="Times New Roman" w:hAnsi="Arial" w:cs="Arial"/>
          <w:color w:val="000000"/>
          <w:sz w:val="24"/>
          <w:szCs w:val="24"/>
          <w:lang w:eastAsia="en-GB"/>
        </w:rPr>
        <w:t xml:space="preserve"> and foliage are also included, so also are buildings.   </w:t>
      </w:r>
    </w:p>
    <w:p w14:paraId="29E4CFA9" w14:textId="0DD1568F" w:rsidR="00DF2C4D" w:rsidRDefault="00DF2C4D" w:rsidP="00DF2C4D">
      <w:pPr>
        <w:spacing w:before="240" w:after="0" w:line="480" w:lineRule="auto"/>
        <w:jc w:val="both"/>
        <w:rPr>
          <w:rFonts w:ascii="Arial" w:eastAsia="Times New Roman" w:hAnsi="Arial" w:cs="Arial"/>
          <w:b/>
          <w:bCs/>
          <w:color w:val="000000"/>
          <w:sz w:val="24"/>
          <w:szCs w:val="24"/>
          <w:lang w:eastAsia="en-GB"/>
        </w:rPr>
      </w:pPr>
      <w:r w:rsidRPr="00DF2C4D">
        <w:rPr>
          <w:rFonts w:ascii="Arial" w:eastAsia="Times New Roman" w:hAnsi="Arial" w:cs="Arial"/>
          <w:b/>
          <w:bCs/>
          <w:color w:val="000000"/>
          <w:sz w:val="24"/>
          <w:szCs w:val="24"/>
          <w:lang w:eastAsia="en-GB"/>
        </w:rPr>
        <w:t> </w:t>
      </w:r>
    </w:p>
    <w:p w14:paraId="32F26DD0" w14:textId="196B9171"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4EB75D76" w14:textId="6B8967A8"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115A9889" w14:textId="5B9A8706"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523AE76A" w14:textId="38CCBF79"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1DA695D" w14:textId="5308D78C"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1541E9A2" w14:textId="1CACA22D"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5D66646" w14:textId="2D1E61AC"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195DFF3" w14:textId="6DBD264C"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C731438" w14:textId="35DB68DC"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3D528275" w14:textId="2163A7BC"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72699FD" w14:textId="6EEE2559"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411BA824" w14:textId="5D0E3AA1"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5EC0C42" w14:textId="4B9EE451"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9A9D4F0"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p>
    <w:p w14:paraId="49FF48C8" w14:textId="678EAB31" w:rsidR="00DF2C4D" w:rsidRPr="00DF2C4D" w:rsidRDefault="00DF2C4D" w:rsidP="00DF2C4D">
      <w:pPr>
        <w:spacing w:after="0" w:line="480" w:lineRule="auto"/>
        <w:ind w:left="780" w:hanging="36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lastRenderedPageBreak/>
        <w:t>2.</w:t>
      </w:r>
      <w:r w:rsidRPr="00DF2C4D">
        <w:rPr>
          <w:rFonts w:ascii="Arial" w:eastAsia="Times New Roman" w:hAnsi="Arial" w:cs="Arial"/>
          <w:color w:val="000000"/>
          <w:sz w:val="24"/>
          <w:szCs w:val="24"/>
          <w:lang w:eastAsia="en-GB"/>
        </w:rPr>
        <w:tab/>
        <w:t>Burglary is defined as:  </w:t>
      </w:r>
    </w:p>
    <w:p w14:paraId="6197F7F2"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Section 9(1)(a) of the Theft Act 1968 burglary is committed by a person who enters a building or part of a building as a trespasser with intent to:</w:t>
      </w:r>
    </w:p>
    <w:p w14:paraId="1E0FF035"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a. Steal anything in the building or part of the building or</w:t>
      </w:r>
    </w:p>
    <w:p w14:paraId="647EED4E"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b. Inflict grievous bodily harm on any person therein or</w:t>
      </w:r>
    </w:p>
    <w:p w14:paraId="7462B12F"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c. Do unlawful damage to the building or anything therein.</w:t>
      </w:r>
    </w:p>
    <w:p w14:paraId="09344ED7"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 </w:t>
      </w:r>
    </w:p>
    <w:p w14:paraId="36C13DD6"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Section 9(1) (b) of the Theft Act 1968 burglary is committed by a person who having entered any building or part of a building as a trespasser:</w:t>
      </w:r>
    </w:p>
    <w:p w14:paraId="2E6E0945"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 steals or attempts to steal anything therein, or</w:t>
      </w:r>
    </w:p>
    <w:p w14:paraId="4E665D54"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 inflicts or attempts to inflict grievous bodily harm on any person therein.</w:t>
      </w:r>
    </w:p>
    <w:p w14:paraId="4817415F"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3EBC06A0" w14:textId="7C138F12" w:rsidR="00DF2C4D" w:rsidRPr="00DF2C4D" w:rsidRDefault="00DF2C4D" w:rsidP="00DF2C4D">
      <w:pPr>
        <w:spacing w:before="240" w:after="0" w:line="480" w:lineRule="auto"/>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 xml:space="preserve">Explain the element ‘Enters’ in relation to the offence of burglary.  </w:t>
      </w:r>
      <w:r w:rsidRPr="00DF2C4D">
        <w:rPr>
          <w:rFonts w:ascii="Arial" w:eastAsia="Times New Roman" w:hAnsi="Arial" w:cs="Arial"/>
          <w:b/>
          <w:bCs/>
          <w:color w:val="000000"/>
          <w:sz w:val="24"/>
          <w:szCs w:val="24"/>
          <w:lang w:eastAsia="en-GB"/>
        </w:rPr>
        <w:tab/>
        <w:t>              </w:t>
      </w:r>
      <w:r w:rsidRPr="00DF2C4D">
        <w:rPr>
          <w:rFonts w:ascii="Arial" w:eastAsia="Times New Roman" w:hAnsi="Arial" w:cs="Arial"/>
          <w:b/>
          <w:bCs/>
          <w:color w:val="000000"/>
          <w:sz w:val="24"/>
          <w:szCs w:val="24"/>
          <w:lang w:eastAsia="en-GB"/>
        </w:rPr>
        <w:tab/>
      </w:r>
    </w:p>
    <w:p w14:paraId="4E56F813"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Entry can be gained in different ways into a building or part of a building. One of the simplest ones would be if someone walked or climbed into a building, they can enter wholly or partly for example an arm or leg. Using a tool is also another method, more precisely an extension for example of an arm by using something like a pole to reach something inside a building or part of a building. In this example, the person’s body or part of the body would not need to enter as the extension or tool would suffice an entry. Lastly, an accomplice could be used, for example, a child under the age of 10 (criminal age of responsibility) could assist the defendant by the defendant lifting the child into the building and asking them to open a door for them to enter in themself. Trespassing is also an entry but with intent to commit burglary. On this line, the trespasser may </w:t>
      </w:r>
      <w:r w:rsidRPr="00DF2C4D">
        <w:rPr>
          <w:rFonts w:ascii="Arial" w:eastAsia="Times New Roman" w:hAnsi="Arial" w:cs="Arial"/>
          <w:color w:val="000000"/>
          <w:sz w:val="24"/>
          <w:szCs w:val="24"/>
          <w:lang w:eastAsia="en-GB"/>
        </w:rPr>
        <w:lastRenderedPageBreak/>
        <w:t>enter through deception, by disguising themself as an electrician to gain entry that way. Simply crossing a restricted line in a shop would also be an entry, even if the line is not visible it is still a part of a building as it is a restricted area.   </w:t>
      </w:r>
    </w:p>
    <w:p w14:paraId="048CD3BA" w14:textId="735AC909" w:rsidR="00DF2C4D" w:rsidRDefault="00DF2C4D" w:rsidP="00DF2C4D">
      <w:pPr>
        <w:spacing w:before="240" w:after="0" w:line="480" w:lineRule="auto"/>
        <w:jc w:val="both"/>
        <w:rPr>
          <w:rFonts w:ascii="Arial" w:eastAsia="Times New Roman" w:hAnsi="Arial" w:cs="Arial"/>
          <w:b/>
          <w:bCs/>
          <w:color w:val="000000"/>
          <w:sz w:val="24"/>
          <w:szCs w:val="24"/>
          <w:lang w:eastAsia="en-GB"/>
        </w:rPr>
      </w:pPr>
      <w:r w:rsidRPr="00DF2C4D">
        <w:rPr>
          <w:rFonts w:ascii="Arial" w:eastAsia="Times New Roman" w:hAnsi="Arial" w:cs="Arial"/>
          <w:b/>
          <w:bCs/>
          <w:color w:val="000000"/>
          <w:sz w:val="24"/>
          <w:szCs w:val="24"/>
          <w:lang w:eastAsia="en-GB"/>
        </w:rPr>
        <w:t> </w:t>
      </w:r>
    </w:p>
    <w:p w14:paraId="7CDF53E7" w14:textId="1EA2CC04"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66797C1C" w14:textId="5D9B2306"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39B89C1" w14:textId="21006C29"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8421978" w14:textId="0AD7C965"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1355CF08" w14:textId="5DF4273E"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A925E58" w14:textId="5C3A5A97"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45B2402D" w14:textId="6254D8B6"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6C0A9A34" w14:textId="6DCA9FCB"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116125F6" w14:textId="56FA018B"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501A0DA8" w14:textId="128ACFE8"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256C401" w14:textId="05AA5A92"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3613E6B" w14:textId="74A49597"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690BB278" w14:textId="00CAA61A"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6ED8F1F"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p>
    <w:p w14:paraId="29A34CA1" w14:textId="77777777" w:rsidR="00DF2C4D" w:rsidRPr="00DF2C4D" w:rsidRDefault="00DF2C4D" w:rsidP="00DF2C4D">
      <w:pPr>
        <w:spacing w:after="0" w:line="480" w:lineRule="auto"/>
        <w:ind w:left="780" w:hanging="36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lastRenderedPageBreak/>
        <w:t xml:space="preserve">3. </w:t>
      </w:r>
      <w:r w:rsidRPr="00DF2C4D">
        <w:rPr>
          <w:rFonts w:ascii="Arial" w:eastAsia="Times New Roman" w:hAnsi="Arial" w:cs="Arial"/>
          <w:color w:val="000000"/>
          <w:sz w:val="24"/>
          <w:szCs w:val="24"/>
          <w:lang w:eastAsia="en-GB"/>
        </w:rPr>
        <w:tab/>
        <w:t xml:space="preserve">A person </w:t>
      </w:r>
      <w:r w:rsidRPr="00DF2C4D">
        <w:rPr>
          <w:rFonts w:ascii="Arial" w:eastAsia="Times New Roman" w:hAnsi="Arial" w:cs="Arial"/>
          <w:b/>
          <w:bCs/>
          <w:color w:val="000000"/>
          <w:sz w:val="24"/>
          <w:szCs w:val="24"/>
          <w:lang w:eastAsia="en-GB"/>
        </w:rPr>
        <w:t>(A)</w:t>
      </w:r>
      <w:r w:rsidRPr="00DF2C4D">
        <w:rPr>
          <w:rFonts w:ascii="Arial" w:eastAsia="Times New Roman" w:hAnsi="Arial" w:cs="Arial"/>
          <w:color w:val="000000"/>
          <w:sz w:val="24"/>
          <w:szCs w:val="24"/>
          <w:lang w:eastAsia="en-GB"/>
        </w:rPr>
        <w:t xml:space="preserve"> throws a brick at a group of people walking along the street intending that the brick hits and injures someone, the person does not know any of the people in the group and does not aim at any of </w:t>
      </w:r>
      <w:proofErr w:type="gramStart"/>
      <w:r w:rsidRPr="00DF2C4D">
        <w:rPr>
          <w:rFonts w:ascii="Arial" w:eastAsia="Times New Roman" w:hAnsi="Arial" w:cs="Arial"/>
          <w:color w:val="000000"/>
          <w:sz w:val="24"/>
          <w:szCs w:val="24"/>
          <w:lang w:eastAsia="en-GB"/>
        </w:rPr>
        <w:t>them in particular</w:t>
      </w:r>
      <w:proofErr w:type="gramEnd"/>
      <w:r w:rsidRPr="00DF2C4D">
        <w:rPr>
          <w:rFonts w:ascii="Arial" w:eastAsia="Times New Roman" w:hAnsi="Arial" w:cs="Arial"/>
          <w:color w:val="000000"/>
          <w:sz w:val="24"/>
          <w:szCs w:val="24"/>
          <w:lang w:eastAsia="en-GB"/>
        </w:rPr>
        <w:t xml:space="preserve">. The brick hits one of the </w:t>
      </w:r>
      <w:proofErr w:type="gramStart"/>
      <w:r w:rsidRPr="00DF2C4D">
        <w:rPr>
          <w:rFonts w:ascii="Arial" w:eastAsia="Times New Roman" w:hAnsi="Arial" w:cs="Arial"/>
          <w:color w:val="000000"/>
          <w:sz w:val="24"/>
          <w:szCs w:val="24"/>
          <w:lang w:eastAsia="en-GB"/>
        </w:rPr>
        <w:t>group</w:t>
      </w:r>
      <w:proofErr w:type="gramEnd"/>
      <w:r w:rsidRPr="00DF2C4D">
        <w:rPr>
          <w:rFonts w:ascii="Arial" w:eastAsia="Times New Roman" w:hAnsi="Arial" w:cs="Arial"/>
          <w:color w:val="000000"/>
          <w:sz w:val="24"/>
          <w:szCs w:val="24"/>
          <w:lang w:eastAsia="en-GB"/>
        </w:rPr>
        <w:t xml:space="preserve"> on the head causing a really serious bodily harm resulting in hospitalisation. </w:t>
      </w:r>
    </w:p>
    <w:p w14:paraId="78BF8FF5" w14:textId="77777777" w:rsidR="00DF2C4D" w:rsidRPr="00DF2C4D" w:rsidRDefault="00DF2C4D" w:rsidP="00DF2C4D">
      <w:pPr>
        <w:spacing w:after="0" w:line="480" w:lineRule="auto"/>
        <w:ind w:left="780"/>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 </w:t>
      </w:r>
    </w:p>
    <w:p w14:paraId="6802912E"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What offence has been committed by A?</w:t>
      </w:r>
    </w:p>
    <w:p w14:paraId="1E4509E1" w14:textId="2F939072"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Explain your answer.            </w:t>
      </w:r>
    </w:p>
    <w:p w14:paraId="5998BCCD"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Under the Offences against the Person Act (1861), a person is guilty if </w:t>
      </w:r>
      <w:proofErr w:type="gramStart"/>
      <w:r w:rsidRPr="00DF2C4D">
        <w:rPr>
          <w:rFonts w:ascii="Arial" w:eastAsia="Times New Roman" w:hAnsi="Arial" w:cs="Arial"/>
          <w:color w:val="000000"/>
          <w:sz w:val="24"/>
          <w:szCs w:val="24"/>
          <w:lang w:eastAsia="en-GB"/>
        </w:rPr>
        <w:t>they</w:t>
      </w:r>
      <w:proofErr w:type="gramEnd"/>
      <w:r w:rsidRPr="00DF2C4D">
        <w:rPr>
          <w:rFonts w:ascii="Arial" w:eastAsia="Times New Roman" w:hAnsi="Arial" w:cs="Arial"/>
          <w:color w:val="000000"/>
          <w:sz w:val="24"/>
          <w:szCs w:val="24"/>
          <w:lang w:eastAsia="en-GB"/>
        </w:rPr>
        <w:t xml:space="preserve"> unlawfully and maliciously by any means whatsoever wound or cause any grievous bodily harm to any person with intent to do some grievous bodily harm to any person or with intent to resist or prevent the lawful apprehension or detainer of any person. In this example, A would be guilty of GBH with intent. Although not knowing any individual the definition highlights ‘any person’ which would suffice here. The act committed was both unlawful and malicious knowing that the brick would cause serious damage to someone, especially if hit in the head as in this case. Section 18 uses the word cause and section 20 uses the word inflict. In this case, inflict would be fitting due to the extent person A went to, to cause damage to someone. The damage due to being hit in the head would be one of the most serious offences, due to blood and potential flesh damage, skull damage and even brain damage. </w:t>
      </w:r>
      <w:proofErr w:type="gramStart"/>
      <w:r w:rsidRPr="00DF2C4D">
        <w:rPr>
          <w:rFonts w:ascii="Arial" w:eastAsia="Times New Roman" w:hAnsi="Arial" w:cs="Arial"/>
          <w:color w:val="000000"/>
          <w:sz w:val="24"/>
          <w:szCs w:val="24"/>
          <w:lang w:eastAsia="en-GB"/>
        </w:rPr>
        <w:t>Taking into account</w:t>
      </w:r>
      <w:proofErr w:type="gramEnd"/>
      <w:r w:rsidRPr="00DF2C4D">
        <w:rPr>
          <w:rFonts w:ascii="Arial" w:eastAsia="Times New Roman" w:hAnsi="Arial" w:cs="Arial"/>
          <w:color w:val="000000"/>
          <w:sz w:val="24"/>
          <w:szCs w:val="24"/>
          <w:lang w:eastAsia="en-GB"/>
        </w:rPr>
        <w:t xml:space="preserve"> the seriousness of head injuries this may result in person A being damage that they may not be able to speak again or having a permanent disability. Lastly, the length of treatment could be for a long period, potentially damaging the person’s mental health and wellbeing. In the case of DPP v </w:t>
      </w:r>
      <w:r w:rsidRPr="00DF2C4D">
        <w:rPr>
          <w:rFonts w:ascii="Arial" w:eastAsia="Times New Roman" w:hAnsi="Arial" w:cs="Arial"/>
          <w:color w:val="000000"/>
          <w:sz w:val="24"/>
          <w:szCs w:val="24"/>
          <w:lang w:eastAsia="en-GB"/>
        </w:rPr>
        <w:lastRenderedPageBreak/>
        <w:t>Smith (1960) in which serious bodily harm was done. The brick used would be counted as a weapon which would further the seriousness of the nature of the crime.  </w:t>
      </w:r>
    </w:p>
    <w:p w14:paraId="538FE9ED"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530E00B0" w14:textId="77777777" w:rsidR="00DF2C4D" w:rsidRPr="00DF2C4D" w:rsidRDefault="00DF2C4D" w:rsidP="00DF2C4D">
      <w:pPr>
        <w:spacing w:after="0" w:line="480" w:lineRule="auto"/>
        <w:rPr>
          <w:rFonts w:ascii="Arial" w:eastAsia="Times New Roman" w:hAnsi="Arial" w:cs="Arial"/>
          <w:sz w:val="24"/>
          <w:szCs w:val="24"/>
          <w:lang w:eastAsia="en-GB"/>
        </w:rPr>
      </w:pPr>
    </w:p>
    <w:p w14:paraId="4DC8CA42" w14:textId="02986B10" w:rsidR="00DF2C4D" w:rsidRDefault="00DF2C4D" w:rsidP="00DF2C4D">
      <w:pPr>
        <w:spacing w:before="240" w:after="0" w:line="480" w:lineRule="auto"/>
        <w:jc w:val="both"/>
        <w:rPr>
          <w:rFonts w:ascii="Arial" w:eastAsia="Times New Roman" w:hAnsi="Arial" w:cs="Arial"/>
          <w:b/>
          <w:bCs/>
          <w:color w:val="000000"/>
          <w:sz w:val="24"/>
          <w:szCs w:val="24"/>
          <w:lang w:eastAsia="en-GB"/>
        </w:rPr>
      </w:pPr>
      <w:r w:rsidRPr="00DF2C4D">
        <w:rPr>
          <w:rFonts w:ascii="Arial" w:eastAsia="Times New Roman" w:hAnsi="Arial" w:cs="Arial"/>
          <w:b/>
          <w:bCs/>
          <w:color w:val="000000"/>
          <w:sz w:val="24"/>
          <w:szCs w:val="24"/>
          <w:lang w:eastAsia="en-GB"/>
        </w:rPr>
        <w:t> </w:t>
      </w:r>
    </w:p>
    <w:p w14:paraId="2C4FED46" w14:textId="114E7392"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9B46A0E" w14:textId="69554F89"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8D91A4F" w14:textId="0BD2EC85"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35C8570D" w14:textId="61C0520E"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2A18D61A" w14:textId="15DA7652"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8F9D737" w14:textId="23C2585C"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1C4932A" w14:textId="1D4EB8FB"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01B3F6F" w14:textId="605D85C0"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7EE0FD79" w14:textId="18690C49"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110913C8" w14:textId="2448892B"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0DC3023A" w14:textId="0D39291D"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64EB004B" w14:textId="26773762"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19AF210D" w14:textId="6E93ABF6" w:rsidR="00DF2C4D" w:rsidRDefault="00DF2C4D" w:rsidP="00DF2C4D">
      <w:pPr>
        <w:spacing w:before="240" w:after="0" w:line="480" w:lineRule="auto"/>
        <w:jc w:val="both"/>
        <w:rPr>
          <w:rFonts w:ascii="Arial" w:eastAsia="Times New Roman" w:hAnsi="Arial" w:cs="Arial"/>
          <w:b/>
          <w:bCs/>
          <w:color w:val="000000"/>
          <w:sz w:val="24"/>
          <w:szCs w:val="24"/>
          <w:lang w:eastAsia="en-GB"/>
        </w:rPr>
      </w:pPr>
    </w:p>
    <w:p w14:paraId="3238FE12" w14:textId="77777777" w:rsidR="00DF2C4D" w:rsidRPr="00DF2C4D" w:rsidRDefault="00DF2C4D" w:rsidP="00DF2C4D">
      <w:pPr>
        <w:spacing w:before="240" w:after="0" w:line="480" w:lineRule="auto"/>
        <w:jc w:val="both"/>
        <w:rPr>
          <w:rFonts w:ascii="Arial" w:eastAsia="Times New Roman" w:hAnsi="Arial" w:cs="Arial"/>
          <w:sz w:val="24"/>
          <w:szCs w:val="24"/>
          <w:lang w:eastAsia="en-GB"/>
        </w:rPr>
      </w:pPr>
    </w:p>
    <w:p w14:paraId="2B041FE4" w14:textId="77777777" w:rsidR="00DF2C4D" w:rsidRPr="00DF2C4D" w:rsidRDefault="00DF2C4D" w:rsidP="00DF2C4D">
      <w:pPr>
        <w:spacing w:after="0" w:line="480" w:lineRule="auto"/>
        <w:ind w:left="780" w:hanging="36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4.     The Victims Charter states </w:t>
      </w:r>
      <w:proofErr w:type="gramStart"/>
      <w:r w:rsidRPr="00DF2C4D">
        <w:rPr>
          <w:rFonts w:ascii="Arial" w:eastAsia="Times New Roman" w:hAnsi="Arial" w:cs="Arial"/>
          <w:color w:val="000000"/>
          <w:sz w:val="24"/>
          <w:szCs w:val="24"/>
          <w:lang w:eastAsia="en-GB"/>
        </w:rPr>
        <w:t>that :</w:t>
      </w:r>
      <w:proofErr w:type="gramEnd"/>
    </w:p>
    <w:p w14:paraId="58484678" w14:textId="77777777" w:rsidR="00DF2C4D" w:rsidRPr="00DF2C4D" w:rsidRDefault="00DF2C4D" w:rsidP="00DF2C4D">
      <w:pPr>
        <w:spacing w:after="0" w:line="480" w:lineRule="auto"/>
        <w:ind w:left="1280" w:right="10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67C43EDC" w14:textId="77777777" w:rsidR="00DF2C4D" w:rsidRPr="00DF2C4D" w:rsidRDefault="00DF2C4D" w:rsidP="00DF2C4D">
      <w:pPr>
        <w:spacing w:after="0" w:line="480" w:lineRule="auto"/>
        <w:ind w:left="1280" w:right="1080"/>
        <w:jc w:val="both"/>
        <w:rPr>
          <w:rFonts w:ascii="Arial" w:eastAsia="Times New Roman" w:hAnsi="Arial" w:cs="Arial"/>
          <w:sz w:val="24"/>
          <w:szCs w:val="24"/>
          <w:lang w:eastAsia="en-GB"/>
        </w:rPr>
      </w:pPr>
      <w:r w:rsidRPr="00DF2C4D">
        <w:rPr>
          <w:rFonts w:ascii="Arial" w:eastAsia="Times New Roman" w:hAnsi="Arial" w:cs="Arial"/>
          <w:i/>
          <w:iCs/>
          <w:color w:val="000000"/>
          <w:sz w:val="24"/>
          <w:szCs w:val="24"/>
          <w:lang w:eastAsia="en-GB"/>
        </w:rPr>
        <w:t> </w:t>
      </w:r>
    </w:p>
    <w:p w14:paraId="6EAC72E2" w14:textId="77777777"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Explain how the needs of victims can be met.  </w:t>
      </w:r>
    </w:p>
    <w:p w14:paraId="68C036B2" w14:textId="77777777"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 </w:t>
      </w:r>
    </w:p>
    <w:p w14:paraId="30FF2867" w14:textId="32DE87C3"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Victims are essential to the police by providing evidence as witnesses or reporting crimes. Victims must be dealt with the utmost sensitivity as they put their trust in the police and the police need to help them and meet their needs no matter what they are. Crime affects people </w:t>
      </w:r>
      <w:proofErr w:type="gramStart"/>
      <w:r w:rsidRPr="00DF2C4D">
        <w:rPr>
          <w:rFonts w:ascii="Arial" w:eastAsia="Times New Roman" w:hAnsi="Arial" w:cs="Arial"/>
          <w:color w:val="000000"/>
          <w:sz w:val="24"/>
          <w:szCs w:val="24"/>
          <w:lang w:eastAsia="en-GB"/>
        </w:rPr>
        <w:t>differently,</w:t>
      </w:r>
      <w:proofErr w:type="gramEnd"/>
      <w:r w:rsidRPr="00DF2C4D">
        <w:rPr>
          <w:rFonts w:ascii="Arial" w:eastAsia="Times New Roman" w:hAnsi="Arial" w:cs="Arial"/>
          <w:color w:val="000000"/>
          <w:sz w:val="24"/>
          <w:szCs w:val="24"/>
          <w:lang w:eastAsia="en-GB"/>
        </w:rPr>
        <w:t xml:space="preserve"> one person might be badly affected by a crime that someone else may regard as not bad at all. The Code of Practise for Victims of Crime is set rules for the police to follow to inform and protect victims of crime and their families to support them and make their importance known to them as they are a key aspect of the criminal justice system. The victims </w:t>
      </w:r>
      <w:proofErr w:type="gramStart"/>
      <w:r w:rsidRPr="00DF2C4D">
        <w:rPr>
          <w:rFonts w:ascii="Arial" w:eastAsia="Times New Roman" w:hAnsi="Arial" w:cs="Arial"/>
          <w:color w:val="000000"/>
          <w:sz w:val="24"/>
          <w:szCs w:val="24"/>
          <w:lang w:eastAsia="en-GB"/>
        </w:rPr>
        <w:t>and also</w:t>
      </w:r>
      <w:proofErr w:type="gramEnd"/>
      <w:r w:rsidRPr="00DF2C4D">
        <w:rPr>
          <w:rFonts w:ascii="Arial" w:eastAsia="Times New Roman" w:hAnsi="Arial" w:cs="Arial"/>
          <w:color w:val="000000"/>
          <w:sz w:val="24"/>
          <w:szCs w:val="24"/>
          <w:lang w:eastAsia="en-GB"/>
        </w:rPr>
        <w:t xml:space="preserve"> witnesses have a support network which the government have to help these people. This may be by having special measures, for example in an interview if a victim cannot read or write then asking them if they </w:t>
      </w:r>
      <w:proofErr w:type="gramStart"/>
      <w:r w:rsidRPr="00DF2C4D">
        <w:rPr>
          <w:rFonts w:ascii="Arial" w:eastAsia="Times New Roman" w:hAnsi="Arial" w:cs="Arial"/>
          <w:color w:val="000000"/>
          <w:sz w:val="24"/>
          <w:szCs w:val="24"/>
          <w:lang w:eastAsia="en-GB"/>
        </w:rPr>
        <w:t>need</w:t>
      </w:r>
      <w:proofErr w:type="gramEnd"/>
      <w:r w:rsidRPr="00DF2C4D">
        <w:rPr>
          <w:rFonts w:ascii="Arial" w:eastAsia="Times New Roman" w:hAnsi="Arial" w:cs="Arial"/>
          <w:color w:val="000000"/>
          <w:sz w:val="24"/>
          <w:szCs w:val="24"/>
          <w:lang w:eastAsia="en-GB"/>
        </w:rPr>
        <w:t xml:space="preserve"> support would firstly benefit them </w:t>
      </w:r>
      <w:r w:rsidRPr="00DF2C4D">
        <w:rPr>
          <w:rFonts w:ascii="Arial" w:eastAsia="Times New Roman" w:hAnsi="Arial" w:cs="Arial"/>
          <w:color w:val="000000"/>
          <w:sz w:val="24"/>
          <w:szCs w:val="24"/>
          <w:lang w:eastAsia="en-GB"/>
        </w:rPr>
        <w:t>and</w:t>
      </w:r>
      <w:r w:rsidRPr="00DF2C4D">
        <w:rPr>
          <w:rFonts w:ascii="Arial" w:eastAsia="Times New Roman" w:hAnsi="Arial" w:cs="Arial"/>
          <w:color w:val="000000"/>
          <w:sz w:val="24"/>
          <w:szCs w:val="24"/>
          <w:lang w:eastAsia="en-GB"/>
        </w:rPr>
        <w:t xml:space="preserve"> build trust with the person and show that you care for them. This would also go for any need or disability in which the police can help by providing a counsellor for mental health or specialists for physical needs. Victims should </w:t>
      </w:r>
      <w:r w:rsidRPr="00DF2C4D">
        <w:rPr>
          <w:rFonts w:ascii="Arial" w:eastAsia="Times New Roman" w:hAnsi="Arial" w:cs="Arial"/>
          <w:color w:val="000000"/>
          <w:sz w:val="24"/>
          <w:szCs w:val="24"/>
          <w:lang w:eastAsia="en-GB"/>
        </w:rPr>
        <w:lastRenderedPageBreak/>
        <w:t>also be told that they are there voluntarily so that they feel no stress when it came to writing a personal statement. Not only could victims be affected physically and emotionally, but it can also be financially which can be met by victim support who can then distribute resources to those who needs them.      </w:t>
      </w:r>
    </w:p>
    <w:p w14:paraId="47BDB3CF" w14:textId="77777777"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 </w:t>
      </w:r>
    </w:p>
    <w:p w14:paraId="500D05F3" w14:textId="4F77BC33" w:rsidR="00DF2C4D" w:rsidRDefault="00DF2C4D" w:rsidP="00DF2C4D">
      <w:pPr>
        <w:spacing w:after="0" w:line="480" w:lineRule="auto"/>
        <w:ind w:right="1080"/>
        <w:jc w:val="both"/>
        <w:rPr>
          <w:rFonts w:ascii="Arial" w:eastAsia="Times New Roman" w:hAnsi="Arial" w:cs="Arial"/>
          <w:b/>
          <w:bCs/>
          <w:color w:val="000000"/>
          <w:sz w:val="24"/>
          <w:szCs w:val="24"/>
          <w:lang w:eastAsia="en-GB"/>
        </w:rPr>
      </w:pPr>
      <w:r w:rsidRPr="00DF2C4D">
        <w:rPr>
          <w:rFonts w:ascii="Arial" w:eastAsia="Times New Roman" w:hAnsi="Arial" w:cs="Arial"/>
          <w:b/>
          <w:bCs/>
          <w:color w:val="000000"/>
          <w:sz w:val="24"/>
          <w:szCs w:val="24"/>
          <w:lang w:eastAsia="en-GB"/>
        </w:rPr>
        <w:t> </w:t>
      </w:r>
    </w:p>
    <w:p w14:paraId="3F7BCB31" w14:textId="0B2EE867"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2196637A" w14:textId="217311AB"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5679987F" w14:textId="11DC3601"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48106D20" w14:textId="39373746"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16503952" w14:textId="1EB3BDCE"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70855875" w14:textId="469F6B6D"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6CE9163A" w14:textId="4506A2E9"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2AA49797" w14:textId="0758589F"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634C7A4A" w14:textId="07FC615F"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78302FFB" w14:textId="6BADB268"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01A2344D" w14:textId="46BD0C78"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5D942EA9" w14:textId="18CEF13F"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5609CE49" w14:textId="513B9C89"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76F121B0" w14:textId="1BA648B0"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553F4334" w14:textId="770215BA"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260879BB" w14:textId="2E32C9D6"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6D75D47B" w14:textId="5C65664C" w:rsidR="00DF2C4D" w:rsidRDefault="00DF2C4D" w:rsidP="00DF2C4D">
      <w:pPr>
        <w:spacing w:after="0" w:line="480" w:lineRule="auto"/>
        <w:ind w:right="1080"/>
        <w:jc w:val="both"/>
        <w:rPr>
          <w:rFonts w:ascii="Arial" w:eastAsia="Times New Roman" w:hAnsi="Arial" w:cs="Arial"/>
          <w:b/>
          <w:bCs/>
          <w:color w:val="000000"/>
          <w:sz w:val="24"/>
          <w:szCs w:val="24"/>
          <w:lang w:eastAsia="en-GB"/>
        </w:rPr>
      </w:pPr>
    </w:p>
    <w:p w14:paraId="7F3499DB" w14:textId="77777777" w:rsidR="00DF2C4D" w:rsidRPr="00DF2C4D" w:rsidRDefault="00DF2C4D" w:rsidP="00DF2C4D">
      <w:pPr>
        <w:spacing w:after="0" w:line="480" w:lineRule="auto"/>
        <w:ind w:right="1080"/>
        <w:jc w:val="both"/>
        <w:rPr>
          <w:rFonts w:ascii="Arial" w:eastAsia="Times New Roman" w:hAnsi="Arial" w:cs="Arial"/>
          <w:sz w:val="24"/>
          <w:szCs w:val="24"/>
          <w:lang w:eastAsia="en-GB"/>
        </w:rPr>
      </w:pPr>
    </w:p>
    <w:p w14:paraId="1EAA27A0" w14:textId="77777777" w:rsidR="00DF2C4D" w:rsidRPr="00DF2C4D" w:rsidRDefault="00DF2C4D" w:rsidP="00DF2C4D">
      <w:pPr>
        <w:spacing w:after="0" w:line="480" w:lineRule="auto"/>
        <w:ind w:left="780" w:right="1080" w:hanging="36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lastRenderedPageBreak/>
        <w:t>5.     When interviewing Victims Witnesses and Suspects police officers rely on the ‘PEACE’ model a national framework for Investigative Interviewing.</w:t>
      </w:r>
    </w:p>
    <w:p w14:paraId="00BEF1A2" w14:textId="77777777" w:rsidR="00DF2C4D" w:rsidRPr="00DF2C4D" w:rsidRDefault="00DF2C4D" w:rsidP="00DF2C4D">
      <w:pPr>
        <w:spacing w:after="0" w:line="480" w:lineRule="auto"/>
        <w:ind w:left="780" w:right="10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3848726C" w14:textId="77777777"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b/>
          <w:bCs/>
          <w:color w:val="000000"/>
          <w:sz w:val="24"/>
          <w:szCs w:val="24"/>
          <w:lang w:eastAsia="en-GB"/>
        </w:rPr>
        <w:t>Explain the PEACE model component parts and critically evaluate its effectiveness in interviewing suspects.</w:t>
      </w:r>
    </w:p>
    <w:p w14:paraId="6560E13D" w14:textId="77777777" w:rsidR="00DF2C4D" w:rsidRPr="00DF2C4D" w:rsidRDefault="00DF2C4D" w:rsidP="00DF2C4D">
      <w:pPr>
        <w:spacing w:after="0" w:line="480" w:lineRule="auto"/>
        <w:ind w:right="1080"/>
        <w:jc w:val="both"/>
        <w:rPr>
          <w:rFonts w:ascii="Arial" w:eastAsia="Times New Roman" w:hAnsi="Arial" w:cs="Arial"/>
          <w:color w:val="000000"/>
          <w:sz w:val="24"/>
          <w:szCs w:val="24"/>
          <w:lang w:eastAsia="en-GB"/>
        </w:rPr>
      </w:pPr>
    </w:p>
    <w:p w14:paraId="4E5A7745" w14:textId="6C49C6EA"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The PEACE model is an acronym that stands for:</w:t>
      </w:r>
    </w:p>
    <w:p w14:paraId="7F9E75CB" w14:textId="77777777" w:rsidR="00DF2C4D" w:rsidRPr="00DF2C4D" w:rsidRDefault="00DF2C4D" w:rsidP="00DF2C4D">
      <w:pPr>
        <w:spacing w:after="48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FF0000"/>
          <w:sz w:val="24"/>
          <w:szCs w:val="24"/>
          <w:lang w:eastAsia="en-GB"/>
        </w:rPr>
        <w:t>P</w:t>
      </w:r>
      <w:r w:rsidRPr="00DF2C4D">
        <w:rPr>
          <w:rFonts w:ascii="Arial" w:eastAsia="Times New Roman" w:hAnsi="Arial" w:cs="Arial"/>
          <w:color w:val="002060"/>
          <w:sz w:val="24"/>
          <w:szCs w:val="24"/>
          <w:lang w:eastAsia="en-GB"/>
        </w:rPr>
        <w:t>l</w:t>
      </w:r>
      <w:r w:rsidRPr="00DF2C4D">
        <w:rPr>
          <w:rFonts w:ascii="Arial" w:eastAsia="Times New Roman" w:hAnsi="Arial" w:cs="Arial"/>
          <w:color w:val="000000"/>
          <w:sz w:val="24"/>
          <w:szCs w:val="24"/>
          <w:lang w:eastAsia="en-GB"/>
        </w:rPr>
        <w:t>anning &amp; Preparation</w:t>
      </w:r>
    </w:p>
    <w:p w14:paraId="7D19E3E1" w14:textId="77777777" w:rsidR="00DF2C4D" w:rsidRPr="00DF2C4D" w:rsidRDefault="00DF2C4D" w:rsidP="00DF2C4D">
      <w:pPr>
        <w:spacing w:after="48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FF0000"/>
          <w:sz w:val="24"/>
          <w:szCs w:val="24"/>
          <w:lang w:eastAsia="en-GB"/>
        </w:rPr>
        <w:t>E</w:t>
      </w:r>
      <w:r w:rsidRPr="00DF2C4D">
        <w:rPr>
          <w:rFonts w:ascii="Arial" w:eastAsia="Times New Roman" w:hAnsi="Arial" w:cs="Arial"/>
          <w:color w:val="000000"/>
          <w:sz w:val="24"/>
          <w:szCs w:val="24"/>
          <w:lang w:eastAsia="en-GB"/>
        </w:rPr>
        <w:t xml:space="preserve">ngage and </w:t>
      </w:r>
      <w:proofErr w:type="gramStart"/>
      <w:r w:rsidRPr="00DF2C4D">
        <w:rPr>
          <w:rFonts w:ascii="Arial" w:eastAsia="Times New Roman" w:hAnsi="Arial" w:cs="Arial"/>
          <w:color w:val="000000"/>
          <w:sz w:val="24"/>
          <w:szCs w:val="24"/>
          <w:lang w:eastAsia="en-GB"/>
        </w:rPr>
        <w:t>Explain</w:t>
      </w:r>
      <w:proofErr w:type="gramEnd"/>
    </w:p>
    <w:p w14:paraId="654827BF" w14:textId="77777777" w:rsidR="00DF2C4D" w:rsidRPr="00DF2C4D" w:rsidRDefault="00DF2C4D" w:rsidP="00DF2C4D">
      <w:pPr>
        <w:spacing w:after="48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FF0000"/>
          <w:sz w:val="24"/>
          <w:szCs w:val="24"/>
          <w:lang w:eastAsia="en-GB"/>
        </w:rPr>
        <w:t>A</w:t>
      </w:r>
      <w:r w:rsidRPr="00DF2C4D">
        <w:rPr>
          <w:rFonts w:ascii="Arial" w:eastAsia="Times New Roman" w:hAnsi="Arial" w:cs="Arial"/>
          <w:color w:val="000000"/>
          <w:sz w:val="24"/>
          <w:szCs w:val="24"/>
          <w:lang w:eastAsia="en-GB"/>
        </w:rPr>
        <w:t>ccount Clarification &amp; Challenge</w:t>
      </w:r>
    </w:p>
    <w:p w14:paraId="1C29B1B7" w14:textId="77777777" w:rsidR="00DF2C4D" w:rsidRPr="00DF2C4D" w:rsidRDefault="00DF2C4D" w:rsidP="00DF2C4D">
      <w:pPr>
        <w:spacing w:after="48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FF0000"/>
          <w:sz w:val="24"/>
          <w:szCs w:val="24"/>
          <w:lang w:eastAsia="en-GB"/>
        </w:rPr>
        <w:t>C</w:t>
      </w:r>
      <w:r w:rsidRPr="00DF2C4D">
        <w:rPr>
          <w:rFonts w:ascii="Arial" w:eastAsia="Times New Roman" w:hAnsi="Arial" w:cs="Arial"/>
          <w:color w:val="000000"/>
          <w:sz w:val="24"/>
          <w:szCs w:val="24"/>
          <w:lang w:eastAsia="en-GB"/>
        </w:rPr>
        <w:t>losure</w:t>
      </w:r>
    </w:p>
    <w:p w14:paraId="06937F78" w14:textId="77777777"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FF0000"/>
          <w:sz w:val="24"/>
          <w:szCs w:val="24"/>
          <w:lang w:eastAsia="en-GB"/>
        </w:rPr>
        <w:t>E</w:t>
      </w:r>
      <w:r w:rsidRPr="00DF2C4D">
        <w:rPr>
          <w:rFonts w:ascii="Arial" w:eastAsia="Times New Roman" w:hAnsi="Arial" w:cs="Arial"/>
          <w:color w:val="000000"/>
          <w:sz w:val="24"/>
          <w:szCs w:val="24"/>
          <w:lang w:eastAsia="en-GB"/>
        </w:rPr>
        <w:t>valuation.</w:t>
      </w:r>
    </w:p>
    <w:p w14:paraId="638DC4BB" w14:textId="77777777" w:rsidR="00DF2C4D" w:rsidRPr="00DF2C4D" w:rsidRDefault="00DF2C4D" w:rsidP="00DF2C4D">
      <w:pPr>
        <w:spacing w:after="0" w:line="480" w:lineRule="auto"/>
        <w:rPr>
          <w:rFonts w:ascii="Arial" w:eastAsia="Times New Roman" w:hAnsi="Arial" w:cs="Arial"/>
          <w:sz w:val="24"/>
          <w:szCs w:val="24"/>
          <w:lang w:eastAsia="en-GB"/>
        </w:rPr>
      </w:pPr>
    </w:p>
    <w:p w14:paraId="50C1253B" w14:textId="07202ECB" w:rsidR="00DF2C4D" w:rsidRPr="00DF2C4D" w:rsidRDefault="00DF2C4D" w:rsidP="00DF2C4D">
      <w:pPr>
        <w:spacing w:after="0" w:line="480" w:lineRule="auto"/>
        <w:ind w:right="1080"/>
        <w:jc w:val="both"/>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xml:space="preserve">When interviewing a </w:t>
      </w:r>
      <w:r w:rsidRPr="00DF2C4D">
        <w:rPr>
          <w:rFonts w:ascii="Arial" w:eastAsia="Times New Roman" w:hAnsi="Arial" w:cs="Arial"/>
          <w:color w:val="000000"/>
          <w:sz w:val="24"/>
          <w:szCs w:val="24"/>
          <w:lang w:eastAsia="en-GB"/>
        </w:rPr>
        <w:t>suspect,</w:t>
      </w:r>
      <w:r w:rsidRPr="00DF2C4D">
        <w:rPr>
          <w:rFonts w:ascii="Arial" w:eastAsia="Times New Roman" w:hAnsi="Arial" w:cs="Arial"/>
          <w:color w:val="000000"/>
          <w:sz w:val="24"/>
          <w:szCs w:val="24"/>
          <w:lang w:eastAsia="en-GB"/>
        </w:rPr>
        <w:t xml:space="preserve"> it is important that it is well planned and have a solid structure, which PEACE provides. To gather the evidence needed to question someone is an essential part of interviewing as a bad interview could result in an interview done outside of the law and would not be beneficial for the police or for the suspect’s rights. However, a good interview would extract reliable and accurate information. When the police interview someone, the more information the police have the more common ground they can begin talking with someone about which would open doors </w:t>
      </w:r>
      <w:r w:rsidRPr="00DF2C4D">
        <w:rPr>
          <w:rFonts w:ascii="Arial" w:eastAsia="Times New Roman" w:hAnsi="Arial" w:cs="Arial"/>
          <w:color w:val="000000"/>
          <w:sz w:val="24"/>
          <w:szCs w:val="24"/>
          <w:lang w:eastAsia="en-GB"/>
        </w:rPr>
        <w:lastRenderedPageBreak/>
        <w:t xml:space="preserve">of opportunity to extract more reliable information. Once the introduction has been made the police officer can explain the situation and would have to be done under the guidance of PACE (1984). The challenging aspect of PEACE is in the centre and is important to try and extract new information. This may be done by bringing up a topic relevant to the suspect that they may </w:t>
      </w:r>
      <w:proofErr w:type="gramStart"/>
      <w:r w:rsidRPr="00DF2C4D">
        <w:rPr>
          <w:rFonts w:ascii="Arial" w:eastAsia="Times New Roman" w:hAnsi="Arial" w:cs="Arial"/>
          <w:color w:val="000000"/>
          <w:sz w:val="24"/>
          <w:szCs w:val="24"/>
          <w:lang w:eastAsia="en-GB"/>
        </w:rPr>
        <w:t>open up</w:t>
      </w:r>
      <w:proofErr w:type="gramEnd"/>
      <w:r w:rsidRPr="00DF2C4D">
        <w:rPr>
          <w:rFonts w:ascii="Arial" w:eastAsia="Times New Roman" w:hAnsi="Arial" w:cs="Arial"/>
          <w:color w:val="000000"/>
          <w:sz w:val="24"/>
          <w:szCs w:val="24"/>
          <w:lang w:eastAsia="en-GB"/>
        </w:rPr>
        <w:t xml:space="preserve"> and talk about something they have not previously mentioned. After fact-checking the information and detailing it, a challenge may be presented if, for example, the suspect contradicts themself with their own words. After this process is repeated several times the interview closes but finally ends with an evaluation of information and </w:t>
      </w:r>
      <w:r w:rsidRPr="00DF2C4D">
        <w:rPr>
          <w:rFonts w:ascii="Arial" w:eastAsia="Times New Roman" w:hAnsi="Arial" w:cs="Arial"/>
          <w:color w:val="000000"/>
          <w:sz w:val="24"/>
          <w:szCs w:val="24"/>
          <w:lang w:eastAsia="en-GB"/>
        </w:rPr>
        <w:t>the conclusion</w:t>
      </w:r>
      <w:r w:rsidRPr="00DF2C4D">
        <w:rPr>
          <w:rFonts w:ascii="Arial" w:eastAsia="Times New Roman" w:hAnsi="Arial" w:cs="Arial"/>
          <w:color w:val="000000"/>
          <w:sz w:val="24"/>
          <w:szCs w:val="24"/>
          <w:lang w:eastAsia="en-GB"/>
        </w:rPr>
        <w:t xml:space="preserve"> to the interview (College of Policing, 2020). Although the structure is well supported the fact remains that not everyone is the same. Some would be fitting with this formal method, but others would be more compliant with a more casual approach to getting them comfortable in the situation which would open them up and talk about different points freely. The restriction with a formal structure is the very fact that if the suspect is not comfortable, they will be less likely to talk.  </w:t>
      </w:r>
    </w:p>
    <w:p w14:paraId="1CBE2679" w14:textId="77777777" w:rsidR="00DF2C4D" w:rsidRPr="00DF2C4D" w:rsidRDefault="00DF2C4D" w:rsidP="00DF2C4D">
      <w:pPr>
        <w:spacing w:after="240" w:line="480" w:lineRule="auto"/>
        <w:rPr>
          <w:rFonts w:ascii="Arial" w:eastAsia="Times New Roman" w:hAnsi="Arial" w:cs="Arial"/>
          <w:sz w:val="24"/>
          <w:szCs w:val="24"/>
          <w:lang w:eastAsia="en-GB"/>
        </w:rPr>
      </w:pPr>
      <w:r w:rsidRPr="00DF2C4D">
        <w:rPr>
          <w:rFonts w:ascii="Arial" w:eastAsia="Times New Roman" w:hAnsi="Arial" w:cs="Arial"/>
          <w:sz w:val="24"/>
          <w:szCs w:val="24"/>
          <w:lang w:eastAsia="en-GB"/>
        </w:rPr>
        <w:br/>
      </w:r>
      <w:r w:rsidRPr="00DF2C4D">
        <w:rPr>
          <w:rFonts w:ascii="Arial" w:eastAsia="Times New Roman" w:hAnsi="Arial" w:cs="Arial"/>
          <w:sz w:val="24"/>
          <w:szCs w:val="24"/>
          <w:lang w:eastAsia="en-GB"/>
        </w:rPr>
        <w:br/>
      </w:r>
    </w:p>
    <w:p w14:paraId="45D6A1DC" w14:textId="77777777" w:rsidR="00DF2C4D" w:rsidRPr="00DF2C4D" w:rsidRDefault="00DF2C4D" w:rsidP="00DF2C4D">
      <w:pPr>
        <w:spacing w:before="240" w:after="240" w:line="480" w:lineRule="auto"/>
        <w:rPr>
          <w:rFonts w:ascii="Arial" w:eastAsia="Times New Roman" w:hAnsi="Arial" w:cs="Arial"/>
          <w:sz w:val="24"/>
          <w:szCs w:val="24"/>
          <w:lang w:eastAsia="en-GB"/>
        </w:rPr>
      </w:pPr>
      <w:r w:rsidRPr="00DF2C4D">
        <w:rPr>
          <w:rFonts w:ascii="Arial" w:eastAsia="Times New Roman" w:hAnsi="Arial" w:cs="Arial"/>
          <w:color w:val="000000"/>
          <w:sz w:val="24"/>
          <w:szCs w:val="24"/>
          <w:lang w:eastAsia="en-GB"/>
        </w:rPr>
        <w:t> </w:t>
      </w:r>
    </w:p>
    <w:p w14:paraId="560C4DB6" w14:textId="77777777" w:rsidR="00413764" w:rsidRPr="00DF2C4D" w:rsidRDefault="00DF2C4D" w:rsidP="00DF2C4D">
      <w:pPr>
        <w:spacing w:line="480" w:lineRule="auto"/>
        <w:rPr>
          <w:rFonts w:ascii="Arial" w:hAnsi="Arial" w:cs="Arial"/>
          <w:sz w:val="24"/>
          <w:szCs w:val="24"/>
        </w:rPr>
      </w:pPr>
    </w:p>
    <w:sectPr w:rsidR="00413764" w:rsidRPr="00DF2C4D" w:rsidSect="00DF2C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F20CF0"/>
    <w:multiLevelType w:val="multilevel"/>
    <w:tmpl w:val="2E4A1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77485B"/>
    <w:multiLevelType w:val="multilevel"/>
    <w:tmpl w:val="32FA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4D"/>
    <w:rsid w:val="004C13E6"/>
    <w:rsid w:val="00630FA5"/>
    <w:rsid w:val="00DF2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58383"/>
  <w15:chartTrackingRefBased/>
  <w15:docId w15:val="{46E8B03F-A0F6-4C97-B105-89E52B1B8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2C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DF2C4D"/>
  </w:style>
  <w:style w:type="paragraph" w:styleId="NoSpacing">
    <w:name w:val="No Spacing"/>
    <w:link w:val="NoSpacingChar"/>
    <w:uiPriority w:val="1"/>
    <w:qFormat/>
    <w:rsid w:val="00DF2C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2C4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098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1616</Words>
  <Characters>9216</Characters>
  <Application>Microsoft Office Word</Application>
  <DocSecurity>0</DocSecurity>
  <Lines>76</Lines>
  <Paragraphs>21</Paragraphs>
  <ScaleCrop>false</ScaleCrop>
  <Company/>
  <LinksUpToDate>false</LinksUpToDate>
  <CharactersWithSpaces>10811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 exam</dc:title>
  <dc:subject/>
  <dc:creator>Aaron Samuel Williams (1900369)</dc:creator>
  <cp:keywords/>
  <dc:description/>
  <cp:lastModifiedBy>Aaron Samuel Williams (1900369)</cp:lastModifiedBy>
  <cp:revision>1</cp:revision>
  <dcterms:created xsi:type="dcterms:W3CDTF">2021-03-09T10:51:00Z</dcterms:created>
  <dcterms:modified xsi:type="dcterms:W3CDTF">2021-03-09T10:56:00Z</dcterms:modified>
</cp:coreProperties>
</file>