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1028CF" w14:textId="77777777" w:rsidR="00BB0402" w:rsidRDefault="00BB0402" w:rsidP="00F56CC8"/>
    <w:p w14:paraId="7F35DD77" w14:textId="77777777" w:rsidR="00BB0402" w:rsidRDefault="00BB0402" w:rsidP="00F56CC8"/>
    <w:p w14:paraId="11231CEB" w14:textId="77777777" w:rsidR="00BB0402" w:rsidRDefault="00BB0402" w:rsidP="00F56CC8"/>
    <w:p w14:paraId="5F9F1132" w14:textId="77777777" w:rsidR="00BB0402" w:rsidRDefault="00BB0402" w:rsidP="00F56CC8"/>
    <w:p w14:paraId="2CC0BD32" w14:textId="77777777" w:rsidR="00BB0402" w:rsidRDefault="00BB0402" w:rsidP="00F56CC8"/>
    <w:p w14:paraId="65EBB13A" w14:textId="77777777" w:rsidR="00BB0402" w:rsidRDefault="00BB0402" w:rsidP="00F56CC8"/>
    <w:p w14:paraId="3D8FBC6B" w14:textId="77777777" w:rsidR="00BB0402" w:rsidRDefault="00BB0402" w:rsidP="00F56CC8"/>
    <w:p w14:paraId="73CDA553" w14:textId="47994C00" w:rsidR="00BB0402" w:rsidRDefault="00BB0402" w:rsidP="00F56CC8"/>
    <w:p w14:paraId="5F056700" w14:textId="6D4D6462" w:rsidR="00B6486A" w:rsidRDefault="00B6486A" w:rsidP="00F56CC8"/>
    <w:p w14:paraId="4D10E755" w14:textId="77777777" w:rsidR="00B6486A" w:rsidRDefault="00B6486A" w:rsidP="00F56CC8"/>
    <w:p w14:paraId="416486E2" w14:textId="77777777" w:rsidR="00BB0402" w:rsidRDefault="00BB0402" w:rsidP="00F56CC8"/>
    <w:p w14:paraId="73A1A683" w14:textId="77777777" w:rsidR="00BB0402" w:rsidRDefault="00BB0402" w:rsidP="00F56CC8"/>
    <w:p w14:paraId="3529EDB5" w14:textId="77777777" w:rsidR="00C90862" w:rsidRPr="00B6486A" w:rsidRDefault="00C90862" w:rsidP="00C90862">
      <w:pPr>
        <w:spacing w:line="480" w:lineRule="auto"/>
        <w:jc w:val="center"/>
        <w:rPr>
          <w:b/>
          <w:bCs/>
          <w:sz w:val="28"/>
          <w:szCs w:val="28"/>
        </w:rPr>
      </w:pPr>
      <w:r w:rsidRPr="00B6486A">
        <w:rPr>
          <w:b/>
          <w:bCs/>
          <w:sz w:val="28"/>
          <w:szCs w:val="28"/>
        </w:rPr>
        <w:t>Diversity in the Judiciary (Supreme Court)</w:t>
      </w:r>
    </w:p>
    <w:p w14:paraId="70F315E9" w14:textId="210E1F68" w:rsidR="00C90862" w:rsidRDefault="00C90862" w:rsidP="00580F6F">
      <w:pPr>
        <w:spacing w:line="480" w:lineRule="auto"/>
        <w:jc w:val="center"/>
        <w:rPr>
          <w:b/>
          <w:bCs/>
        </w:rPr>
      </w:pPr>
      <w:r>
        <w:rPr>
          <w:b/>
          <w:bCs/>
        </w:rPr>
        <w:t>Your name: Florin Constantin Macovei</w:t>
      </w:r>
    </w:p>
    <w:p w14:paraId="73C814FD" w14:textId="691FACE0" w:rsidR="00C90862" w:rsidRDefault="00C90862" w:rsidP="00C90862">
      <w:pPr>
        <w:spacing w:line="480" w:lineRule="auto"/>
        <w:jc w:val="center"/>
        <w:rPr>
          <w:b/>
          <w:bCs/>
        </w:rPr>
      </w:pPr>
      <w:r>
        <w:rPr>
          <w:b/>
          <w:bCs/>
        </w:rPr>
        <w:t>Your Student ID: 2132426</w:t>
      </w:r>
    </w:p>
    <w:p w14:paraId="3F811AED" w14:textId="5A0C4017" w:rsidR="00580F6F" w:rsidRDefault="00C90862" w:rsidP="00C90862">
      <w:pPr>
        <w:spacing w:line="480" w:lineRule="auto"/>
        <w:jc w:val="center"/>
        <w:rPr>
          <w:b/>
          <w:bCs/>
        </w:rPr>
      </w:pPr>
      <w:r>
        <w:rPr>
          <w:b/>
          <w:bCs/>
        </w:rPr>
        <w:t xml:space="preserve">The module title: </w:t>
      </w:r>
      <w:r w:rsidR="00B6486A" w:rsidRPr="00580F6F">
        <w:rPr>
          <w:b/>
          <w:bCs/>
        </w:rPr>
        <w:t>BMLW4003</w:t>
      </w:r>
      <w:r w:rsidR="00455BD8">
        <w:rPr>
          <w:b/>
          <w:bCs/>
        </w:rPr>
        <w:t>/BMLW4005</w:t>
      </w:r>
      <w:r>
        <w:rPr>
          <w:b/>
          <w:bCs/>
        </w:rPr>
        <w:t xml:space="preserve"> </w:t>
      </w:r>
      <w:r w:rsidR="00B6486A" w:rsidRPr="00580F6F">
        <w:rPr>
          <w:b/>
          <w:bCs/>
        </w:rPr>
        <w:t>Legal Process</w:t>
      </w:r>
    </w:p>
    <w:p w14:paraId="23F21E00" w14:textId="6C65966E" w:rsidR="00C90862" w:rsidRDefault="00C90862" w:rsidP="00C90862">
      <w:pPr>
        <w:spacing w:line="480" w:lineRule="auto"/>
        <w:jc w:val="center"/>
        <w:rPr>
          <w:b/>
          <w:bCs/>
        </w:rPr>
      </w:pPr>
      <w:r>
        <w:rPr>
          <w:b/>
          <w:bCs/>
        </w:rPr>
        <w:t>Your lecturer’s name: Zita Draper</w:t>
      </w:r>
    </w:p>
    <w:p w14:paraId="55C5ADF8" w14:textId="2B98362E" w:rsidR="00580F6F" w:rsidRPr="00E7286A" w:rsidRDefault="00B6486A" w:rsidP="00580F6F">
      <w:pPr>
        <w:spacing w:line="480" w:lineRule="auto"/>
        <w:jc w:val="center"/>
        <w:rPr>
          <w:b/>
          <w:bCs/>
        </w:rPr>
      </w:pPr>
      <w:r>
        <w:rPr>
          <w:b/>
          <w:bCs/>
        </w:rPr>
        <w:t>Word Count: 1500</w:t>
      </w:r>
    </w:p>
    <w:p w14:paraId="6F6C7478" w14:textId="77777777" w:rsidR="00BB0402" w:rsidRDefault="00BB0402" w:rsidP="00F56CC8"/>
    <w:p w14:paraId="23B3FDE6" w14:textId="77777777" w:rsidR="00BB0402" w:rsidRDefault="00BB0402" w:rsidP="00F56CC8"/>
    <w:p w14:paraId="28B5E831" w14:textId="77777777" w:rsidR="00BB0402" w:rsidRDefault="00BB0402" w:rsidP="00F56CC8"/>
    <w:p w14:paraId="49F0D05D" w14:textId="77777777" w:rsidR="00BB0402" w:rsidRDefault="00BB0402" w:rsidP="00F56CC8"/>
    <w:p w14:paraId="77672921" w14:textId="77777777" w:rsidR="00BB0402" w:rsidRDefault="00BB0402" w:rsidP="00F56CC8"/>
    <w:p w14:paraId="16EF50D6" w14:textId="77777777" w:rsidR="00BB0402" w:rsidRDefault="00BB0402" w:rsidP="00F56CC8"/>
    <w:p w14:paraId="7E984201" w14:textId="77777777" w:rsidR="00BB0402" w:rsidRDefault="00BB0402" w:rsidP="00F56CC8"/>
    <w:p w14:paraId="6F856467" w14:textId="77777777" w:rsidR="00BB0402" w:rsidRDefault="00BB0402" w:rsidP="00F56CC8"/>
    <w:p w14:paraId="50B0FCE5" w14:textId="77777777" w:rsidR="00BB0402" w:rsidRDefault="00BB0402" w:rsidP="00F56CC8"/>
    <w:p w14:paraId="044F82B0" w14:textId="77777777" w:rsidR="00BB0402" w:rsidRDefault="00BB0402" w:rsidP="00F56CC8"/>
    <w:p w14:paraId="560989E4" w14:textId="7267C5E8" w:rsidR="00BB0402" w:rsidRDefault="00BB0402" w:rsidP="00F56CC8"/>
    <w:p w14:paraId="1220453A" w14:textId="7B0C83EE" w:rsidR="00983C2C" w:rsidRDefault="00983C2C" w:rsidP="00F56CC8"/>
    <w:p w14:paraId="2A2E34B4" w14:textId="49A89EF4" w:rsidR="00983C2C" w:rsidRDefault="00983C2C" w:rsidP="00F56CC8"/>
    <w:sdt>
      <w:sdtPr>
        <w:rPr>
          <w:rFonts w:ascii="Times New Roman" w:eastAsiaTheme="minorHAnsi" w:hAnsi="Times New Roman" w:cstheme="minorBidi"/>
          <w:color w:val="auto"/>
          <w:sz w:val="24"/>
          <w:szCs w:val="22"/>
        </w:rPr>
        <w:id w:val="-462805331"/>
        <w:docPartObj>
          <w:docPartGallery w:val="Table of Contents"/>
          <w:docPartUnique/>
        </w:docPartObj>
      </w:sdtPr>
      <w:sdtEndPr>
        <w:rPr>
          <w:b/>
          <w:bCs/>
          <w:noProof/>
        </w:rPr>
      </w:sdtEndPr>
      <w:sdtContent>
        <w:p w14:paraId="0C3BDC5C" w14:textId="41218ED1" w:rsidR="00983C2C" w:rsidRDefault="00B6486A">
          <w:pPr>
            <w:pStyle w:val="TOCHeading"/>
          </w:pPr>
          <w:r>
            <w:t>Table of Contents</w:t>
          </w:r>
        </w:p>
        <w:p w14:paraId="1DFC44AD" w14:textId="6537E82E" w:rsidR="00983C2C" w:rsidRDefault="00B6486A">
          <w:pPr>
            <w:pStyle w:val="TOC1"/>
            <w:tabs>
              <w:tab w:val="left" w:pos="440"/>
              <w:tab w:val="right" w:leader="dot" w:pos="9016"/>
            </w:tabs>
            <w:rPr>
              <w:noProof/>
            </w:rPr>
          </w:pPr>
          <w:r>
            <w:fldChar w:fldCharType="begin"/>
          </w:r>
          <w:r>
            <w:instrText xml:space="preserve"> TOC \o "1-3" \h \z \u </w:instrText>
          </w:r>
          <w:r>
            <w:fldChar w:fldCharType="separate"/>
          </w:r>
          <w:hyperlink w:anchor="_Toc104936766" w:history="1">
            <w:r w:rsidRPr="00584859">
              <w:rPr>
                <w:rStyle w:val="Hyperlink"/>
                <w:noProof/>
              </w:rPr>
              <w:t>1</w:t>
            </w:r>
            <w:r>
              <w:rPr>
                <w:noProof/>
              </w:rPr>
              <w:tab/>
            </w:r>
            <w:r w:rsidRPr="00584859">
              <w:rPr>
                <w:rStyle w:val="Hyperlink"/>
                <w:noProof/>
              </w:rPr>
              <w:t>Introduction</w:t>
            </w:r>
            <w:r>
              <w:rPr>
                <w:noProof/>
                <w:webHidden/>
              </w:rPr>
              <w:tab/>
            </w:r>
            <w:r>
              <w:rPr>
                <w:noProof/>
                <w:webHidden/>
              </w:rPr>
              <w:fldChar w:fldCharType="begin"/>
            </w:r>
            <w:r>
              <w:rPr>
                <w:noProof/>
                <w:webHidden/>
              </w:rPr>
              <w:instrText xml:space="preserve"> PAGEREF _Toc104936766 \h </w:instrText>
            </w:r>
            <w:r>
              <w:rPr>
                <w:noProof/>
                <w:webHidden/>
              </w:rPr>
            </w:r>
            <w:r>
              <w:rPr>
                <w:noProof/>
                <w:webHidden/>
              </w:rPr>
              <w:fldChar w:fldCharType="separate"/>
            </w:r>
            <w:r w:rsidR="005F0247">
              <w:rPr>
                <w:noProof/>
                <w:webHidden/>
              </w:rPr>
              <w:t>3</w:t>
            </w:r>
            <w:r>
              <w:rPr>
                <w:noProof/>
                <w:webHidden/>
              </w:rPr>
              <w:fldChar w:fldCharType="end"/>
            </w:r>
          </w:hyperlink>
        </w:p>
        <w:p w14:paraId="71E366AE" w14:textId="375B5FAA" w:rsidR="00983C2C" w:rsidRDefault="00227495">
          <w:pPr>
            <w:pStyle w:val="TOC1"/>
            <w:tabs>
              <w:tab w:val="left" w:pos="440"/>
              <w:tab w:val="right" w:leader="dot" w:pos="9016"/>
            </w:tabs>
            <w:rPr>
              <w:noProof/>
            </w:rPr>
          </w:pPr>
          <w:hyperlink w:anchor="_Toc104936767" w:history="1">
            <w:r w:rsidR="00B6486A" w:rsidRPr="00584859">
              <w:rPr>
                <w:rStyle w:val="Hyperlink"/>
                <w:noProof/>
              </w:rPr>
              <w:t>2</w:t>
            </w:r>
            <w:r w:rsidR="00B6486A">
              <w:rPr>
                <w:noProof/>
              </w:rPr>
              <w:tab/>
            </w:r>
            <w:r w:rsidR="00B6486A" w:rsidRPr="00584859">
              <w:rPr>
                <w:rStyle w:val="Hyperlink"/>
                <w:noProof/>
              </w:rPr>
              <w:t>Discussion</w:t>
            </w:r>
            <w:r w:rsidR="00B6486A">
              <w:rPr>
                <w:noProof/>
                <w:webHidden/>
              </w:rPr>
              <w:tab/>
            </w:r>
            <w:r w:rsidR="00B6486A">
              <w:rPr>
                <w:noProof/>
                <w:webHidden/>
              </w:rPr>
              <w:fldChar w:fldCharType="begin"/>
            </w:r>
            <w:r w:rsidR="00B6486A">
              <w:rPr>
                <w:noProof/>
                <w:webHidden/>
              </w:rPr>
              <w:instrText xml:space="preserve"> PAGEREF _Toc104936767 \h </w:instrText>
            </w:r>
            <w:r w:rsidR="00B6486A">
              <w:rPr>
                <w:noProof/>
                <w:webHidden/>
              </w:rPr>
            </w:r>
            <w:r w:rsidR="00B6486A">
              <w:rPr>
                <w:noProof/>
                <w:webHidden/>
              </w:rPr>
              <w:fldChar w:fldCharType="separate"/>
            </w:r>
            <w:r w:rsidR="005F0247">
              <w:rPr>
                <w:noProof/>
                <w:webHidden/>
              </w:rPr>
              <w:t>3</w:t>
            </w:r>
            <w:r w:rsidR="00B6486A">
              <w:rPr>
                <w:noProof/>
                <w:webHidden/>
              </w:rPr>
              <w:fldChar w:fldCharType="end"/>
            </w:r>
          </w:hyperlink>
        </w:p>
        <w:p w14:paraId="3BE70624" w14:textId="768D0E61" w:rsidR="00983C2C" w:rsidRDefault="00227495">
          <w:pPr>
            <w:pStyle w:val="TOC1"/>
            <w:tabs>
              <w:tab w:val="left" w:pos="440"/>
              <w:tab w:val="right" w:leader="dot" w:pos="9016"/>
            </w:tabs>
            <w:rPr>
              <w:noProof/>
            </w:rPr>
          </w:pPr>
          <w:hyperlink w:anchor="_Toc104936768" w:history="1">
            <w:r w:rsidR="00B6486A" w:rsidRPr="00584859">
              <w:rPr>
                <w:rStyle w:val="Hyperlink"/>
                <w:noProof/>
              </w:rPr>
              <w:t>3</w:t>
            </w:r>
            <w:r w:rsidR="00B6486A">
              <w:rPr>
                <w:noProof/>
              </w:rPr>
              <w:tab/>
            </w:r>
            <w:r w:rsidR="00B6486A" w:rsidRPr="00584859">
              <w:rPr>
                <w:rStyle w:val="Hyperlink"/>
                <w:noProof/>
              </w:rPr>
              <w:t>Conclusion</w:t>
            </w:r>
            <w:r w:rsidR="00B6486A">
              <w:rPr>
                <w:noProof/>
                <w:webHidden/>
              </w:rPr>
              <w:tab/>
            </w:r>
            <w:r w:rsidR="00B6486A">
              <w:rPr>
                <w:noProof/>
                <w:webHidden/>
              </w:rPr>
              <w:fldChar w:fldCharType="begin"/>
            </w:r>
            <w:r w:rsidR="00B6486A">
              <w:rPr>
                <w:noProof/>
                <w:webHidden/>
              </w:rPr>
              <w:instrText xml:space="preserve"> PAGEREF _Toc104936768 \h </w:instrText>
            </w:r>
            <w:r w:rsidR="00B6486A">
              <w:rPr>
                <w:noProof/>
                <w:webHidden/>
              </w:rPr>
            </w:r>
            <w:r w:rsidR="00B6486A">
              <w:rPr>
                <w:noProof/>
                <w:webHidden/>
              </w:rPr>
              <w:fldChar w:fldCharType="separate"/>
            </w:r>
            <w:r w:rsidR="005F0247">
              <w:rPr>
                <w:noProof/>
                <w:webHidden/>
              </w:rPr>
              <w:t>6</w:t>
            </w:r>
            <w:r w:rsidR="00B6486A">
              <w:rPr>
                <w:noProof/>
                <w:webHidden/>
              </w:rPr>
              <w:fldChar w:fldCharType="end"/>
            </w:r>
          </w:hyperlink>
        </w:p>
        <w:p w14:paraId="28E36055" w14:textId="3270FBE8" w:rsidR="00983C2C" w:rsidRDefault="00227495">
          <w:pPr>
            <w:pStyle w:val="TOC1"/>
            <w:tabs>
              <w:tab w:val="left" w:pos="440"/>
              <w:tab w:val="right" w:leader="dot" w:pos="9016"/>
            </w:tabs>
            <w:rPr>
              <w:noProof/>
            </w:rPr>
          </w:pPr>
          <w:hyperlink w:anchor="_Toc104936769" w:history="1">
            <w:r w:rsidR="00B6486A" w:rsidRPr="00584859">
              <w:rPr>
                <w:rStyle w:val="Hyperlink"/>
                <w:noProof/>
              </w:rPr>
              <w:t>4</w:t>
            </w:r>
            <w:r w:rsidR="00B6486A">
              <w:rPr>
                <w:noProof/>
              </w:rPr>
              <w:tab/>
            </w:r>
            <w:r w:rsidR="00B6486A" w:rsidRPr="00584859">
              <w:rPr>
                <w:rStyle w:val="Hyperlink"/>
                <w:noProof/>
              </w:rPr>
              <w:t>References</w:t>
            </w:r>
            <w:r w:rsidR="00B6486A">
              <w:rPr>
                <w:noProof/>
                <w:webHidden/>
              </w:rPr>
              <w:tab/>
            </w:r>
            <w:r w:rsidR="00B6486A">
              <w:rPr>
                <w:noProof/>
                <w:webHidden/>
              </w:rPr>
              <w:fldChar w:fldCharType="begin"/>
            </w:r>
            <w:r w:rsidR="00B6486A">
              <w:rPr>
                <w:noProof/>
                <w:webHidden/>
              </w:rPr>
              <w:instrText xml:space="preserve"> PAGEREF _Toc104936769 \h </w:instrText>
            </w:r>
            <w:r w:rsidR="00B6486A">
              <w:rPr>
                <w:noProof/>
                <w:webHidden/>
              </w:rPr>
            </w:r>
            <w:r w:rsidR="00B6486A">
              <w:rPr>
                <w:noProof/>
                <w:webHidden/>
              </w:rPr>
              <w:fldChar w:fldCharType="separate"/>
            </w:r>
            <w:r w:rsidR="005F0247">
              <w:rPr>
                <w:noProof/>
                <w:webHidden/>
              </w:rPr>
              <w:t>7</w:t>
            </w:r>
            <w:r w:rsidR="00B6486A">
              <w:rPr>
                <w:noProof/>
                <w:webHidden/>
              </w:rPr>
              <w:fldChar w:fldCharType="end"/>
            </w:r>
          </w:hyperlink>
        </w:p>
        <w:p w14:paraId="6F81800C" w14:textId="2EF67CE1" w:rsidR="00983C2C" w:rsidRDefault="00B6486A">
          <w:r>
            <w:rPr>
              <w:b/>
              <w:bCs/>
              <w:noProof/>
            </w:rPr>
            <w:fldChar w:fldCharType="end"/>
          </w:r>
        </w:p>
      </w:sdtContent>
    </w:sdt>
    <w:p w14:paraId="64E6CE01" w14:textId="77777777" w:rsidR="00983C2C" w:rsidRDefault="00983C2C" w:rsidP="00F56CC8"/>
    <w:p w14:paraId="0D921D6F" w14:textId="033FCB27" w:rsidR="00BB0402" w:rsidRDefault="00BB0402" w:rsidP="00F56CC8"/>
    <w:p w14:paraId="41614FAA" w14:textId="4D3A04F3" w:rsidR="00983C2C" w:rsidRDefault="00983C2C" w:rsidP="00F56CC8"/>
    <w:p w14:paraId="45DCC71A" w14:textId="5FACECBD" w:rsidR="00983C2C" w:rsidRDefault="00983C2C" w:rsidP="00F56CC8"/>
    <w:p w14:paraId="0802F2FE" w14:textId="331BA290" w:rsidR="00983C2C" w:rsidRDefault="00983C2C" w:rsidP="00F56CC8"/>
    <w:p w14:paraId="463846BA" w14:textId="3B2028A9" w:rsidR="00983C2C" w:rsidRDefault="00983C2C" w:rsidP="00F56CC8"/>
    <w:p w14:paraId="5BC4AB57" w14:textId="4BB64B02" w:rsidR="00983C2C" w:rsidRDefault="00983C2C" w:rsidP="00F56CC8"/>
    <w:p w14:paraId="2B685BFA" w14:textId="1AEB657B" w:rsidR="00983C2C" w:rsidRDefault="00983C2C" w:rsidP="00F56CC8"/>
    <w:p w14:paraId="53A0E1D8" w14:textId="1A81CB25" w:rsidR="00983C2C" w:rsidRDefault="00983C2C" w:rsidP="00F56CC8"/>
    <w:p w14:paraId="005B1680" w14:textId="14041844" w:rsidR="00983C2C" w:rsidRDefault="00983C2C" w:rsidP="00F56CC8"/>
    <w:p w14:paraId="7C23A7F0" w14:textId="7C9D4846" w:rsidR="00983C2C" w:rsidRDefault="00983C2C" w:rsidP="00F56CC8"/>
    <w:p w14:paraId="38EAB0F2" w14:textId="2F3F2A2A" w:rsidR="00983C2C" w:rsidRDefault="00983C2C" w:rsidP="00F56CC8"/>
    <w:p w14:paraId="25415F15" w14:textId="6DB54164" w:rsidR="00983C2C" w:rsidRDefault="00983C2C" w:rsidP="00F56CC8"/>
    <w:p w14:paraId="5D9A84A0" w14:textId="451112AF" w:rsidR="00983C2C" w:rsidRDefault="00983C2C" w:rsidP="00F56CC8"/>
    <w:p w14:paraId="3B06A6DB" w14:textId="7E369837" w:rsidR="00983C2C" w:rsidRDefault="00983C2C" w:rsidP="00F56CC8"/>
    <w:p w14:paraId="0F7A78BC" w14:textId="4B0C534D" w:rsidR="00983C2C" w:rsidRDefault="00983C2C" w:rsidP="00F56CC8"/>
    <w:p w14:paraId="32E49ED2" w14:textId="7B1E17CC" w:rsidR="00983C2C" w:rsidRDefault="00983C2C" w:rsidP="00F56CC8"/>
    <w:p w14:paraId="4C83F208" w14:textId="6B6BEEDE" w:rsidR="00983C2C" w:rsidRDefault="00983C2C" w:rsidP="00F56CC8"/>
    <w:p w14:paraId="26B79D68" w14:textId="27D1E61B" w:rsidR="00983C2C" w:rsidRDefault="00983C2C" w:rsidP="00F56CC8"/>
    <w:p w14:paraId="3A7550CE" w14:textId="59067F8E" w:rsidR="00983C2C" w:rsidRDefault="00983C2C" w:rsidP="00F56CC8"/>
    <w:p w14:paraId="695850A3" w14:textId="75C9CAC7" w:rsidR="00983C2C" w:rsidRDefault="00983C2C" w:rsidP="00F56CC8"/>
    <w:p w14:paraId="597527D5" w14:textId="0E535BBF" w:rsidR="00983C2C" w:rsidRDefault="00983C2C" w:rsidP="00F56CC8"/>
    <w:p w14:paraId="2EF3763F" w14:textId="6B9F0411" w:rsidR="00983C2C" w:rsidRDefault="00983C2C" w:rsidP="00F56CC8"/>
    <w:p w14:paraId="4E6BF37D" w14:textId="51888C82" w:rsidR="00983C2C" w:rsidRDefault="00983C2C" w:rsidP="00F56CC8"/>
    <w:p w14:paraId="7E83419F" w14:textId="62F9959D" w:rsidR="00983C2C" w:rsidRDefault="00983C2C" w:rsidP="00F56CC8"/>
    <w:p w14:paraId="7595A907" w14:textId="57AD5F5B" w:rsidR="00983C2C" w:rsidRDefault="00983C2C" w:rsidP="00F56CC8"/>
    <w:p w14:paraId="31300119" w14:textId="77777777" w:rsidR="00983C2C" w:rsidRDefault="00983C2C" w:rsidP="00F56CC8"/>
    <w:p w14:paraId="7873C807" w14:textId="7A6F00DE" w:rsidR="006C10AD" w:rsidRDefault="00B6486A" w:rsidP="00BB0402">
      <w:pPr>
        <w:pStyle w:val="Heading1"/>
      </w:pPr>
      <w:bookmarkStart w:id="0" w:name="_Toc104936766"/>
      <w:r>
        <w:lastRenderedPageBreak/>
        <w:t>Introduction</w:t>
      </w:r>
      <w:bookmarkEnd w:id="0"/>
      <w:r>
        <w:t xml:space="preserve"> </w:t>
      </w:r>
      <w:r>
        <w:tab/>
      </w:r>
    </w:p>
    <w:p w14:paraId="454FF311" w14:textId="09634866" w:rsidR="006F7796" w:rsidRDefault="00B6486A" w:rsidP="00F56CC8">
      <w:r w:rsidRPr="00BB0402">
        <w:t>Various strategies have been established in Wales</w:t>
      </w:r>
      <w:r>
        <w:t xml:space="preserve"> and </w:t>
      </w:r>
      <w:r w:rsidRPr="00BB0402">
        <w:t xml:space="preserve">England to </w:t>
      </w:r>
      <w:r>
        <w:t>modify</w:t>
      </w:r>
      <w:r w:rsidRPr="00BB0402">
        <w:t xml:space="preserve"> the judicial actions procedure to encourage better diversity.</w:t>
      </w:r>
      <w:r w:rsidR="00F139A3">
        <w:t xml:space="preserve"> A more diverse </w:t>
      </w:r>
      <w:r w:rsidR="00111B58">
        <w:t>judges</w:t>
      </w:r>
      <w:r w:rsidR="00F139A3">
        <w:t xml:space="preserve"> is needed because </w:t>
      </w:r>
      <w:r w:rsidR="00111B58">
        <w:t>deprived of</w:t>
      </w:r>
      <w:r w:rsidR="00F139A3">
        <w:t xml:space="preserve"> one, the possibilities are extensively</w:t>
      </w:r>
      <w:r>
        <w:t xml:space="preserve"> developed for a violation of the rights of these under signified. </w:t>
      </w:r>
      <w:r w:rsidR="00D5749D">
        <w:t xml:space="preserve">However, diversity in the judiciary is significant because judges are proficient and make accurate decisions that matter both lives of the ordinary people and constitutionally. Therefore, this assignment will discuss the role of supreme court justice in diversity and the power conferred upon them. Moreover, the </w:t>
      </w:r>
      <w:r w:rsidR="00F139A3">
        <w:t xml:space="preserve">assignment will evaluate the impact of gender or ethnicity on decisions and also selection procedures for new supreme court appointments. </w:t>
      </w:r>
    </w:p>
    <w:p w14:paraId="7F0654F6" w14:textId="37E15422" w:rsidR="00F56CC8" w:rsidRDefault="00B6486A" w:rsidP="006F7796">
      <w:pPr>
        <w:pStyle w:val="Heading1"/>
      </w:pPr>
      <w:bookmarkStart w:id="1" w:name="_Toc104936767"/>
      <w:r w:rsidRPr="00C31908">
        <w:t>Discussion</w:t>
      </w:r>
      <w:bookmarkEnd w:id="1"/>
      <w:r w:rsidRPr="00C31908">
        <w:t xml:space="preserve"> </w:t>
      </w:r>
      <w:r w:rsidRPr="00C31908">
        <w:tab/>
      </w:r>
    </w:p>
    <w:p w14:paraId="756F8138" w14:textId="4BE470D0" w:rsidR="006F7796" w:rsidRDefault="00B6486A" w:rsidP="006F7796">
      <w:r w:rsidRPr="00B01108">
        <w:t>The Supreme Court was developed to attain a whole partition among the senior Judges and the Upper House of Parliament of the U.K., focusing on the freedom of the Law Lords and enhancing the clarity between the courts and Parliament. However, the Supreme Court of the U.K. is dedicated to delivering open and fair access to fairness for everyone. The Supreme Court identifies, values, and respects diversity, distributing people's comforts from all parts of culture. On the other hand, the federal judges will be more accomplished in efficiency and fairly implementing the law if its associates reflect a diversity of legal history, including, notably, Justices who know instead of individuals in adverse proceedings contrary to the government</w:t>
      </w:r>
      <w:r w:rsidR="00D6451C">
        <w:t xml:space="preserve"> (Kovacs and </w:t>
      </w:r>
      <w:proofErr w:type="spellStart"/>
      <w:r w:rsidR="00D6451C">
        <w:t>Scheppele</w:t>
      </w:r>
      <w:proofErr w:type="spellEnd"/>
      <w:r w:rsidR="00D6451C">
        <w:t>, 2018)</w:t>
      </w:r>
      <w:r w:rsidRPr="00B01108">
        <w:t xml:space="preserve">. The Supreme Court introduced a four-year policy in 2016, setting out the actions they would take to set in the principles of diversity and equality in all functions. It also bordered the method of applying the civil service diversity plan "Respecting Diversity </w:t>
      </w:r>
      <w:r>
        <w:t xml:space="preserve">and </w:t>
      </w:r>
      <w:r w:rsidRPr="00B01108">
        <w:t>Endorsing Equality". Moreover, assuring observed and demographic diversity on the bench is not just a relevant factor of judicial assortment; it is essential. As the investigators make apparent, a bench that flops to imitate the public it aids is ill-prepared to help that public</w:t>
      </w:r>
      <w:r w:rsidR="00F74EBE">
        <w:t xml:space="preserve"> (</w:t>
      </w:r>
      <w:proofErr w:type="spellStart"/>
      <w:r w:rsidR="00F74EBE">
        <w:t>Fach</w:t>
      </w:r>
      <w:proofErr w:type="spellEnd"/>
      <w:r w:rsidR="00F74EBE">
        <w:t xml:space="preserve"> Gomez, 2018)</w:t>
      </w:r>
      <w:r w:rsidRPr="00B01108">
        <w:t>.</w:t>
      </w:r>
    </w:p>
    <w:p w14:paraId="6D030760" w14:textId="77777777" w:rsidR="00B01108" w:rsidRPr="006F7796" w:rsidRDefault="00B01108" w:rsidP="006F7796"/>
    <w:p w14:paraId="771071DC" w14:textId="1498A437" w:rsidR="00DB1DA3" w:rsidRPr="00F56CC8" w:rsidRDefault="00B6486A" w:rsidP="00F56CC8">
      <w:r w:rsidRPr="005A5462">
        <w:t>Though</w:t>
      </w:r>
      <w:r w:rsidR="007C2323" w:rsidRPr="005A5462">
        <w:t xml:space="preserve"> the Supreme Court may receive an application on any </w:t>
      </w:r>
      <w:r w:rsidRPr="005A5462">
        <w:t>query</w:t>
      </w:r>
      <w:r w:rsidR="007C2323" w:rsidRPr="005A5462">
        <w:t xml:space="preserve"> of </w:t>
      </w:r>
      <w:r w:rsidRPr="005A5462">
        <w:t>regulation</w:t>
      </w:r>
      <w:r w:rsidR="007C2323" w:rsidRPr="005A5462">
        <w:t xml:space="preserve">, given it has authority, it frequently does not embrace prosecutions. As a substitute, the task of the Court is to understand the meaning of the regulation and adopt whether a law applies to a specific set of evidence or rule on how an action should be implemented. However, federal courts relish the </w:t>
      </w:r>
      <w:r w:rsidRPr="005A5462">
        <w:t>individual</w:t>
      </w:r>
      <w:r w:rsidR="007C2323" w:rsidRPr="005A5462">
        <w:t xml:space="preserve"> </w:t>
      </w:r>
      <w:r w:rsidRPr="005A5462">
        <w:t>authority</w:t>
      </w:r>
      <w:r w:rsidR="007C2323" w:rsidRPr="005A5462">
        <w:t xml:space="preserve"> to understand the law, regulate its integrity, and implement it in a person's case. In addition, Congress can induce the invention of testimony and evidence through the practice of a summons (Rossiter, 2021). The choices of the Supreme Court force </w:t>
      </w:r>
      <w:r w:rsidR="007C2323" w:rsidRPr="005A5462">
        <w:lastRenderedPageBreak/>
        <w:t xml:space="preserve">the lower courts; once the Supreme Court understands a law, lower courts must incorporate the interpretations of the Supreme Court into the facts of a specific case. Furthermore, the Supreme Court is the last Court of </w:t>
      </w:r>
      <w:r w:rsidRPr="005A5462">
        <w:t>petition</w:t>
      </w:r>
      <w:r w:rsidR="007C2323" w:rsidRPr="005A5462">
        <w:t xml:space="preserve"> for all </w:t>
      </w:r>
      <w:r>
        <w:t xml:space="preserve">cases related to </w:t>
      </w:r>
      <w:r w:rsidR="007C2323" w:rsidRPr="005A5462">
        <w:t xml:space="preserve">civil in the U.K. and </w:t>
      </w:r>
      <w:r>
        <w:t xml:space="preserve">cases related to </w:t>
      </w:r>
      <w:r w:rsidR="007C2323" w:rsidRPr="005A5462">
        <w:t>criminal from</w:t>
      </w:r>
      <w:r>
        <w:t xml:space="preserve"> </w:t>
      </w:r>
      <w:r w:rsidR="007C2323" w:rsidRPr="005A5462">
        <w:t xml:space="preserve">Northern Ireland, </w:t>
      </w:r>
      <w:r w:rsidRPr="005A5462">
        <w:t>Wales</w:t>
      </w:r>
      <w:r>
        <w:t xml:space="preserve">, and </w:t>
      </w:r>
      <w:r w:rsidR="007C2323" w:rsidRPr="005A5462">
        <w:t xml:space="preserve">England. Thus, they also have the authority to receive </w:t>
      </w:r>
      <w:r w:rsidRPr="005A5462">
        <w:t>petitions</w:t>
      </w:r>
      <w:r w:rsidR="007C2323" w:rsidRPr="005A5462">
        <w:t xml:space="preserve"> on debatable </w:t>
      </w:r>
      <w:r w:rsidRPr="005A5462">
        <w:t>opinions</w:t>
      </w:r>
      <w:r w:rsidR="007C2323" w:rsidRPr="005A5462">
        <w:t xml:space="preserve"> of law of universal public </w:t>
      </w:r>
      <w:r w:rsidRPr="005A5462">
        <w:t>standing</w:t>
      </w:r>
      <w:r w:rsidR="007C2323" w:rsidRPr="005A5462">
        <w:t xml:space="preserve">, concentrate on cases of the significant </w:t>
      </w:r>
      <w:r w:rsidRPr="005A5462">
        <w:t xml:space="preserve">constitutional </w:t>
      </w:r>
      <w:r>
        <w:t xml:space="preserve">and </w:t>
      </w:r>
      <w:r w:rsidRPr="005A5462">
        <w:t>community</w:t>
      </w:r>
      <w:r w:rsidR="007C2323" w:rsidRPr="005A5462">
        <w:t xml:space="preserve"> meaning, and create and maintain the role of the uppermost court in the U.K. as a leader in the world of mutual law (Pratt, 2022).</w:t>
      </w:r>
    </w:p>
    <w:p w14:paraId="5DCD4AA0" w14:textId="77777777" w:rsidR="00580F6F" w:rsidRDefault="00580F6F" w:rsidP="00F56CC8"/>
    <w:p w14:paraId="2A7BB072" w14:textId="1272EBD0" w:rsidR="00DB1DA3" w:rsidRDefault="00B6486A" w:rsidP="00F56CC8">
      <w:r w:rsidRPr="00DB1DA3">
        <w:t xml:space="preserve">Feminist judges who assist the courts' active obligation to encourage gender equality by law have certainly had to struggle with this difference between 'bad' and 'good' partiality. However, on this basis, standards are usually recognized as deteriorating within the possibility of ethics or perceptions as universal and immanent concepts: 'basically part of what it means to be human'. Hence, they are perceived as both inevitable and genuine in the context of settlement, contrary to an ideology, </w:t>
      </w:r>
      <w:r w:rsidR="007172E5" w:rsidRPr="00DB1DA3">
        <w:t>program</w:t>
      </w:r>
      <w:r w:rsidRPr="00DB1DA3">
        <w:t>, and</w:t>
      </w:r>
      <w:r w:rsidR="00111B58">
        <w:t xml:space="preserve"> plan</w:t>
      </w:r>
      <w:r w:rsidRPr="00DB1DA3">
        <w:t xml:space="preserve">, which is promoted or permitted by specific groups. Further, a dynamic cognitive procedure is needed to assume this method of unbiased self-reflection and to surface an </w:t>
      </w:r>
      <w:r w:rsidR="007172E5" w:rsidRPr="00DB1DA3">
        <w:t>insensible</w:t>
      </w:r>
      <w:r w:rsidRPr="00DB1DA3">
        <w:t xml:space="preserve"> presumption of a judge (Zilis, 2015). Nevertheless, this kind of open examination is hard to settle with the element that juries in the U.K. have usually functioned as per cultural authoritative that attracts a covering over the values of separate judges and the impacts these might have on their decision-making procedures. In addition, in 2008, this method was demonstrated by Lord Judge, </w:t>
      </w:r>
      <w:r w:rsidR="00111B58">
        <w:t xml:space="preserve">then it is </w:t>
      </w:r>
      <w:r w:rsidRPr="00DB1DA3">
        <w:t>claimed</w:t>
      </w:r>
      <w:r w:rsidR="00111B58">
        <w:t xml:space="preserve"> by </w:t>
      </w:r>
      <w:r w:rsidR="00111B58" w:rsidRPr="00DB1DA3">
        <w:t>Lord Chief Justice</w:t>
      </w:r>
      <w:r w:rsidRPr="00DB1DA3">
        <w:t xml:space="preserve"> that features such as religious </w:t>
      </w:r>
      <w:r w:rsidR="00111B58" w:rsidRPr="00DB1DA3">
        <w:t>gender</w:t>
      </w:r>
      <w:r w:rsidR="00111B58">
        <w:t xml:space="preserve">, </w:t>
      </w:r>
      <w:r w:rsidRPr="00DB1DA3">
        <w:t xml:space="preserve">belief, and </w:t>
      </w:r>
      <w:r w:rsidR="00111B58" w:rsidRPr="00DB1DA3">
        <w:t>culture</w:t>
      </w:r>
      <w:r w:rsidRPr="00DB1DA3">
        <w:t>, are entirely inappropriate to a person's aptitude to be a respectable judge. Thus, they are inappropriate for the appointment and selection of any judge (</w:t>
      </w:r>
      <w:proofErr w:type="spellStart"/>
      <w:r w:rsidRPr="00DB1DA3">
        <w:t>Malleson</w:t>
      </w:r>
      <w:proofErr w:type="spellEnd"/>
      <w:r w:rsidRPr="00DB1DA3">
        <w:t>, 2022).</w:t>
      </w:r>
    </w:p>
    <w:p w14:paraId="7E620BFD" w14:textId="77777777" w:rsidR="00580F6F" w:rsidRPr="00F56CC8" w:rsidRDefault="00580F6F" w:rsidP="00F56CC8"/>
    <w:p w14:paraId="5C73225B" w14:textId="0AE7A52C" w:rsidR="00580F6F" w:rsidRDefault="00B6486A" w:rsidP="005A5462">
      <w:r w:rsidRPr="00E91095">
        <w:t xml:space="preserve">The Supreme Court is needed by law to have a judiciary with information on and involvement of practice in the law of each portion of the U.K. The procedure of appointments will be supervised by a sovereign selection commission assembled by the Lord Chancellor under instructions established by U.K. Parliament. Although a devoted sector of the Supreme Court website has been developed to encourage the positions and clarify the appointment process also hosts data for potential applicants (Ash and MacLeod, 2015). The Judicial Committee and Supreme Court of the Privy Assembly receive a wide variety of very complicated and high-profile permissible appeals, which can have substantial influence all over the U.K. and elsewhere. Besides, the commitment of the Supreme Court to inclusion and diversity is intensely ingrained in their values. Thus, they identify that diversity carries wealth to the </w:t>
      </w:r>
      <w:r w:rsidRPr="00E91095">
        <w:lastRenderedPageBreak/>
        <w:t>judiciary and welcomes candidates from all backgrounds. Furthermore, assist flexible and part-time working, subject to the requirements of the Court. Requests are required from the great variety of applicants entitled to apply, involving those who are not recently full-time juries and primarily those who will upsurge the diversity of the Court. Acquaintance calls are obtainable to qualified candidates. Thus, the Justices will be nominated under requirements set out in the Constitutional Reform Act 2005, as revised (Supreme Court, 2022).</w:t>
      </w:r>
    </w:p>
    <w:p w14:paraId="73B84EF7" w14:textId="77777777" w:rsidR="00383049" w:rsidRDefault="00383049" w:rsidP="005A5462"/>
    <w:p w14:paraId="2C357130" w14:textId="47BDCCD3" w:rsidR="00383049" w:rsidRPr="00383049" w:rsidRDefault="00B6486A" w:rsidP="00FC458E">
      <w:pPr>
        <w:rPr>
          <w:bCs/>
        </w:rPr>
      </w:pPr>
      <w:r>
        <w:rPr>
          <w:bCs/>
        </w:rPr>
        <w:t>Since the selection process is fairly new and puts emphasis on more inclusive court proceedings, the U.K. court has ensured that regulations bind the process to guarantee its implications. Hence, in the case of this particular process, all the appointments for selecting new Supreme Justices are monitored by the election commission, whose head is the Lord Chancellor himself (Supreme Court, 2022). This monitoring is done on the basis of rules and regulations set out by the Parliament. The new Supreme Justices are to be selected under the regulatory framework of the Constitutional Reform Act of 2005, which certifies a lack of bias for differences in any case of the law. The members of this significant selection commission are presented through the statute and the Supreme Court Regulations of 2013. Furthermore, it is also to be noted that selecting new Supreme Justices is a strict process due to its significance. Its closing date for applications was strictly set to be by midday of 4</w:t>
      </w:r>
      <w:r w:rsidRPr="00383049">
        <w:rPr>
          <w:bCs/>
          <w:vertAlign w:val="superscript"/>
        </w:rPr>
        <w:t>th</w:t>
      </w:r>
      <w:r>
        <w:rPr>
          <w:bCs/>
        </w:rPr>
        <w:t xml:space="preserve"> of March, 2022, and all the shortlisted candidates would be asked to attend interviews and consultation exercises</w:t>
      </w:r>
      <w:r w:rsidR="00990553">
        <w:rPr>
          <w:bCs/>
        </w:rPr>
        <w:t xml:space="preserve"> (Supreme Court, 2022)</w:t>
      </w:r>
      <w:r>
        <w:rPr>
          <w:bCs/>
        </w:rPr>
        <w:t>. Once that is done, the declaration of the newly selected Supreme Justices is given by H.M. government on the behalf of the H.M. queen. This is all a standard procedure the U.K. Supreme Court has to follow.</w:t>
      </w:r>
    </w:p>
    <w:p w14:paraId="7B09E13F" w14:textId="77777777" w:rsidR="00383049" w:rsidRDefault="00383049" w:rsidP="00FC458E">
      <w:pPr>
        <w:rPr>
          <w:rFonts w:ascii="Arial" w:hAnsi="Arial" w:cs="Arial"/>
          <w:color w:val="333333"/>
          <w:sz w:val="17"/>
          <w:szCs w:val="17"/>
          <w:shd w:val="clear" w:color="auto" w:fill="EFEBE7"/>
        </w:rPr>
      </w:pPr>
    </w:p>
    <w:p w14:paraId="3ACEA2B4" w14:textId="6518D272" w:rsidR="007A0C50" w:rsidRDefault="00B6486A" w:rsidP="00FC458E">
      <w:pPr>
        <w:rPr>
          <w:lang w:val="en"/>
        </w:rPr>
      </w:pPr>
      <w:r>
        <w:rPr>
          <w:lang w:val="en"/>
        </w:rPr>
        <w:t xml:space="preserve">Besides that, since diversity and inclusion </w:t>
      </w:r>
      <w:proofErr w:type="gramStart"/>
      <w:r>
        <w:rPr>
          <w:lang w:val="en"/>
        </w:rPr>
        <w:t>is</w:t>
      </w:r>
      <w:proofErr w:type="gramEnd"/>
      <w:r>
        <w:rPr>
          <w:lang w:val="en"/>
        </w:rPr>
        <w:t xml:space="preserve"> slowly influencing the way things are operated in the U.K., the current composition of its Supreme Court Justices also has intriguing demographics. In today's time, across all the legal exercises postulated by the Court, different ethnicities are given representation. To be more specific, Black, Asian, and other minorities are all included in these proceedings, with 9% of them amounting to the total number of applications for justices, and 7% coming in for the recommendations in the case of being barristers (G</w:t>
      </w:r>
      <w:r w:rsidR="00ED1038">
        <w:rPr>
          <w:lang w:val="en"/>
        </w:rPr>
        <w:t>OV</w:t>
      </w:r>
      <w:r>
        <w:rPr>
          <w:lang w:val="en"/>
        </w:rPr>
        <w:t>.</w:t>
      </w:r>
      <w:r w:rsidR="00ED1038">
        <w:rPr>
          <w:lang w:val="en"/>
        </w:rPr>
        <w:t>UK</w:t>
      </w:r>
      <w:r>
        <w:rPr>
          <w:lang w:val="en"/>
        </w:rPr>
        <w:t xml:space="preserve">, 2021). In addition to that, about 15% of the applications and 5% of recommendations are taken by these groups. Evidently, these numbers are insignificant as compared to the white counterparts, where white people dominate the applications and recommendations for barristers by 42% and 36%, respectively, and do so for 35% and 52% in </w:t>
      </w:r>
      <w:r>
        <w:rPr>
          <w:lang w:val="en"/>
        </w:rPr>
        <w:lastRenderedPageBreak/>
        <w:t>the means of solicitors. Hence, even though the Supreme Court is slowly extending its positions to minorities, it still has a long way to go.</w:t>
      </w:r>
    </w:p>
    <w:p w14:paraId="044E53B5" w14:textId="77777777" w:rsidR="008B26E1" w:rsidRDefault="008B26E1" w:rsidP="00FC458E">
      <w:pPr>
        <w:rPr>
          <w:lang w:val="en"/>
        </w:rPr>
      </w:pPr>
    </w:p>
    <w:p w14:paraId="2ADD5C4D" w14:textId="13EFD269" w:rsidR="00483582" w:rsidRDefault="00B6486A" w:rsidP="00FC458E">
      <w:r>
        <w:t>Nevertheless, even if the Supreme Court of the U.K. has a long way to go to completely submerge itself into diversity and inclusion to ensure better prosperity of society, it is still doing its best to tackle this problem. According to a judiciary report that highlights the objectives of the Court, it is stated that it recognizes the role of leadership in increasing support for diverse and ethnic groups in the means of judiciary, the public, and professionals</w:t>
      </w:r>
      <w:r w:rsidR="00741AD4">
        <w:t xml:space="preserve"> (Supreme Court, 2021)</w:t>
      </w:r>
      <w:r>
        <w:t xml:space="preserve">. The problem is being faced by </w:t>
      </w:r>
      <w:r w:rsidR="00741AD4">
        <w:t>aiming to increase the progress of including underrepresented groups in roles in the Court and create a respectful and equal working environment for everyone involved, despite their differences. The report also claims that this Court strategy would help build an inclusive environment, valuing different opinions, appreciating bouts of knowledge from ethnic groups, and taking action whenever an issue is identified.</w:t>
      </w:r>
    </w:p>
    <w:p w14:paraId="1B94FDAE" w14:textId="28360EC4" w:rsidR="00F56CC8" w:rsidRDefault="00B6486A" w:rsidP="006F7796">
      <w:pPr>
        <w:pStyle w:val="Heading1"/>
      </w:pPr>
      <w:bookmarkStart w:id="2" w:name="_Toc104936768"/>
      <w:r w:rsidRPr="00C31908">
        <w:t>Conclusion</w:t>
      </w:r>
      <w:bookmarkEnd w:id="2"/>
      <w:r w:rsidRPr="00C31908">
        <w:t xml:space="preserve"> </w:t>
      </w:r>
      <w:r w:rsidRPr="00C31908">
        <w:tab/>
      </w:r>
    </w:p>
    <w:p w14:paraId="3CE14D52" w14:textId="211F945C" w:rsidR="00E91095" w:rsidRDefault="00B6486A" w:rsidP="00E91095">
      <w:r>
        <w:t xml:space="preserve">The study has demonstrated the role of supreme court justice in diversity in the U.K. Also, provide relevant answers to all questions to demonstrate the diversity in the Judiciary (Supreme Court). This essay helped in understanding the concept of diversity in the judiciary. </w:t>
      </w:r>
    </w:p>
    <w:p w14:paraId="538B416C" w14:textId="2059A853" w:rsidR="004928CE" w:rsidRDefault="004928CE" w:rsidP="00E91095"/>
    <w:p w14:paraId="2A9B34B2" w14:textId="1DC18F4F" w:rsidR="004928CE" w:rsidRDefault="004928CE" w:rsidP="00E91095"/>
    <w:p w14:paraId="25A38B6A" w14:textId="0E282073" w:rsidR="00983C2C" w:rsidRDefault="00983C2C" w:rsidP="00E91095"/>
    <w:p w14:paraId="3471A56F" w14:textId="06E45C02" w:rsidR="00983C2C" w:rsidRDefault="00983C2C" w:rsidP="00E91095"/>
    <w:p w14:paraId="01AA738D" w14:textId="031F8BE4" w:rsidR="00983C2C" w:rsidRDefault="00983C2C" w:rsidP="00E91095"/>
    <w:p w14:paraId="6C466EFD" w14:textId="651CC37C" w:rsidR="00983C2C" w:rsidRDefault="00983C2C" w:rsidP="00E91095"/>
    <w:p w14:paraId="1B844DAE" w14:textId="3DA4D9B0" w:rsidR="00983C2C" w:rsidRDefault="00983C2C" w:rsidP="00E91095"/>
    <w:p w14:paraId="784007BB" w14:textId="4B75861F" w:rsidR="00983C2C" w:rsidRDefault="00983C2C" w:rsidP="00E91095"/>
    <w:p w14:paraId="76A73065" w14:textId="06F88A6E" w:rsidR="00983C2C" w:rsidRDefault="00983C2C" w:rsidP="00E91095"/>
    <w:p w14:paraId="07E35BA1" w14:textId="383EF5C6" w:rsidR="00983C2C" w:rsidRDefault="00983C2C" w:rsidP="00E91095"/>
    <w:p w14:paraId="62676EF1" w14:textId="3517EE5D" w:rsidR="00983C2C" w:rsidRDefault="00983C2C" w:rsidP="00E91095"/>
    <w:p w14:paraId="72204551" w14:textId="5B1024F7" w:rsidR="00983C2C" w:rsidRDefault="00983C2C" w:rsidP="00E91095"/>
    <w:p w14:paraId="15671158" w14:textId="2E1108E1" w:rsidR="00983C2C" w:rsidRDefault="00983C2C" w:rsidP="00E91095"/>
    <w:p w14:paraId="5B6377B0" w14:textId="77777777" w:rsidR="00983C2C" w:rsidRDefault="00983C2C" w:rsidP="00E91095"/>
    <w:p w14:paraId="1065F08B" w14:textId="4F97080E" w:rsidR="004928CE" w:rsidRDefault="00B6486A" w:rsidP="007C2323">
      <w:pPr>
        <w:pStyle w:val="Heading1"/>
      </w:pPr>
      <w:bookmarkStart w:id="3" w:name="_Toc104936769"/>
      <w:r>
        <w:lastRenderedPageBreak/>
        <w:t>References</w:t>
      </w:r>
      <w:bookmarkEnd w:id="3"/>
      <w:r>
        <w:t xml:space="preserve"> </w:t>
      </w:r>
    </w:p>
    <w:p w14:paraId="68F5CCD9" w14:textId="77777777" w:rsidR="00983C2C" w:rsidRPr="00983C2C" w:rsidRDefault="00B6486A" w:rsidP="004928CE">
      <w:pPr>
        <w:ind w:left="720" w:hanging="720"/>
        <w:rPr>
          <w:rFonts w:cs="Times New Roman"/>
          <w:szCs w:val="24"/>
          <w:shd w:val="clear" w:color="auto" w:fill="FFFFFF"/>
        </w:rPr>
      </w:pPr>
      <w:r w:rsidRPr="00983C2C">
        <w:rPr>
          <w:rFonts w:cs="Times New Roman"/>
          <w:szCs w:val="24"/>
          <w:shd w:val="clear" w:color="auto" w:fill="FFFFFF"/>
        </w:rPr>
        <w:t>Ash, E. and MacLeod, W.B. 2015. Intrinsic motivation in public service: Theory and evidence from state supreme courts. </w:t>
      </w:r>
      <w:r w:rsidRPr="00983C2C">
        <w:rPr>
          <w:rFonts w:cs="Times New Roman"/>
          <w:i/>
          <w:iCs/>
          <w:szCs w:val="24"/>
          <w:shd w:val="clear" w:color="auto" w:fill="FFFFFF"/>
        </w:rPr>
        <w:t>The Journal of Law and Economics</w:t>
      </w:r>
      <w:r w:rsidRPr="00983C2C">
        <w:rPr>
          <w:rFonts w:cs="Times New Roman"/>
          <w:szCs w:val="24"/>
          <w:shd w:val="clear" w:color="auto" w:fill="FFFFFF"/>
        </w:rPr>
        <w:t>, </w:t>
      </w:r>
      <w:r w:rsidRPr="00983C2C">
        <w:rPr>
          <w:rFonts w:cs="Times New Roman"/>
          <w:i/>
          <w:iCs/>
          <w:szCs w:val="24"/>
          <w:shd w:val="clear" w:color="auto" w:fill="FFFFFF"/>
        </w:rPr>
        <w:t>58</w:t>
      </w:r>
      <w:r w:rsidRPr="00983C2C">
        <w:rPr>
          <w:rFonts w:cs="Times New Roman"/>
          <w:szCs w:val="24"/>
          <w:shd w:val="clear" w:color="auto" w:fill="FFFFFF"/>
        </w:rPr>
        <w:t>(4), pp.863-913.</w:t>
      </w:r>
    </w:p>
    <w:p w14:paraId="38C09A24" w14:textId="77777777" w:rsidR="00983C2C" w:rsidRPr="00983C2C" w:rsidRDefault="00B6486A" w:rsidP="004928CE">
      <w:pPr>
        <w:ind w:left="720" w:hanging="720"/>
        <w:rPr>
          <w:rFonts w:cs="Times New Roman"/>
          <w:szCs w:val="24"/>
          <w:shd w:val="clear" w:color="auto" w:fill="FFFFFF"/>
        </w:rPr>
      </w:pPr>
      <w:proofErr w:type="spellStart"/>
      <w:r w:rsidRPr="00983C2C">
        <w:rPr>
          <w:rFonts w:cs="Times New Roman"/>
          <w:szCs w:val="24"/>
          <w:shd w:val="clear" w:color="auto" w:fill="FFFFFF"/>
        </w:rPr>
        <w:t>Fach</w:t>
      </w:r>
      <w:proofErr w:type="spellEnd"/>
      <w:r w:rsidRPr="00983C2C">
        <w:rPr>
          <w:rFonts w:cs="Times New Roman"/>
          <w:szCs w:val="24"/>
          <w:shd w:val="clear" w:color="auto" w:fill="FFFFFF"/>
        </w:rPr>
        <w:t xml:space="preserve"> Gómez, K. 2018. Diversity and the Principle of Independence and Impartiality in the Future Multilateral Investment Court (MIC). </w:t>
      </w:r>
      <w:r w:rsidRPr="00983C2C">
        <w:rPr>
          <w:rFonts w:cs="Times New Roman"/>
          <w:i/>
          <w:iCs/>
          <w:szCs w:val="24"/>
          <w:shd w:val="clear" w:color="auto" w:fill="FFFFFF"/>
        </w:rPr>
        <w:t>The Law &amp; Practice of International Courts and Tribunals</w:t>
      </w:r>
      <w:r w:rsidRPr="00983C2C">
        <w:rPr>
          <w:rFonts w:cs="Times New Roman"/>
          <w:szCs w:val="24"/>
          <w:shd w:val="clear" w:color="auto" w:fill="FFFFFF"/>
        </w:rPr>
        <w:t>, (1).</w:t>
      </w:r>
    </w:p>
    <w:p w14:paraId="4FE633D7" w14:textId="77777777" w:rsidR="00983C2C" w:rsidRPr="00983C2C" w:rsidRDefault="00B6486A" w:rsidP="00983C2C">
      <w:pPr>
        <w:ind w:left="720" w:hanging="720"/>
        <w:rPr>
          <w:rFonts w:cs="Times New Roman"/>
          <w:szCs w:val="24"/>
        </w:rPr>
      </w:pPr>
      <w:r w:rsidRPr="00983C2C">
        <w:rPr>
          <w:rFonts w:cs="Times New Roman"/>
          <w:szCs w:val="24"/>
          <w:shd w:val="clear" w:color="auto" w:fill="FFFFFF"/>
        </w:rPr>
        <w:t>GOV.UK. 2021. </w:t>
      </w:r>
      <w:r w:rsidRPr="00983C2C">
        <w:rPr>
          <w:rFonts w:cs="Times New Roman"/>
          <w:i/>
          <w:iCs/>
          <w:szCs w:val="24"/>
          <w:shd w:val="clear" w:color="auto" w:fill="FFFFFF"/>
        </w:rPr>
        <w:t>Diversity of the judiciary: Legal professions, new appointments and current post-holders – 2021 Statistics</w:t>
      </w:r>
      <w:r w:rsidRPr="00983C2C">
        <w:rPr>
          <w:rFonts w:cs="Times New Roman"/>
          <w:szCs w:val="24"/>
          <w:shd w:val="clear" w:color="auto" w:fill="FFFFFF"/>
        </w:rPr>
        <w:t>. [online] Available at: &lt;https://www.gov.uk/government/statistics/diversity-of-the-judiciary-2021-statistics/diversity-of-the-judiciary-2021-statistics-report#:~:text=White%20barristers%20accounted%20for%2035,applications%20and%2052%25%20of%20recommendations.&amp;text=At%201%20April%202021%3A%206,and%2051%25%20were%20White%20barristers.&gt; [Accessed 31 May 2022].</w:t>
      </w:r>
    </w:p>
    <w:p w14:paraId="4D5F9400" w14:textId="77777777" w:rsidR="00983C2C" w:rsidRPr="00983C2C" w:rsidRDefault="00B6486A" w:rsidP="007C2323">
      <w:pPr>
        <w:ind w:left="720" w:hanging="720"/>
        <w:rPr>
          <w:rFonts w:cs="Times New Roman"/>
          <w:szCs w:val="24"/>
          <w:shd w:val="clear" w:color="auto" w:fill="FFFFFF"/>
        </w:rPr>
      </w:pPr>
      <w:proofErr w:type="spellStart"/>
      <w:r w:rsidRPr="00983C2C">
        <w:rPr>
          <w:rFonts w:cs="Times New Roman"/>
          <w:szCs w:val="24"/>
          <w:shd w:val="clear" w:color="auto" w:fill="FFFFFF"/>
        </w:rPr>
        <w:t>Kovács</w:t>
      </w:r>
      <w:proofErr w:type="spellEnd"/>
      <w:r w:rsidRPr="00983C2C">
        <w:rPr>
          <w:rFonts w:cs="Times New Roman"/>
          <w:szCs w:val="24"/>
          <w:shd w:val="clear" w:color="auto" w:fill="FFFFFF"/>
        </w:rPr>
        <w:t xml:space="preserve">, K. and </w:t>
      </w:r>
      <w:proofErr w:type="spellStart"/>
      <w:r w:rsidRPr="00983C2C">
        <w:rPr>
          <w:rFonts w:cs="Times New Roman"/>
          <w:szCs w:val="24"/>
          <w:shd w:val="clear" w:color="auto" w:fill="FFFFFF"/>
        </w:rPr>
        <w:t>Scheppele</w:t>
      </w:r>
      <w:proofErr w:type="spellEnd"/>
      <w:r w:rsidRPr="00983C2C">
        <w:rPr>
          <w:rFonts w:cs="Times New Roman"/>
          <w:szCs w:val="24"/>
          <w:shd w:val="clear" w:color="auto" w:fill="FFFFFF"/>
        </w:rPr>
        <w:t xml:space="preserve">, K.L. 2018. </w:t>
      </w:r>
      <w:r w:rsidRPr="00983C2C">
        <w:rPr>
          <w:rFonts w:cs="Times New Roman"/>
          <w:szCs w:val="24"/>
        </w:rPr>
        <w:t>The</w:t>
      </w:r>
      <w:r w:rsidRPr="00983C2C">
        <w:rPr>
          <w:rFonts w:cs="Times New Roman"/>
          <w:szCs w:val="24"/>
          <w:shd w:val="clear" w:color="auto" w:fill="FFFFFF"/>
        </w:rPr>
        <w:t xml:space="preserve"> fragility of an independent judiciary: Lessons from Hungary and Poland—And the European Union. </w:t>
      </w:r>
      <w:r w:rsidRPr="00983C2C">
        <w:rPr>
          <w:rFonts w:cs="Times New Roman"/>
          <w:i/>
          <w:iCs/>
          <w:szCs w:val="24"/>
          <w:shd w:val="clear" w:color="auto" w:fill="FFFFFF"/>
        </w:rPr>
        <w:t>Communist and Post-Communist Studies</w:t>
      </w:r>
      <w:r w:rsidRPr="00983C2C">
        <w:rPr>
          <w:rFonts w:cs="Times New Roman"/>
          <w:szCs w:val="24"/>
          <w:shd w:val="clear" w:color="auto" w:fill="FFFFFF"/>
        </w:rPr>
        <w:t>, </w:t>
      </w:r>
      <w:r w:rsidRPr="00983C2C">
        <w:rPr>
          <w:rFonts w:cs="Times New Roman"/>
          <w:i/>
          <w:iCs/>
          <w:szCs w:val="24"/>
          <w:shd w:val="clear" w:color="auto" w:fill="FFFFFF"/>
        </w:rPr>
        <w:t>51</w:t>
      </w:r>
      <w:r w:rsidRPr="00983C2C">
        <w:rPr>
          <w:rFonts w:cs="Times New Roman"/>
          <w:szCs w:val="24"/>
          <w:shd w:val="clear" w:color="auto" w:fill="FFFFFF"/>
        </w:rPr>
        <w:t>(3), pp.189-200.</w:t>
      </w:r>
    </w:p>
    <w:p w14:paraId="66BD961F" w14:textId="77777777" w:rsidR="00983C2C" w:rsidRPr="00983C2C" w:rsidRDefault="00B6486A" w:rsidP="004928CE">
      <w:pPr>
        <w:ind w:left="720" w:hanging="720"/>
        <w:rPr>
          <w:rFonts w:cs="Times New Roman"/>
          <w:szCs w:val="24"/>
          <w:shd w:val="clear" w:color="auto" w:fill="FFFFFF"/>
        </w:rPr>
      </w:pPr>
      <w:proofErr w:type="spellStart"/>
      <w:r w:rsidRPr="00983C2C">
        <w:rPr>
          <w:rFonts w:cs="Times New Roman"/>
          <w:szCs w:val="24"/>
          <w:shd w:val="clear" w:color="auto" w:fill="FFFFFF"/>
        </w:rPr>
        <w:t>Malleson</w:t>
      </w:r>
      <w:proofErr w:type="spellEnd"/>
      <w:r w:rsidRPr="00983C2C">
        <w:rPr>
          <w:rFonts w:cs="Times New Roman"/>
          <w:szCs w:val="24"/>
          <w:shd w:val="clear" w:color="auto" w:fill="FFFFFF"/>
        </w:rPr>
        <w:t>, K. 2022. Values diversity in the United Kingdom Supreme Court: abandoning the ‘don't</w:t>
      </w:r>
      <w:r w:rsidRPr="00983C2C">
        <w:rPr>
          <w:rFonts w:ascii="Cambria Math" w:hAnsi="Cambria Math" w:cs="Cambria Math"/>
          <w:szCs w:val="24"/>
          <w:shd w:val="clear" w:color="auto" w:fill="FFFFFF"/>
        </w:rPr>
        <w:t>‐</w:t>
      </w:r>
      <w:r w:rsidRPr="00983C2C">
        <w:rPr>
          <w:rFonts w:cs="Times New Roman"/>
          <w:szCs w:val="24"/>
          <w:shd w:val="clear" w:color="auto" w:fill="FFFFFF"/>
        </w:rPr>
        <w:t>ask</w:t>
      </w:r>
      <w:r w:rsidRPr="00983C2C">
        <w:rPr>
          <w:rFonts w:ascii="Cambria Math" w:hAnsi="Cambria Math" w:cs="Cambria Math"/>
          <w:szCs w:val="24"/>
          <w:shd w:val="clear" w:color="auto" w:fill="FFFFFF"/>
        </w:rPr>
        <w:t>‐</w:t>
      </w:r>
      <w:r w:rsidRPr="00983C2C">
        <w:rPr>
          <w:rFonts w:cs="Times New Roman"/>
          <w:szCs w:val="24"/>
          <w:shd w:val="clear" w:color="auto" w:fill="FFFFFF"/>
        </w:rPr>
        <w:t>don't</w:t>
      </w:r>
      <w:r w:rsidRPr="00983C2C">
        <w:rPr>
          <w:rFonts w:ascii="Cambria Math" w:hAnsi="Cambria Math" w:cs="Cambria Math"/>
          <w:szCs w:val="24"/>
          <w:shd w:val="clear" w:color="auto" w:fill="FFFFFF"/>
        </w:rPr>
        <w:t>‐</w:t>
      </w:r>
      <w:proofErr w:type="spellStart"/>
      <w:r w:rsidRPr="00983C2C">
        <w:rPr>
          <w:rFonts w:cs="Times New Roman"/>
          <w:szCs w:val="24"/>
          <w:shd w:val="clear" w:color="auto" w:fill="FFFFFF"/>
        </w:rPr>
        <w:t>tell’policy</w:t>
      </w:r>
      <w:proofErr w:type="spellEnd"/>
      <w:r w:rsidRPr="00983C2C">
        <w:rPr>
          <w:rFonts w:cs="Times New Roman"/>
          <w:szCs w:val="24"/>
          <w:shd w:val="clear" w:color="auto" w:fill="FFFFFF"/>
        </w:rPr>
        <w:t>. </w:t>
      </w:r>
      <w:r w:rsidRPr="00983C2C">
        <w:rPr>
          <w:rFonts w:cs="Times New Roman"/>
          <w:i/>
          <w:iCs/>
          <w:szCs w:val="24"/>
          <w:shd w:val="clear" w:color="auto" w:fill="FFFFFF"/>
        </w:rPr>
        <w:t>Journal of Law and Society</w:t>
      </w:r>
      <w:r w:rsidRPr="00983C2C">
        <w:rPr>
          <w:rFonts w:cs="Times New Roman"/>
          <w:szCs w:val="24"/>
          <w:shd w:val="clear" w:color="auto" w:fill="FFFFFF"/>
        </w:rPr>
        <w:t>, </w:t>
      </w:r>
      <w:r w:rsidRPr="00983C2C">
        <w:rPr>
          <w:rFonts w:cs="Times New Roman"/>
          <w:i/>
          <w:iCs/>
          <w:szCs w:val="24"/>
          <w:shd w:val="clear" w:color="auto" w:fill="FFFFFF"/>
        </w:rPr>
        <w:t>49</w:t>
      </w:r>
      <w:r w:rsidRPr="00983C2C">
        <w:rPr>
          <w:rFonts w:cs="Times New Roman"/>
          <w:szCs w:val="24"/>
          <w:shd w:val="clear" w:color="auto" w:fill="FFFFFF"/>
        </w:rPr>
        <w:t>(1), pp.3-22.</w:t>
      </w:r>
    </w:p>
    <w:p w14:paraId="1235001A" w14:textId="77777777" w:rsidR="00983C2C" w:rsidRPr="00983C2C" w:rsidRDefault="00B6486A" w:rsidP="004928CE">
      <w:pPr>
        <w:ind w:left="720" w:hanging="720"/>
        <w:rPr>
          <w:rFonts w:cs="Times New Roman"/>
          <w:szCs w:val="24"/>
        </w:rPr>
      </w:pPr>
      <w:r w:rsidRPr="00983C2C">
        <w:rPr>
          <w:rFonts w:cs="Times New Roman"/>
          <w:szCs w:val="24"/>
          <w:shd w:val="clear" w:color="auto" w:fill="FFFFFF"/>
        </w:rPr>
        <w:t>Pratt Jr, W.F. 2022. The Rhetoric of Judicial Review in the Supreme Courts of the United States and the United Kingdom.</w:t>
      </w:r>
    </w:p>
    <w:p w14:paraId="16519AF2" w14:textId="77777777" w:rsidR="00983C2C" w:rsidRPr="00983C2C" w:rsidRDefault="00B6486A" w:rsidP="004928CE">
      <w:pPr>
        <w:ind w:left="720" w:hanging="720"/>
        <w:rPr>
          <w:rFonts w:cs="Times New Roman"/>
          <w:szCs w:val="24"/>
          <w:shd w:val="clear" w:color="auto" w:fill="FFFFFF"/>
        </w:rPr>
      </w:pPr>
      <w:r w:rsidRPr="00983C2C">
        <w:rPr>
          <w:rFonts w:cs="Times New Roman"/>
          <w:szCs w:val="24"/>
          <w:shd w:val="clear" w:color="auto" w:fill="FFFFFF"/>
        </w:rPr>
        <w:t>Rossiter, C. 2021. The Supreme Court and the Commander in Chief. In </w:t>
      </w:r>
      <w:r w:rsidRPr="00983C2C">
        <w:rPr>
          <w:rFonts w:cs="Times New Roman"/>
          <w:i/>
          <w:iCs/>
          <w:szCs w:val="24"/>
          <w:shd w:val="clear" w:color="auto" w:fill="FFFFFF"/>
        </w:rPr>
        <w:t>The Supreme Court and the Commander in Chief</w:t>
      </w:r>
      <w:r w:rsidRPr="00983C2C">
        <w:rPr>
          <w:rFonts w:cs="Times New Roman"/>
          <w:szCs w:val="24"/>
          <w:shd w:val="clear" w:color="auto" w:fill="FFFFFF"/>
        </w:rPr>
        <w:t>. Cornell University Press.</w:t>
      </w:r>
    </w:p>
    <w:p w14:paraId="53B203EA" w14:textId="77777777" w:rsidR="00983C2C" w:rsidRPr="00983C2C" w:rsidRDefault="00B6486A" w:rsidP="00983C2C">
      <w:pPr>
        <w:ind w:left="720" w:hanging="720"/>
        <w:rPr>
          <w:rFonts w:cs="Times New Roman"/>
          <w:szCs w:val="24"/>
          <w:shd w:val="clear" w:color="auto" w:fill="FFFFFF"/>
        </w:rPr>
      </w:pPr>
      <w:r w:rsidRPr="00983C2C">
        <w:rPr>
          <w:rFonts w:cs="Times New Roman"/>
          <w:szCs w:val="24"/>
          <w:shd w:val="clear" w:color="auto" w:fill="FFFFFF"/>
        </w:rPr>
        <w:t>Supremecourt.uk. 2021. [online] Available at: &lt;https://www.supremecourt.uk/docs/uksc-judicial-diversity-and-inclusion-strategy.pdf&gt; [Accessed 31 May 2022].</w:t>
      </w:r>
    </w:p>
    <w:p w14:paraId="6F4D0537" w14:textId="77777777" w:rsidR="00983C2C" w:rsidRPr="00983C2C" w:rsidRDefault="00B6486A" w:rsidP="004928CE">
      <w:pPr>
        <w:ind w:left="720" w:hanging="720"/>
        <w:rPr>
          <w:rFonts w:cs="Times New Roman"/>
          <w:szCs w:val="24"/>
          <w:shd w:val="clear" w:color="auto" w:fill="FFFFFF"/>
        </w:rPr>
      </w:pPr>
      <w:proofErr w:type="spellStart"/>
      <w:r w:rsidRPr="00983C2C">
        <w:rPr>
          <w:rFonts w:cs="Times New Roman"/>
          <w:szCs w:val="24"/>
          <w:shd w:val="clear" w:color="auto" w:fill="FFFFFF"/>
        </w:rPr>
        <w:t>SupremecourtUK</w:t>
      </w:r>
      <w:proofErr w:type="spellEnd"/>
      <w:r w:rsidRPr="00983C2C">
        <w:rPr>
          <w:rFonts w:cs="Times New Roman"/>
          <w:szCs w:val="24"/>
          <w:shd w:val="clear" w:color="auto" w:fill="FFFFFF"/>
        </w:rPr>
        <w:t xml:space="preserve">, 2022. Supreme Court launches selection process for new justices. Available at </w:t>
      </w:r>
      <w:hyperlink r:id="rId6" w:history="1">
        <w:r w:rsidRPr="00983C2C">
          <w:rPr>
            <w:rStyle w:val="Hyperlink"/>
            <w:rFonts w:cs="Times New Roman"/>
            <w:szCs w:val="24"/>
            <w:shd w:val="clear" w:color="auto" w:fill="FFFFFF"/>
          </w:rPr>
          <w:t>https://www.supremecourt.uk/news/supreme-court-launches-selection-process-for-new-justices.html</w:t>
        </w:r>
      </w:hyperlink>
      <w:r w:rsidRPr="00983C2C">
        <w:rPr>
          <w:rFonts w:cs="Times New Roman"/>
          <w:szCs w:val="24"/>
          <w:shd w:val="clear" w:color="auto" w:fill="FFFFFF"/>
        </w:rPr>
        <w:t>. Assessed at 31 May 2022</w:t>
      </w:r>
    </w:p>
    <w:p w14:paraId="78CE0DAE" w14:textId="77777777" w:rsidR="00983C2C" w:rsidRPr="00983C2C" w:rsidRDefault="00B6486A" w:rsidP="004928CE">
      <w:pPr>
        <w:ind w:left="720" w:hanging="720"/>
        <w:rPr>
          <w:rFonts w:cs="Times New Roman"/>
          <w:szCs w:val="24"/>
          <w:shd w:val="clear" w:color="auto" w:fill="FFFFFF"/>
        </w:rPr>
      </w:pPr>
      <w:r w:rsidRPr="00983C2C">
        <w:rPr>
          <w:rFonts w:cs="Times New Roman"/>
          <w:szCs w:val="24"/>
          <w:shd w:val="clear" w:color="auto" w:fill="FFFFFF"/>
        </w:rPr>
        <w:t>Zilis, M. 2015. </w:t>
      </w:r>
      <w:r w:rsidRPr="00983C2C">
        <w:rPr>
          <w:rFonts w:cs="Times New Roman"/>
          <w:i/>
          <w:iCs/>
          <w:szCs w:val="24"/>
          <w:shd w:val="clear" w:color="auto" w:fill="FFFFFF"/>
        </w:rPr>
        <w:t>The limits of legitimacy: Dissenting opinions, media coverage, and public responses to Supreme Court decisions</w:t>
      </w:r>
      <w:r w:rsidRPr="00983C2C">
        <w:rPr>
          <w:rFonts w:cs="Times New Roman"/>
          <w:szCs w:val="24"/>
          <w:shd w:val="clear" w:color="auto" w:fill="FFFFFF"/>
        </w:rPr>
        <w:t>. University of Michigan Press.</w:t>
      </w:r>
    </w:p>
    <w:sectPr w:rsidR="00983C2C" w:rsidRPr="00983C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9532E0"/>
    <w:multiLevelType w:val="multilevel"/>
    <w:tmpl w:val="2000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408424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CC8"/>
    <w:rsid w:val="00025869"/>
    <w:rsid w:val="00111B58"/>
    <w:rsid w:val="00227495"/>
    <w:rsid w:val="00383049"/>
    <w:rsid w:val="003B3E07"/>
    <w:rsid w:val="00455BD8"/>
    <w:rsid w:val="00483582"/>
    <w:rsid w:val="004928CE"/>
    <w:rsid w:val="004E38AE"/>
    <w:rsid w:val="00580F6F"/>
    <w:rsid w:val="00584859"/>
    <w:rsid w:val="005A5462"/>
    <w:rsid w:val="005F0247"/>
    <w:rsid w:val="00675C68"/>
    <w:rsid w:val="006B7ACD"/>
    <w:rsid w:val="006C10AD"/>
    <w:rsid w:val="006F7796"/>
    <w:rsid w:val="007172E5"/>
    <w:rsid w:val="0073668A"/>
    <w:rsid w:val="00741AD4"/>
    <w:rsid w:val="007A0C50"/>
    <w:rsid w:val="007C2323"/>
    <w:rsid w:val="007D3AE6"/>
    <w:rsid w:val="007E7D4E"/>
    <w:rsid w:val="007F198B"/>
    <w:rsid w:val="00836A4C"/>
    <w:rsid w:val="008B26E1"/>
    <w:rsid w:val="00983C2C"/>
    <w:rsid w:val="00990553"/>
    <w:rsid w:val="00B01108"/>
    <w:rsid w:val="00B14A1E"/>
    <w:rsid w:val="00B15C7B"/>
    <w:rsid w:val="00B34C58"/>
    <w:rsid w:val="00B6486A"/>
    <w:rsid w:val="00B64E07"/>
    <w:rsid w:val="00BB0402"/>
    <w:rsid w:val="00C31908"/>
    <w:rsid w:val="00C65DA8"/>
    <w:rsid w:val="00C8555C"/>
    <w:rsid w:val="00C90862"/>
    <w:rsid w:val="00D5749D"/>
    <w:rsid w:val="00D6451C"/>
    <w:rsid w:val="00DB1DA3"/>
    <w:rsid w:val="00DC63C3"/>
    <w:rsid w:val="00E7286A"/>
    <w:rsid w:val="00E80E04"/>
    <w:rsid w:val="00E91095"/>
    <w:rsid w:val="00EB6485"/>
    <w:rsid w:val="00ED1038"/>
    <w:rsid w:val="00F139A3"/>
    <w:rsid w:val="00F56CC8"/>
    <w:rsid w:val="00F74EBE"/>
    <w:rsid w:val="00FC45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D3577"/>
  <w15:chartTrackingRefBased/>
  <w15:docId w15:val="{41C57FC8-61BC-4CED-B6DB-C89C2F16B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6CC8"/>
    <w:pPr>
      <w:spacing w:after="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56CC8"/>
    <w:pPr>
      <w:keepNext/>
      <w:keepLines/>
      <w:numPr>
        <w:numId w:val="1"/>
      </w:numPr>
      <w:spacing w:before="24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F56CC8"/>
    <w:pPr>
      <w:keepNext/>
      <w:keepLines/>
      <w:numPr>
        <w:ilvl w:val="1"/>
        <w:numId w:val="1"/>
      </w:numPr>
      <w:spacing w:before="40"/>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4928CE"/>
    <w:pPr>
      <w:keepNext/>
      <w:keepLines/>
      <w:numPr>
        <w:ilvl w:val="2"/>
        <w:numId w:val="1"/>
      </w:numPr>
      <w:spacing w:before="4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4928CE"/>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928CE"/>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928CE"/>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928CE"/>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928CE"/>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928CE"/>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6CC8"/>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semiHidden/>
    <w:rsid w:val="00F56CC8"/>
    <w:rPr>
      <w:rFonts w:ascii="Times New Roman" w:eastAsiaTheme="majorEastAsia" w:hAnsi="Times New Roman" w:cstheme="majorBidi"/>
      <w:b/>
      <w:sz w:val="24"/>
      <w:szCs w:val="26"/>
    </w:rPr>
  </w:style>
  <w:style w:type="character" w:styleId="CommentReference">
    <w:name w:val="annotation reference"/>
    <w:basedOn w:val="DefaultParagraphFont"/>
    <w:uiPriority w:val="99"/>
    <w:semiHidden/>
    <w:unhideWhenUsed/>
    <w:rsid w:val="007D3AE6"/>
    <w:rPr>
      <w:sz w:val="16"/>
      <w:szCs w:val="16"/>
    </w:rPr>
  </w:style>
  <w:style w:type="paragraph" w:styleId="CommentText">
    <w:name w:val="annotation text"/>
    <w:basedOn w:val="Normal"/>
    <w:link w:val="CommentTextChar"/>
    <w:uiPriority w:val="99"/>
    <w:semiHidden/>
    <w:unhideWhenUsed/>
    <w:rsid w:val="007D3AE6"/>
    <w:pPr>
      <w:spacing w:line="240" w:lineRule="auto"/>
    </w:pPr>
    <w:rPr>
      <w:sz w:val="20"/>
      <w:szCs w:val="20"/>
    </w:rPr>
  </w:style>
  <w:style w:type="character" w:customStyle="1" w:styleId="CommentTextChar">
    <w:name w:val="Comment Text Char"/>
    <w:basedOn w:val="DefaultParagraphFont"/>
    <w:link w:val="CommentText"/>
    <w:uiPriority w:val="99"/>
    <w:semiHidden/>
    <w:rsid w:val="007D3AE6"/>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7D3AE6"/>
    <w:rPr>
      <w:b/>
      <w:bCs/>
    </w:rPr>
  </w:style>
  <w:style w:type="character" w:customStyle="1" w:styleId="CommentSubjectChar">
    <w:name w:val="Comment Subject Char"/>
    <w:basedOn w:val="CommentTextChar"/>
    <w:link w:val="CommentSubject"/>
    <w:uiPriority w:val="99"/>
    <w:semiHidden/>
    <w:rsid w:val="007D3AE6"/>
    <w:rPr>
      <w:rFonts w:ascii="Times New Roman" w:hAnsi="Times New Roman"/>
      <w:b/>
      <w:bCs/>
      <w:sz w:val="20"/>
      <w:szCs w:val="20"/>
    </w:rPr>
  </w:style>
  <w:style w:type="character" w:styleId="Hyperlink">
    <w:name w:val="Hyperlink"/>
    <w:basedOn w:val="DefaultParagraphFont"/>
    <w:uiPriority w:val="99"/>
    <w:unhideWhenUsed/>
    <w:rsid w:val="004928CE"/>
    <w:rPr>
      <w:color w:val="0563C1" w:themeColor="hyperlink"/>
      <w:u w:val="single"/>
    </w:rPr>
  </w:style>
  <w:style w:type="character" w:customStyle="1" w:styleId="Heading3Char">
    <w:name w:val="Heading 3 Char"/>
    <w:basedOn w:val="DefaultParagraphFont"/>
    <w:link w:val="Heading3"/>
    <w:uiPriority w:val="9"/>
    <w:semiHidden/>
    <w:rsid w:val="004928C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928CE"/>
    <w:rPr>
      <w:rFonts w:asciiTheme="majorHAnsi" w:eastAsiaTheme="majorEastAsia" w:hAnsiTheme="majorHAnsi" w:cstheme="majorBidi"/>
      <w:i/>
      <w:iCs/>
      <w:color w:val="2F5496" w:themeColor="accent1" w:themeShade="BF"/>
      <w:sz w:val="24"/>
    </w:rPr>
  </w:style>
  <w:style w:type="character" w:customStyle="1" w:styleId="Heading5Char">
    <w:name w:val="Heading 5 Char"/>
    <w:basedOn w:val="DefaultParagraphFont"/>
    <w:link w:val="Heading5"/>
    <w:uiPriority w:val="9"/>
    <w:semiHidden/>
    <w:rsid w:val="004928CE"/>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4928CE"/>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semiHidden/>
    <w:rsid w:val="004928CE"/>
    <w:rPr>
      <w:rFonts w:asciiTheme="majorHAnsi" w:eastAsiaTheme="majorEastAsia" w:hAnsiTheme="majorHAnsi" w:cstheme="majorBidi"/>
      <w:i/>
      <w:iCs/>
      <w:color w:val="1F3763" w:themeColor="accent1" w:themeShade="7F"/>
      <w:sz w:val="24"/>
    </w:rPr>
  </w:style>
  <w:style w:type="character" w:customStyle="1" w:styleId="Heading8Char">
    <w:name w:val="Heading 8 Char"/>
    <w:basedOn w:val="DefaultParagraphFont"/>
    <w:link w:val="Heading8"/>
    <w:uiPriority w:val="9"/>
    <w:semiHidden/>
    <w:rsid w:val="004928C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928CE"/>
    <w:rPr>
      <w:rFonts w:asciiTheme="majorHAnsi" w:eastAsiaTheme="majorEastAsia" w:hAnsiTheme="majorHAnsi" w:cstheme="majorBidi"/>
      <w:i/>
      <w:iCs/>
      <w:color w:val="272727" w:themeColor="text1" w:themeTint="D8"/>
      <w:sz w:val="21"/>
      <w:szCs w:val="21"/>
    </w:rPr>
  </w:style>
  <w:style w:type="character" w:customStyle="1" w:styleId="hgkelc">
    <w:name w:val="hgkelc"/>
    <w:basedOn w:val="DefaultParagraphFont"/>
    <w:rsid w:val="00580F6F"/>
  </w:style>
  <w:style w:type="character" w:customStyle="1" w:styleId="kx21rb">
    <w:name w:val="kx21rb"/>
    <w:basedOn w:val="DefaultParagraphFont"/>
    <w:rsid w:val="00580F6F"/>
  </w:style>
  <w:style w:type="paragraph" w:styleId="NormalWeb">
    <w:name w:val="Normal (Web)"/>
    <w:basedOn w:val="Normal"/>
    <w:uiPriority w:val="99"/>
    <w:semiHidden/>
    <w:unhideWhenUsed/>
    <w:rsid w:val="007A0C50"/>
    <w:pPr>
      <w:spacing w:before="100" w:beforeAutospacing="1" w:after="100" w:afterAutospacing="1" w:line="240" w:lineRule="auto"/>
      <w:jc w:val="left"/>
    </w:pPr>
    <w:rPr>
      <w:rFonts w:eastAsia="Times New Roman" w:cs="Times New Roman"/>
      <w:szCs w:val="24"/>
    </w:rPr>
  </w:style>
  <w:style w:type="character" w:customStyle="1" w:styleId="UnresolvedMention1">
    <w:name w:val="Unresolved Mention1"/>
    <w:basedOn w:val="DefaultParagraphFont"/>
    <w:uiPriority w:val="99"/>
    <w:rsid w:val="007A0C50"/>
    <w:rPr>
      <w:color w:val="605E5C"/>
      <w:shd w:val="clear" w:color="auto" w:fill="E1DFDD"/>
    </w:rPr>
  </w:style>
  <w:style w:type="paragraph" w:styleId="TOCHeading">
    <w:name w:val="TOC Heading"/>
    <w:basedOn w:val="Heading1"/>
    <w:next w:val="Normal"/>
    <w:uiPriority w:val="39"/>
    <w:unhideWhenUsed/>
    <w:qFormat/>
    <w:rsid w:val="00983C2C"/>
    <w:pPr>
      <w:numPr>
        <w:numId w:val="0"/>
      </w:num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983C2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supremecourt.uk/news/supreme-court-launches-selection-process-for-new-justices.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C80684E-546D-4666-A4DB-4EAFB1239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1877</Words>
  <Characters>10702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officialwriters.pc@outlook.com</dc:creator>
  <cp:lastModifiedBy>bjn_alex@yahoo.co.uk</cp:lastModifiedBy>
  <cp:revision>2</cp:revision>
  <dcterms:created xsi:type="dcterms:W3CDTF">2022-06-16T19:21:00Z</dcterms:created>
  <dcterms:modified xsi:type="dcterms:W3CDTF">2022-06-16T19:21:00Z</dcterms:modified>
</cp:coreProperties>
</file>