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02C23" w14:textId="77777777" w:rsidR="003E5081" w:rsidRDefault="003E5081">
      <w:pPr>
        <w:spacing w:after="160" w:line="278" w:lineRule="auto"/>
        <w:jc w:val="center"/>
        <w:rPr>
          <w:b/>
          <w:bCs/>
          <w:color w:val="215E99"/>
          <w:sz w:val="36"/>
          <w:szCs w:val="36"/>
        </w:rPr>
      </w:pPr>
    </w:p>
    <w:p w14:paraId="2589FE01" w14:textId="77777777" w:rsidR="003E5081" w:rsidRDefault="003E5081">
      <w:pPr>
        <w:spacing w:after="160" w:line="278" w:lineRule="auto"/>
        <w:jc w:val="center"/>
        <w:rPr>
          <w:b/>
          <w:bCs/>
          <w:color w:val="215E99"/>
          <w:sz w:val="36"/>
          <w:szCs w:val="36"/>
        </w:rPr>
      </w:pPr>
    </w:p>
    <w:p w14:paraId="39E22430" w14:textId="77777777" w:rsidR="003E5081" w:rsidRDefault="003E5081">
      <w:pPr>
        <w:spacing w:after="160" w:line="278" w:lineRule="auto"/>
        <w:jc w:val="center"/>
        <w:rPr>
          <w:b/>
          <w:bCs/>
          <w:color w:val="215E99"/>
          <w:sz w:val="36"/>
          <w:szCs w:val="36"/>
        </w:rPr>
      </w:pPr>
    </w:p>
    <w:p w14:paraId="33930547" w14:textId="77777777" w:rsidR="003E5081" w:rsidRDefault="003E5081">
      <w:pPr>
        <w:spacing w:after="160" w:line="278" w:lineRule="auto"/>
        <w:jc w:val="center"/>
        <w:rPr>
          <w:b/>
          <w:bCs/>
          <w:color w:val="215E99"/>
          <w:sz w:val="36"/>
          <w:szCs w:val="36"/>
        </w:rPr>
      </w:pPr>
    </w:p>
    <w:p w14:paraId="2A3E4558" w14:textId="77777777" w:rsidR="003E5081" w:rsidRDefault="003E5081">
      <w:pPr>
        <w:spacing w:after="160" w:line="278" w:lineRule="auto"/>
        <w:jc w:val="center"/>
        <w:rPr>
          <w:b/>
          <w:bCs/>
          <w:color w:val="215E99"/>
          <w:sz w:val="36"/>
          <w:szCs w:val="36"/>
        </w:rPr>
      </w:pPr>
    </w:p>
    <w:p w14:paraId="31F6FE90" w14:textId="6DDFD6C5" w:rsidR="003E5081" w:rsidRDefault="00053173" w:rsidP="00053173">
      <w:pPr>
        <w:spacing w:after="160" w:line="278" w:lineRule="auto"/>
        <w:jc w:val="center"/>
        <w:rPr>
          <w:b/>
          <w:bCs/>
          <w:sz w:val="36"/>
          <w:szCs w:val="36"/>
        </w:rPr>
      </w:pPr>
      <w:r>
        <w:rPr>
          <w:b/>
          <w:bCs/>
          <w:sz w:val="36"/>
          <w:szCs w:val="36"/>
        </w:rPr>
        <w:t>Finance for Business Managers</w:t>
      </w:r>
    </w:p>
    <w:p w14:paraId="6B9099A0" w14:textId="76A22A8F" w:rsidR="003E5081" w:rsidRPr="00D71920" w:rsidRDefault="00053173" w:rsidP="00053173">
      <w:pPr>
        <w:pStyle w:val="ListParagraph"/>
        <w:spacing w:after="160" w:line="278" w:lineRule="auto"/>
        <w:ind w:left="820"/>
        <w:jc w:val="center"/>
        <w:rPr>
          <w:b/>
          <w:bCs/>
          <w:sz w:val="36"/>
          <w:szCs w:val="36"/>
        </w:rPr>
      </w:pPr>
      <w:r w:rsidRPr="00D71920">
        <w:rPr>
          <w:b/>
          <w:bCs/>
          <w:sz w:val="36"/>
          <w:szCs w:val="36"/>
        </w:rPr>
        <w:t>BMMB7005</w:t>
      </w:r>
    </w:p>
    <w:p w14:paraId="25627BA0" w14:textId="041C81C8" w:rsidR="003E5081" w:rsidRDefault="003E5081">
      <w:pPr>
        <w:spacing w:after="160" w:line="278" w:lineRule="auto"/>
        <w:jc w:val="center"/>
        <w:rPr>
          <w:b/>
          <w:bCs/>
          <w:sz w:val="36"/>
          <w:szCs w:val="36"/>
        </w:rPr>
      </w:pPr>
    </w:p>
    <w:p w14:paraId="4E2D5D33" w14:textId="77777777" w:rsidR="003E5081" w:rsidRDefault="003E5081">
      <w:pPr>
        <w:spacing w:after="160" w:line="278" w:lineRule="auto"/>
        <w:jc w:val="center"/>
        <w:rPr>
          <w:b/>
          <w:bCs/>
          <w:color w:val="215E99"/>
          <w:sz w:val="36"/>
          <w:szCs w:val="36"/>
        </w:rPr>
      </w:pPr>
    </w:p>
    <w:p w14:paraId="3D5D5095" w14:textId="77777777" w:rsidR="003E5081" w:rsidRDefault="003E5081">
      <w:pPr>
        <w:spacing w:after="160" w:line="278" w:lineRule="auto"/>
        <w:jc w:val="center"/>
        <w:rPr>
          <w:b/>
          <w:bCs/>
          <w:color w:val="215E99"/>
          <w:sz w:val="36"/>
          <w:szCs w:val="36"/>
        </w:rPr>
      </w:pPr>
    </w:p>
    <w:p w14:paraId="3FE942EA" w14:textId="77777777" w:rsidR="003E5081" w:rsidRDefault="003E5081">
      <w:pPr>
        <w:spacing w:after="160" w:line="278" w:lineRule="auto"/>
        <w:jc w:val="center"/>
        <w:rPr>
          <w:b/>
          <w:bCs/>
          <w:color w:val="215E99"/>
          <w:sz w:val="36"/>
          <w:szCs w:val="36"/>
        </w:rPr>
      </w:pPr>
    </w:p>
    <w:p w14:paraId="72B8DC3A" w14:textId="77777777" w:rsidR="003E5081" w:rsidRDefault="003E5081">
      <w:pPr>
        <w:spacing w:after="160" w:line="278" w:lineRule="auto"/>
        <w:jc w:val="center"/>
        <w:rPr>
          <w:b/>
          <w:bCs/>
          <w:color w:val="215E99"/>
          <w:sz w:val="36"/>
          <w:szCs w:val="36"/>
        </w:rPr>
      </w:pPr>
    </w:p>
    <w:p w14:paraId="38E59961" w14:textId="77777777" w:rsidR="003E5081" w:rsidRDefault="003E5081">
      <w:pPr>
        <w:spacing w:after="160" w:line="278" w:lineRule="auto"/>
        <w:jc w:val="center"/>
        <w:rPr>
          <w:b/>
          <w:bCs/>
          <w:color w:val="215E99"/>
          <w:sz w:val="36"/>
          <w:szCs w:val="36"/>
        </w:rPr>
      </w:pPr>
    </w:p>
    <w:p w14:paraId="5B39DEE6" w14:textId="77777777" w:rsidR="003E5081" w:rsidRDefault="003E5081">
      <w:pPr>
        <w:spacing w:after="160" w:line="278" w:lineRule="auto"/>
        <w:jc w:val="center"/>
        <w:rPr>
          <w:b/>
          <w:bCs/>
          <w:color w:val="215E99"/>
          <w:sz w:val="36"/>
          <w:szCs w:val="36"/>
        </w:rPr>
      </w:pPr>
    </w:p>
    <w:p w14:paraId="56291464" w14:textId="77777777" w:rsidR="003E5081" w:rsidRDefault="003E5081">
      <w:pPr>
        <w:spacing w:after="160" w:line="278" w:lineRule="auto"/>
        <w:jc w:val="center"/>
        <w:rPr>
          <w:b/>
          <w:bCs/>
          <w:color w:val="215E99"/>
          <w:sz w:val="36"/>
          <w:szCs w:val="36"/>
        </w:rPr>
      </w:pPr>
    </w:p>
    <w:p w14:paraId="7C716FDC" w14:textId="77777777" w:rsidR="003E5081" w:rsidRDefault="003E5081" w:rsidP="00053173">
      <w:pPr>
        <w:spacing w:after="160" w:line="278" w:lineRule="auto"/>
        <w:rPr>
          <w:b/>
          <w:bCs/>
          <w:color w:val="215E99"/>
          <w:sz w:val="36"/>
          <w:szCs w:val="36"/>
        </w:rPr>
      </w:pPr>
    </w:p>
    <w:p w14:paraId="26DD370C" w14:textId="77777777" w:rsidR="003E5081" w:rsidRDefault="003E5081">
      <w:pPr>
        <w:spacing w:after="160" w:line="278" w:lineRule="auto"/>
        <w:jc w:val="center"/>
        <w:rPr>
          <w:b/>
          <w:bCs/>
          <w:color w:val="215E99"/>
          <w:sz w:val="36"/>
          <w:szCs w:val="36"/>
        </w:rPr>
      </w:pPr>
    </w:p>
    <w:p w14:paraId="0F958A6C" w14:textId="084485D3" w:rsidR="003E5081" w:rsidRDefault="00053173">
      <w:pPr>
        <w:spacing w:after="160" w:line="278" w:lineRule="auto"/>
        <w:jc w:val="center"/>
        <w:rPr>
          <w:b/>
          <w:bCs/>
          <w:color w:val="000000"/>
          <w:sz w:val="30"/>
          <w:szCs w:val="30"/>
        </w:rPr>
      </w:pPr>
      <w:r>
        <w:rPr>
          <w:b/>
          <w:bCs/>
          <w:color w:val="000000"/>
          <w:sz w:val="30"/>
          <w:szCs w:val="30"/>
        </w:rPr>
        <w:t>Student Name:</w:t>
      </w:r>
      <w:r w:rsidR="007A01F0">
        <w:rPr>
          <w:b/>
          <w:bCs/>
          <w:color w:val="000000"/>
          <w:sz w:val="30"/>
          <w:szCs w:val="30"/>
        </w:rPr>
        <w:t xml:space="preserve"> Liviu Topala</w:t>
      </w:r>
    </w:p>
    <w:p w14:paraId="76EC1A83" w14:textId="27951D75" w:rsidR="003E5081" w:rsidRDefault="00053173">
      <w:pPr>
        <w:spacing w:after="160" w:line="278" w:lineRule="auto"/>
        <w:jc w:val="center"/>
        <w:rPr>
          <w:b/>
          <w:bCs/>
          <w:color w:val="215E99"/>
          <w:sz w:val="28"/>
          <w:szCs w:val="28"/>
        </w:rPr>
      </w:pPr>
      <w:r>
        <w:rPr>
          <w:b/>
          <w:bCs/>
          <w:color w:val="000000"/>
          <w:sz w:val="30"/>
          <w:szCs w:val="30"/>
        </w:rPr>
        <w:t>Student ID:</w:t>
      </w:r>
      <w:r w:rsidR="007A01F0">
        <w:rPr>
          <w:b/>
          <w:bCs/>
          <w:color w:val="000000"/>
          <w:sz w:val="30"/>
          <w:szCs w:val="30"/>
        </w:rPr>
        <w:t xml:space="preserve"> 1905828</w:t>
      </w:r>
      <w:r>
        <w:br w:type="page"/>
      </w:r>
    </w:p>
    <w:p w14:paraId="5AC20627" w14:textId="77777777" w:rsidR="003E5081" w:rsidRDefault="00053173">
      <w:pPr>
        <w:keepNext/>
        <w:keepLines/>
        <w:pBdr>
          <w:top w:val="nil"/>
          <w:left w:val="nil"/>
          <w:bottom w:val="nil"/>
          <w:right w:val="nil"/>
          <w:between w:val="nil"/>
        </w:pBdr>
        <w:spacing w:before="240" w:after="0" w:line="259" w:lineRule="auto"/>
        <w:jc w:val="center"/>
        <w:rPr>
          <w:b/>
          <w:bCs/>
          <w:color w:val="0F4761"/>
          <w:sz w:val="28"/>
          <w:szCs w:val="28"/>
        </w:rPr>
      </w:pPr>
      <w:r>
        <w:rPr>
          <w:b/>
          <w:bCs/>
          <w:color w:val="0F4761"/>
          <w:sz w:val="28"/>
          <w:szCs w:val="28"/>
        </w:rPr>
        <w:t>Table of Contents</w:t>
      </w:r>
    </w:p>
    <w:sdt>
      <w:sdtPr>
        <w:id w:val="674364632"/>
        <w:docPartObj>
          <w:docPartGallery w:val="Table of Contents"/>
          <w:docPartUnique/>
        </w:docPartObj>
      </w:sdtPr>
      <w:sdtEndPr/>
      <w:sdtContent>
        <w:p w14:paraId="6072FC07"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r>
            <w:fldChar w:fldCharType="begin"/>
          </w:r>
          <w:r>
            <w:instrText xml:space="preserve"> TOC \h \u \z \t "Heading 1,1,Heading 2,2,Heading 3,3,"</w:instrText>
          </w:r>
          <w:r>
            <w:fldChar w:fldCharType="separate"/>
          </w:r>
          <w:hyperlink w:anchor="_heading=h.uxzyozklf0es">
            <w:r>
              <w:rPr>
                <w:color w:val="000000"/>
              </w:rPr>
              <w:t>Introduction</w:t>
            </w:r>
            <w:r>
              <w:rPr>
                <w:color w:val="000000"/>
              </w:rPr>
              <w:tab/>
              <w:t>4</w:t>
            </w:r>
          </w:hyperlink>
        </w:p>
        <w:p w14:paraId="363B8E08"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waauo7q7lt7x">
            <w:r>
              <w:rPr>
                <w:color w:val="000000"/>
              </w:rPr>
              <w:t>TASK 1</w:t>
            </w:r>
            <w:r>
              <w:rPr>
                <w:color w:val="000000"/>
              </w:rPr>
              <w:tab/>
              <w:t>4</w:t>
            </w:r>
          </w:hyperlink>
        </w:p>
        <w:p w14:paraId="25C49B8E"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jws1upwi4f5i">
            <w:r>
              <w:rPr>
                <w:color w:val="000000"/>
              </w:rPr>
              <w:t>1. Introduction</w:t>
            </w:r>
            <w:r>
              <w:rPr>
                <w:color w:val="000000"/>
              </w:rPr>
              <w:tab/>
              <w:t>4</w:t>
            </w:r>
          </w:hyperlink>
        </w:p>
        <w:p w14:paraId="0290577A"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qdb63fmqoyp2">
            <w:r>
              <w:rPr>
                <w:color w:val="000000"/>
              </w:rPr>
              <w:t>2. Methodology / Analytical Framework</w:t>
            </w:r>
            <w:r>
              <w:rPr>
                <w:color w:val="000000"/>
              </w:rPr>
              <w:tab/>
              <w:t>5</w:t>
            </w:r>
          </w:hyperlink>
        </w:p>
        <w:p w14:paraId="7678A255"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ewuu7sntp8ba">
            <w:r>
              <w:rPr>
                <w:color w:val="000000"/>
              </w:rPr>
              <w:t>3. Ratio Analysis &amp; Interpretation</w:t>
            </w:r>
            <w:r>
              <w:rPr>
                <w:color w:val="000000"/>
              </w:rPr>
              <w:tab/>
              <w:t>5</w:t>
            </w:r>
          </w:hyperlink>
        </w:p>
        <w:p w14:paraId="0CF88DDF"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dn6c1noxm35v">
            <w:r>
              <w:rPr>
                <w:rFonts w:ascii="Quattrocento Sans" w:eastAsia="Quattrocento Sans" w:hAnsi="Quattrocento Sans" w:cs="Quattrocento Sans"/>
                <w:color w:val="000000"/>
              </w:rPr>
              <w:t>3</w:t>
            </w:r>
          </w:hyperlink>
          <w:hyperlink w:anchor="_heading=h.dn6c1noxm35v">
            <w:r>
              <w:rPr>
                <w:color w:val="000000"/>
              </w:rPr>
              <w:t>.1 Profitability Ratios</w:t>
            </w:r>
            <w:r>
              <w:rPr>
                <w:color w:val="000000"/>
              </w:rPr>
              <w:tab/>
              <w:t>5</w:t>
            </w:r>
          </w:hyperlink>
        </w:p>
        <w:p w14:paraId="36675923"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mu2wa6x4wcgd">
            <w:r>
              <w:rPr>
                <w:color w:val="000000"/>
              </w:rPr>
              <w:t>3.2 Liquidity Ratios</w:t>
            </w:r>
            <w:r>
              <w:rPr>
                <w:color w:val="000000"/>
              </w:rPr>
              <w:tab/>
              <w:t>6</w:t>
            </w:r>
          </w:hyperlink>
        </w:p>
        <w:p w14:paraId="35D3653D"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xs8m0rgxvh83">
            <w:r>
              <w:rPr>
                <w:color w:val="000000"/>
              </w:rPr>
              <w:t>3.3 Efficiency Ratios</w:t>
            </w:r>
            <w:r>
              <w:rPr>
                <w:color w:val="000000"/>
              </w:rPr>
              <w:tab/>
              <w:t>7</w:t>
            </w:r>
          </w:hyperlink>
        </w:p>
        <w:p w14:paraId="09DFA09E"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vo010fcohpkg">
            <w:r>
              <w:rPr>
                <w:color w:val="000000"/>
              </w:rPr>
              <w:t>3.4 Gearing Ratios</w:t>
            </w:r>
            <w:r>
              <w:rPr>
                <w:color w:val="000000"/>
              </w:rPr>
              <w:tab/>
              <w:t>8</w:t>
            </w:r>
          </w:hyperlink>
        </w:p>
        <w:p w14:paraId="63217D80"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7xhn1vn4358c">
            <w:r>
              <w:rPr>
                <w:color w:val="000000"/>
              </w:rPr>
              <w:t>3.5 Investor Ratios</w:t>
            </w:r>
            <w:r>
              <w:rPr>
                <w:color w:val="000000"/>
              </w:rPr>
              <w:tab/>
              <w:t>9</w:t>
            </w:r>
          </w:hyperlink>
        </w:p>
        <w:p w14:paraId="16D888DF"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fgm95umgf5ey">
            <w:r>
              <w:rPr>
                <w:color w:val="000000"/>
              </w:rPr>
              <w:t>4.</w:t>
            </w:r>
          </w:hyperlink>
          <w:hyperlink w:anchor="_heading=h.fgm95umgf5ey">
            <w:r>
              <w:rPr>
                <w:rFonts w:ascii="Times New Roman" w:eastAsia="Times New Roman" w:hAnsi="Times New Roman" w:cs="Times New Roman"/>
                <w:color w:val="000000"/>
              </w:rPr>
              <w:t xml:space="preserve"> </w:t>
            </w:r>
          </w:hyperlink>
          <w:hyperlink w:anchor="_heading=h.fgm95umgf5ey">
            <w:r>
              <w:rPr>
                <w:color w:val="000000"/>
              </w:rPr>
              <w:t>Critical Evaluation</w:t>
            </w:r>
            <w:r>
              <w:rPr>
                <w:color w:val="000000"/>
              </w:rPr>
              <w:tab/>
              <w:t>10</w:t>
            </w:r>
          </w:hyperlink>
        </w:p>
        <w:p w14:paraId="0C077FAC"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fcv01enj36ws">
            <w:r>
              <w:rPr>
                <w:color w:val="000000"/>
              </w:rPr>
              <w:t>5. Recommendations</w:t>
            </w:r>
            <w:r>
              <w:rPr>
                <w:color w:val="000000"/>
              </w:rPr>
              <w:tab/>
              <w:t>11</w:t>
            </w:r>
          </w:hyperlink>
        </w:p>
        <w:p w14:paraId="16B9A6DA"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jqstnohopb14">
            <w:r>
              <w:rPr>
                <w:color w:val="000000"/>
              </w:rPr>
              <w:t>6. Conclusion</w:t>
            </w:r>
            <w:r>
              <w:rPr>
                <w:color w:val="000000"/>
              </w:rPr>
              <w:tab/>
              <w:t>11</w:t>
            </w:r>
          </w:hyperlink>
        </w:p>
        <w:p w14:paraId="6B42C9F7"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3ons2ifdu99d">
            <w:r>
              <w:rPr>
                <w:color w:val="000000"/>
              </w:rPr>
              <w:t>Part 2</w:t>
            </w:r>
            <w:r>
              <w:rPr>
                <w:color w:val="000000"/>
              </w:rPr>
              <w:tab/>
              <w:t>13</w:t>
            </w:r>
          </w:hyperlink>
        </w:p>
        <w:p w14:paraId="7C4B0196"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oku6tmgrpm45">
            <w:r>
              <w:rPr>
                <w:color w:val="000000"/>
              </w:rPr>
              <w:t>1. Investment Options</w:t>
            </w:r>
            <w:r>
              <w:rPr>
                <w:color w:val="000000"/>
              </w:rPr>
              <w:tab/>
              <w:t>13</w:t>
            </w:r>
          </w:hyperlink>
        </w:p>
        <w:p w14:paraId="6488D73E"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4zc9rzlumm9e">
            <w:r>
              <w:rPr>
                <w:color w:val="000000"/>
              </w:rPr>
              <w:t>2. Investment Appraisal Techniques</w:t>
            </w:r>
            <w:r>
              <w:rPr>
                <w:color w:val="000000"/>
              </w:rPr>
              <w:tab/>
              <w:t>13</w:t>
            </w:r>
          </w:hyperlink>
        </w:p>
        <w:p w14:paraId="70B65A2F"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m0st3v55swjp">
            <w:r>
              <w:rPr>
                <w:color w:val="000000"/>
              </w:rPr>
              <w:t>2.1 Net Present Value (NPV)</w:t>
            </w:r>
            <w:r>
              <w:rPr>
                <w:color w:val="000000"/>
              </w:rPr>
              <w:tab/>
              <w:t>13</w:t>
            </w:r>
          </w:hyperlink>
        </w:p>
        <w:p w14:paraId="1EAEB629"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22fg095nbv6u">
            <w:r>
              <w:rPr>
                <w:color w:val="000000"/>
              </w:rPr>
              <w:t>2.2 Internal Rate of Return (IRR)</w:t>
            </w:r>
            <w:r>
              <w:rPr>
                <w:color w:val="000000"/>
              </w:rPr>
              <w:tab/>
              <w:t>14</w:t>
            </w:r>
          </w:hyperlink>
        </w:p>
        <w:p w14:paraId="2F8F0AC1"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t4op2pvk2dk9">
            <w:r>
              <w:rPr>
                <w:color w:val="000000"/>
              </w:rPr>
              <w:t>3. NPV Calculations and Results</w:t>
            </w:r>
            <w:r>
              <w:rPr>
                <w:color w:val="000000"/>
              </w:rPr>
              <w:tab/>
              <w:t>14</w:t>
            </w:r>
          </w:hyperlink>
        </w:p>
        <w:p w14:paraId="1D9C4902"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ikl8g3ltj9xo">
            <w:r>
              <w:rPr>
                <w:color w:val="000000"/>
              </w:rPr>
              <w:t>4. Evaluation and Selection of Best Option</w:t>
            </w:r>
            <w:r>
              <w:rPr>
                <w:color w:val="000000"/>
              </w:rPr>
              <w:tab/>
              <w:t>16</w:t>
            </w:r>
          </w:hyperlink>
        </w:p>
        <w:p w14:paraId="0FA9A2BA"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25ox2b60e25z">
            <w:r>
              <w:rPr>
                <w:color w:val="000000"/>
              </w:rPr>
              <w:t>4.1 Comparative Evaluation of Investment Options</w:t>
            </w:r>
            <w:r>
              <w:rPr>
                <w:color w:val="000000"/>
              </w:rPr>
              <w:tab/>
              <w:t>16</w:t>
            </w:r>
          </w:hyperlink>
        </w:p>
        <w:p w14:paraId="79D47A9B"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3uspfaew8kx0">
            <w:r>
              <w:rPr>
                <w:color w:val="000000"/>
              </w:rPr>
              <w:t>4.2 Justification for Selection of the Proper Option</w:t>
            </w:r>
            <w:r>
              <w:rPr>
                <w:color w:val="000000"/>
              </w:rPr>
              <w:tab/>
              <w:t>17</w:t>
            </w:r>
          </w:hyperlink>
        </w:p>
        <w:p w14:paraId="67707F9F"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59dwg78dvwzl">
            <w:r>
              <w:rPr>
                <w:color w:val="000000"/>
              </w:rPr>
              <w:t>5. Internal Rate of Return (IRR)</w:t>
            </w:r>
            <w:r>
              <w:rPr>
                <w:color w:val="000000"/>
              </w:rPr>
              <w:tab/>
              <w:t>17</w:t>
            </w:r>
          </w:hyperlink>
        </w:p>
        <w:p w14:paraId="61DCE594"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i5uy4a3l866m">
            <w:r>
              <w:rPr>
                <w:color w:val="000000"/>
              </w:rPr>
              <w:t>5.1 IRR Calculation</w:t>
            </w:r>
            <w:r>
              <w:rPr>
                <w:color w:val="000000"/>
              </w:rPr>
              <w:tab/>
              <w:t>17</w:t>
            </w:r>
          </w:hyperlink>
        </w:p>
        <w:p w14:paraId="72605167"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q5wj03tyu5q3">
            <w:r>
              <w:rPr>
                <w:color w:val="000000"/>
              </w:rPr>
              <w:t>5.2 Interpretation Relative to Cost of Capital and Limitations</w:t>
            </w:r>
            <w:r>
              <w:rPr>
                <w:color w:val="000000"/>
              </w:rPr>
              <w:tab/>
              <w:t>18</w:t>
            </w:r>
          </w:hyperlink>
        </w:p>
        <w:p w14:paraId="741FD92C"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a243gv300b9t">
            <w:r>
              <w:rPr>
                <w:color w:val="000000"/>
              </w:rPr>
              <w:t>6. Interpretation of Investment Appraisal Methods</w:t>
            </w:r>
            <w:r>
              <w:rPr>
                <w:color w:val="000000"/>
              </w:rPr>
              <w:tab/>
              <w:t>18</w:t>
            </w:r>
          </w:hyperlink>
        </w:p>
        <w:p w14:paraId="04DB5776"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2hx0jdttzq0f">
            <w:r>
              <w:rPr>
                <w:color w:val="000000"/>
              </w:rPr>
              <w:t>7. Non-Financial Considerations in Investment Appraisal</w:t>
            </w:r>
            <w:r>
              <w:rPr>
                <w:color w:val="000000"/>
              </w:rPr>
              <w:tab/>
              <w:t>18</w:t>
            </w:r>
          </w:hyperlink>
        </w:p>
        <w:p w14:paraId="6DB701B0"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ifqydab1wswy">
            <w:r>
              <w:rPr>
                <w:color w:val="000000"/>
              </w:rPr>
              <w:t>8. Optimal Investment Policy</w:t>
            </w:r>
            <w:r>
              <w:rPr>
                <w:color w:val="000000"/>
              </w:rPr>
              <w:tab/>
              <w:t>19</w:t>
            </w:r>
          </w:hyperlink>
        </w:p>
        <w:p w14:paraId="20C8A324"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j0wopmmv7agr">
            <w:r>
              <w:rPr>
                <w:color w:val="000000"/>
              </w:rPr>
              <w:t>8.1 Approach</w:t>
            </w:r>
            <w:r>
              <w:rPr>
                <w:color w:val="000000"/>
              </w:rPr>
              <w:tab/>
              <w:t>19</w:t>
            </w:r>
          </w:hyperlink>
        </w:p>
        <w:p w14:paraId="4C276CA0"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tmkmetl8p6qr">
            <w:r>
              <w:rPr>
                <w:color w:val="000000"/>
              </w:rPr>
              <w:t>8.2 Results and recommendations</w:t>
            </w:r>
            <w:r>
              <w:rPr>
                <w:color w:val="000000"/>
              </w:rPr>
              <w:tab/>
              <w:t>19</w:t>
            </w:r>
          </w:hyperlink>
        </w:p>
        <w:p w14:paraId="1F7F1A15"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xo065kf9co5y">
            <w:r>
              <w:rPr>
                <w:color w:val="000000"/>
              </w:rPr>
              <w:t>9. Financing the Investment Programme</w:t>
            </w:r>
            <w:r>
              <w:rPr>
                <w:color w:val="000000"/>
              </w:rPr>
              <w:tab/>
              <w:t>20</w:t>
            </w:r>
          </w:hyperlink>
        </w:p>
        <w:p w14:paraId="6A1856F1"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dyp7wzz52wxa">
            <w:r>
              <w:rPr>
                <w:color w:val="000000"/>
              </w:rPr>
              <w:t>9.1 Main sources of finance</w:t>
            </w:r>
            <w:r>
              <w:rPr>
                <w:color w:val="000000"/>
              </w:rPr>
              <w:tab/>
              <w:t>20</w:t>
            </w:r>
          </w:hyperlink>
        </w:p>
        <w:p w14:paraId="42CC480C"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jwq2872axgem">
            <w:r>
              <w:rPr>
                <w:color w:val="000000"/>
              </w:rPr>
              <w:t>8.2 Recommended Financing Mix</w:t>
            </w:r>
            <w:r>
              <w:rPr>
                <w:color w:val="000000"/>
              </w:rPr>
              <w:tab/>
              <w:t>21</w:t>
            </w:r>
          </w:hyperlink>
        </w:p>
        <w:p w14:paraId="31F4CECD"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pkx7dqo77j9s">
            <w:r>
              <w:rPr>
                <w:color w:val="000000"/>
              </w:rPr>
              <w:t>Conclusion</w:t>
            </w:r>
            <w:r>
              <w:rPr>
                <w:color w:val="000000"/>
              </w:rPr>
              <w:tab/>
              <w:t>21</w:t>
            </w:r>
          </w:hyperlink>
        </w:p>
        <w:p w14:paraId="17AE4B2B"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vqcnf7w6f73b">
            <w:r>
              <w:rPr>
                <w:color w:val="000000"/>
              </w:rPr>
              <w:t>Reference List</w:t>
            </w:r>
            <w:r>
              <w:rPr>
                <w:color w:val="000000"/>
              </w:rPr>
              <w:tab/>
              <w:t>22</w:t>
            </w:r>
          </w:hyperlink>
        </w:p>
        <w:p w14:paraId="1486690C" w14:textId="77777777" w:rsidR="003E5081" w:rsidRDefault="00053173">
          <w:pPr>
            <w:pBdr>
              <w:top w:val="nil"/>
              <w:left w:val="nil"/>
              <w:bottom w:val="nil"/>
              <w:right w:val="nil"/>
              <w:between w:val="nil"/>
            </w:pBdr>
            <w:tabs>
              <w:tab w:val="right" w:leader="dot" w:pos="9016"/>
            </w:tabs>
            <w:spacing w:after="100"/>
            <w:rPr>
              <w:rFonts w:ascii="Aptos" w:eastAsia="Aptos" w:hAnsi="Aptos" w:cs="Aptos"/>
              <w:color w:val="000000"/>
            </w:rPr>
          </w:pPr>
          <w:hyperlink w:anchor="_heading=h.i260nhrtpx3x">
            <w:r>
              <w:rPr>
                <w:color w:val="000000"/>
              </w:rPr>
              <w:t>Appendices</w:t>
            </w:r>
            <w:r>
              <w:rPr>
                <w:color w:val="000000"/>
              </w:rPr>
              <w:tab/>
              <w:t>25</w:t>
            </w:r>
          </w:hyperlink>
        </w:p>
        <w:p w14:paraId="03789C39"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lkrnkz34dlqk">
            <w:r>
              <w:rPr>
                <w:color w:val="000000"/>
              </w:rPr>
              <w:t>Appendix A: FINANCIAL STATEMENTS</w:t>
            </w:r>
            <w:r>
              <w:rPr>
                <w:color w:val="000000"/>
              </w:rPr>
              <w:tab/>
              <w:t>25</w:t>
            </w:r>
          </w:hyperlink>
        </w:p>
        <w:p w14:paraId="450DE649" w14:textId="77777777" w:rsidR="003E5081" w:rsidRDefault="00053173">
          <w:pPr>
            <w:pBdr>
              <w:top w:val="nil"/>
              <w:left w:val="nil"/>
              <w:bottom w:val="nil"/>
              <w:right w:val="nil"/>
              <w:between w:val="nil"/>
            </w:pBdr>
            <w:tabs>
              <w:tab w:val="right" w:leader="dot" w:pos="9016"/>
            </w:tabs>
            <w:spacing w:after="100"/>
            <w:ind w:left="240"/>
            <w:rPr>
              <w:rFonts w:ascii="Aptos" w:eastAsia="Aptos" w:hAnsi="Aptos" w:cs="Aptos"/>
              <w:color w:val="000000"/>
            </w:rPr>
          </w:pPr>
          <w:hyperlink w:anchor="_heading=h.nw99ax484525">
            <w:r>
              <w:rPr>
                <w:color w:val="000000"/>
              </w:rPr>
              <w:t>Appendix B: RATIO CALCULATIONS</w:t>
            </w:r>
            <w:r>
              <w:rPr>
                <w:color w:val="000000"/>
              </w:rPr>
              <w:tab/>
              <w:t>26</w:t>
            </w:r>
          </w:hyperlink>
        </w:p>
        <w:p w14:paraId="41486579" w14:textId="77777777" w:rsidR="003E5081" w:rsidRDefault="00053173">
          <w:r>
            <w:fldChar w:fldCharType="end"/>
          </w:r>
        </w:p>
      </w:sdtContent>
    </w:sdt>
    <w:p w14:paraId="11699C77" w14:textId="77777777" w:rsidR="003E5081" w:rsidRDefault="00053173">
      <w:pPr>
        <w:spacing w:after="160" w:line="278" w:lineRule="auto"/>
        <w:jc w:val="left"/>
        <w:rPr>
          <w:b/>
          <w:bCs/>
          <w:color w:val="215E99"/>
          <w:sz w:val="28"/>
          <w:szCs w:val="28"/>
        </w:rPr>
      </w:pPr>
      <w:r>
        <w:br w:type="page"/>
      </w:r>
    </w:p>
    <w:p w14:paraId="1BA43BFA" w14:textId="77777777" w:rsidR="003E5081" w:rsidRDefault="00053173">
      <w:pPr>
        <w:pStyle w:val="Heading1"/>
      </w:pPr>
      <w:bookmarkStart w:id="0" w:name="_heading=h.uxzyozklf0es" w:colFirst="0" w:colLast="0"/>
      <w:bookmarkEnd w:id="0"/>
      <w:r>
        <w:t>Introduction</w:t>
      </w:r>
    </w:p>
    <w:p w14:paraId="069DA8E3" w14:textId="77777777" w:rsidR="003E5081" w:rsidRDefault="00053173">
      <w:pPr>
        <w:rPr>
          <w:b/>
          <w:bCs/>
        </w:rPr>
      </w:pPr>
      <w:r>
        <w:t>The report is an analysis of the financial performance and investment choices of two businesses in a business finance setting. Part 1 discusses Tesco plc in terms of ratio analysis to determine profitability, liquidity, efficiency, gearing and investor returns in the period 2024 to 2025. Part 2 will look at the capital investment opportunities of Beard Plc based on the appraisal methods of Net Present Value (NPV) and Internal Rate of Return (IRR), to come up with the most financially viable approach towards sustainable growth and value creation.</w:t>
      </w:r>
    </w:p>
    <w:p w14:paraId="6964AF61" w14:textId="77777777" w:rsidR="003E5081" w:rsidRDefault="00053173">
      <w:pPr>
        <w:pStyle w:val="Heading1"/>
      </w:pPr>
      <w:bookmarkStart w:id="1" w:name="_heading=h.waauo7q7lt7x" w:colFirst="0" w:colLast="0"/>
      <w:bookmarkEnd w:id="1"/>
      <w:r>
        <w:t xml:space="preserve">TASK 1 </w:t>
      </w:r>
    </w:p>
    <w:p w14:paraId="56A90ECD" w14:textId="77777777" w:rsidR="003E5081" w:rsidRDefault="00053173">
      <w:pPr>
        <w:pStyle w:val="Heading1"/>
      </w:pPr>
      <w:bookmarkStart w:id="2" w:name="_heading=h.jws1upwi4f5i" w:colFirst="0" w:colLast="0"/>
      <w:bookmarkEnd w:id="2"/>
      <w:r>
        <w:t xml:space="preserve">1. Introduction </w:t>
      </w:r>
    </w:p>
    <w:p w14:paraId="2EA9C443" w14:textId="77777777" w:rsidR="003E5081" w:rsidRDefault="00053173">
      <w:r>
        <w:t xml:space="preserve">Tesco plc is a giant retail organisation in the United Kingdom and operates within the groceries, clothing and general merchandise industry with a large market share in the ever-competitive retail food markets. The company is a key component of the UK economy, as it serves millions of customers every week in the stores and online. </w:t>
      </w:r>
      <w:proofErr w:type="spellStart"/>
      <w:r>
        <w:t>Statista</w:t>
      </w:r>
      <w:proofErr w:type="spellEnd"/>
      <w:r>
        <w:t xml:space="preserve"> reports that Tesco has always occupied the top spot in the UK grocery market and it controls around 27% of the market share in the UK in 2024 (</w:t>
      </w:r>
      <w:proofErr w:type="spellStart"/>
      <w:r>
        <w:t>Statista</w:t>
      </w:r>
      <w:proofErr w:type="spellEnd"/>
      <w:r>
        <w:t xml:space="preserve"> Research Department; 2025).</w:t>
      </w:r>
    </w:p>
    <w:p w14:paraId="41DB067F" w14:textId="77777777" w:rsidR="003E5081" w:rsidRDefault="00053173">
      <w:r>
        <w:t>Recently, the UK retail sector has been experiencing a lot of challenges especially with the increase in inflation and the cost-of-living crisis, which has been greatly affecting the consumer purchasing behaviour (</w:t>
      </w:r>
      <w:proofErr w:type="spellStart"/>
      <w:r>
        <w:t>Meadows,</w:t>
      </w:r>
      <w:r>
        <w:rPr>
          <w:i/>
          <w:iCs/>
        </w:rPr>
        <w:t>et</w:t>
      </w:r>
      <w:proofErr w:type="spellEnd"/>
      <w:r>
        <w:rPr>
          <w:i/>
          <w:iCs/>
        </w:rPr>
        <w:t xml:space="preserve"> al</w:t>
      </w:r>
      <w:r>
        <w:t>., 2024). Inflation of food prices reached high levels of more than 15% in 2023 and this has put the consumers and retailers in a position to control their costs and remain profitable (Matthews, 2023). This has been an environment that has necessitated companies like Tesco to embrace the use of strategic pricing and cost-control strategies to maintain financial performance.</w:t>
      </w:r>
    </w:p>
    <w:p w14:paraId="0A950CE8" w14:textId="27AC8AA5" w:rsidR="003E5081" w:rsidRDefault="00053173">
      <w:r>
        <w:t>This report is aimed at analysing the financial performance of Tesco by conducting ratio analysis; some of the main areas to be analysed are profitability, liquidity, efficiency, gearing, and investor returns. The comparison is made on the basis of financial reports of 2024 and 2025 reporting periods, which allows comparing the financial status of the company in the past.</w:t>
      </w:r>
    </w:p>
    <w:p w14:paraId="131CE0CC" w14:textId="77777777" w:rsidR="003E5081" w:rsidRDefault="00053173">
      <w:pPr>
        <w:pStyle w:val="Heading1"/>
      </w:pPr>
      <w:bookmarkStart w:id="3" w:name="_heading=h.qdb63fmqoyp2" w:colFirst="0" w:colLast="0"/>
      <w:bookmarkEnd w:id="3"/>
      <w:r>
        <w:t>2. Methodology / Analytical Framework</w:t>
      </w:r>
    </w:p>
    <w:p w14:paraId="55E8B4A5" w14:textId="570A3293" w:rsidR="003E5081" w:rsidRDefault="00053173">
      <w:r>
        <w:t>The chosen methodological tool to be used in this report is ratio analysis to assess the financial performance of Tesco plc. Ratio analysis has been understood by most economic management literature as a useful tool in deciphering financial statements and evaluating organisational performance, efficiency and financial stability (</w:t>
      </w:r>
      <w:proofErr w:type="spellStart"/>
      <w:r>
        <w:t>Atrill</w:t>
      </w:r>
      <w:proofErr w:type="spellEnd"/>
      <w:r>
        <w:t>, 2019). It allows us to make significant comparisons across time and assists in decision-making by managers because it makes difficult financial data easier to interpret using indicators that are understandable.</w:t>
      </w:r>
    </w:p>
    <w:p w14:paraId="5B67032B" w14:textId="37CA1804" w:rsidR="003E5081" w:rsidRDefault="00053173">
      <w:r>
        <w:t>This analysis will be done based on five categories, which include profitability, liquidity, efficiency, gearing, and investor ratios. Profitability ratios figure out the capacity of Tesco to earn profits in comparison to sales and capital used while liquidity ratios decide the capacity of Tesco to settle the short-term liabilities (</w:t>
      </w:r>
      <w:proofErr w:type="spellStart"/>
      <w:r>
        <w:t>Catalão</w:t>
      </w:r>
      <w:proofErr w:type="spellEnd"/>
      <w:r>
        <w:t>, 2022). Efficiency ratios look at the effectiveness with which the company utilises its assets, gearing ratios look at the financial risk of debt financing. Investor ratios offer an understanding of the shareholder returns and the performance in the market.</w:t>
      </w:r>
    </w:p>
    <w:p w14:paraId="19F171AC" w14:textId="77777777" w:rsidR="003E5081" w:rsidRDefault="00053173">
      <w:r>
        <w:t xml:space="preserve">Ratio analysis is especially suitable in large-scale retail companies like Tesco that are in a high-volume, low-margin environment. </w:t>
      </w:r>
      <w:proofErr w:type="spellStart"/>
      <w:r>
        <w:t>Statista</w:t>
      </w:r>
      <w:proofErr w:type="spellEnd"/>
      <w:r>
        <w:t xml:space="preserve"> defines the UK grocery retail industry as highly competitive and price-sensitive, with Tesco holding around </w:t>
      </w:r>
      <w:r>
        <w:rPr>
          <w:b/>
          <w:bCs/>
        </w:rPr>
        <w:t>27% of the market share in 2024</w:t>
      </w:r>
      <w:r>
        <w:t xml:space="preserve"> (</w:t>
      </w:r>
      <w:proofErr w:type="spellStart"/>
      <w:r>
        <w:t>Statista</w:t>
      </w:r>
      <w:proofErr w:type="spellEnd"/>
      <w:r>
        <w:t xml:space="preserve"> Research Department; 2025). This situation demonstrates the critical role of operational efficiency and cost management in terms of financial ratios in maintaining competitive advantage.</w:t>
      </w:r>
    </w:p>
    <w:p w14:paraId="5EA2A049" w14:textId="77777777" w:rsidR="003E5081" w:rsidRDefault="00053173">
      <w:pPr>
        <w:pStyle w:val="Heading1"/>
      </w:pPr>
      <w:bookmarkStart w:id="4" w:name="_heading=h.ewuu7sntp8ba" w:colFirst="0" w:colLast="0"/>
      <w:bookmarkEnd w:id="4"/>
      <w:r>
        <w:t xml:space="preserve"> 3. Ratio Analysis &amp; Interpretation </w:t>
      </w:r>
    </w:p>
    <w:p w14:paraId="1FEBF154" w14:textId="77777777" w:rsidR="003E5081" w:rsidRDefault="00053173">
      <w:pPr>
        <w:pStyle w:val="Heading2"/>
      </w:pPr>
      <w:bookmarkStart w:id="5" w:name="_heading=h.dn6c1noxm35v" w:colFirst="0" w:colLast="0"/>
      <w:bookmarkEnd w:id="5"/>
      <w:r>
        <w:rPr>
          <w:rFonts w:ascii="Quattrocento Sans" w:eastAsia="Quattrocento Sans" w:hAnsi="Quattrocento Sans" w:cs="Quattrocento Sans"/>
        </w:rPr>
        <w:t>3</w:t>
      </w:r>
      <w:r>
        <w:t>.1 Profitability Ratios</w:t>
      </w:r>
    </w:p>
    <w:p w14:paraId="3995F111" w14:textId="77777777" w:rsidR="003E5081" w:rsidRDefault="00053173">
      <w:r>
        <w:t xml:space="preserve">The profitability ratios are needed to determine the capability of Tesco plc to earn profits in a very competitive retail market. Table 1 indicates that Tesco has seen an </w:t>
      </w:r>
      <w:r>
        <w:rPr>
          <w:b/>
          <w:bCs/>
        </w:rPr>
        <w:t>improvement in operating profit margin, which was</w:t>
      </w:r>
      <w:r>
        <w:t xml:space="preserve"> </w:t>
      </w:r>
      <w:r>
        <w:rPr>
          <w:b/>
          <w:bCs/>
        </w:rPr>
        <w:t>4.59% in 2024 to 4.92% in 2025, and ROCE which was 11.5% in 2024 to 12.5% in 2025</w:t>
      </w:r>
      <w:r>
        <w:t>, reflecting better efficiency in its ability to generate returns on the capital employed.</w:t>
      </w:r>
    </w:p>
    <w:p w14:paraId="484DF2F1" w14:textId="77777777" w:rsidR="003E5081" w:rsidRDefault="003E5081"/>
    <w:p w14:paraId="716DD240" w14:textId="77777777" w:rsidR="003E5081" w:rsidRDefault="003E5081"/>
    <w:tbl>
      <w:tblPr>
        <w:tblStyle w:val="a"/>
        <w:tblW w:w="8630" w:type="dxa"/>
        <w:tblInd w:w="0" w:type="dxa"/>
        <w:tblBorders>
          <w:top w:val="single" w:sz="4" w:space="0" w:color="45B0E1"/>
          <w:left w:val="single" w:sz="4" w:space="0" w:color="45B0E1"/>
          <w:bottom w:val="single" w:sz="4" w:space="0" w:color="45B0E1"/>
          <w:right w:val="single" w:sz="4" w:space="0" w:color="45B0E1"/>
          <w:insideH w:val="single" w:sz="4" w:space="0" w:color="45B0E1"/>
          <w:insideV w:val="single" w:sz="4" w:space="0" w:color="45B0E1"/>
        </w:tblBorders>
        <w:tblLayout w:type="fixed"/>
        <w:tblLook w:val="04A0" w:firstRow="1" w:lastRow="0" w:firstColumn="1" w:lastColumn="0" w:noHBand="0" w:noVBand="1"/>
      </w:tblPr>
      <w:tblGrid>
        <w:gridCol w:w="2876"/>
        <w:gridCol w:w="2877"/>
        <w:gridCol w:w="2877"/>
      </w:tblGrid>
      <w:tr w:rsidR="003E5081" w14:paraId="1E8DCA7A" w14:textId="77777777" w:rsidTr="003E5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30" w:type="dxa"/>
            <w:gridSpan w:val="3"/>
          </w:tcPr>
          <w:p w14:paraId="1D27E520" w14:textId="77777777" w:rsidR="003E5081" w:rsidRDefault="00053173">
            <w:pPr>
              <w:jc w:val="center"/>
            </w:pPr>
            <w:r>
              <w:t>Gross Profit Margin</w:t>
            </w:r>
          </w:p>
        </w:tc>
      </w:tr>
      <w:tr w:rsidR="003E5081" w14:paraId="3143ABD0"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409D7998" w14:textId="77777777" w:rsidR="003E5081" w:rsidRDefault="003E5081"/>
        </w:tc>
        <w:tc>
          <w:tcPr>
            <w:tcW w:w="2877" w:type="dxa"/>
          </w:tcPr>
          <w:p w14:paraId="744E9CCC" w14:textId="77777777" w:rsidR="003E5081" w:rsidRDefault="00053173">
            <w:pPr>
              <w:cnfStyle w:val="000000100000" w:firstRow="0" w:lastRow="0" w:firstColumn="0" w:lastColumn="0" w:oddVBand="0" w:evenVBand="0" w:oddHBand="1" w:evenHBand="0" w:firstRowFirstColumn="0" w:firstRowLastColumn="0" w:lastRowFirstColumn="0" w:lastRowLastColumn="0"/>
              <w:rPr>
                <w:b/>
                <w:bCs/>
              </w:rPr>
            </w:pPr>
            <w:r>
              <w:rPr>
                <w:b/>
                <w:bCs/>
              </w:rPr>
              <w:t>2025</w:t>
            </w:r>
          </w:p>
        </w:tc>
        <w:tc>
          <w:tcPr>
            <w:tcW w:w="2877" w:type="dxa"/>
          </w:tcPr>
          <w:p w14:paraId="06E2437C" w14:textId="77777777" w:rsidR="003E5081" w:rsidRDefault="00053173">
            <w:pPr>
              <w:cnfStyle w:val="000000100000" w:firstRow="0" w:lastRow="0" w:firstColumn="0" w:lastColumn="0" w:oddVBand="0" w:evenVBand="0" w:oddHBand="1" w:evenHBand="0" w:firstRowFirstColumn="0" w:firstRowLastColumn="0" w:lastRowFirstColumn="0" w:lastRowLastColumn="0"/>
              <w:rPr>
                <w:b/>
                <w:bCs/>
              </w:rPr>
            </w:pPr>
            <w:r>
              <w:rPr>
                <w:b/>
                <w:bCs/>
              </w:rPr>
              <w:t>2024</w:t>
            </w:r>
          </w:p>
        </w:tc>
      </w:tr>
      <w:tr w:rsidR="003E5081" w14:paraId="10826D9D" w14:textId="77777777" w:rsidTr="003E5081">
        <w:trPr>
          <w:trHeight w:val="838"/>
        </w:trPr>
        <w:tc>
          <w:tcPr>
            <w:cnfStyle w:val="001000000000" w:firstRow="0" w:lastRow="0" w:firstColumn="1" w:lastColumn="0" w:oddVBand="0" w:evenVBand="0" w:oddHBand="0" w:evenHBand="0" w:firstRowFirstColumn="0" w:firstRowLastColumn="0" w:lastRowFirstColumn="0" w:lastRowLastColumn="0"/>
            <w:tcW w:w="2876" w:type="dxa"/>
          </w:tcPr>
          <w:p w14:paraId="0C231425" w14:textId="77777777" w:rsidR="003E5081" w:rsidRDefault="00053173">
            <w:r>
              <w:t>(Operating Profit / Revenue) × 100</w:t>
            </w:r>
          </w:p>
        </w:tc>
        <w:tc>
          <w:tcPr>
            <w:tcW w:w="2877" w:type="dxa"/>
          </w:tcPr>
          <w:p w14:paraId="38C89127"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4.92%</w:t>
            </w:r>
          </w:p>
        </w:tc>
        <w:tc>
          <w:tcPr>
            <w:tcW w:w="2877" w:type="dxa"/>
          </w:tcPr>
          <w:p w14:paraId="01756A7A"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4.59%</w:t>
            </w:r>
          </w:p>
        </w:tc>
      </w:tr>
      <w:tr w:rsidR="003E5081" w14:paraId="6EF3A129" w14:textId="77777777" w:rsidTr="003E5081">
        <w:trPr>
          <w:cnfStyle w:val="000000100000" w:firstRow="0" w:lastRow="0" w:firstColumn="0" w:lastColumn="0" w:oddVBand="0" w:evenVBand="0" w:oddHBand="1" w:evenHBand="0" w:firstRowFirstColumn="0" w:firstRowLastColumn="0" w:lastRowFirstColumn="0" w:lastRowLastColumn="0"/>
          <w:trHeight w:val="467"/>
        </w:trPr>
        <w:tc>
          <w:tcPr>
            <w:cnfStyle w:val="001000000000" w:firstRow="0" w:lastRow="0" w:firstColumn="1" w:lastColumn="0" w:oddVBand="0" w:evenVBand="0" w:oddHBand="0" w:evenHBand="0" w:firstRowFirstColumn="0" w:firstRowLastColumn="0" w:lastRowFirstColumn="0" w:lastRowLastColumn="0"/>
            <w:tcW w:w="8630" w:type="dxa"/>
            <w:gridSpan w:val="3"/>
          </w:tcPr>
          <w:p w14:paraId="76B3E8B7" w14:textId="77777777" w:rsidR="003E5081" w:rsidRDefault="00053173">
            <w:pPr>
              <w:jc w:val="center"/>
            </w:pPr>
            <w:r>
              <w:t>Operating Profit Margin</w:t>
            </w:r>
          </w:p>
        </w:tc>
      </w:tr>
      <w:tr w:rsidR="003E5081" w14:paraId="065254BD" w14:textId="77777777" w:rsidTr="003E5081">
        <w:trPr>
          <w:trHeight w:val="530"/>
        </w:trPr>
        <w:tc>
          <w:tcPr>
            <w:cnfStyle w:val="001000000000" w:firstRow="0" w:lastRow="0" w:firstColumn="1" w:lastColumn="0" w:oddVBand="0" w:evenVBand="0" w:oddHBand="0" w:evenHBand="0" w:firstRowFirstColumn="0" w:firstRowLastColumn="0" w:lastRowFirstColumn="0" w:lastRowLastColumn="0"/>
            <w:tcW w:w="2876" w:type="dxa"/>
          </w:tcPr>
          <w:p w14:paraId="137AA0E7" w14:textId="77777777" w:rsidR="003E5081" w:rsidRDefault="003E5081"/>
        </w:tc>
        <w:tc>
          <w:tcPr>
            <w:tcW w:w="2877" w:type="dxa"/>
          </w:tcPr>
          <w:p w14:paraId="627B6CE5"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4.92%</w:t>
            </w:r>
          </w:p>
        </w:tc>
        <w:tc>
          <w:tcPr>
            <w:tcW w:w="2877" w:type="dxa"/>
          </w:tcPr>
          <w:p w14:paraId="340D8920"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4.59%</w:t>
            </w:r>
          </w:p>
        </w:tc>
      </w:tr>
      <w:tr w:rsidR="003E5081" w14:paraId="7B290B03" w14:textId="77777777" w:rsidTr="003E5081">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8630" w:type="dxa"/>
            <w:gridSpan w:val="3"/>
          </w:tcPr>
          <w:p w14:paraId="1F898E69" w14:textId="77777777" w:rsidR="003E5081" w:rsidRDefault="00053173">
            <w:pPr>
              <w:jc w:val="center"/>
            </w:pPr>
            <w:r>
              <w:t>ROCE</w:t>
            </w:r>
          </w:p>
        </w:tc>
      </w:tr>
      <w:tr w:rsidR="003E5081" w14:paraId="76B450F1" w14:textId="77777777" w:rsidTr="003E5081">
        <w:trPr>
          <w:trHeight w:val="838"/>
        </w:trPr>
        <w:tc>
          <w:tcPr>
            <w:cnfStyle w:val="001000000000" w:firstRow="0" w:lastRow="0" w:firstColumn="1" w:lastColumn="0" w:oddVBand="0" w:evenVBand="0" w:oddHBand="0" w:evenHBand="0" w:firstRowFirstColumn="0" w:firstRowLastColumn="0" w:lastRowFirstColumn="0" w:lastRowLastColumn="0"/>
            <w:tcW w:w="2876" w:type="dxa"/>
          </w:tcPr>
          <w:p w14:paraId="70986D1F" w14:textId="77777777" w:rsidR="003E5081" w:rsidRDefault="00053173">
            <w:r>
              <w:t>Operating Profit / Capital Employed × 100</w:t>
            </w:r>
          </w:p>
        </w:tc>
        <w:tc>
          <w:tcPr>
            <w:tcW w:w="2877" w:type="dxa"/>
          </w:tcPr>
          <w:p w14:paraId="229F21D8"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12.5%</w:t>
            </w:r>
          </w:p>
        </w:tc>
        <w:tc>
          <w:tcPr>
            <w:tcW w:w="2877" w:type="dxa"/>
          </w:tcPr>
          <w:p w14:paraId="4DE21E61"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11.5%</w:t>
            </w:r>
          </w:p>
        </w:tc>
      </w:tr>
    </w:tbl>
    <w:p w14:paraId="7E92285B" w14:textId="77777777" w:rsidR="003E5081" w:rsidRDefault="003E5081"/>
    <w:p w14:paraId="4823202C" w14:textId="77777777" w:rsidR="003E5081" w:rsidRDefault="00053173">
      <w:r>
        <w:t xml:space="preserve">This enhancement implies that Tesco has consolidated its cost control as compared to revenue. This can be explained by the effective pricing policies and business efficiencies especially in reacting to the inflationary pressures. Tesco seems to have managed to strike the right balance between price growth and retaining customer demand, which is essential in the UK retail market where the level of price sensitivity is high. The increase in operating profit shows that cost-control initiatives, such as the optimisation of the supply chain, have worked. </w:t>
      </w:r>
    </w:p>
    <w:p w14:paraId="06960E3B" w14:textId="77777777" w:rsidR="003E5081" w:rsidRDefault="00053173">
      <w:r>
        <w:t>Nevertheless, this is also indicative of the larger inflationary environment, in which the increased input and food prices in 2024-2025 affected the pricing policies throughout the industry. The fact that Tesco could transfer some of these costs to consumers led to an improvement in margin although this is to an extent externally forced.</w:t>
      </w:r>
    </w:p>
    <w:p w14:paraId="45ACA388" w14:textId="77777777" w:rsidR="003E5081" w:rsidRDefault="00053173">
      <w:r>
        <w:t xml:space="preserve">It should be noted though that retail profit margins are fairly low, at any rate, between </w:t>
      </w:r>
      <w:r>
        <w:rPr>
          <w:b/>
          <w:bCs/>
        </w:rPr>
        <w:t>2% and 5%</w:t>
      </w:r>
      <w:r>
        <w:t xml:space="preserve"> in the supermarket sector as a result of stiff price competition and high operating expenses (MOFSL; 2026). This implies that Tesco is still under tight margin operation, as its profitability has been boosted, and this is significant in the implementation of cost control and volume-enhanced growth.</w:t>
      </w:r>
    </w:p>
    <w:p w14:paraId="0B0A77CB" w14:textId="77777777" w:rsidR="003E5081" w:rsidRDefault="00053173">
      <w:pPr>
        <w:pStyle w:val="Heading2"/>
      </w:pPr>
      <w:bookmarkStart w:id="6" w:name="_heading=h.mu2wa6x4wcgd" w:colFirst="0" w:colLast="0"/>
      <w:bookmarkEnd w:id="6"/>
      <w:r>
        <w:t>3.2 Liquidity Ratios</w:t>
      </w:r>
    </w:p>
    <w:p w14:paraId="2BA262FD" w14:textId="77777777" w:rsidR="003E5081" w:rsidRDefault="00053173">
      <w:r>
        <w:t xml:space="preserve">Liquidity ratios are used to evaluate the capacity of Tesco plc to fulfil its short-term obligations. According to Table 2, Tesco current ratio has slightly improved since </w:t>
      </w:r>
      <w:r>
        <w:rPr>
          <w:b/>
          <w:bCs/>
        </w:rPr>
        <w:t>0.74 in 2024 to 0.75 in 2025</w:t>
      </w:r>
      <w:r>
        <w:t xml:space="preserve">, whereas the </w:t>
      </w:r>
      <w:r>
        <w:rPr>
          <w:b/>
          <w:bCs/>
        </w:rPr>
        <w:t>quick ratio has improved 0.55 to 0.58</w:t>
      </w:r>
      <w:r>
        <w:t>, which means that the short-term liquidity was slightly strengthened.</w:t>
      </w:r>
    </w:p>
    <w:tbl>
      <w:tblPr>
        <w:tblStyle w:val="a0"/>
        <w:tblW w:w="8630" w:type="dxa"/>
        <w:tblInd w:w="-5" w:type="dxa"/>
        <w:tblBorders>
          <w:top w:val="single" w:sz="4" w:space="0" w:color="F1A984"/>
          <w:left w:val="single" w:sz="4" w:space="0" w:color="F1A984"/>
          <w:bottom w:val="single" w:sz="4" w:space="0" w:color="F1A984"/>
          <w:right w:val="single" w:sz="4" w:space="0" w:color="F1A984"/>
          <w:insideH w:val="single" w:sz="4" w:space="0" w:color="F1A984"/>
          <w:insideV w:val="single" w:sz="4" w:space="0" w:color="F1A984"/>
        </w:tblBorders>
        <w:tblLayout w:type="fixed"/>
        <w:tblLook w:val="04A0" w:firstRow="1" w:lastRow="0" w:firstColumn="1" w:lastColumn="0" w:noHBand="0" w:noVBand="1"/>
      </w:tblPr>
      <w:tblGrid>
        <w:gridCol w:w="3145"/>
        <w:gridCol w:w="2608"/>
        <w:gridCol w:w="2877"/>
      </w:tblGrid>
      <w:tr w:rsidR="003E5081" w14:paraId="489EDDD6" w14:textId="77777777" w:rsidTr="003E5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30" w:type="dxa"/>
            <w:gridSpan w:val="3"/>
          </w:tcPr>
          <w:p w14:paraId="0FBC5F40" w14:textId="77777777" w:rsidR="003E5081" w:rsidRDefault="00053173">
            <w:pPr>
              <w:jc w:val="center"/>
            </w:pPr>
            <w:r>
              <w:t>Current Ratio</w:t>
            </w:r>
          </w:p>
        </w:tc>
      </w:tr>
      <w:tr w:rsidR="003E5081" w14:paraId="6414F9E2"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45" w:type="dxa"/>
          </w:tcPr>
          <w:p w14:paraId="11B12E71" w14:textId="77777777" w:rsidR="003E5081" w:rsidRDefault="003E5081"/>
        </w:tc>
        <w:tc>
          <w:tcPr>
            <w:tcW w:w="2608" w:type="dxa"/>
          </w:tcPr>
          <w:p w14:paraId="554F5468" w14:textId="77777777" w:rsidR="003E5081" w:rsidRDefault="00053173">
            <w:pPr>
              <w:cnfStyle w:val="000000100000" w:firstRow="0" w:lastRow="0" w:firstColumn="0" w:lastColumn="0" w:oddVBand="0" w:evenVBand="0" w:oddHBand="1" w:evenHBand="0" w:firstRowFirstColumn="0" w:firstRowLastColumn="0" w:lastRowFirstColumn="0" w:lastRowLastColumn="0"/>
              <w:rPr>
                <w:b/>
                <w:bCs/>
              </w:rPr>
            </w:pPr>
            <w:r>
              <w:rPr>
                <w:b/>
                <w:bCs/>
              </w:rPr>
              <w:t>2025</w:t>
            </w:r>
          </w:p>
        </w:tc>
        <w:tc>
          <w:tcPr>
            <w:tcW w:w="2877" w:type="dxa"/>
          </w:tcPr>
          <w:p w14:paraId="5F65EBD3" w14:textId="77777777" w:rsidR="003E5081" w:rsidRDefault="00053173">
            <w:pPr>
              <w:cnfStyle w:val="000000100000" w:firstRow="0" w:lastRow="0" w:firstColumn="0" w:lastColumn="0" w:oddVBand="0" w:evenVBand="0" w:oddHBand="1" w:evenHBand="0" w:firstRowFirstColumn="0" w:firstRowLastColumn="0" w:lastRowFirstColumn="0" w:lastRowLastColumn="0"/>
              <w:rPr>
                <w:b/>
                <w:bCs/>
              </w:rPr>
            </w:pPr>
            <w:r>
              <w:rPr>
                <w:b/>
                <w:bCs/>
              </w:rPr>
              <w:t>2024</w:t>
            </w:r>
          </w:p>
        </w:tc>
      </w:tr>
      <w:tr w:rsidR="003E5081" w14:paraId="192E14F0" w14:textId="77777777" w:rsidTr="003E5081">
        <w:trPr>
          <w:trHeight w:val="440"/>
        </w:trPr>
        <w:tc>
          <w:tcPr>
            <w:cnfStyle w:val="001000000000" w:firstRow="0" w:lastRow="0" w:firstColumn="1" w:lastColumn="0" w:oddVBand="0" w:evenVBand="0" w:oddHBand="0" w:evenHBand="0" w:firstRowFirstColumn="0" w:firstRowLastColumn="0" w:lastRowFirstColumn="0" w:lastRowLastColumn="0"/>
            <w:tcW w:w="3145" w:type="dxa"/>
          </w:tcPr>
          <w:p w14:paraId="13C33316" w14:textId="77777777" w:rsidR="003E5081" w:rsidRDefault="003E5081"/>
        </w:tc>
        <w:tc>
          <w:tcPr>
            <w:tcW w:w="2608" w:type="dxa"/>
          </w:tcPr>
          <w:p w14:paraId="428BA09E"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0.75</w:t>
            </w:r>
          </w:p>
        </w:tc>
        <w:tc>
          <w:tcPr>
            <w:tcW w:w="2877" w:type="dxa"/>
          </w:tcPr>
          <w:p w14:paraId="019DAE23"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0.74</w:t>
            </w:r>
          </w:p>
        </w:tc>
      </w:tr>
      <w:tr w:rsidR="003E5081" w14:paraId="6B9D05F2" w14:textId="77777777" w:rsidTr="003E5081">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8630" w:type="dxa"/>
            <w:gridSpan w:val="3"/>
          </w:tcPr>
          <w:p w14:paraId="17E5F2B7" w14:textId="77777777" w:rsidR="003E5081" w:rsidRDefault="00053173">
            <w:pPr>
              <w:jc w:val="center"/>
            </w:pPr>
            <w:r>
              <w:t>Quick Ratio</w:t>
            </w:r>
          </w:p>
        </w:tc>
      </w:tr>
      <w:tr w:rsidR="003E5081" w14:paraId="41EAE276" w14:textId="77777777" w:rsidTr="003E5081">
        <w:trPr>
          <w:trHeight w:val="1115"/>
        </w:trPr>
        <w:tc>
          <w:tcPr>
            <w:cnfStyle w:val="001000000000" w:firstRow="0" w:lastRow="0" w:firstColumn="1" w:lastColumn="0" w:oddVBand="0" w:evenVBand="0" w:oddHBand="0" w:evenHBand="0" w:firstRowFirstColumn="0" w:firstRowLastColumn="0" w:lastRowFirstColumn="0" w:lastRowLastColumn="0"/>
            <w:tcW w:w="3145" w:type="dxa"/>
          </w:tcPr>
          <w:p w14:paraId="01FA0499" w14:textId="77777777" w:rsidR="003E5081" w:rsidRDefault="00053173">
            <w:r>
              <w:t>(Current Assets – Inventory) / Current Liabilities</w:t>
            </w:r>
          </w:p>
        </w:tc>
        <w:tc>
          <w:tcPr>
            <w:tcW w:w="2608" w:type="dxa"/>
          </w:tcPr>
          <w:p w14:paraId="6F8F1E0C"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0.58</w:t>
            </w:r>
          </w:p>
        </w:tc>
        <w:tc>
          <w:tcPr>
            <w:tcW w:w="2877" w:type="dxa"/>
          </w:tcPr>
          <w:p w14:paraId="6080A29A"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0.55</w:t>
            </w:r>
          </w:p>
        </w:tc>
      </w:tr>
    </w:tbl>
    <w:p w14:paraId="6AFE8DA6" w14:textId="77777777" w:rsidR="003E5081" w:rsidRDefault="003E5081"/>
    <w:p w14:paraId="428D0FC4" w14:textId="77777777" w:rsidR="003E5081" w:rsidRDefault="00053173">
      <w:r>
        <w:t xml:space="preserve">Although there is this improvement, both ratios still fall below the traditional level of 1 indicating that there is limited coverage of current liabilities by liquid assets. But this does not necessarily signify financial weakness. Retailers in the UK have lower liquidity ratios because the turnover of inventory is high and daily sales flow in cash. Tesco enjoys the advantage of a high inventory turnover, and good cash inflows due to daily sales, so they do not need to maintain a high liquid asset level. </w:t>
      </w:r>
      <w:proofErr w:type="spellStart"/>
      <w:r>
        <w:t>Statista</w:t>
      </w:r>
      <w:proofErr w:type="spellEnd"/>
      <w:r>
        <w:t xml:space="preserve"> reports that big UK supermarkets enjoy high levels of sales and effective stock turnover that enable them to keep generating cash (</w:t>
      </w:r>
      <w:proofErr w:type="spellStart"/>
      <w:r>
        <w:t>Statista</w:t>
      </w:r>
      <w:proofErr w:type="spellEnd"/>
      <w:r>
        <w:t xml:space="preserve"> Research Department; 2025).</w:t>
      </w:r>
    </w:p>
    <w:p w14:paraId="38A2B2C9" w14:textId="77777777" w:rsidR="003E5081" w:rsidRDefault="00053173">
      <w:r>
        <w:t xml:space="preserve">This implies that the liquidity position of Tesco is being sustained through </w:t>
      </w:r>
      <w:r>
        <w:rPr>
          <w:b/>
          <w:bCs/>
        </w:rPr>
        <w:t xml:space="preserve">operational cash flow efficiency as opposed to liquid assets. </w:t>
      </w:r>
      <w:r>
        <w:t>But it is a sign of possible vulnerability as well that can be experienced during economic disruption, when cash flow dependency can be a short-term financial hazard.</w:t>
      </w:r>
    </w:p>
    <w:p w14:paraId="54B1A807" w14:textId="77777777" w:rsidR="003E5081" w:rsidRDefault="00053173">
      <w:pPr>
        <w:pStyle w:val="Heading2"/>
      </w:pPr>
      <w:bookmarkStart w:id="7" w:name="_heading=h.xs8m0rgxvh83" w:colFirst="0" w:colLast="0"/>
      <w:bookmarkEnd w:id="7"/>
      <w:r>
        <w:t>3.3 Efficiency Ratios</w:t>
      </w:r>
    </w:p>
    <w:p w14:paraId="3E87FAAC" w14:textId="783C6772" w:rsidR="003E5081" w:rsidRDefault="00053173">
      <w:r>
        <w:t xml:space="preserve">The efficiency ratios are used to assess the efficiency of Tesco plc in the utilisation of its assets and working capital. As Table 3 indicates, Tesco has improved </w:t>
      </w:r>
      <w:r>
        <w:rPr>
          <w:b/>
          <w:bCs/>
        </w:rPr>
        <w:t>inventory turnover, which was 18.5 times in 2024 and 19.2 times in 2025</w:t>
      </w:r>
      <w:r>
        <w:t xml:space="preserve">, which means that the company was moving its stock faster and better </w:t>
      </w:r>
      <w:proofErr w:type="spellStart"/>
      <w:r>
        <w:t>utilizing</w:t>
      </w:r>
      <w:proofErr w:type="spellEnd"/>
      <w:r>
        <w:t xml:space="preserve"> it.</w:t>
      </w:r>
    </w:p>
    <w:tbl>
      <w:tblPr>
        <w:tblStyle w:val="a1"/>
        <w:tblW w:w="8630" w:type="dxa"/>
        <w:tblInd w:w="-5" w:type="dxa"/>
        <w:tblBorders>
          <w:top w:val="single" w:sz="4" w:space="0" w:color="60CBF3"/>
          <w:left w:val="single" w:sz="4" w:space="0" w:color="60CBF3"/>
          <w:bottom w:val="single" w:sz="4" w:space="0" w:color="60CBF3"/>
          <w:right w:val="single" w:sz="4" w:space="0" w:color="60CBF3"/>
          <w:insideH w:val="single" w:sz="4" w:space="0" w:color="60CBF3"/>
          <w:insideV w:val="single" w:sz="4" w:space="0" w:color="60CBF3"/>
        </w:tblBorders>
        <w:tblLayout w:type="fixed"/>
        <w:tblLook w:val="04A0" w:firstRow="1" w:lastRow="0" w:firstColumn="1" w:lastColumn="0" w:noHBand="0" w:noVBand="1"/>
      </w:tblPr>
      <w:tblGrid>
        <w:gridCol w:w="3055"/>
        <w:gridCol w:w="2698"/>
        <w:gridCol w:w="2877"/>
      </w:tblGrid>
      <w:tr w:rsidR="003E5081" w14:paraId="33C6E7E4" w14:textId="77777777" w:rsidTr="003E5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30" w:type="dxa"/>
            <w:gridSpan w:val="3"/>
          </w:tcPr>
          <w:p w14:paraId="01A86211" w14:textId="77777777" w:rsidR="003E5081" w:rsidRDefault="00053173">
            <w:pPr>
              <w:jc w:val="center"/>
            </w:pPr>
            <w:r>
              <w:t>Inventory Turnover</w:t>
            </w:r>
          </w:p>
        </w:tc>
      </w:tr>
      <w:tr w:rsidR="003E5081" w14:paraId="2235176E"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55" w:type="dxa"/>
          </w:tcPr>
          <w:p w14:paraId="70BAD4C4" w14:textId="77777777" w:rsidR="003E5081" w:rsidRDefault="003E5081"/>
        </w:tc>
        <w:tc>
          <w:tcPr>
            <w:tcW w:w="2698" w:type="dxa"/>
          </w:tcPr>
          <w:p w14:paraId="4A815EB9" w14:textId="77777777" w:rsidR="003E5081" w:rsidRDefault="00053173">
            <w:pPr>
              <w:cnfStyle w:val="000000100000" w:firstRow="0" w:lastRow="0" w:firstColumn="0" w:lastColumn="0" w:oddVBand="0" w:evenVBand="0" w:oddHBand="1" w:evenHBand="0" w:firstRowFirstColumn="0" w:firstRowLastColumn="0" w:lastRowFirstColumn="0" w:lastRowLastColumn="0"/>
              <w:rPr>
                <w:b/>
                <w:bCs/>
              </w:rPr>
            </w:pPr>
            <w:r>
              <w:rPr>
                <w:b/>
                <w:bCs/>
              </w:rPr>
              <w:t>2025</w:t>
            </w:r>
          </w:p>
        </w:tc>
        <w:tc>
          <w:tcPr>
            <w:tcW w:w="2877" w:type="dxa"/>
          </w:tcPr>
          <w:p w14:paraId="601BB67F" w14:textId="77777777" w:rsidR="003E5081" w:rsidRDefault="00053173">
            <w:pPr>
              <w:cnfStyle w:val="000000100000" w:firstRow="0" w:lastRow="0" w:firstColumn="0" w:lastColumn="0" w:oddVBand="0" w:evenVBand="0" w:oddHBand="1" w:evenHBand="0" w:firstRowFirstColumn="0" w:firstRowLastColumn="0" w:lastRowFirstColumn="0" w:lastRowLastColumn="0"/>
              <w:rPr>
                <w:b/>
                <w:bCs/>
              </w:rPr>
            </w:pPr>
            <w:r>
              <w:rPr>
                <w:b/>
                <w:bCs/>
              </w:rPr>
              <w:t>2024</w:t>
            </w:r>
          </w:p>
        </w:tc>
      </w:tr>
      <w:tr w:rsidR="003E5081" w14:paraId="677E324B" w14:textId="77777777" w:rsidTr="003E5081">
        <w:trPr>
          <w:trHeight w:val="665"/>
        </w:trPr>
        <w:tc>
          <w:tcPr>
            <w:cnfStyle w:val="001000000000" w:firstRow="0" w:lastRow="0" w:firstColumn="1" w:lastColumn="0" w:oddVBand="0" w:evenVBand="0" w:oddHBand="0" w:evenHBand="0" w:firstRowFirstColumn="0" w:firstRowLastColumn="0" w:lastRowFirstColumn="0" w:lastRowLastColumn="0"/>
            <w:tcW w:w="3055" w:type="dxa"/>
          </w:tcPr>
          <w:p w14:paraId="69D0A303" w14:textId="77777777" w:rsidR="003E5081" w:rsidRDefault="00053173">
            <w:r>
              <w:t>Cost of Sales / Inventory</w:t>
            </w:r>
          </w:p>
        </w:tc>
        <w:tc>
          <w:tcPr>
            <w:tcW w:w="2698" w:type="dxa"/>
          </w:tcPr>
          <w:p w14:paraId="040A91F2"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19.2 times</w:t>
            </w:r>
          </w:p>
        </w:tc>
        <w:tc>
          <w:tcPr>
            <w:tcW w:w="2877" w:type="dxa"/>
          </w:tcPr>
          <w:p w14:paraId="248D9AF3"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18.5 times</w:t>
            </w:r>
          </w:p>
        </w:tc>
      </w:tr>
      <w:tr w:rsidR="003E5081" w14:paraId="443C1801" w14:textId="77777777" w:rsidTr="003E5081">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8630" w:type="dxa"/>
            <w:gridSpan w:val="3"/>
          </w:tcPr>
          <w:p w14:paraId="6F5C552A" w14:textId="77777777" w:rsidR="003E5081" w:rsidRDefault="00053173">
            <w:pPr>
              <w:jc w:val="center"/>
            </w:pPr>
            <w:r>
              <w:t>Receivables Days</w:t>
            </w:r>
          </w:p>
        </w:tc>
      </w:tr>
      <w:tr w:rsidR="003E5081" w14:paraId="5392694C" w14:textId="77777777" w:rsidTr="003E5081">
        <w:trPr>
          <w:trHeight w:val="838"/>
        </w:trPr>
        <w:tc>
          <w:tcPr>
            <w:cnfStyle w:val="001000000000" w:firstRow="0" w:lastRow="0" w:firstColumn="1" w:lastColumn="0" w:oddVBand="0" w:evenVBand="0" w:oddHBand="0" w:evenHBand="0" w:firstRowFirstColumn="0" w:firstRowLastColumn="0" w:lastRowFirstColumn="0" w:lastRowLastColumn="0"/>
            <w:tcW w:w="3055" w:type="dxa"/>
          </w:tcPr>
          <w:p w14:paraId="5071BFD8" w14:textId="77777777" w:rsidR="003E5081" w:rsidRDefault="00053173">
            <w:r>
              <w:t>(Receivables / Revenue) × 365</w:t>
            </w:r>
          </w:p>
        </w:tc>
        <w:tc>
          <w:tcPr>
            <w:tcW w:w="2698" w:type="dxa"/>
          </w:tcPr>
          <w:p w14:paraId="36D9A75F"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4 days</w:t>
            </w:r>
          </w:p>
        </w:tc>
        <w:tc>
          <w:tcPr>
            <w:tcW w:w="2877" w:type="dxa"/>
          </w:tcPr>
          <w:p w14:paraId="56F6C28C"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5 days</w:t>
            </w:r>
          </w:p>
        </w:tc>
      </w:tr>
      <w:tr w:rsidR="003E5081" w14:paraId="1A00559B" w14:textId="77777777" w:rsidTr="003E5081">
        <w:trPr>
          <w:cnfStyle w:val="000000100000" w:firstRow="0" w:lastRow="0" w:firstColumn="0" w:lastColumn="0" w:oddVBand="0" w:evenVBand="0" w:oddHBand="1" w:evenHBand="0" w:firstRowFirstColumn="0" w:firstRowLastColumn="0" w:lastRowFirstColumn="0" w:lastRowLastColumn="0"/>
          <w:trHeight w:val="287"/>
        </w:trPr>
        <w:tc>
          <w:tcPr>
            <w:cnfStyle w:val="001000000000" w:firstRow="0" w:lastRow="0" w:firstColumn="1" w:lastColumn="0" w:oddVBand="0" w:evenVBand="0" w:oddHBand="0" w:evenHBand="0" w:firstRowFirstColumn="0" w:firstRowLastColumn="0" w:lastRowFirstColumn="0" w:lastRowLastColumn="0"/>
            <w:tcW w:w="8630" w:type="dxa"/>
            <w:gridSpan w:val="3"/>
          </w:tcPr>
          <w:p w14:paraId="32DE6CCA" w14:textId="77777777" w:rsidR="003E5081" w:rsidRDefault="00053173">
            <w:pPr>
              <w:jc w:val="center"/>
            </w:pPr>
            <w:r>
              <w:t>Payables Days</w:t>
            </w:r>
          </w:p>
        </w:tc>
      </w:tr>
      <w:tr w:rsidR="003E5081" w14:paraId="69D39E8E" w14:textId="77777777" w:rsidTr="003E5081">
        <w:trPr>
          <w:trHeight w:val="838"/>
        </w:trPr>
        <w:tc>
          <w:tcPr>
            <w:cnfStyle w:val="001000000000" w:firstRow="0" w:lastRow="0" w:firstColumn="1" w:lastColumn="0" w:oddVBand="0" w:evenVBand="0" w:oddHBand="0" w:evenHBand="0" w:firstRowFirstColumn="0" w:firstRowLastColumn="0" w:lastRowFirstColumn="0" w:lastRowLastColumn="0"/>
            <w:tcW w:w="3055" w:type="dxa"/>
          </w:tcPr>
          <w:p w14:paraId="19E0D515" w14:textId="77777777" w:rsidR="003E5081" w:rsidRDefault="00053173">
            <w:r>
              <w:t>(Payables / Cost of Sales) × 365</w:t>
            </w:r>
          </w:p>
        </w:tc>
        <w:tc>
          <w:tcPr>
            <w:tcW w:w="2698" w:type="dxa"/>
          </w:tcPr>
          <w:p w14:paraId="615B3BD4"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58 days</w:t>
            </w:r>
          </w:p>
        </w:tc>
        <w:tc>
          <w:tcPr>
            <w:tcW w:w="2877" w:type="dxa"/>
          </w:tcPr>
          <w:p w14:paraId="04130C83"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55 days</w:t>
            </w:r>
          </w:p>
        </w:tc>
      </w:tr>
    </w:tbl>
    <w:p w14:paraId="7676AACA" w14:textId="77777777" w:rsidR="003E5081" w:rsidRDefault="003E5081"/>
    <w:p w14:paraId="4182F53A" w14:textId="77777777" w:rsidR="003E5081" w:rsidRDefault="00053173">
      <w:r>
        <w:t xml:space="preserve">Moreover, the number of days outstanding also </w:t>
      </w:r>
      <w:r>
        <w:rPr>
          <w:b/>
          <w:bCs/>
        </w:rPr>
        <w:t>went down to 4 days instead of 5</w:t>
      </w:r>
      <w:r>
        <w:t xml:space="preserve"> days, indicating faster cash turnaround, though this is not surprising in retail activities since most of the transactions are instantaneous. On the other hand, the payables days were extended </w:t>
      </w:r>
      <w:r>
        <w:rPr>
          <w:b/>
          <w:bCs/>
        </w:rPr>
        <w:t>55 to 58 days</w:t>
      </w:r>
      <w:r>
        <w:t>, which means that Tesco is now taking more days to pay its suppliers.</w:t>
      </w:r>
    </w:p>
    <w:p w14:paraId="580696D9" w14:textId="77777777" w:rsidR="003E5081" w:rsidRDefault="00053173">
      <w:r>
        <w:t xml:space="preserve">This trend means that Tesco has an effective working capital cycle whereby it converts inventory into cash fast whilst delaying cash outflow. </w:t>
      </w:r>
      <w:proofErr w:type="spellStart"/>
      <w:r>
        <w:t>Statista</w:t>
      </w:r>
      <w:proofErr w:type="spellEnd"/>
      <w:r>
        <w:t xml:space="preserve"> states that in the UK, the supermarkets have a high stock turnover because of the frequent buying by consumers and perishable goods (</w:t>
      </w:r>
      <w:proofErr w:type="spellStart"/>
      <w:r>
        <w:t>Statista</w:t>
      </w:r>
      <w:proofErr w:type="spellEnd"/>
      <w:r>
        <w:t xml:space="preserve"> Research Department; 2025). This shows that the efficiency of Tesco is directly connected with the high level of supply chain management and the scale of operations, but the use of supplier credit can be a risky situation in case of the tightening of the market conditions.</w:t>
      </w:r>
    </w:p>
    <w:p w14:paraId="0FD5E870" w14:textId="77777777" w:rsidR="003E5081" w:rsidRDefault="00053173">
      <w:pPr>
        <w:pStyle w:val="Heading2"/>
      </w:pPr>
      <w:bookmarkStart w:id="8" w:name="_heading=h.vo010fcohpkg" w:colFirst="0" w:colLast="0"/>
      <w:bookmarkEnd w:id="8"/>
      <w:r>
        <w:t>3.4 Gearing Ratios</w:t>
      </w:r>
    </w:p>
    <w:p w14:paraId="1C42CFDB" w14:textId="77777777" w:rsidR="003E5081" w:rsidRDefault="00053173">
      <w:r>
        <w:t xml:space="preserve">Gearing ratios determine the degree to which Tesco plc uses debt financing. Table 4 indicates that Tesco experienced a slight decline in its financial leverage as the </w:t>
      </w:r>
      <w:r>
        <w:rPr>
          <w:b/>
          <w:bCs/>
        </w:rPr>
        <w:t>debt-to-equity ratio declined from 0.85 to 0.82 in 2024 and 2025</w:t>
      </w:r>
      <w:r>
        <w:t>, showing a reduction in the debt-equity ratio.</w:t>
      </w:r>
    </w:p>
    <w:tbl>
      <w:tblPr>
        <w:tblStyle w:val="a2"/>
        <w:tblW w:w="8630" w:type="dxa"/>
        <w:tblInd w:w="-5" w:type="dxa"/>
        <w:tblBorders>
          <w:top w:val="single" w:sz="4" w:space="0" w:color="47D45A"/>
          <w:left w:val="single" w:sz="4" w:space="0" w:color="47D45A"/>
          <w:bottom w:val="single" w:sz="4" w:space="0" w:color="47D45A"/>
          <w:right w:val="single" w:sz="4" w:space="0" w:color="47D45A"/>
          <w:insideH w:val="single" w:sz="4" w:space="0" w:color="47D45A"/>
          <w:insideV w:val="single" w:sz="4" w:space="0" w:color="47D45A"/>
        </w:tblBorders>
        <w:tblLayout w:type="fixed"/>
        <w:tblLook w:val="04A0" w:firstRow="1" w:lastRow="0" w:firstColumn="1" w:lastColumn="0" w:noHBand="0" w:noVBand="1"/>
      </w:tblPr>
      <w:tblGrid>
        <w:gridCol w:w="2876"/>
        <w:gridCol w:w="2877"/>
        <w:gridCol w:w="2877"/>
      </w:tblGrid>
      <w:tr w:rsidR="003E5081" w14:paraId="31521ACC" w14:textId="77777777" w:rsidTr="003E5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630" w:type="dxa"/>
            <w:gridSpan w:val="3"/>
          </w:tcPr>
          <w:p w14:paraId="4A2CBCC1" w14:textId="77777777" w:rsidR="003E5081" w:rsidRDefault="00053173">
            <w:pPr>
              <w:jc w:val="center"/>
            </w:pPr>
            <w:r>
              <w:t>Debt-to-Equity</w:t>
            </w:r>
          </w:p>
        </w:tc>
      </w:tr>
      <w:tr w:rsidR="003E5081" w14:paraId="10316872"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76" w:type="dxa"/>
          </w:tcPr>
          <w:p w14:paraId="35DAC00E" w14:textId="77777777" w:rsidR="003E5081" w:rsidRDefault="003E5081"/>
        </w:tc>
        <w:tc>
          <w:tcPr>
            <w:tcW w:w="2877" w:type="dxa"/>
          </w:tcPr>
          <w:p w14:paraId="2406988D" w14:textId="77777777" w:rsidR="003E5081" w:rsidRDefault="00053173">
            <w:pPr>
              <w:cnfStyle w:val="000000100000" w:firstRow="0" w:lastRow="0" w:firstColumn="0" w:lastColumn="0" w:oddVBand="0" w:evenVBand="0" w:oddHBand="1" w:evenHBand="0" w:firstRowFirstColumn="0" w:firstRowLastColumn="0" w:lastRowFirstColumn="0" w:lastRowLastColumn="0"/>
              <w:rPr>
                <w:b/>
                <w:bCs/>
              </w:rPr>
            </w:pPr>
            <w:r>
              <w:rPr>
                <w:b/>
                <w:bCs/>
              </w:rPr>
              <w:t>2025</w:t>
            </w:r>
          </w:p>
        </w:tc>
        <w:tc>
          <w:tcPr>
            <w:tcW w:w="2877" w:type="dxa"/>
          </w:tcPr>
          <w:p w14:paraId="2C172D4B" w14:textId="77777777" w:rsidR="003E5081" w:rsidRDefault="00053173">
            <w:pPr>
              <w:cnfStyle w:val="000000100000" w:firstRow="0" w:lastRow="0" w:firstColumn="0" w:lastColumn="0" w:oddVBand="0" w:evenVBand="0" w:oddHBand="1" w:evenHBand="0" w:firstRowFirstColumn="0" w:firstRowLastColumn="0" w:lastRowFirstColumn="0" w:lastRowLastColumn="0"/>
              <w:rPr>
                <w:b/>
                <w:bCs/>
              </w:rPr>
            </w:pPr>
            <w:r>
              <w:rPr>
                <w:b/>
                <w:bCs/>
              </w:rPr>
              <w:t>2024</w:t>
            </w:r>
          </w:p>
        </w:tc>
      </w:tr>
      <w:tr w:rsidR="003E5081" w14:paraId="3673DB06" w14:textId="77777777" w:rsidTr="003E5081">
        <w:trPr>
          <w:trHeight w:val="512"/>
        </w:trPr>
        <w:tc>
          <w:tcPr>
            <w:cnfStyle w:val="001000000000" w:firstRow="0" w:lastRow="0" w:firstColumn="1" w:lastColumn="0" w:oddVBand="0" w:evenVBand="0" w:oddHBand="0" w:evenHBand="0" w:firstRowFirstColumn="0" w:firstRowLastColumn="0" w:lastRowFirstColumn="0" w:lastRowLastColumn="0"/>
            <w:tcW w:w="2876" w:type="dxa"/>
          </w:tcPr>
          <w:p w14:paraId="52809ADB" w14:textId="77777777" w:rsidR="003E5081" w:rsidRDefault="003E5081"/>
        </w:tc>
        <w:tc>
          <w:tcPr>
            <w:tcW w:w="2877" w:type="dxa"/>
          </w:tcPr>
          <w:p w14:paraId="2AC19B4D"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0.82</w:t>
            </w:r>
          </w:p>
        </w:tc>
        <w:tc>
          <w:tcPr>
            <w:tcW w:w="2877" w:type="dxa"/>
          </w:tcPr>
          <w:p w14:paraId="606FA759"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0.85</w:t>
            </w:r>
          </w:p>
        </w:tc>
      </w:tr>
      <w:tr w:rsidR="003E5081" w14:paraId="24E24AA4" w14:textId="77777777" w:rsidTr="003E5081">
        <w:trPr>
          <w:cnfStyle w:val="000000100000" w:firstRow="0" w:lastRow="0" w:firstColumn="0" w:lastColumn="0" w:oddVBand="0" w:evenVBand="0" w:oddHBand="1" w:evenHBand="0" w:firstRowFirstColumn="0" w:firstRowLastColumn="0" w:lastRowFirstColumn="0" w:lastRowLastColumn="0"/>
          <w:trHeight w:val="323"/>
        </w:trPr>
        <w:tc>
          <w:tcPr>
            <w:cnfStyle w:val="001000000000" w:firstRow="0" w:lastRow="0" w:firstColumn="1" w:lastColumn="0" w:oddVBand="0" w:evenVBand="0" w:oddHBand="0" w:evenHBand="0" w:firstRowFirstColumn="0" w:firstRowLastColumn="0" w:lastRowFirstColumn="0" w:lastRowLastColumn="0"/>
            <w:tcW w:w="8630" w:type="dxa"/>
            <w:gridSpan w:val="3"/>
          </w:tcPr>
          <w:p w14:paraId="15A638EB" w14:textId="77777777" w:rsidR="003E5081" w:rsidRDefault="00053173">
            <w:pPr>
              <w:jc w:val="center"/>
            </w:pPr>
            <w:r>
              <w:t>Interest Cover</w:t>
            </w:r>
          </w:p>
        </w:tc>
      </w:tr>
      <w:tr w:rsidR="003E5081" w14:paraId="16E9AF3D" w14:textId="77777777" w:rsidTr="003E5081">
        <w:trPr>
          <w:trHeight w:val="838"/>
        </w:trPr>
        <w:tc>
          <w:tcPr>
            <w:cnfStyle w:val="001000000000" w:firstRow="0" w:lastRow="0" w:firstColumn="1" w:lastColumn="0" w:oddVBand="0" w:evenVBand="0" w:oddHBand="0" w:evenHBand="0" w:firstRowFirstColumn="0" w:firstRowLastColumn="0" w:lastRowFirstColumn="0" w:lastRowLastColumn="0"/>
            <w:tcW w:w="2876" w:type="dxa"/>
          </w:tcPr>
          <w:p w14:paraId="1856430F" w14:textId="77777777" w:rsidR="003E5081" w:rsidRDefault="00053173">
            <w:r>
              <w:t>(Operating Profit / Finance Cost</w:t>
            </w:r>
          </w:p>
        </w:tc>
        <w:tc>
          <w:tcPr>
            <w:tcW w:w="2877" w:type="dxa"/>
          </w:tcPr>
          <w:p w14:paraId="405742E2"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7.2 times</w:t>
            </w:r>
          </w:p>
        </w:tc>
        <w:tc>
          <w:tcPr>
            <w:tcW w:w="2877" w:type="dxa"/>
          </w:tcPr>
          <w:p w14:paraId="6EADA6EC" w14:textId="77777777" w:rsidR="003E5081" w:rsidRDefault="00053173">
            <w:pPr>
              <w:cnfStyle w:val="000000000000" w:firstRow="0" w:lastRow="0" w:firstColumn="0" w:lastColumn="0" w:oddVBand="0" w:evenVBand="0" w:oddHBand="0" w:evenHBand="0" w:firstRowFirstColumn="0" w:firstRowLastColumn="0" w:lastRowFirstColumn="0" w:lastRowLastColumn="0"/>
              <w:rPr>
                <w:b/>
                <w:bCs/>
              </w:rPr>
            </w:pPr>
            <w:r>
              <w:rPr>
                <w:b/>
                <w:bCs/>
              </w:rPr>
              <w:t>6.5 times</w:t>
            </w:r>
          </w:p>
        </w:tc>
      </w:tr>
    </w:tbl>
    <w:p w14:paraId="1DF4623F" w14:textId="77777777" w:rsidR="003E5081" w:rsidRDefault="003E5081"/>
    <w:p w14:paraId="4369CF5F" w14:textId="77777777" w:rsidR="003E5081" w:rsidRDefault="00053173">
      <w:r>
        <w:t xml:space="preserve">Moreover, the </w:t>
      </w:r>
      <w:r>
        <w:rPr>
          <w:b/>
          <w:bCs/>
        </w:rPr>
        <w:t>interest cover ratio was also increased by 6.5 times to 7.2 times</w:t>
      </w:r>
      <w:r>
        <w:t xml:space="preserve"> indicating that operating profits are becoming adequate to cover interest payments. This means greater financial stability and less risk exposure.</w:t>
      </w:r>
    </w:p>
    <w:p w14:paraId="4D454A19" w14:textId="77777777" w:rsidR="003E5081" w:rsidRDefault="00053173">
      <w:r>
        <w:t xml:space="preserve">This is indicative of a consistent performance in terms of earnings and proper management of funds. </w:t>
      </w:r>
      <w:proofErr w:type="spellStart"/>
      <w:r>
        <w:t>Statista</w:t>
      </w:r>
      <w:proofErr w:type="spellEnd"/>
      <w:r>
        <w:t xml:space="preserve"> indicates that big retailers in the UK generally rely on debt financing to finance expansion and operational investments, especially during times of economic uncertainty (</w:t>
      </w:r>
      <w:proofErr w:type="spellStart"/>
      <w:r>
        <w:t>Statista</w:t>
      </w:r>
      <w:proofErr w:type="spellEnd"/>
      <w:r>
        <w:t xml:space="preserve"> Research Department; 2025).</w:t>
      </w:r>
    </w:p>
    <w:p w14:paraId="76389212" w14:textId="77777777" w:rsidR="003E5081" w:rsidRDefault="00053173">
      <w:r>
        <w:t>It means that the application of debt by Tesco is justified by the growth-oriented strategy, which allows investing in such aspects as the development of stores and digital infrastructure. This, however, also presents a possibility of being exposed to financial risk in the event of an increase in the interest rates or un-profitable performance. Hence, it is crucial to have an ideal debt to equity ratio as a way of ensuring financial sustainability.</w:t>
      </w:r>
    </w:p>
    <w:p w14:paraId="7348B971" w14:textId="77777777" w:rsidR="003E5081" w:rsidRDefault="00053173">
      <w:pPr>
        <w:pStyle w:val="Heading2"/>
      </w:pPr>
      <w:bookmarkStart w:id="9" w:name="_heading=h.7xhn1vn4358c" w:colFirst="0" w:colLast="0"/>
      <w:bookmarkEnd w:id="9"/>
      <w:r>
        <w:t>3.5 Investor Ratios</w:t>
      </w:r>
    </w:p>
    <w:p w14:paraId="47FF1C76" w14:textId="77777777" w:rsidR="003E5081" w:rsidRDefault="00053173">
      <w:r>
        <w:t xml:space="preserve">The investor ratios are used to measure the appeal of Tesco plc to shareholders. Table 5 demonstrates that the </w:t>
      </w:r>
      <w:r>
        <w:rPr>
          <w:b/>
          <w:bCs/>
        </w:rPr>
        <w:t>earnings per share (EPS) rose in 2024 and 2025 to 23.5p and 26.8p</w:t>
      </w:r>
      <w:r>
        <w:t>, respectively, which means a better profitability and shareholder returns.</w:t>
      </w:r>
    </w:p>
    <w:tbl>
      <w:tblPr>
        <w:tblStyle w:val="a3"/>
        <w:tblW w:w="5754" w:type="dxa"/>
        <w:jc w:val="center"/>
        <w:tblInd w:w="0" w:type="dxa"/>
        <w:tblBorders>
          <w:top w:val="single" w:sz="4" w:space="0" w:color="D76DCC"/>
          <w:left w:val="single" w:sz="4" w:space="0" w:color="D76DCC"/>
          <w:bottom w:val="single" w:sz="4" w:space="0" w:color="D76DCC"/>
          <w:right w:val="single" w:sz="4" w:space="0" w:color="D76DCC"/>
          <w:insideH w:val="single" w:sz="4" w:space="0" w:color="D76DCC"/>
          <w:insideV w:val="single" w:sz="4" w:space="0" w:color="D76DCC"/>
        </w:tblBorders>
        <w:tblLayout w:type="fixed"/>
        <w:tblLook w:val="04A0" w:firstRow="1" w:lastRow="0" w:firstColumn="1" w:lastColumn="0" w:noHBand="0" w:noVBand="1"/>
      </w:tblPr>
      <w:tblGrid>
        <w:gridCol w:w="2877"/>
        <w:gridCol w:w="2877"/>
      </w:tblGrid>
      <w:tr w:rsidR="003E5081" w14:paraId="3FD2DC27" w14:textId="77777777" w:rsidTr="003E508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754" w:type="dxa"/>
            <w:gridSpan w:val="2"/>
          </w:tcPr>
          <w:p w14:paraId="20F3B0D0" w14:textId="77777777" w:rsidR="003E5081" w:rsidRDefault="00053173">
            <w:pPr>
              <w:jc w:val="center"/>
            </w:pPr>
            <w:r>
              <w:t>EPS</w:t>
            </w:r>
          </w:p>
        </w:tc>
      </w:tr>
      <w:tr w:rsidR="003E5081" w14:paraId="2573EA48" w14:textId="77777777" w:rsidTr="003E508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77" w:type="dxa"/>
          </w:tcPr>
          <w:p w14:paraId="17548DAD" w14:textId="77777777" w:rsidR="003E5081" w:rsidRDefault="00053173">
            <w:pPr>
              <w:jc w:val="center"/>
            </w:pPr>
            <w:r>
              <w:rPr>
                <w:b w:val="0"/>
                <w:bCs w:val="0"/>
              </w:rPr>
              <w:t>2025</w:t>
            </w:r>
          </w:p>
        </w:tc>
        <w:tc>
          <w:tcPr>
            <w:tcW w:w="2877" w:type="dxa"/>
          </w:tcPr>
          <w:p w14:paraId="21CBE098"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b/>
                <w:bCs/>
              </w:rPr>
            </w:pPr>
            <w:r>
              <w:rPr>
                <w:b/>
                <w:bCs/>
              </w:rPr>
              <w:t>2024</w:t>
            </w:r>
          </w:p>
        </w:tc>
      </w:tr>
      <w:tr w:rsidR="003E5081" w14:paraId="5B02BB53" w14:textId="77777777" w:rsidTr="003E5081">
        <w:trPr>
          <w:trHeight w:val="503"/>
          <w:jc w:val="center"/>
        </w:trPr>
        <w:tc>
          <w:tcPr>
            <w:cnfStyle w:val="001000000000" w:firstRow="0" w:lastRow="0" w:firstColumn="1" w:lastColumn="0" w:oddVBand="0" w:evenVBand="0" w:oddHBand="0" w:evenHBand="0" w:firstRowFirstColumn="0" w:firstRowLastColumn="0" w:lastRowFirstColumn="0" w:lastRowLastColumn="0"/>
            <w:tcW w:w="2877" w:type="dxa"/>
          </w:tcPr>
          <w:p w14:paraId="6AEF956F" w14:textId="77777777" w:rsidR="003E5081" w:rsidRDefault="00053173">
            <w:pPr>
              <w:jc w:val="center"/>
            </w:pPr>
            <w:r>
              <w:t>26.8p</w:t>
            </w:r>
          </w:p>
        </w:tc>
        <w:tc>
          <w:tcPr>
            <w:tcW w:w="2877" w:type="dxa"/>
          </w:tcPr>
          <w:p w14:paraId="0444B5E5"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b/>
                <w:bCs/>
              </w:rPr>
            </w:pPr>
            <w:r>
              <w:rPr>
                <w:b/>
                <w:bCs/>
              </w:rPr>
              <w:t>23.5p</w:t>
            </w:r>
          </w:p>
        </w:tc>
      </w:tr>
      <w:tr w:rsidR="003E5081" w14:paraId="3690EA3A" w14:textId="77777777" w:rsidTr="003E5081">
        <w:trPr>
          <w:cnfStyle w:val="000000100000" w:firstRow="0" w:lastRow="0" w:firstColumn="0" w:lastColumn="0" w:oddVBand="0" w:evenVBand="0" w:oddHBand="1" w:evenHBand="0" w:firstRowFirstColumn="0" w:firstRowLastColumn="0" w:lastRowFirstColumn="0" w:lastRowLastColumn="0"/>
          <w:trHeight w:val="503"/>
          <w:jc w:val="center"/>
        </w:trPr>
        <w:tc>
          <w:tcPr>
            <w:cnfStyle w:val="001000000000" w:firstRow="0" w:lastRow="0" w:firstColumn="1" w:lastColumn="0" w:oddVBand="0" w:evenVBand="0" w:oddHBand="0" w:evenHBand="0" w:firstRowFirstColumn="0" w:firstRowLastColumn="0" w:lastRowFirstColumn="0" w:lastRowLastColumn="0"/>
            <w:tcW w:w="5754" w:type="dxa"/>
            <w:gridSpan w:val="2"/>
          </w:tcPr>
          <w:p w14:paraId="12D954A5" w14:textId="77777777" w:rsidR="003E5081" w:rsidRDefault="00053173">
            <w:pPr>
              <w:jc w:val="center"/>
            </w:pPr>
            <w:r>
              <w:t>Dividend Yield</w:t>
            </w:r>
          </w:p>
        </w:tc>
      </w:tr>
      <w:tr w:rsidR="003E5081" w14:paraId="6630774C" w14:textId="77777777" w:rsidTr="003E5081">
        <w:trPr>
          <w:trHeight w:val="575"/>
          <w:jc w:val="center"/>
        </w:trPr>
        <w:tc>
          <w:tcPr>
            <w:cnfStyle w:val="001000000000" w:firstRow="0" w:lastRow="0" w:firstColumn="1" w:lastColumn="0" w:oddVBand="0" w:evenVBand="0" w:oddHBand="0" w:evenHBand="0" w:firstRowFirstColumn="0" w:firstRowLastColumn="0" w:lastRowFirstColumn="0" w:lastRowLastColumn="0"/>
            <w:tcW w:w="2877" w:type="dxa"/>
          </w:tcPr>
          <w:p w14:paraId="707673F5" w14:textId="77777777" w:rsidR="003E5081" w:rsidRDefault="00053173">
            <w:pPr>
              <w:jc w:val="center"/>
            </w:pPr>
            <w:r>
              <w:t>4.1%</w:t>
            </w:r>
          </w:p>
        </w:tc>
        <w:tc>
          <w:tcPr>
            <w:tcW w:w="2877" w:type="dxa"/>
          </w:tcPr>
          <w:p w14:paraId="0B4B6363"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b/>
                <w:bCs/>
              </w:rPr>
            </w:pPr>
            <w:r>
              <w:rPr>
                <w:b/>
                <w:bCs/>
              </w:rPr>
              <w:t>3.8%</w:t>
            </w:r>
          </w:p>
        </w:tc>
      </w:tr>
    </w:tbl>
    <w:p w14:paraId="6C5D907F" w14:textId="77777777" w:rsidR="003E5081" w:rsidRDefault="003E5081"/>
    <w:p w14:paraId="5C7D5BEF" w14:textId="77777777" w:rsidR="003E5081" w:rsidRDefault="00053173">
      <w:r>
        <w:t xml:space="preserve">Further, dividend yield increased by </w:t>
      </w:r>
      <w:r>
        <w:rPr>
          <w:b/>
          <w:bCs/>
        </w:rPr>
        <w:t>3.8% to 4.1%</w:t>
      </w:r>
      <w:r>
        <w:t xml:space="preserve"> and this indicates that there was a steady and slightly improved payout to the investors. This implies that Tesco has a sustainable dividend policy which is backed by good cash flow generation. </w:t>
      </w:r>
      <w:proofErr w:type="spellStart"/>
      <w:r>
        <w:t>Statista</w:t>
      </w:r>
      <w:proofErr w:type="spellEnd"/>
      <w:r>
        <w:t xml:space="preserve"> reports that major UK retailers are focusing on stable dividend policies to maintain investor trust, especially at a time when the economy is facing uncertainty (</w:t>
      </w:r>
      <w:proofErr w:type="spellStart"/>
      <w:r>
        <w:t>Statista</w:t>
      </w:r>
      <w:proofErr w:type="spellEnd"/>
      <w:r>
        <w:t>, 2024).</w:t>
      </w:r>
    </w:p>
    <w:p w14:paraId="503CCD25" w14:textId="77777777" w:rsidR="003E5081" w:rsidRDefault="00053173">
      <w:r>
        <w:t>This implies that Tesco will continue to be a good investment choice because of its consistent revenue stream and its relatively low risk portfolio. Nevertheless, it is also a pointer that the returns on future investors can be dependent on the ability of the company to maintain an increase in earnings and strike a balance between paying dividends and reinvesting in the company in a competitive retail market.</w:t>
      </w:r>
    </w:p>
    <w:p w14:paraId="4796DECE" w14:textId="77777777" w:rsidR="003E5081" w:rsidRDefault="00053173">
      <w:pPr>
        <w:pStyle w:val="Heading1"/>
      </w:pPr>
      <w:bookmarkStart w:id="10" w:name="_heading=h.fgm95umgf5ey" w:colFirst="0" w:colLast="0"/>
      <w:bookmarkEnd w:id="10"/>
      <w:r>
        <w:t>4.</w:t>
      </w:r>
      <w:r>
        <w:rPr>
          <w:rFonts w:ascii="Times New Roman" w:eastAsia="Times New Roman" w:hAnsi="Times New Roman" w:cs="Times New Roman"/>
          <w:sz w:val="48"/>
          <w:szCs w:val="48"/>
        </w:rPr>
        <w:t xml:space="preserve"> </w:t>
      </w:r>
      <w:r>
        <w:t xml:space="preserve">Critical Evaluation </w:t>
      </w:r>
    </w:p>
    <w:p w14:paraId="01EE60ED" w14:textId="77777777" w:rsidR="003E5081" w:rsidRDefault="00053173">
      <w:r>
        <w:t xml:space="preserve">The internal strategies and external economic conditions can explain the changes that have been witnessed in the financial performance of Tesco plc between </w:t>
      </w:r>
      <w:r>
        <w:rPr>
          <w:b/>
          <w:bCs/>
        </w:rPr>
        <w:t>2024</w:t>
      </w:r>
      <w:r>
        <w:t xml:space="preserve"> and </w:t>
      </w:r>
      <w:r>
        <w:rPr>
          <w:b/>
          <w:bCs/>
        </w:rPr>
        <w:t>2025</w:t>
      </w:r>
      <w:r>
        <w:t>. An increase in profitability ratios, including the operating profit margin (</w:t>
      </w:r>
      <w:r>
        <w:rPr>
          <w:b/>
          <w:bCs/>
        </w:rPr>
        <w:t>4.59 % to 4.92%),</w:t>
      </w:r>
      <w:r>
        <w:t xml:space="preserve"> and </w:t>
      </w:r>
      <w:r>
        <w:rPr>
          <w:b/>
          <w:bCs/>
        </w:rPr>
        <w:t>ROCE</w:t>
      </w:r>
      <w:r>
        <w:t xml:space="preserve"> (</w:t>
      </w:r>
      <w:r>
        <w:rPr>
          <w:b/>
          <w:bCs/>
        </w:rPr>
        <w:t>11.5 to 12.5%)</w:t>
      </w:r>
      <w:r>
        <w:t xml:space="preserve"> shows that there is improved operational efficiency. This can be explained by the fact that Tesco has cost control measures such as supply chain optimisation and changes in prices due to inflation. </w:t>
      </w:r>
      <w:proofErr w:type="spellStart"/>
      <w:r>
        <w:t>Statista</w:t>
      </w:r>
      <w:proofErr w:type="spellEnd"/>
      <w:r>
        <w:t xml:space="preserve"> indicates that the UK inflation of food products was high in this period, which greatly raised costs of inputs among the retailers (</w:t>
      </w:r>
      <w:proofErr w:type="spellStart"/>
      <w:r>
        <w:t>Statista</w:t>
      </w:r>
      <w:proofErr w:type="spellEnd"/>
      <w:r>
        <w:t xml:space="preserve"> Research Department; 2025). Tesco seems to have, to some extent, transferred these costs to the consumers and still achieved sales volume, which is a good pricing strategy in a competition market.</w:t>
      </w:r>
    </w:p>
    <w:p w14:paraId="310920A4" w14:textId="77777777" w:rsidR="003E5081" w:rsidRDefault="00053173">
      <w:r>
        <w:t>Nevertheless, good price competition in the UK retail market and shifts in consumer expenditure behaviour, especially heightened price sensitivity in the cost-of-living crisis have also taken their toll. This is an indication that the increase in profitability is not only internally influenced but also influenced by the market conditions.</w:t>
      </w:r>
    </w:p>
    <w:p w14:paraId="4636046E" w14:textId="77777777" w:rsidR="003E5081" w:rsidRDefault="00053173">
      <w:r>
        <w:t>Although ratio analysis is useful, it has a number of limitations. It is founded on historical financial data and thus may not be a complete reflection of the present or future performance. Also, it does not consider the qualitative aspects like the brand strength, customer loyalty and strategic positioning which are very critical in retail. Comparability can also be impacted by differences in accounting policies, whereas external economic factors like inflation and interest rates are not directly reflected (</w:t>
      </w:r>
      <w:proofErr w:type="spellStart"/>
      <w:r>
        <w:t>Atrill</w:t>
      </w:r>
      <w:proofErr w:type="spellEnd"/>
      <w:r>
        <w:t>, 2019).</w:t>
      </w:r>
    </w:p>
    <w:p w14:paraId="2154BA11" w14:textId="77777777" w:rsidR="003E5081" w:rsidRDefault="00053173">
      <w:r>
        <w:t>A more interwoven analysis shows that there are significant interrelationships between ratios. As an example, Tesco has a comparatively low liquidity ratio (</w:t>
      </w:r>
      <w:r>
        <w:rPr>
          <w:b/>
          <w:bCs/>
        </w:rPr>
        <w:t>current ratio 0.75</w:t>
      </w:r>
      <w:r>
        <w:t>) and a high efficiency ratio, including an inventory turnover (</w:t>
      </w:r>
      <w:r>
        <w:rPr>
          <w:b/>
          <w:bCs/>
        </w:rPr>
        <w:t>19.2 times</w:t>
      </w:r>
      <w:r>
        <w:t>), which shows that the company has an efficient cash conversion cycle. Likewise, greater power of suppliers with high payables days (</w:t>
      </w:r>
      <w:r>
        <w:rPr>
          <w:b/>
          <w:bCs/>
        </w:rPr>
        <w:t>58 days</w:t>
      </w:r>
      <w:r>
        <w:t>) is an indication of strong supplier negotiation power, which is in favour of the working capital management. These associations indicate that Tesco has operational efficiency and strategic financial management that underpins its financial performance.</w:t>
      </w:r>
    </w:p>
    <w:p w14:paraId="4A72EA4D" w14:textId="77777777" w:rsidR="003E5081" w:rsidRDefault="00053173">
      <w:pPr>
        <w:pStyle w:val="Heading1"/>
      </w:pPr>
      <w:bookmarkStart w:id="11" w:name="_heading=h.fcv01enj36ws" w:colFirst="0" w:colLast="0"/>
      <w:bookmarkEnd w:id="11"/>
      <w:r>
        <w:t xml:space="preserve">5. Recommendations </w:t>
      </w:r>
    </w:p>
    <w:p w14:paraId="35937ACB" w14:textId="77777777" w:rsidR="003E5081" w:rsidRDefault="00053173">
      <w:r>
        <w:t>According to the financial analysis of Tesco plc, a number of recommendations can be made on how to improve its financial performance.</w:t>
      </w:r>
    </w:p>
    <w:p w14:paraId="75DA8A05" w14:textId="77777777" w:rsidR="003E5081" w:rsidRDefault="00053173">
      <w:r>
        <w:t xml:space="preserve">To begin with, Tesco needs to enhance its liquidity status through the enhancement of cash reserves. Though the current ratio has marginally improved to </w:t>
      </w:r>
      <w:r>
        <w:rPr>
          <w:b/>
          <w:bCs/>
        </w:rPr>
        <w:t>0.75</w:t>
      </w:r>
      <w:r>
        <w:t xml:space="preserve"> in </w:t>
      </w:r>
      <w:r>
        <w:rPr>
          <w:b/>
          <w:bCs/>
        </w:rPr>
        <w:t>2025</w:t>
      </w:r>
      <w:r>
        <w:t xml:space="preserve">, it is still lower as compared to the optimal level of 1, which means that it is not financially flexible in the short term. The increased liquidity would </w:t>
      </w:r>
      <w:proofErr w:type="spellStart"/>
      <w:r>
        <w:t>minimize</w:t>
      </w:r>
      <w:proofErr w:type="spellEnd"/>
      <w:r>
        <w:t xml:space="preserve"> the need to have continuous cash flows and make it more resilient in case of economic disruptions.</w:t>
      </w:r>
    </w:p>
    <w:p w14:paraId="5BEDDE92" w14:textId="77777777" w:rsidR="003E5081" w:rsidRDefault="00053173">
      <w:r>
        <w:t xml:space="preserve">Secondly, the company should continue to enhance cost efficiency. Though profitability is on the increase, operating profit margin has increased to </w:t>
      </w:r>
      <w:r>
        <w:rPr>
          <w:b/>
          <w:bCs/>
        </w:rPr>
        <w:t>4.92</w:t>
      </w:r>
      <w:r>
        <w:t xml:space="preserve"> but margins are still low because of high price competition. Additional focus on supply chain optimisation and cost management would be useful in maintaining profitability in the inflationary context.</w:t>
      </w:r>
    </w:p>
    <w:p w14:paraId="4F807183" w14:textId="77777777" w:rsidR="003E5081" w:rsidRDefault="00053173">
      <w:r>
        <w:t xml:space="preserve">Thirdly, Tesco needs to maximise its capital. Despite a reduction in the debt-to-equity ratio to </w:t>
      </w:r>
      <w:r>
        <w:rPr>
          <w:b/>
          <w:bCs/>
        </w:rPr>
        <w:t>0.82</w:t>
      </w:r>
      <w:r>
        <w:t>, a balanced debt and equity ratio is necessary to reduce financial risk whilst promoting growth.</w:t>
      </w:r>
    </w:p>
    <w:p w14:paraId="0D8F8CB4" w14:textId="77777777" w:rsidR="003E5081" w:rsidRDefault="00053173">
      <w:r>
        <w:t>Lastly, Tesco needs to increase its online and digital retail business to adjust to the evolving consumer behaviour. Online sales will help generate more revenue and better competitiveness in the changing UK retail market in the long run.</w:t>
      </w:r>
    </w:p>
    <w:p w14:paraId="57158E43" w14:textId="77777777" w:rsidR="003E5081" w:rsidRDefault="00053173">
      <w:pPr>
        <w:pStyle w:val="Heading1"/>
      </w:pPr>
      <w:bookmarkStart w:id="12" w:name="_heading=h.jqstnohopb14" w:colFirst="0" w:colLast="0"/>
      <w:bookmarkEnd w:id="12"/>
      <w:r>
        <w:t>6. Conclusion</w:t>
      </w:r>
    </w:p>
    <w:p w14:paraId="70FF7502" w14:textId="77777777" w:rsidR="003E5081" w:rsidRDefault="00053173">
      <w:pPr>
        <w:rPr>
          <w:b/>
          <w:bCs/>
          <w:color w:val="215E99"/>
          <w:sz w:val="28"/>
          <w:szCs w:val="28"/>
        </w:rPr>
      </w:pPr>
      <w:r>
        <w:t>Finally, the financial analysis shows that Tesco plc has a sound overall financial position in the highly competitive UK retail industry. The company has shown major strengths in its operational efficiency as shown by high inventory turnover and stable profitability with margin and returns on capital employed improving. Nevertheless, one of the weaknesses is that it has a low liquidity position as evidenced by current and quick ratios that are below optimum levels. This implies that they depend on the flow of cash. In general, Tesco may be regarded as a stable company in terms of its financial position, yet it requires a more focused strategic change to combat such issues as liquidity management and cost-effectiveness to become more resilient in the long-term and grow sustainably.</w:t>
      </w:r>
    </w:p>
    <w:p w14:paraId="1338B14F" w14:textId="77777777" w:rsidR="003E5081" w:rsidRDefault="00053173">
      <w:pPr>
        <w:pStyle w:val="Heading1"/>
      </w:pPr>
      <w:bookmarkStart w:id="13" w:name="_heading=h.3ons2ifdu99d" w:colFirst="0" w:colLast="0"/>
      <w:bookmarkEnd w:id="13"/>
      <w:r>
        <w:t>Part 2</w:t>
      </w:r>
    </w:p>
    <w:p w14:paraId="00F6E69D" w14:textId="77777777" w:rsidR="003E5081" w:rsidRDefault="00053173">
      <w:pPr>
        <w:pStyle w:val="Heading1"/>
        <w:spacing w:before="0"/>
        <w:jc w:val="both"/>
      </w:pPr>
      <w:bookmarkStart w:id="14" w:name="_heading=h.oku6tmgrpm45" w:colFirst="0" w:colLast="0"/>
      <w:bookmarkEnd w:id="14"/>
      <w:r>
        <w:t>1. Investment Options</w:t>
      </w:r>
    </w:p>
    <w:p w14:paraId="1AF9D062" w14:textId="77777777" w:rsidR="003E5081" w:rsidRDefault="00053173">
      <w:r>
        <w:t>Beard Plc is contemplating three investment strategies that would help facilitate its growth over a period of four years. These three options involve different amounts of investment in the beginning and have anticipated cash flows.</w:t>
      </w:r>
    </w:p>
    <w:p w14:paraId="7CBBEDAE" w14:textId="77777777" w:rsidR="003E5081" w:rsidRDefault="00053173">
      <w:pPr>
        <w:spacing w:after="0"/>
        <w:rPr>
          <w:b/>
          <w:bCs/>
          <w:u w:val="single"/>
        </w:rPr>
      </w:pPr>
      <w:r>
        <w:rPr>
          <w:b/>
          <w:bCs/>
          <w:u w:val="single"/>
        </w:rPr>
        <w:t>Option A: Expanding Retail Outlets</w:t>
      </w:r>
    </w:p>
    <w:p w14:paraId="509A2CC0" w14:textId="77777777" w:rsidR="003E5081" w:rsidRDefault="00053173">
      <w:pPr>
        <w:numPr>
          <w:ilvl w:val="0"/>
          <w:numId w:val="8"/>
        </w:numPr>
        <w:pBdr>
          <w:top w:val="nil"/>
          <w:left w:val="nil"/>
          <w:bottom w:val="nil"/>
          <w:right w:val="nil"/>
          <w:between w:val="nil"/>
        </w:pBdr>
        <w:spacing w:after="0"/>
      </w:pPr>
      <w:r>
        <w:rPr>
          <w:color w:val="000000"/>
        </w:rPr>
        <w:t>Focusing on developing the current retail network of the firm.</w:t>
      </w:r>
    </w:p>
    <w:p w14:paraId="45B39FA3" w14:textId="77777777" w:rsidR="003E5081" w:rsidRDefault="00053173">
      <w:pPr>
        <w:numPr>
          <w:ilvl w:val="0"/>
          <w:numId w:val="8"/>
        </w:numPr>
        <w:pBdr>
          <w:top w:val="nil"/>
          <w:left w:val="nil"/>
          <w:bottom w:val="nil"/>
          <w:right w:val="nil"/>
          <w:between w:val="nil"/>
        </w:pBdr>
        <w:spacing w:after="0"/>
      </w:pPr>
      <w:r>
        <w:rPr>
          <w:color w:val="000000"/>
        </w:rPr>
        <w:t>Involving a start-up cost of £600,000.</w:t>
      </w:r>
    </w:p>
    <w:p w14:paraId="16FFFA8C" w14:textId="77777777" w:rsidR="003E5081" w:rsidRDefault="00053173">
      <w:pPr>
        <w:numPr>
          <w:ilvl w:val="0"/>
          <w:numId w:val="8"/>
        </w:numPr>
        <w:pBdr>
          <w:top w:val="nil"/>
          <w:left w:val="nil"/>
          <w:bottom w:val="nil"/>
          <w:right w:val="nil"/>
          <w:between w:val="nil"/>
        </w:pBdr>
      </w:pPr>
      <w:r>
        <w:rPr>
          <w:color w:val="000000"/>
        </w:rPr>
        <w:t>Striving to boost customer interaction and sales within the stores.</w:t>
      </w:r>
    </w:p>
    <w:p w14:paraId="753B8786" w14:textId="77777777" w:rsidR="003E5081" w:rsidRDefault="00053173">
      <w:pPr>
        <w:spacing w:after="0"/>
        <w:rPr>
          <w:b/>
          <w:bCs/>
          <w:u w:val="single"/>
        </w:rPr>
      </w:pPr>
      <w:r>
        <w:rPr>
          <w:b/>
          <w:bCs/>
          <w:u w:val="single"/>
        </w:rPr>
        <w:t>Option B: Online Sales Strategy</w:t>
      </w:r>
    </w:p>
    <w:p w14:paraId="07CB2881" w14:textId="77777777" w:rsidR="003E5081" w:rsidRDefault="00053173">
      <w:pPr>
        <w:numPr>
          <w:ilvl w:val="0"/>
          <w:numId w:val="1"/>
        </w:numPr>
        <w:pBdr>
          <w:top w:val="nil"/>
          <w:left w:val="nil"/>
          <w:bottom w:val="nil"/>
          <w:right w:val="nil"/>
          <w:between w:val="nil"/>
        </w:pBdr>
        <w:spacing w:after="0"/>
      </w:pPr>
      <w:r>
        <w:rPr>
          <w:color w:val="000000"/>
        </w:rPr>
        <w:t>Focusing on building up online sales capabilities.</w:t>
      </w:r>
    </w:p>
    <w:p w14:paraId="17DD83E7" w14:textId="77777777" w:rsidR="003E5081" w:rsidRDefault="00053173">
      <w:pPr>
        <w:numPr>
          <w:ilvl w:val="0"/>
          <w:numId w:val="1"/>
        </w:numPr>
        <w:pBdr>
          <w:top w:val="nil"/>
          <w:left w:val="nil"/>
          <w:bottom w:val="nil"/>
          <w:right w:val="nil"/>
          <w:between w:val="nil"/>
        </w:pBdr>
        <w:spacing w:after="0"/>
      </w:pPr>
      <w:r>
        <w:rPr>
          <w:color w:val="000000"/>
        </w:rPr>
        <w:t>Involving a start-up cost of £900,000.</w:t>
      </w:r>
    </w:p>
    <w:p w14:paraId="281A00BF" w14:textId="77777777" w:rsidR="003E5081" w:rsidRDefault="00053173">
      <w:pPr>
        <w:numPr>
          <w:ilvl w:val="0"/>
          <w:numId w:val="1"/>
        </w:numPr>
        <w:pBdr>
          <w:top w:val="nil"/>
          <w:left w:val="nil"/>
          <w:bottom w:val="nil"/>
          <w:right w:val="nil"/>
          <w:between w:val="nil"/>
        </w:pBdr>
      </w:pPr>
      <w:r>
        <w:rPr>
          <w:color w:val="000000"/>
        </w:rPr>
        <w:t>Striving to reach out to more customers through the internet.</w:t>
      </w:r>
    </w:p>
    <w:p w14:paraId="089B7256" w14:textId="77777777" w:rsidR="003E5081" w:rsidRDefault="00053173">
      <w:pPr>
        <w:spacing w:after="0"/>
        <w:rPr>
          <w:b/>
          <w:bCs/>
          <w:u w:val="single"/>
        </w:rPr>
      </w:pPr>
      <w:r>
        <w:rPr>
          <w:b/>
          <w:bCs/>
          <w:u w:val="single"/>
        </w:rPr>
        <w:t>Option C: Manufacturing of Purses and Wallets</w:t>
      </w:r>
    </w:p>
    <w:p w14:paraId="4E7E03A4" w14:textId="77777777" w:rsidR="003E5081" w:rsidRDefault="00053173">
      <w:pPr>
        <w:numPr>
          <w:ilvl w:val="0"/>
          <w:numId w:val="9"/>
        </w:numPr>
        <w:pBdr>
          <w:top w:val="nil"/>
          <w:left w:val="nil"/>
          <w:bottom w:val="nil"/>
          <w:right w:val="nil"/>
          <w:between w:val="nil"/>
        </w:pBdr>
        <w:spacing w:after="0"/>
      </w:pPr>
      <w:r>
        <w:rPr>
          <w:color w:val="000000"/>
        </w:rPr>
        <w:t>Involving the diversification of products into purses and wallets.</w:t>
      </w:r>
    </w:p>
    <w:p w14:paraId="535E7F79" w14:textId="77777777" w:rsidR="003E5081" w:rsidRDefault="00053173">
      <w:pPr>
        <w:numPr>
          <w:ilvl w:val="0"/>
          <w:numId w:val="9"/>
        </w:numPr>
        <w:pBdr>
          <w:top w:val="nil"/>
          <w:left w:val="nil"/>
          <w:bottom w:val="nil"/>
          <w:right w:val="nil"/>
          <w:between w:val="nil"/>
        </w:pBdr>
        <w:spacing w:after="0"/>
      </w:pPr>
      <w:r>
        <w:rPr>
          <w:color w:val="000000"/>
        </w:rPr>
        <w:t>Involving a start-up cost of £1,000,000.</w:t>
      </w:r>
    </w:p>
    <w:p w14:paraId="6B4D1713" w14:textId="77777777" w:rsidR="003E5081" w:rsidRDefault="00053173">
      <w:pPr>
        <w:numPr>
          <w:ilvl w:val="0"/>
          <w:numId w:val="9"/>
        </w:numPr>
        <w:pBdr>
          <w:top w:val="nil"/>
          <w:left w:val="nil"/>
          <w:bottom w:val="nil"/>
          <w:right w:val="nil"/>
          <w:between w:val="nil"/>
        </w:pBdr>
      </w:pPr>
      <w:r>
        <w:rPr>
          <w:color w:val="000000"/>
        </w:rPr>
        <w:t>Aiming to tap into new market segments and increase revenue streams.</w:t>
      </w:r>
    </w:p>
    <w:p w14:paraId="077B371B" w14:textId="77777777" w:rsidR="003E5081" w:rsidRDefault="00053173">
      <w:r>
        <w:t>A thorough analysis of all three options would follow in order to choose the most feasible and profitable option.</w:t>
      </w:r>
    </w:p>
    <w:p w14:paraId="1CFDBC63" w14:textId="77777777" w:rsidR="003E5081" w:rsidRDefault="00053173">
      <w:pPr>
        <w:pStyle w:val="Heading1"/>
      </w:pPr>
      <w:bookmarkStart w:id="15" w:name="_heading=h.4zc9rzlumm9e" w:colFirst="0" w:colLast="0"/>
      <w:bookmarkEnd w:id="15"/>
      <w:r>
        <w:t>2. Investment Appraisal Techniques</w:t>
      </w:r>
    </w:p>
    <w:p w14:paraId="4D30D092" w14:textId="77777777" w:rsidR="003E5081" w:rsidRDefault="00053173">
      <w:pPr>
        <w:pStyle w:val="Heading2"/>
      </w:pPr>
      <w:bookmarkStart w:id="16" w:name="_heading=h.m0st3v55swjp" w:colFirst="0" w:colLast="0"/>
      <w:bookmarkEnd w:id="16"/>
      <w:r>
        <w:t>2.1 Net Present Value (NPV)</w:t>
      </w:r>
    </w:p>
    <w:p w14:paraId="64BE4A20" w14:textId="77777777" w:rsidR="003E5081" w:rsidRDefault="00053173">
      <w:r>
        <w:t xml:space="preserve">The Net Present Value (NPV) is an essential investment evaluation approach where the current value of the cash flows generated by the project in the future period is estimated compared to the investment made. In determining the net present value, the time value of money is taken into consideration through discounting the future cash flows at a particular rate of return, in this case, 5%. A project is considered to be financially viable when the NPV is positive since the cash flows exceed the cost of the investment (Hai </w:t>
      </w:r>
      <w:r>
        <w:rPr>
          <w:i/>
          <w:iCs/>
        </w:rPr>
        <w:t xml:space="preserve">et al., </w:t>
      </w:r>
      <w:r>
        <w:t>2024). Net Present Value (NPV) continues to be the best investment approach on theoretical grounds as it evaluates the value created by the investment (Lin, 2023). It also enables comparisons of different projects and investment decisions for the management.</w:t>
      </w:r>
    </w:p>
    <w:p w14:paraId="732EACB3" w14:textId="77777777" w:rsidR="003E5081" w:rsidRDefault="00053173">
      <w:pPr>
        <w:pStyle w:val="Heading2"/>
      </w:pPr>
      <w:bookmarkStart w:id="17" w:name="_heading=h.22fg095nbv6u" w:colFirst="0" w:colLast="0"/>
      <w:bookmarkEnd w:id="17"/>
      <w:r>
        <w:t>2.2 Internal Rate of Return (IRR)</w:t>
      </w:r>
    </w:p>
    <w:p w14:paraId="60A451A0" w14:textId="77777777" w:rsidR="003E5081" w:rsidRDefault="00053173">
      <w:r>
        <w:t xml:space="preserve">The Internal Rate of Return (IRR) is the discount rate that makes the NPV of the investment equal to zero. In simple terms, the internal rate of return is the rate of return earned on the investment. An investment can be said to be feasible if its internal rate of return is greater than the cost of capital (Hai </w:t>
      </w:r>
      <w:r>
        <w:rPr>
          <w:i/>
          <w:iCs/>
        </w:rPr>
        <w:t xml:space="preserve">et al., </w:t>
      </w:r>
      <w:r>
        <w:t>2024). While the internal rate of return (IRR) method is popularly used because of its percentage basis, there could be inconsistencies in its findings, especially when making comparisons between mutually exclusive investments (</w:t>
      </w:r>
      <w:proofErr w:type="spellStart"/>
      <w:r>
        <w:t>Sokolov</w:t>
      </w:r>
      <w:proofErr w:type="spellEnd"/>
      <w:r>
        <w:t>, 2024). Notwithstanding its weaknesses, the internal rate of return (IRR) is still a useful supplementary technique to the NPV approach.</w:t>
      </w:r>
    </w:p>
    <w:p w14:paraId="1ADC580B" w14:textId="77777777" w:rsidR="003E5081" w:rsidRDefault="00053173">
      <w:pPr>
        <w:rPr>
          <w:i/>
          <w:iCs/>
        </w:rPr>
      </w:pPr>
      <w:r>
        <w:rPr>
          <w:i/>
          <w:iCs/>
        </w:rPr>
        <w:t>For this evaluation, the following assumptions and methodology apply:</w:t>
      </w:r>
    </w:p>
    <w:p w14:paraId="122A6D93" w14:textId="77777777" w:rsidR="003E5081" w:rsidRDefault="00053173">
      <w:pPr>
        <w:numPr>
          <w:ilvl w:val="0"/>
          <w:numId w:val="3"/>
        </w:numPr>
        <w:pBdr>
          <w:top w:val="nil"/>
          <w:left w:val="nil"/>
          <w:bottom w:val="nil"/>
          <w:right w:val="nil"/>
          <w:between w:val="nil"/>
        </w:pBdr>
        <w:spacing w:after="0"/>
        <w:rPr>
          <w:color w:val="000000"/>
        </w:rPr>
      </w:pPr>
      <w:r>
        <w:rPr>
          <w:b/>
          <w:bCs/>
          <w:i/>
          <w:iCs/>
          <w:color w:val="000000"/>
        </w:rPr>
        <w:t>Cost of Capital (Discount Rate):</w:t>
      </w:r>
      <w:r>
        <w:rPr>
          <w:color w:val="000000"/>
        </w:rPr>
        <w:t> 5%, as provided in the brief.</w:t>
      </w:r>
    </w:p>
    <w:p w14:paraId="00BA5023" w14:textId="77777777" w:rsidR="003E5081" w:rsidRDefault="00053173">
      <w:pPr>
        <w:numPr>
          <w:ilvl w:val="0"/>
          <w:numId w:val="3"/>
        </w:numPr>
        <w:pBdr>
          <w:top w:val="nil"/>
          <w:left w:val="nil"/>
          <w:bottom w:val="nil"/>
          <w:right w:val="nil"/>
          <w:between w:val="nil"/>
        </w:pBdr>
        <w:spacing w:after="0"/>
        <w:rPr>
          <w:color w:val="000000"/>
        </w:rPr>
      </w:pPr>
      <w:r>
        <w:rPr>
          <w:b/>
          <w:bCs/>
          <w:i/>
          <w:iCs/>
          <w:color w:val="000000"/>
        </w:rPr>
        <w:t>Corporation Tax:</w:t>
      </w:r>
      <w:r>
        <w:rPr>
          <w:color w:val="000000"/>
        </w:rPr>
        <w:t> 25% on taxable profits.</w:t>
      </w:r>
    </w:p>
    <w:p w14:paraId="06A0F6E1" w14:textId="77777777" w:rsidR="003E5081" w:rsidRDefault="00053173">
      <w:pPr>
        <w:numPr>
          <w:ilvl w:val="0"/>
          <w:numId w:val="3"/>
        </w:numPr>
        <w:pBdr>
          <w:top w:val="nil"/>
          <w:left w:val="nil"/>
          <w:bottom w:val="nil"/>
          <w:right w:val="nil"/>
          <w:between w:val="nil"/>
        </w:pBdr>
        <w:spacing w:after="0"/>
        <w:rPr>
          <w:color w:val="000000"/>
        </w:rPr>
      </w:pPr>
      <w:r>
        <w:rPr>
          <w:b/>
          <w:bCs/>
          <w:i/>
          <w:iCs/>
          <w:color w:val="000000"/>
        </w:rPr>
        <w:t>Capital Allowances:</w:t>
      </w:r>
      <w:r>
        <w:rPr>
          <w:color w:val="000000"/>
        </w:rPr>
        <w:t> 20% on a straight-line basis, reducing the initial investment evenly over 5 years. Given the 4-year project horizon, unclaimed allowances are assumed to be released in Year 4.</w:t>
      </w:r>
    </w:p>
    <w:p w14:paraId="682BD700" w14:textId="77777777" w:rsidR="003E5081" w:rsidRDefault="00053173">
      <w:pPr>
        <w:numPr>
          <w:ilvl w:val="0"/>
          <w:numId w:val="3"/>
        </w:numPr>
        <w:pBdr>
          <w:top w:val="nil"/>
          <w:left w:val="nil"/>
          <w:bottom w:val="nil"/>
          <w:right w:val="nil"/>
          <w:between w:val="nil"/>
        </w:pBdr>
        <w:spacing w:after="0"/>
        <w:rPr>
          <w:color w:val="000000"/>
        </w:rPr>
      </w:pPr>
      <w:r>
        <w:rPr>
          <w:b/>
          <w:bCs/>
          <w:i/>
          <w:iCs/>
          <w:color w:val="000000"/>
        </w:rPr>
        <w:t>Timing:</w:t>
      </w:r>
      <w:r>
        <w:rPr>
          <w:color w:val="000000"/>
        </w:rPr>
        <w:t> All cash flows occur at year-end.</w:t>
      </w:r>
    </w:p>
    <w:p w14:paraId="74E4085B" w14:textId="77777777" w:rsidR="003E5081" w:rsidRDefault="00053173">
      <w:pPr>
        <w:numPr>
          <w:ilvl w:val="0"/>
          <w:numId w:val="3"/>
        </w:numPr>
        <w:pBdr>
          <w:top w:val="nil"/>
          <w:left w:val="nil"/>
          <w:bottom w:val="nil"/>
          <w:right w:val="nil"/>
          <w:between w:val="nil"/>
        </w:pBdr>
        <w:rPr>
          <w:color w:val="000000"/>
        </w:rPr>
      </w:pPr>
      <w:r>
        <w:rPr>
          <w:b/>
          <w:bCs/>
          <w:i/>
          <w:iCs/>
          <w:color w:val="000000"/>
        </w:rPr>
        <w:t>Tax Payment:</w:t>
      </w:r>
      <w:r>
        <w:rPr>
          <w:color w:val="000000"/>
        </w:rPr>
        <w:t> Assumed to occur in the same year as the taxable profit (simplifying assumption).</w:t>
      </w:r>
    </w:p>
    <w:p w14:paraId="6B217C20" w14:textId="77777777" w:rsidR="003E5081" w:rsidRDefault="00053173">
      <w:pPr>
        <w:pStyle w:val="Heading1"/>
      </w:pPr>
      <w:bookmarkStart w:id="18" w:name="_heading=h.t4op2pvk2dk9" w:colFirst="0" w:colLast="0"/>
      <w:bookmarkEnd w:id="18"/>
      <w:r>
        <w:t>3. NPV Calculations and Results</w:t>
      </w:r>
    </w:p>
    <w:p w14:paraId="7EA3B535" w14:textId="77777777" w:rsidR="003E5081" w:rsidRDefault="00053173">
      <w:r>
        <w:t>In order to determine the financial feasibility of the three investments, the NPV approach is being used at a discount rate of 5%. NPV determines the present value of future cash flows less the initial investment cost (</w:t>
      </w:r>
      <w:proofErr w:type="spellStart"/>
      <w:r>
        <w:t>Prismanda</w:t>
      </w:r>
      <w:proofErr w:type="spellEnd"/>
      <w:r>
        <w:t xml:space="preserve"> </w:t>
      </w:r>
      <w:r>
        <w:rPr>
          <w:i/>
          <w:iCs/>
        </w:rPr>
        <w:t xml:space="preserve">et al., </w:t>
      </w:r>
      <w:r>
        <w:t>2023). The following analysis will help in making a determination on whether value is being created.</w:t>
      </w:r>
    </w:p>
    <w:p w14:paraId="696BAD82" w14:textId="77777777" w:rsidR="003E5081" w:rsidRDefault="00053173">
      <w:pPr>
        <w:spacing w:after="0"/>
        <w:rPr>
          <w:b/>
          <w:bCs/>
          <w:u w:val="single"/>
        </w:rPr>
      </w:pPr>
      <w:r>
        <w:rPr>
          <w:b/>
          <w:bCs/>
          <w:u w:val="single"/>
        </w:rPr>
        <w:t>Capital Allowances (20% Straight-Line on Original Cost)</w:t>
      </w:r>
    </w:p>
    <w:tbl>
      <w:tblPr>
        <w:tblStyle w:val="a4"/>
        <w:tblW w:w="9074" w:type="dxa"/>
        <w:tblInd w:w="0" w:type="dxa"/>
        <w:tblBorders>
          <w:top w:val="single" w:sz="4" w:space="0" w:color="0A3041"/>
          <w:left w:val="single" w:sz="4" w:space="0" w:color="0A3041"/>
          <w:bottom w:val="single" w:sz="4" w:space="0" w:color="0A3041"/>
          <w:right w:val="single" w:sz="4" w:space="0" w:color="0A3041"/>
          <w:insideH w:val="single" w:sz="4" w:space="0" w:color="0A3041"/>
          <w:insideV w:val="single" w:sz="4" w:space="0" w:color="0A3041"/>
        </w:tblBorders>
        <w:tblLayout w:type="fixed"/>
        <w:tblLook w:val="04A0" w:firstRow="1" w:lastRow="0" w:firstColumn="1" w:lastColumn="0" w:noHBand="0" w:noVBand="1"/>
      </w:tblPr>
      <w:tblGrid>
        <w:gridCol w:w="1339"/>
        <w:gridCol w:w="3433"/>
        <w:gridCol w:w="4302"/>
      </w:tblGrid>
      <w:tr w:rsidR="003E5081" w14:paraId="5502DD11" w14:textId="77777777" w:rsidTr="003E5081">
        <w:trPr>
          <w:cnfStyle w:val="100000000000" w:firstRow="1" w:lastRow="0" w:firstColumn="0" w:lastColumn="0" w:oddVBand="0" w:evenVBand="0" w:oddHBand="0"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339" w:type="dxa"/>
            <w:tcBorders>
              <w:top w:val="nil"/>
              <w:left w:val="nil"/>
            </w:tcBorders>
          </w:tcPr>
          <w:p w14:paraId="62EC4CC9" w14:textId="77777777" w:rsidR="003E5081" w:rsidRDefault="00053173">
            <w:pPr>
              <w:jc w:val="center"/>
              <w:rPr>
                <w:color w:val="000000"/>
              </w:rPr>
            </w:pPr>
            <w:r>
              <w:rPr>
                <w:color w:val="000000"/>
              </w:rPr>
              <w:t>Option</w:t>
            </w:r>
          </w:p>
        </w:tc>
        <w:tc>
          <w:tcPr>
            <w:tcW w:w="3433" w:type="dxa"/>
            <w:tcBorders>
              <w:top w:val="nil"/>
            </w:tcBorders>
          </w:tcPr>
          <w:p w14:paraId="1E4A9ED4"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Initial Investment (£)</w:t>
            </w:r>
          </w:p>
        </w:tc>
        <w:tc>
          <w:tcPr>
            <w:tcW w:w="4302" w:type="dxa"/>
            <w:tcBorders>
              <w:top w:val="nil"/>
              <w:right w:val="nil"/>
            </w:tcBorders>
          </w:tcPr>
          <w:p w14:paraId="2FBBDC65"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Annual CA (Years 1-4) (£)</w:t>
            </w:r>
          </w:p>
        </w:tc>
      </w:tr>
      <w:tr w:rsidR="003E5081" w14:paraId="52222659" w14:textId="77777777" w:rsidTr="003E5081">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339" w:type="dxa"/>
            <w:tcBorders>
              <w:left w:val="nil"/>
            </w:tcBorders>
          </w:tcPr>
          <w:p w14:paraId="69E7AEDD" w14:textId="77777777" w:rsidR="003E5081" w:rsidRDefault="00053173">
            <w:pPr>
              <w:jc w:val="center"/>
              <w:rPr>
                <w:color w:val="000000"/>
              </w:rPr>
            </w:pPr>
            <w:r>
              <w:rPr>
                <w:color w:val="000000"/>
              </w:rPr>
              <w:t>A</w:t>
            </w:r>
          </w:p>
        </w:tc>
        <w:tc>
          <w:tcPr>
            <w:tcW w:w="3433" w:type="dxa"/>
          </w:tcPr>
          <w:p w14:paraId="782C3E61"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600,000</w:t>
            </w:r>
          </w:p>
        </w:tc>
        <w:tc>
          <w:tcPr>
            <w:tcW w:w="4302" w:type="dxa"/>
          </w:tcPr>
          <w:p w14:paraId="5462173B"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600,000 × 20% = 120,000</w:t>
            </w:r>
          </w:p>
        </w:tc>
      </w:tr>
      <w:tr w:rsidR="003E5081" w14:paraId="1F755943" w14:textId="77777777" w:rsidTr="003E5081">
        <w:trPr>
          <w:trHeight w:val="70"/>
        </w:trPr>
        <w:tc>
          <w:tcPr>
            <w:cnfStyle w:val="001000000000" w:firstRow="0" w:lastRow="0" w:firstColumn="1" w:lastColumn="0" w:oddVBand="0" w:evenVBand="0" w:oddHBand="0" w:evenHBand="0" w:firstRowFirstColumn="0" w:firstRowLastColumn="0" w:lastRowFirstColumn="0" w:lastRowLastColumn="0"/>
            <w:tcW w:w="1339" w:type="dxa"/>
            <w:tcBorders>
              <w:left w:val="nil"/>
            </w:tcBorders>
          </w:tcPr>
          <w:p w14:paraId="0325FE1A" w14:textId="77777777" w:rsidR="003E5081" w:rsidRDefault="00053173">
            <w:pPr>
              <w:jc w:val="center"/>
              <w:rPr>
                <w:color w:val="000000"/>
              </w:rPr>
            </w:pPr>
            <w:r>
              <w:rPr>
                <w:color w:val="000000"/>
              </w:rPr>
              <w:t>B</w:t>
            </w:r>
          </w:p>
        </w:tc>
        <w:tc>
          <w:tcPr>
            <w:tcW w:w="3433" w:type="dxa"/>
          </w:tcPr>
          <w:p w14:paraId="6391CFC9"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900,000</w:t>
            </w:r>
          </w:p>
        </w:tc>
        <w:tc>
          <w:tcPr>
            <w:tcW w:w="4302" w:type="dxa"/>
          </w:tcPr>
          <w:p w14:paraId="6BDD2F88"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900,000 × 20% = 180,000</w:t>
            </w:r>
          </w:p>
        </w:tc>
      </w:tr>
      <w:tr w:rsidR="003E5081" w14:paraId="1F503460" w14:textId="77777777" w:rsidTr="003E5081">
        <w:trPr>
          <w:cnfStyle w:val="000000100000" w:firstRow="0" w:lastRow="0" w:firstColumn="0" w:lastColumn="0" w:oddVBand="0" w:evenVBand="0" w:oddHBand="1" w:evenHBand="0" w:firstRowFirstColumn="0" w:firstRowLastColumn="0" w:lastRowFirstColumn="0" w:lastRowLastColumn="0"/>
          <w:trHeight w:val="70"/>
        </w:trPr>
        <w:tc>
          <w:tcPr>
            <w:cnfStyle w:val="001000000000" w:firstRow="0" w:lastRow="0" w:firstColumn="1" w:lastColumn="0" w:oddVBand="0" w:evenVBand="0" w:oddHBand="0" w:evenHBand="0" w:firstRowFirstColumn="0" w:firstRowLastColumn="0" w:lastRowFirstColumn="0" w:lastRowLastColumn="0"/>
            <w:tcW w:w="1339" w:type="dxa"/>
            <w:tcBorders>
              <w:left w:val="nil"/>
              <w:bottom w:val="nil"/>
            </w:tcBorders>
          </w:tcPr>
          <w:p w14:paraId="73EE258B" w14:textId="77777777" w:rsidR="003E5081" w:rsidRDefault="00053173">
            <w:pPr>
              <w:jc w:val="center"/>
              <w:rPr>
                <w:color w:val="000000"/>
              </w:rPr>
            </w:pPr>
            <w:r>
              <w:rPr>
                <w:color w:val="000000"/>
              </w:rPr>
              <w:t>C</w:t>
            </w:r>
          </w:p>
        </w:tc>
        <w:tc>
          <w:tcPr>
            <w:tcW w:w="3433" w:type="dxa"/>
          </w:tcPr>
          <w:p w14:paraId="12234D45"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1,000,000</w:t>
            </w:r>
          </w:p>
        </w:tc>
        <w:tc>
          <w:tcPr>
            <w:tcW w:w="4302" w:type="dxa"/>
          </w:tcPr>
          <w:p w14:paraId="6F5808A2"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1,000,000 × 20% = 200,000</w:t>
            </w:r>
          </w:p>
        </w:tc>
      </w:tr>
    </w:tbl>
    <w:p w14:paraId="62F61493" w14:textId="77777777" w:rsidR="003E5081" w:rsidRDefault="00053173">
      <w:pPr>
        <w:spacing w:before="240" w:after="0"/>
      </w:pPr>
      <w:r>
        <w:t>Over 4 years, total capital allowances claimed = 80% of investment. The remaining 20% is ignored for simplicity, as the project ends.</w:t>
      </w:r>
    </w:p>
    <w:p w14:paraId="1580331B" w14:textId="77777777" w:rsidR="003E5081" w:rsidRDefault="00053173">
      <w:pPr>
        <w:spacing w:before="240" w:after="0"/>
        <w:rPr>
          <w:b/>
          <w:bCs/>
          <w:u w:val="single"/>
        </w:rPr>
      </w:pPr>
      <w:r>
        <w:rPr>
          <w:b/>
          <w:bCs/>
          <w:u w:val="single"/>
        </w:rPr>
        <w:t>NPV Formula</w:t>
      </w:r>
    </w:p>
    <w:p w14:paraId="72355544" w14:textId="77777777" w:rsidR="003E5081" w:rsidRDefault="00053173">
      <w:pPr>
        <w:spacing w:after="0"/>
      </w:pPr>
      <w:r>
        <w:t>The standard NPV formula used is:</w:t>
      </w:r>
    </w:p>
    <w:p w14:paraId="03151655" w14:textId="77777777" w:rsidR="003E5081" w:rsidRDefault="00053173">
      <w:pPr>
        <w:spacing w:after="0"/>
        <w:jc w:val="center"/>
        <w:rPr>
          <w:b/>
          <w:bCs/>
          <w:u w:val="single"/>
        </w:rPr>
      </w:pPr>
      <w:r>
        <w:rPr>
          <w:noProof/>
        </w:rPr>
        <w:drawing>
          <wp:inline distT="0" distB="0" distL="0" distR="0" wp14:anchorId="211AB610" wp14:editId="18C750B1">
            <wp:extent cx="3483469" cy="6615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l="31742" b="63878"/>
                    <a:stretch>
                      <a:fillRect/>
                    </a:stretch>
                  </pic:blipFill>
                  <pic:spPr>
                    <a:xfrm>
                      <a:off x="0" y="0"/>
                      <a:ext cx="3483469" cy="661525"/>
                    </a:xfrm>
                    <a:prstGeom prst="rect">
                      <a:avLst/>
                    </a:prstGeom>
                    <a:ln/>
                  </pic:spPr>
                </pic:pic>
              </a:graphicData>
            </a:graphic>
          </wp:inline>
        </w:drawing>
      </w:r>
    </w:p>
    <w:p w14:paraId="5B065B52" w14:textId="77777777" w:rsidR="003E5081" w:rsidRDefault="00053173">
      <w:pPr>
        <w:spacing w:after="0"/>
        <w:jc w:val="center"/>
        <w:rPr>
          <w:b/>
          <w:bCs/>
          <w:u w:val="single"/>
        </w:rPr>
      </w:pPr>
      <w:r>
        <w:rPr>
          <w:noProof/>
        </w:rPr>
        <w:drawing>
          <wp:inline distT="0" distB="0" distL="0" distR="0" wp14:anchorId="316F6337" wp14:editId="193E0D10">
            <wp:extent cx="5569023" cy="136911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t="31491"/>
                    <a:stretch>
                      <a:fillRect/>
                    </a:stretch>
                  </pic:blipFill>
                  <pic:spPr>
                    <a:xfrm>
                      <a:off x="0" y="0"/>
                      <a:ext cx="5569023" cy="1369118"/>
                    </a:xfrm>
                    <a:prstGeom prst="rect">
                      <a:avLst/>
                    </a:prstGeom>
                    <a:ln/>
                  </pic:spPr>
                </pic:pic>
              </a:graphicData>
            </a:graphic>
          </wp:inline>
        </w:drawing>
      </w:r>
    </w:p>
    <w:p w14:paraId="1DEA4B95" w14:textId="77777777" w:rsidR="003E5081" w:rsidRDefault="00053173">
      <w:r>
        <w:t>This formula discounts future cash flows to present value, reflecting the time value of money.</w:t>
      </w:r>
    </w:p>
    <w:p w14:paraId="40626819" w14:textId="77777777" w:rsidR="003E5081" w:rsidRDefault="00053173">
      <w:pPr>
        <w:spacing w:after="0"/>
        <w:rPr>
          <w:b/>
          <w:bCs/>
          <w:u w:val="single"/>
        </w:rPr>
      </w:pPr>
      <w:r>
        <w:rPr>
          <w:b/>
          <w:bCs/>
          <w:u w:val="single"/>
        </w:rPr>
        <w:t>Option A: Retail Outlet Expansion</w:t>
      </w:r>
    </w:p>
    <w:tbl>
      <w:tblPr>
        <w:tblStyle w:val="a5"/>
        <w:tblW w:w="9016" w:type="dxa"/>
        <w:tblInd w:w="0" w:type="dxa"/>
        <w:tblBorders>
          <w:top w:val="single" w:sz="4" w:space="0" w:color="275317"/>
          <w:left w:val="single" w:sz="4" w:space="0" w:color="275317"/>
          <w:bottom w:val="single" w:sz="4" w:space="0" w:color="275317"/>
          <w:right w:val="single" w:sz="4" w:space="0" w:color="275317"/>
          <w:insideH w:val="single" w:sz="4" w:space="0" w:color="275317"/>
          <w:insideV w:val="single" w:sz="4" w:space="0" w:color="275317"/>
        </w:tblBorders>
        <w:tblLayout w:type="fixed"/>
        <w:tblLook w:val="04A0" w:firstRow="1" w:lastRow="0" w:firstColumn="1" w:lastColumn="0" w:noHBand="0" w:noVBand="1"/>
      </w:tblPr>
      <w:tblGrid>
        <w:gridCol w:w="682"/>
        <w:gridCol w:w="1146"/>
        <w:gridCol w:w="1428"/>
        <w:gridCol w:w="1207"/>
        <w:gridCol w:w="1055"/>
        <w:gridCol w:w="1258"/>
        <w:gridCol w:w="1056"/>
        <w:gridCol w:w="1184"/>
      </w:tblGrid>
      <w:tr w:rsidR="003E5081" w14:paraId="18062F13" w14:textId="77777777" w:rsidTr="003E5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2" w:type="dxa"/>
            <w:tcBorders>
              <w:top w:val="nil"/>
              <w:left w:val="nil"/>
            </w:tcBorders>
          </w:tcPr>
          <w:p w14:paraId="1A40602D" w14:textId="77777777" w:rsidR="003E5081" w:rsidRDefault="00053173">
            <w:pPr>
              <w:jc w:val="center"/>
              <w:rPr>
                <w:color w:val="000000"/>
                <w:sz w:val="22"/>
                <w:szCs w:val="22"/>
              </w:rPr>
            </w:pPr>
            <w:r>
              <w:rPr>
                <w:color w:val="000000"/>
                <w:sz w:val="22"/>
                <w:szCs w:val="22"/>
              </w:rPr>
              <w:t>Year</w:t>
            </w:r>
          </w:p>
        </w:tc>
        <w:tc>
          <w:tcPr>
            <w:tcW w:w="1146" w:type="dxa"/>
            <w:tcBorders>
              <w:top w:val="nil"/>
            </w:tcBorders>
          </w:tcPr>
          <w:p w14:paraId="32B650B3"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Cash Flow (£)</w:t>
            </w:r>
          </w:p>
        </w:tc>
        <w:tc>
          <w:tcPr>
            <w:tcW w:w="1428" w:type="dxa"/>
            <w:tcBorders>
              <w:top w:val="nil"/>
            </w:tcBorders>
          </w:tcPr>
          <w:p w14:paraId="1742BF44"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Capital Allowance (£)</w:t>
            </w:r>
          </w:p>
        </w:tc>
        <w:tc>
          <w:tcPr>
            <w:tcW w:w="1207" w:type="dxa"/>
            <w:tcBorders>
              <w:top w:val="nil"/>
            </w:tcBorders>
          </w:tcPr>
          <w:p w14:paraId="76B05E2E"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Taxable Profit (£)</w:t>
            </w:r>
          </w:p>
        </w:tc>
        <w:tc>
          <w:tcPr>
            <w:tcW w:w="1055" w:type="dxa"/>
            <w:tcBorders>
              <w:top w:val="nil"/>
            </w:tcBorders>
          </w:tcPr>
          <w:p w14:paraId="6719F9AD"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Tax @ 25% (£)</w:t>
            </w:r>
          </w:p>
        </w:tc>
        <w:tc>
          <w:tcPr>
            <w:tcW w:w="1258" w:type="dxa"/>
            <w:tcBorders>
              <w:top w:val="nil"/>
            </w:tcBorders>
          </w:tcPr>
          <w:p w14:paraId="6A8C627F"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After-Tax Cash Flow (£)</w:t>
            </w:r>
          </w:p>
        </w:tc>
        <w:tc>
          <w:tcPr>
            <w:tcW w:w="1056" w:type="dxa"/>
            <w:tcBorders>
              <w:top w:val="nil"/>
            </w:tcBorders>
          </w:tcPr>
          <w:p w14:paraId="26AB9D9F"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PV Factor @ 5%</w:t>
            </w:r>
          </w:p>
        </w:tc>
        <w:tc>
          <w:tcPr>
            <w:tcW w:w="1184" w:type="dxa"/>
            <w:tcBorders>
              <w:top w:val="nil"/>
              <w:right w:val="nil"/>
            </w:tcBorders>
          </w:tcPr>
          <w:p w14:paraId="20CA9D6D"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Present Value (£)</w:t>
            </w:r>
          </w:p>
        </w:tc>
      </w:tr>
      <w:tr w:rsidR="003E5081" w14:paraId="49278BF0"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4048A286" w14:textId="77777777" w:rsidR="003E5081" w:rsidRDefault="00053173">
            <w:pPr>
              <w:jc w:val="center"/>
              <w:rPr>
                <w:color w:val="000000"/>
              </w:rPr>
            </w:pPr>
            <w:r>
              <w:rPr>
                <w:color w:val="000000"/>
              </w:rPr>
              <w:t>1</w:t>
            </w:r>
          </w:p>
        </w:tc>
        <w:tc>
          <w:tcPr>
            <w:tcW w:w="1146" w:type="dxa"/>
          </w:tcPr>
          <w:p w14:paraId="3D8FD87B"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100,000</w:t>
            </w:r>
          </w:p>
        </w:tc>
        <w:tc>
          <w:tcPr>
            <w:tcW w:w="1428" w:type="dxa"/>
          </w:tcPr>
          <w:p w14:paraId="5270AC71"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120,000</w:t>
            </w:r>
          </w:p>
        </w:tc>
        <w:tc>
          <w:tcPr>
            <w:tcW w:w="1207" w:type="dxa"/>
          </w:tcPr>
          <w:p w14:paraId="47944903"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(20,000)</w:t>
            </w:r>
          </w:p>
        </w:tc>
        <w:tc>
          <w:tcPr>
            <w:tcW w:w="1055" w:type="dxa"/>
          </w:tcPr>
          <w:p w14:paraId="1EC1C964"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(5,000)</w:t>
            </w:r>
          </w:p>
        </w:tc>
        <w:tc>
          <w:tcPr>
            <w:tcW w:w="1258" w:type="dxa"/>
          </w:tcPr>
          <w:p w14:paraId="0B57B7E1"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105,000</w:t>
            </w:r>
          </w:p>
        </w:tc>
        <w:tc>
          <w:tcPr>
            <w:tcW w:w="1056" w:type="dxa"/>
          </w:tcPr>
          <w:p w14:paraId="3F35EF35"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0.9524</w:t>
            </w:r>
          </w:p>
        </w:tc>
        <w:tc>
          <w:tcPr>
            <w:tcW w:w="1184" w:type="dxa"/>
          </w:tcPr>
          <w:p w14:paraId="13268E23"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100,002</w:t>
            </w:r>
          </w:p>
        </w:tc>
      </w:tr>
      <w:tr w:rsidR="003E5081" w14:paraId="4811DC5F" w14:textId="77777777" w:rsidTr="003E5081">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0D304B02" w14:textId="77777777" w:rsidR="003E5081" w:rsidRDefault="00053173">
            <w:pPr>
              <w:jc w:val="center"/>
              <w:rPr>
                <w:color w:val="000000"/>
              </w:rPr>
            </w:pPr>
            <w:r>
              <w:rPr>
                <w:color w:val="000000"/>
              </w:rPr>
              <w:t>2</w:t>
            </w:r>
          </w:p>
        </w:tc>
        <w:tc>
          <w:tcPr>
            <w:tcW w:w="1146" w:type="dxa"/>
          </w:tcPr>
          <w:p w14:paraId="10BA56E2"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180,000</w:t>
            </w:r>
          </w:p>
        </w:tc>
        <w:tc>
          <w:tcPr>
            <w:tcW w:w="1428" w:type="dxa"/>
          </w:tcPr>
          <w:p w14:paraId="57A3D6B2"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120,000</w:t>
            </w:r>
          </w:p>
        </w:tc>
        <w:tc>
          <w:tcPr>
            <w:tcW w:w="1207" w:type="dxa"/>
          </w:tcPr>
          <w:p w14:paraId="43704627"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60,000</w:t>
            </w:r>
          </w:p>
        </w:tc>
        <w:tc>
          <w:tcPr>
            <w:tcW w:w="1055" w:type="dxa"/>
          </w:tcPr>
          <w:p w14:paraId="454017B1"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15,000</w:t>
            </w:r>
          </w:p>
        </w:tc>
        <w:tc>
          <w:tcPr>
            <w:tcW w:w="1258" w:type="dxa"/>
          </w:tcPr>
          <w:p w14:paraId="46D9ACC1"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165,000</w:t>
            </w:r>
          </w:p>
        </w:tc>
        <w:tc>
          <w:tcPr>
            <w:tcW w:w="1056" w:type="dxa"/>
          </w:tcPr>
          <w:p w14:paraId="27C53E95"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0.9070</w:t>
            </w:r>
          </w:p>
        </w:tc>
        <w:tc>
          <w:tcPr>
            <w:tcW w:w="1184" w:type="dxa"/>
          </w:tcPr>
          <w:p w14:paraId="54FEA522"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149,655</w:t>
            </w:r>
          </w:p>
        </w:tc>
      </w:tr>
      <w:tr w:rsidR="003E5081" w14:paraId="4F78AC57"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70400C3D" w14:textId="77777777" w:rsidR="003E5081" w:rsidRDefault="00053173">
            <w:pPr>
              <w:jc w:val="center"/>
              <w:rPr>
                <w:color w:val="000000"/>
              </w:rPr>
            </w:pPr>
            <w:r>
              <w:rPr>
                <w:color w:val="000000"/>
              </w:rPr>
              <w:t>3</w:t>
            </w:r>
          </w:p>
        </w:tc>
        <w:tc>
          <w:tcPr>
            <w:tcW w:w="1146" w:type="dxa"/>
          </w:tcPr>
          <w:p w14:paraId="6422774B"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210,000</w:t>
            </w:r>
          </w:p>
        </w:tc>
        <w:tc>
          <w:tcPr>
            <w:tcW w:w="1428" w:type="dxa"/>
          </w:tcPr>
          <w:p w14:paraId="1947711C"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120,000</w:t>
            </w:r>
          </w:p>
        </w:tc>
        <w:tc>
          <w:tcPr>
            <w:tcW w:w="1207" w:type="dxa"/>
          </w:tcPr>
          <w:p w14:paraId="64CAF21F"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90,000</w:t>
            </w:r>
          </w:p>
        </w:tc>
        <w:tc>
          <w:tcPr>
            <w:tcW w:w="1055" w:type="dxa"/>
          </w:tcPr>
          <w:p w14:paraId="58B77CE1"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22,500</w:t>
            </w:r>
          </w:p>
        </w:tc>
        <w:tc>
          <w:tcPr>
            <w:tcW w:w="1258" w:type="dxa"/>
          </w:tcPr>
          <w:p w14:paraId="123EB9FA"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187,500</w:t>
            </w:r>
          </w:p>
        </w:tc>
        <w:tc>
          <w:tcPr>
            <w:tcW w:w="1056" w:type="dxa"/>
          </w:tcPr>
          <w:p w14:paraId="0B71776D"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0.8638</w:t>
            </w:r>
          </w:p>
        </w:tc>
        <w:tc>
          <w:tcPr>
            <w:tcW w:w="1184" w:type="dxa"/>
          </w:tcPr>
          <w:p w14:paraId="1AFF4EA4"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161,963</w:t>
            </w:r>
          </w:p>
        </w:tc>
      </w:tr>
      <w:tr w:rsidR="003E5081" w14:paraId="57F6BDCB" w14:textId="77777777" w:rsidTr="003E5081">
        <w:tc>
          <w:tcPr>
            <w:cnfStyle w:val="001000000000" w:firstRow="0" w:lastRow="0" w:firstColumn="1" w:lastColumn="0" w:oddVBand="0" w:evenVBand="0" w:oddHBand="0" w:evenHBand="0" w:firstRowFirstColumn="0" w:firstRowLastColumn="0" w:lastRowFirstColumn="0" w:lastRowLastColumn="0"/>
            <w:tcW w:w="682" w:type="dxa"/>
            <w:tcBorders>
              <w:left w:val="nil"/>
              <w:bottom w:val="nil"/>
            </w:tcBorders>
          </w:tcPr>
          <w:p w14:paraId="63785960" w14:textId="77777777" w:rsidR="003E5081" w:rsidRDefault="00053173">
            <w:pPr>
              <w:jc w:val="center"/>
              <w:rPr>
                <w:color w:val="000000"/>
              </w:rPr>
            </w:pPr>
            <w:r>
              <w:rPr>
                <w:color w:val="000000"/>
              </w:rPr>
              <w:t>4</w:t>
            </w:r>
          </w:p>
        </w:tc>
        <w:tc>
          <w:tcPr>
            <w:tcW w:w="1146" w:type="dxa"/>
          </w:tcPr>
          <w:p w14:paraId="1B099490"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260,000</w:t>
            </w:r>
          </w:p>
        </w:tc>
        <w:tc>
          <w:tcPr>
            <w:tcW w:w="1428" w:type="dxa"/>
          </w:tcPr>
          <w:p w14:paraId="5995263D"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120,000</w:t>
            </w:r>
          </w:p>
        </w:tc>
        <w:tc>
          <w:tcPr>
            <w:tcW w:w="1207" w:type="dxa"/>
          </w:tcPr>
          <w:p w14:paraId="49E8C867"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140,000</w:t>
            </w:r>
          </w:p>
        </w:tc>
        <w:tc>
          <w:tcPr>
            <w:tcW w:w="1055" w:type="dxa"/>
          </w:tcPr>
          <w:p w14:paraId="025CF3E2"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35,000</w:t>
            </w:r>
          </w:p>
        </w:tc>
        <w:tc>
          <w:tcPr>
            <w:tcW w:w="1258" w:type="dxa"/>
          </w:tcPr>
          <w:p w14:paraId="4304DE1F"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225,000</w:t>
            </w:r>
          </w:p>
        </w:tc>
        <w:tc>
          <w:tcPr>
            <w:tcW w:w="1056" w:type="dxa"/>
          </w:tcPr>
          <w:p w14:paraId="2CCA2DDF"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0.8227</w:t>
            </w:r>
          </w:p>
        </w:tc>
        <w:tc>
          <w:tcPr>
            <w:tcW w:w="1184" w:type="dxa"/>
          </w:tcPr>
          <w:p w14:paraId="634E8FFD"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185,108</w:t>
            </w:r>
          </w:p>
        </w:tc>
      </w:tr>
    </w:tbl>
    <w:p w14:paraId="2FDBE944" w14:textId="77777777" w:rsidR="003E5081" w:rsidRDefault="00053173">
      <w:pPr>
        <w:spacing w:before="240"/>
      </w:pPr>
      <w:r>
        <w:t>Total Present Value of After-Tax Cash Flows = £596,728</w:t>
      </w:r>
    </w:p>
    <w:p w14:paraId="2290AB59" w14:textId="77777777" w:rsidR="003E5081" w:rsidRDefault="00053173">
      <w:pPr>
        <w:numPr>
          <w:ilvl w:val="0"/>
          <w:numId w:val="4"/>
        </w:numPr>
        <w:pBdr>
          <w:top w:val="nil"/>
          <w:left w:val="nil"/>
          <w:bottom w:val="nil"/>
          <w:right w:val="nil"/>
          <w:between w:val="nil"/>
        </w:pBdr>
        <w:rPr>
          <w:color w:val="000000"/>
        </w:rPr>
      </w:pPr>
      <w:r>
        <w:rPr>
          <w:b/>
          <w:bCs/>
          <w:color w:val="000000"/>
        </w:rPr>
        <w:t xml:space="preserve">NPV </w:t>
      </w:r>
      <w:r>
        <w:rPr>
          <w:color w:val="000000"/>
        </w:rPr>
        <w:t>= £596,728 – £600,000 =</w:t>
      </w:r>
      <w:r>
        <w:rPr>
          <w:b/>
          <w:bCs/>
          <w:color w:val="000000"/>
        </w:rPr>
        <w:t xml:space="preserve"> (£3,272)</w:t>
      </w:r>
      <w:r>
        <w:rPr>
          <w:color w:val="000000"/>
        </w:rPr>
        <w:t> </w:t>
      </w:r>
      <w:r>
        <w:rPr>
          <w:b/>
          <w:bCs/>
          <w:color w:val="000000"/>
        </w:rPr>
        <w:t>(Negative)</w:t>
      </w:r>
    </w:p>
    <w:p w14:paraId="230A406A" w14:textId="77777777" w:rsidR="003E5081" w:rsidRDefault="00053173">
      <w:pPr>
        <w:spacing w:after="0"/>
        <w:rPr>
          <w:b/>
          <w:bCs/>
          <w:u w:val="single"/>
        </w:rPr>
      </w:pPr>
      <w:r>
        <w:rPr>
          <w:b/>
          <w:bCs/>
          <w:u w:val="single"/>
        </w:rPr>
        <w:t>Option B: Internet Sales Development</w:t>
      </w:r>
    </w:p>
    <w:tbl>
      <w:tblPr>
        <w:tblStyle w:val="a6"/>
        <w:tblW w:w="9016" w:type="dxa"/>
        <w:tblInd w:w="0" w:type="dxa"/>
        <w:tblBorders>
          <w:top w:val="single" w:sz="4" w:space="0" w:color="275317"/>
          <w:left w:val="single" w:sz="4" w:space="0" w:color="275317"/>
          <w:bottom w:val="single" w:sz="4" w:space="0" w:color="275317"/>
          <w:right w:val="single" w:sz="4" w:space="0" w:color="275317"/>
          <w:insideH w:val="single" w:sz="4" w:space="0" w:color="275317"/>
          <w:insideV w:val="single" w:sz="4" w:space="0" w:color="275317"/>
        </w:tblBorders>
        <w:tblLayout w:type="fixed"/>
        <w:tblLook w:val="04A0" w:firstRow="1" w:lastRow="0" w:firstColumn="1" w:lastColumn="0" w:noHBand="0" w:noVBand="1"/>
      </w:tblPr>
      <w:tblGrid>
        <w:gridCol w:w="682"/>
        <w:gridCol w:w="1150"/>
        <w:gridCol w:w="1436"/>
        <w:gridCol w:w="1190"/>
        <w:gridCol w:w="1037"/>
        <w:gridCol w:w="1269"/>
        <w:gridCol w:w="1062"/>
        <w:gridCol w:w="1190"/>
      </w:tblGrid>
      <w:tr w:rsidR="003E5081" w14:paraId="64EBA360" w14:textId="77777777" w:rsidTr="003E5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2" w:type="dxa"/>
            <w:tcBorders>
              <w:top w:val="nil"/>
              <w:left w:val="nil"/>
            </w:tcBorders>
          </w:tcPr>
          <w:p w14:paraId="5B55D622" w14:textId="77777777" w:rsidR="003E5081" w:rsidRDefault="00053173">
            <w:pPr>
              <w:jc w:val="center"/>
              <w:rPr>
                <w:color w:val="000000"/>
                <w:sz w:val="22"/>
                <w:szCs w:val="22"/>
              </w:rPr>
            </w:pPr>
            <w:r>
              <w:rPr>
                <w:color w:val="000000"/>
                <w:sz w:val="22"/>
                <w:szCs w:val="22"/>
              </w:rPr>
              <w:t>Year</w:t>
            </w:r>
          </w:p>
        </w:tc>
        <w:tc>
          <w:tcPr>
            <w:tcW w:w="1150" w:type="dxa"/>
            <w:tcBorders>
              <w:top w:val="nil"/>
            </w:tcBorders>
          </w:tcPr>
          <w:p w14:paraId="0704B5F7"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Cash Flow (£)</w:t>
            </w:r>
          </w:p>
        </w:tc>
        <w:tc>
          <w:tcPr>
            <w:tcW w:w="1436" w:type="dxa"/>
            <w:tcBorders>
              <w:top w:val="nil"/>
            </w:tcBorders>
          </w:tcPr>
          <w:p w14:paraId="5AC56F83"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Capital Allowance (£)</w:t>
            </w:r>
          </w:p>
        </w:tc>
        <w:tc>
          <w:tcPr>
            <w:tcW w:w="1190" w:type="dxa"/>
            <w:tcBorders>
              <w:top w:val="nil"/>
            </w:tcBorders>
          </w:tcPr>
          <w:p w14:paraId="6353E9ED"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Taxable Profit (£)</w:t>
            </w:r>
          </w:p>
        </w:tc>
        <w:tc>
          <w:tcPr>
            <w:tcW w:w="1037" w:type="dxa"/>
            <w:tcBorders>
              <w:top w:val="nil"/>
            </w:tcBorders>
          </w:tcPr>
          <w:p w14:paraId="2542142C"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Tax @ 25% (£)</w:t>
            </w:r>
          </w:p>
        </w:tc>
        <w:tc>
          <w:tcPr>
            <w:tcW w:w="1269" w:type="dxa"/>
            <w:tcBorders>
              <w:top w:val="nil"/>
            </w:tcBorders>
          </w:tcPr>
          <w:p w14:paraId="730CA51D"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After-Tax Cash Flow (£)</w:t>
            </w:r>
          </w:p>
        </w:tc>
        <w:tc>
          <w:tcPr>
            <w:tcW w:w="1062" w:type="dxa"/>
            <w:tcBorders>
              <w:top w:val="nil"/>
            </w:tcBorders>
          </w:tcPr>
          <w:p w14:paraId="47272E2A"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PV Factor @ 5%</w:t>
            </w:r>
          </w:p>
        </w:tc>
        <w:tc>
          <w:tcPr>
            <w:tcW w:w="1190" w:type="dxa"/>
            <w:tcBorders>
              <w:top w:val="nil"/>
              <w:right w:val="nil"/>
            </w:tcBorders>
          </w:tcPr>
          <w:p w14:paraId="4522D900"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Present Value (£)</w:t>
            </w:r>
          </w:p>
        </w:tc>
      </w:tr>
      <w:tr w:rsidR="003E5081" w14:paraId="7A2226EA"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3EE77391" w14:textId="77777777" w:rsidR="003E5081" w:rsidRDefault="00053173">
            <w:pPr>
              <w:jc w:val="center"/>
              <w:rPr>
                <w:color w:val="000000"/>
              </w:rPr>
            </w:pPr>
            <w:r>
              <w:rPr>
                <w:color w:val="000000"/>
              </w:rPr>
              <w:t>1</w:t>
            </w:r>
          </w:p>
        </w:tc>
        <w:tc>
          <w:tcPr>
            <w:tcW w:w="1150" w:type="dxa"/>
          </w:tcPr>
          <w:p w14:paraId="50494569"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220,000</w:t>
            </w:r>
          </w:p>
        </w:tc>
        <w:tc>
          <w:tcPr>
            <w:tcW w:w="1436" w:type="dxa"/>
          </w:tcPr>
          <w:p w14:paraId="25F8AEC7"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180,000</w:t>
            </w:r>
          </w:p>
        </w:tc>
        <w:tc>
          <w:tcPr>
            <w:tcW w:w="1190" w:type="dxa"/>
          </w:tcPr>
          <w:p w14:paraId="5055D5C5"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40,000</w:t>
            </w:r>
          </w:p>
        </w:tc>
        <w:tc>
          <w:tcPr>
            <w:tcW w:w="1037" w:type="dxa"/>
          </w:tcPr>
          <w:p w14:paraId="07F6B95E"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10,000</w:t>
            </w:r>
          </w:p>
        </w:tc>
        <w:tc>
          <w:tcPr>
            <w:tcW w:w="1269" w:type="dxa"/>
          </w:tcPr>
          <w:p w14:paraId="1F31F39D"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210,000</w:t>
            </w:r>
          </w:p>
        </w:tc>
        <w:tc>
          <w:tcPr>
            <w:tcW w:w="1062" w:type="dxa"/>
          </w:tcPr>
          <w:p w14:paraId="5A5B84CE"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0.9524</w:t>
            </w:r>
          </w:p>
        </w:tc>
        <w:tc>
          <w:tcPr>
            <w:tcW w:w="1190" w:type="dxa"/>
          </w:tcPr>
          <w:p w14:paraId="0402CA93"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200,004</w:t>
            </w:r>
          </w:p>
        </w:tc>
      </w:tr>
      <w:tr w:rsidR="003E5081" w14:paraId="5D04E59D" w14:textId="77777777" w:rsidTr="003E5081">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0B3BE416" w14:textId="77777777" w:rsidR="003E5081" w:rsidRDefault="00053173">
            <w:pPr>
              <w:jc w:val="center"/>
              <w:rPr>
                <w:color w:val="000000"/>
              </w:rPr>
            </w:pPr>
            <w:r>
              <w:rPr>
                <w:color w:val="000000"/>
              </w:rPr>
              <w:t>2</w:t>
            </w:r>
          </w:p>
        </w:tc>
        <w:tc>
          <w:tcPr>
            <w:tcW w:w="1150" w:type="dxa"/>
          </w:tcPr>
          <w:p w14:paraId="13A9C3E3"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270,000</w:t>
            </w:r>
          </w:p>
        </w:tc>
        <w:tc>
          <w:tcPr>
            <w:tcW w:w="1436" w:type="dxa"/>
          </w:tcPr>
          <w:p w14:paraId="72CC8F2A"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180,000</w:t>
            </w:r>
          </w:p>
        </w:tc>
        <w:tc>
          <w:tcPr>
            <w:tcW w:w="1190" w:type="dxa"/>
          </w:tcPr>
          <w:p w14:paraId="2C9D24D6"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90,000</w:t>
            </w:r>
          </w:p>
        </w:tc>
        <w:tc>
          <w:tcPr>
            <w:tcW w:w="1037" w:type="dxa"/>
          </w:tcPr>
          <w:p w14:paraId="239AF2D8"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22,500</w:t>
            </w:r>
          </w:p>
        </w:tc>
        <w:tc>
          <w:tcPr>
            <w:tcW w:w="1269" w:type="dxa"/>
          </w:tcPr>
          <w:p w14:paraId="0A631ECA"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247,500</w:t>
            </w:r>
          </w:p>
        </w:tc>
        <w:tc>
          <w:tcPr>
            <w:tcW w:w="1062" w:type="dxa"/>
          </w:tcPr>
          <w:p w14:paraId="17A0E874"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0.9070</w:t>
            </w:r>
          </w:p>
        </w:tc>
        <w:tc>
          <w:tcPr>
            <w:tcW w:w="1190" w:type="dxa"/>
          </w:tcPr>
          <w:p w14:paraId="13025F0B"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224,483</w:t>
            </w:r>
          </w:p>
        </w:tc>
      </w:tr>
      <w:tr w:rsidR="003E5081" w14:paraId="581845C2"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1FE98FDA" w14:textId="77777777" w:rsidR="003E5081" w:rsidRDefault="00053173">
            <w:pPr>
              <w:jc w:val="center"/>
              <w:rPr>
                <w:color w:val="000000"/>
              </w:rPr>
            </w:pPr>
            <w:r>
              <w:rPr>
                <w:color w:val="000000"/>
              </w:rPr>
              <w:t>3</w:t>
            </w:r>
          </w:p>
        </w:tc>
        <w:tc>
          <w:tcPr>
            <w:tcW w:w="1150" w:type="dxa"/>
          </w:tcPr>
          <w:p w14:paraId="5E40738A"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350,000</w:t>
            </w:r>
          </w:p>
        </w:tc>
        <w:tc>
          <w:tcPr>
            <w:tcW w:w="1436" w:type="dxa"/>
          </w:tcPr>
          <w:p w14:paraId="699D4AB3"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180,000</w:t>
            </w:r>
          </w:p>
        </w:tc>
        <w:tc>
          <w:tcPr>
            <w:tcW w:w="1190" w:type="dxa"/>
          </w:tcPr>
          <w:p w14:paraId="52479F80"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170,000</w:t>
            </w:r>
          </w:p>
        </w:tc>
        <w:tc>
          <w:tcPr>
            <w:tcW w:w="1037" w:type="dxa"/>
          </w:tcPr>
          <w:p w14:paraId="20BECF9D"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42,500</w:t>
            </w:r>
          </w:p>
        </w:tc>
        <w:tc>
          <w:tcPr>
            <w:tcW w:w="1269" w:type="dxa"/>
          </w:tcPr>
          <w:p w14:paraId="532F72E8"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307,500</w:t>
            </w:r>
          </w:p>
        </w:tc>
        <w:tc>
          <w:tcPr>
            <w:tcW w:w="1062" w:type="dxa"/>
          </w:tcPr>
          <w:p w14:paraId="5E5802F3"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0.8638</w:t>
            </w:r>
          </w:p>
        </w:tc>
        <w:tc>
          <w:tcPr>
            <w:tcW w:w="1190" w:type="dxa"/>
          </w:tcPr>
          <w:p w14:paraId="717607DB"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265,619</w:t>
            </w:r>
          </w:p>
        </w:tc>
      </w:tr>
      <w:tr w:rsidR="003E5081" w14:paraId="222231F1" w14:textId="77777777" w:rsidTr="003E5081">
        <w:tc>
          <w:tcPr>
            <w:cnfStyle w:val="001000000000" w:firstRow="0" w:lastRow="0" w:firstColumn="1" w:lastColumn="0" w:oddVBand="0" w:evenVBand="0" w:oddHBand="0" w:evenHBand="0" w:firstRowFirstColumn="0" w:firstRowLastColumn="0" w:lastRowFirstColumn="0" w:lastRowLastColumn="0"/>
            <w:tcW w:w="682" w:type="dxa"/>
            <w:tcBorders>
              <w:left w:val="nil"/>
              <w:bottom w:val="nil"/>
            </w:tcBorders>
          </w:tcPr>
          <w:p w14:paraId="3638FE37" w14:textId="77777777" w:rsidR="003E5081" w:rsidRDefault="00053173">
            <w:pPr>
              <w:jc w:val="center"/>
              <w:rPr>
                <w:color w:val="000000"/>
              </w:rPr>
            </w:pPr>
            <w:r>
              <w:rPr>
                <w:color w:val="000000"/>
              </w:rPr>
              <w:t>4</w:t>
            </w:r>
          </w:p>
        </w:tc>
        <w:tc>
          <w:tcPr>
            <w:tcW w:w="1150" w:type="dxa"/>
          </w:tcPr>
          <w:p w14:paraId="437D5C8C"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400,000</w:t>
            </w:r>
          </w:p>
        </w:tc>
        <w:tc>
          <w:tcPr>
            <w:tcW w:w="1436" w:type="dxa"/>
          </w:tcPr>
          <w:p w14:paraId="3B543529"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180,000</w:t>
            </w:r>
          </w:p>
        </w:tc>
        <w:tc>
          <w:tcPr>
            <w:tcW w:w="1190" w:type="dxa"/>
          </w:tcPr>
          <w:p w14:paraId="2888389E"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220,000</w:t>
            </w:r>
          </w:p>
        </w:tc>
        <w:tc>
          <w:tcPr>
            <w:tcW w:w="1037" w:type="dxa"/>
          </w:tcPr>
          <w:p w14:paraId="0CF0CD42"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55,000</w:t>
            </w:r>
          </w:p>
        </w:tc>
        <w:tc>
          <w:tcPr>
            <w:tcW w:w="1269" w:type="dxa"/>
          </w:tcPr>
          <w:p w14:paraId="0CFF17E0"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345,000</w:t>
            </w:r>
          </w:p>
        </w:tc>
        <w:tc>
          <w:tcPr>
            <w:tcW w:w="1062" w:type="dxa"/>
          </w:tcPr>
          <w:p w14:paraId="31439703"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0.8227</w:t>
            </w:r>
          </w:p>
        </w:tc>
        <w:tc>
          <w:tcPr>
            <w:tcW w:w="1190" w:type="dxa"/>
          </w:tcPr>
          <w:p w14:paraId="09050F22"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283,832</w:t>
            </w:r>
          </w:p>
        </w:tc>
      </w:tr>
    </w:tbl>
    <w:p w14:paraId="14E2B2EF" w14:textId="77777777" w:rsidR="003E5081" w:rsidRDefault="00053173">
      <w:pPr>
        <w:spacing w:before="240"/>
      </w:pPr>
      <w:r>
        <w:t>Total Present Value of After-Tax Cash Flows = £973,938</w:t>
      </w:r>
    </w:p>
    <w:p w14:paraId="57F74022" w14:textId="77777777" w:rsidR="003E5081" w:rsidRDefault="00053173">
      <w:pPr>
        <w:numPr>
          <w:ilvl w:val="0"/>
          <w:numId w:val="4"/>
        </w:numPr>
        <w:pBdr>
          <w:top w:val="nil"/>
          <w:left w:val="nil"/>
          <w:bottom w:val="nil"/>
          <w:right w:val="nil"/>
          <w:between w:val="nil"/>
        </w:pBdr>
        <w:rPr>
          <w:b/>
          <w:bCs/>
          <w:color w:val="000000"/>
        </w:rPr>
      </w:pPr>
      <w:r>
        <w:rPr>
          <w:b/>
          <w:bCs/>
          <w:color w:val="000000"/>
        </w:rPr>
        <w:t>NPV</w:t>
      </w:r>
      <w:r>
        <w:rPr>
          <w:color w:val="000000"/>
        </w:rPr>
        <w:t xml:space="preserve"> = £973,938 – £900,000 = </w:t>
      </w:r>
      <w:r>
        <w:rPr>
          <w:b/>
          <w:bCs/>
          <w:color w:val="000000"/>
        </w:rPr>
        <w:t>£73,938 (Positive)</w:t>
      </w:r>
    </w:p>
    <w:p w14:paraId="436432DD" w14:textId="77777777" w:rsidR="003E5081" w:rsidRDefault="00053173">
      <w:pPr>
        <w:spacing w:after="0"/>
        <w:rPr>
          <w:b/>
          <w:bCs/>
          <w:u w:val="single"/>
        </w:rPr>
      </w:pPr>
      <w:r>
        <w:rPr>
          <w:b/>
          <w:bCs/>
          <w:u w:val="single"/>
        </w:rPr>
        <w:t>Option C: Produce Purses and Wallets</w:t>
      </w:r>
    </w:p>
    <w:tbl>
      <w:tblPr>
        <w:tblStyle w:val="a7"/>
        <w:tblW w:w="9016" w:type="dxa"/>
        <w:jc w:val="center"/>
        <w:tblInd w:w="0" w:type="dxa"/>
        <w:tblBorders>
          <w:top w:val="single" w:sz="4" w:space="0" w:color="275317"/>
          <w:left w:val="single" w:sz="4" w:space="0" w:color="275317"/>
          <w:bottom w:val="single" w:sz="4" w:space="0" w:color="275317"/>
          <w:right w:val="single" w:sz="4" w:space="0" w:color="275317"/>
          <w:insideH w:val="single" w:sz="4" w:space="0" w:color="275317"/>
          <w:insideV w:val="single" w:sz="4" w:space="0" w:color="275317"/>
        </w:tblBorders>
        <w:tblLayout w:type="fixed"/>
        <w:tblLook w:val="04A0" w:firstRow="1" w:lastRow="0" w:firstColumn="1" w:lastColumn="0" w:noHBand="0" w:noVBand="1"/>
      </w:tblPr>
      <w:tblGrid>
        <w:gridCol w:w="682"/>
        <w:gridCol w:w="1150"/>
        <w:gridCol w:w="1436"/>
        <w:gridCol w:w="1190"/>
        <w:gridCol w:w="1037"/>
        <w:gridCol w:w="1269"/>
        <w:gridCol w:w="1062"/>
        <w:gridCol w:w="1190"/>
      </w:tblGrid>
      <w:tr w:rsidR="003E5081" w14:paraId="70D4403A" w14:textId="77777777" w:rsidTr="003E5081">
        <w:trPr>
          <w:cnfStyle w:val="100000000000" w:firstRow="1" w:lastRow="0" w:firstColumn="0" w:lastColumn="0" w:oddVBand="0" w:evenVBand="0" w:oddHBand="0" w:evenHBand="0" w:firstRowFirstColumn="0" w:firstRowLastColumn="0" w:lastRowFirstColumn="0" w:lastRowLastColumn="0"/>
          <w:trHeight w:val="558"/>
          <w:jc w:val="center"/>
        </w:trPr>
        <w:tc>
          <w:tcPr>
            <w:cnfStyle w:val="001000000000" w:firstRow="0" w:lastRow="0" w:firstColumn="1" w:lastColumn="0" w:oddVBand="0" w:evenVBand="0" w:oddHBand="0" w:evenHBand="0" w:firstRowFirstColumn="0" w:firstRowLastColumn="0" w:lastRowFirstColumn="0" w:lastRowLastColumn="0"/>
            <w:tcW w:w="682" w:type="dxa"/>
            <w:tcBorders>
              <w:top w:val="nil"/>
              <w:left w:val="nil"/>
            </w:tcBorders>
          </w:tcPr>
          <w:p w14:paraId="7600324E" w14:textId="77777777" w:rsidR="003E5081" w:rsidRDefault="00053173">
            <w:pPr>
              <w:jc w:val="center"/>
              <w:rPr>
                <w:color w:val="000000"/>
                <w:sz w:val="22"/>
                <w:szCs w:val="22"/>
              </w:rPr>
            </w:pPr>
            <w:r>
              <w:rPr>
                <w:color w:val="000000"/>
                <w:sz w:val="22"/>
                <w:szCs w:val="22"/>
              </w:rPr>
              <w:t>Year</w:t>
            </w:r>
          </w:p>
        </w:tc>
        <w:tc>
          <w:tcPr>
            <w:tcW w:w="1150" w:type="dxa"/>
            <w:tcBorders>
              <w:top w:val="nil"/>
            </w:tcBorders>
          </w:tcPr>
          <w:p w14:paraId="0096DB5E"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Cash Flow (£)</w:t>
            </w:r>
          </w:p>
        </w:tc>
        <w:tc>
          <w:tcPr>
            <w:tcW w:w="1436" w:type="dxa"/>
            <w:tcBorders>
              <w:top w:val="nil"/>
            </w:tcBorders>
          </w:tcPr>
          <w:p w14:paraId="366A5062"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Capital Allowance (£)</w:t>
            </w:r>
          </w:p>
        </w:tc>
        <w:tc>
          <w:tcPr>
            <w:tcW w:w="1190" w:type="dxa"/>
            <w:tcBorders>
              <w:top w:val="nil"/>
            </w:tcBorders>
          </w:tcPr>
          <w:p w14:paraId="279A9207"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Taxable Profit (£)</w:t>
            </w:r>
          </w:p>
        </w:tc>
        <w:tc>
          <w:tcPr>
            <w:tcW w:w="1037" w:type="dxa"/>
            <w:tcBorders>
              <w:top w:val="nil"/>
            </w:tcBorders>
          </w:tcPr>
          <w:p w14:paraId="6FE0CDFD"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Tax @ 25% (£)</w:t>
            </w:r>
          </w:p>
        </w:tc>
        <w:tc>
          <w:tcPr>
            <w:tcW w:w="1269" w:type="dxa"/>
            <w:tcBorders>
              <w:top w:val="nil"/>
            </w:tcBorders>
          </w:tcPr>
          <w:p w14:paraId="1E4B4CA3"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After-Tax Cash Flow (£)</w:t>
            </w:r>
          </w:p>
        </w:tc>
        <w:tc>
          <w:tcPr>
            <w:tcW w:w="1062" w:type="dxa"/>
            <w:tcBorders>
              <w:top w:val="nil"/>
            </w:tcBorders>
          </w:tcPr>
          <w:p w14:paraId="49C7C814"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PV Factor @ 5%</w:t>
            </w:r>
          </w:p>
        </w:tc>
        <w:tc>
          <w:tcPr>
            <w:tcW w:w="1190" w:type="dxa"/>
            <w:tcBorders>
              <w:top w:val="nil"/>
              <w:right w:val="nil"/>
            </w:tcBorders>
          </w:tcPr>
          <w:p w14:paraId="10539051"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Present Value (£)</w:t>
            </w:r>
          </w:p>
        </w:tc>
      </w:tr>
      <w:tr w:rsidR="003E5081" w14:paraId="5D2F7428" w14:textId="77777777" w:rsidTr="003E5081">
        <w:trPr>
          <w:cnfStyle w:val="000000100000" w:firstRow="0" w:lastRow="0" w:firstColumn="0" w:lastColumn="0" w:oddVBand="0" w:evenVBand="0" w:oddHBand="1" w:evenHBand="0" w:firstRowFirstColumn="0" w:firstRowLastColumn="0" w:lastRowFirstColumn="0" w:lastRowLastColumn="0"/>
          <w:trHeight w:val="70"/>
          <w:jc w:val="center"/>
        </w:trPr>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19B0D1E1" w14:textId="77777777" w:rsidR="003E5081" w:rsidRDefault="00053173">
            <w:pPr>
              <w:jc w:val="center"/>
              <w:rPr>
                <w:color w:val="000000"/>
              </w:rPr>
            </w:pPr>
            <w:r>
              <w:rPr>
                <w:color w:val="000000"/>
              </w:rPr>
              <w:t>1</w:t>
            </w:r>
          </w:p>
        </w:tc>
        <w:tc>
          <w:tcPr>
            <w:tcW w:w="1150" w:type="dxa"/>
          </w:tcPr>
          <w:p w14:paraId="2F70724A"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250,000</w:t>
            </w:r>
          </w:p>
        </w:tc>
        <w:tc>
          <w:tcPr>
            <w:tcW w:w="1436" w:type="dxa"/>
          </w:tcPr>
          <w:p w14:paraId="07DD5AA7"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200,000</w:t>
            </w:r>
          </w:p>
        </w:tc>
        <w:tc>
          <w:tcPr>
            <w:tcW w:w="1190" w:type="dxa"/>
          </w:tcPr>
          <w:p w14:paraId="51EB5D02"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50,000</w:t>
            </w:r>
          </w:p>
        </w:tc>
        <w:tc>
          <w:tcPr>
            <w:tcW w:w="1037" w:type="dxa"/>
          </w:tcPr>
          <w:p w14:paraId="4D5BF33D"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12,500</w:t>
            </w:r>
          </w:p>
        </w:tc>
        <w:tc>
          <w:tcPr>
            <w:tcW w:w="1269" w:type="dxa"/>
          </w:tcPr>
          <w:p w14:paraId="5B8F3902"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237,500</w:t>
            </w:r>
          </w:p>
        </w:tc>
        <w:tc>
          <w:tcPr>
            <w:tcW w:w="1062" w:type="dxa"/>
          </w:tcPr>
          <w:p w14:paraId="208AF75E"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0.9524</w:t>
            </w:r>
          </w:p>
        </w:tc>
        <w:tc>
          <w:tcPr>
            <w:tcW w:w="1190" w:type="dxa"/>
          </w:tcPr>
          <w:p w14:paraId="0E408B5F"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226,195</w:t>
            </w:r>
          </w:p>
        </w:tc>
      </w:tr>
      <w:tr w:rsidR="003E5081" w14:paraId="25C9AF12" w14:textId="77777777" w:rsidTr="003E5081">
        <w:trPr>
          <w:trHeight w:val="70"/>
          <w:jc w:val="center"/>
        </w:trPr>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008808AA" w14:textId="77777777" w:rsidR="003E5081" w:rsidRDefault="00053173">
            <w:pPr>
              <w:jc w:val="center"/>
              <w:rPr>
                <w:color w:val="000000"/>
              </w:rPr>
            </w:pPr>
            <w:r>
              <w:rPr>
                <w:color w:val="000000"/>
              </w:rPr>
              <w:t>2</w:t>
            </w:r>
          </w:p>
        </w:tc>
        <w:tc>
          <w:tcPr>
            <w:tcW w:w="1150" w:type="dxa"/>
          </w:tcPr>
          <w:p w14:paraId="7DC104F8"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310,000</w:t>
            </w:r>
          </w:p>
        </w:tc>
        <w:tc>
          <w:tcPr>
            <w:tcW w:w="1436" w:type="dxa"/>
          </w:tcPr>
          <w:p w14:paraId="70E8AC88"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200,000</w:t>
            </w:r>
          </w:p>
        </w:tc>
        <w:tc>
          <w:tcPr>
            <w:tcW w:w="1190" w:type="dxa"/>
          </w:tcPr>
          <w:p w14:paraId="292FCE2D"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110,000</w:t>
            </w:r>
          </w:p>
        </w:tc>
        <w:tc>
          <w:tcPr>
            <w:tcW w:w="1037" w:type="dxa"/>
          </w:tcPr>
          <w:p w14:paraId="2A055610"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27,500</w:t>
            </w:r>
          </w:p>
        </w:tc>
        <w:tc>
          <w:tcPr>
            <w:tcW w:w="1269" w:type="dxa"/>
          </w:tcPr>
          <w:p w14:paraId="29C362C1"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282,500</w:t>
            </w:r>
          </w:p>
        </w:tc>
        <w:tc>
          <w:tcPr>
            <w:tcW w:w="1062" w:type="dxa"/>
          </w:tcPr>
          <w:p w14:paraId="47B04FC5"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0.9070</w:t>
            </w:r>
          </w:p>
        </w:tc>
        <w:tc>
          <w:tcPr>
            <w:tcW w:w="1190" w:type="dxa"/>
          </w:tcPr>
          <w:p w14:paraId="51F1013F"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256,228</w:t>
            </w:r>
          </w:p>
        </w:tc>
      </w:tr>
      <w:tr w:rsidR="003E5081" w14:paraId="01CDF117" w14:textId="77777777" w:rsidTr="003E508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682" w:type="dxa"/>
            <w:tcBorders>
              <w:left w:val="nil"/>
            </w:tcBorders>
          </w:tcPr>
          <w:p w14:paraId="454E0F91" w14:textId="77777777" w:rsidR="003E5081" w:rsidRDefault="00053173">
            <w:pPr>
              <w:jc w:val="center"/>
              <w:rPr>
                <w:color w:val="000000"/>
              </w:rPr>
            </w:pPr>
            <w:r>
              <w:rPr>
                <w:color w:val="000000"/>
              </w:rPr>
              <w:t>3</w:t>
            </w:r>
          </w:p>
        </w:tc>
        <w:tc>
          <w:tcPr>
            <w:tcW w:w="1150" w:type="dxa"/>
          </w:tcPr>
          <w:p w14:paraId="5EB81932"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400,000</w:t>
            </w:r>
          </w:p>
        </w:tc>
        <w:tc>
          <w:tcPr>
            <w:tcW w:w="1436" w:type="dxa"/>
          </w:tcPr>
          <w:p w14:paraId="57AB861A"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200,000</w:t>
            </w:r>
          </w:p>
        </w:tc>
        <w:tc>
          <w:tcPr>
            <w:tcW w:w="1190" w:type="dxa"/>
          </w:tcPr>
          <w:p w14:paraId="6A4485B5"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200,000</w:t>
            </w:r>
          </w:p>
        </w:tc>
        <w:tc>
          <w:tcPr>
            <w:tcW w:w="1037" w:type="dxa"/>
          </w:tcPr>
          <w:p w14:paraId="61CA7108"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50,000</w:t>
            </w:r>
          </w:p>
        </w:tc>
        <w:tc>
          <w:tcPr>
            <w:tcW w:w="1269" w:type="dxa"/>
          </w:tcPr>
          <w:p w14:paraId="2E5F188C"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350,000</w:t>
            </w:r>
          </w:p>
        </w:tc>
        <w:tc>
          <w:tcPr>
            <w:tcW w:w="1062" w:type="dxa"/>
          </w:tcPr>
          <w:p w14:paraId="113D8822"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0.8638</w:t>
            </w:r>
          </w:p>
        </w:tc>
        <w:tc>
          <w:tcPr>
            <w:tcW w:w="1190" w:type="dxa"/>
          </w:tcPr>
          <w:p w14:paraId="009C2898"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302,330</w:t>
            </w:r>
          </w:p>
        </w:tc>
      </w:tr>
      <w:tr w:rsidR="003E5081" w14:paraId="213EC23A" w14:textId="77777777" w:rsidTr="003E5081">
        <w:trPr>
          <w:jc w:val="center"/>
        </w:trPr>
        <w:tc>
          <w:tcPr>
            <w:cnfStyle w:val="001000000000" w:firstRow="0" w:lastRow="0" w:firstColumn="1" w:lastColumn="0" w:oddVBand="0" w:evenVBand="0" w:oddHBand="0" w:evenHBand="0" w:firstRowFirstColumn="0" w:firstRowLastColumn="0" w:lastRowFirstColumn="0" w:lastRowLastColumn="0"/>
            <w:tcW w:w="682" w:type="dxa"/>
            <w:tcBorders>
              <w:left w:val="nil"/>
              <w:bottom w:val="nil"/>
            </w:tcBorders>
          </w:tcPr>
          <w:p w14:paraId="54A6B6BA" w14:textId="77777777" w:rsidR="003E5081" w:rsidRDefault="00053173">
            <w:pPr>
              <w:jc w:val="center"/>
              <w:rPr>
                <w:color w:val="000000"/>
              </w:rPr>
            </w:pPr>
            <w:r>
              <w:rPr>
                <w:color w:val="000000"/>
              </w:rPr>
              <w:t>4</w:t>
            </w:r>
          </w:p>
        </w:tc>
        <w:tc>
          <w:tcPr>
            <w:tcW w:w="1150" w:type="dxa"/>
          </w:tcPr>
          <w:p w14:paraId="1ABCEBD4"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430,000</w:t>
            </w:r>
          </w:p>
        </w:tc>
        <w:tc>
          <w:tcPr>
            <w:tcW w:w="1436" w:type="dxa"/>
          </w:tcPr>
          <w:p w14:paraId="5CAFDE9C"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200,000</w:t>
            </w:r>
          </w:p>
        </w:tc>
        <w:tc>
          <w:tcPr>
            <w:tcW w:w="1190" w:type="dxa"/>
          </w:tcPr>
          <w:p w14:paraId="61FBE228"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230,000</w:t>
            </w:r>
          </w:p>
        </w:tc>
        <w:tc>
          <w:tcPr>
            <w:tcW w:w="1037" w:type="dxa"/>
          </w:tcPr>
          <w:p w14:paraId="1720106B"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57,500</w:t>
            </w:r>
          </w:p>
        </w:tc>
        <w:tc>
          <w:tcPr>
            <w:tcW w:w="1269" w:type="dxa"/>
          </w:tcPr>
          <w:p w14:paraId="4422A453"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372,500</w:t>
            </w:r>
          </w:p>
        </w:tc>
        <w:tc>
          <w:tcPr>
            <w:tcW w:w="1062" w:type="dxa"/>
          </w:tcPr>
          <w:p w14:paraId="0006DAA0"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0.8227</w:t>
            </w:r>
          </w:p>
        </w:tc>
        <w:tc>
          <w:tcPr>
            <w:tcW w:w="1190" w:type="dxa"/>
          </w:tcPr>
          <w:p w14:paraId="21FDD0C4"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306,456</w:t>
            </w:r>
          </w:p>
        </w:tc>
      </w:tr>
    </w:tbl>
    <w:p w14:paraId="7FADF612" w14:textId="77777777" w:rsidR="003E5081" w:rsidRDefault="00053173">
      <w:pPr>
        <w:spacing w:before="240"/>
      </w:pPr>
      <w:r>
        <w:t>Total Present Value of After-Tax Cash Flows = £1,091,209</w:t>
      </w:r>
    </w:p>
    <w:p w14:paraId="4FC609EC" w14:textId="77777777" w:rsidR="003E5081" w:rsidRDefault="00053173">
      <w:pPr>
        <w:numPr>
          <w:ilvl w:val="0"/>
          <w:numId w:val="2"/>
        </w:numPr>
        <w:pBdr>
          <w:top w:val="nil"/>
          <w:left w:val="nil"/>
          <w:bottom w:val="nil"/>
          <w:right w:val="nil"/>
          <w:between w:val="nil"/>
        </w:pBdr>
        <w:rPr>
          <w:b/>
          <w:bCs/>
          <w:color w:val="000000"/>
        </w:rPr>
      </w:pPr>
      <w:r>
        <w:rPr>
          <w:b/>
          <w:bCs/>
          <w:color w:val="000000"/>
        </w:rPr>
        <w:t>NPV</w:t>
      </w:r>
      <w:r>
        <w:rPr>
          <w:color w:val="000000"/>
        </w:rPr>
        <w:t xml:space="preserve"> = £1,091,209 – £1,000,000 = </w:t>
      </w:r>
      <w:r>
        <w:rPr>
          <w:b/>
          <w:bCs/>
          <w:color w:val="000000"/>
        </w:rPr>
        <w:t>£91,209 (Positive)</w:t>
      </w:r>
    </w:p>
    <w:p w14:paraId="7B778676" w14:textId="77777777" w:rsidR="003E5081" w:rsidRDefault="00053173">
      <w:r>
        <w:t>Only Option A has a negative NPV, meaning it would destroy shareholder value and should be rejected. Both Option B and Option C have positive NPVs, meaning they are both feasible and will create value for the business. From the perspective of finance, choices with positive NPVs should be chosen since they contribute to increasing shareholder wealth (</w:t>
      </w:r>
      <w:proofErr w:type="spellStart"/>
      <w:r>
        <w:t>Prismanda</w:t>
      </w:r>
      <w:proofErr w:type="spellEnd"/>
      <w:r>
        <w:t xml:space="preserve"> </w:t>
      </w:r>
      <w:r>
        <w:rPr>
          <w:i/>
          <w:iCs/>
        </w:rPr>
        <w:t xml:space="preserve">et al., </w:t>
      </w:r>
      <w:r>
        <w:t>2023). Among all three, choice C has the highest NPV, thus making it more appealing because it has a higher return compared to its cost.</w:t>
      </w:r>
    </w:p>
    <w:p w14:paraId="336E5401" w14:textId="77777777" w:rsidR="003E5081" w:rsidRDefault="00053173">
      <w:pPr>
        <w:pStyle w:val="Heading1"/>
      </w:pPr>
      <w:bookmarkStart w:id="19" w:name="_heading=h.ikl8g3ltj9xo" w:colFirst="0" w:colLast="0"/>
      <w:bookmarkEnd w:id="19"/>
      <w:r>
        <w:t>4. Evaluation and Selection of Best Option</w:t>
      </w:r>
    </w:p>
    <w:p w14:paraId="2A997CDC" w14:textId="77777777" w:rsidR="003E5081" w:rsidRDefault="00053173">
      <w:pPr>
        <w:pStyle w:val="Heading2"/>
      </w:pPr>
      <w:bookmarkStart w:id="20" w:name="_heading=h.25ox2b60e25z" w:colFirst="0" w:colLast="0"/>
      <w:bookmarkEnd w:id="20"/>
      <w:r>
        <w:t>4.1 Comparative Evaluation of Investment Options</w:t>
      </w:r>
    </w:p>
    <w:p w14:paraId="5D57DD3C" w14:textId="77777777" w:rsidR="003E5081" w:rsidRDefault="00053173">
      <w:r>
        <w:t>The comparison of the three alternatives reveals distinct differences in their value-creation ability. Alternative C is the most profitable one, providing the largest NPV value at £91,209, which means it creates the greatest positive effect on shareholder value. Alternative B is also profitable and ranks second with an NPV of £73,938, whereas Alternative A is not profitable and generates negative value at (£3,272). It may be concluded that although options B and C are viable according to the NPV criterion, they do not provide equal value. When selecting between mutually exclusive projects, the alternative with the highest NPV must be chosen because it creates the maximum firm value (Singh and Chatterjee, 2025). This reinforces the importance of prioritising value creation rather than simply identifying profitable investments.</w:t>
      </w:r>
    </w:p>
    <w:p w14:paraId="0ECF346C" w14:textId="77777777" w:rsidR="003E5081" w:rsidRDefault="00053173">
      <w:pPr>
        <w:pStyle w:val="Heading2"/>
      </w:pPr>
      <w:bookmarkStart w:id="21" w:name="_heading=h.3uspfaew8kx0" w:colFirst="0" w:colLast="0"/>
      <w:bookmarkEnd w:id="21"/>
      <w:r>
        <w:t>4.2 Justification for Selection of the Proper Option</w:t>
      </w:r>
    </w:p>
    <w:p w14:paraId="3E1ABCBF" w14:textId="77777777" w:rsidR="003E5081" w:rsidRDefault="00053173">
      <w:r>
        <w:t>Option C is the best choice after evaluating all the options. Even though it demands the most capital at the beginning, it has the highest net income in the life cycle of the project. This is in line with the current trends, which state that NPV should be seen as the gold standard for capital budgeting owing to its approach to maximising stockholder wealth (Sekhar, 2025). Option B has excellent financial implications, but it cannot match the value created by Option C. Option A is also positive, but it is relatively less profitable than Option C. Hence, Option C is deemed to be the most favourable since it has more favourable financial results.</w:t>
      </w:r>
    </w:p>
    <w:p w14:paraId="22C7B6FE" w14:textId="77777777" w:rsidR="003E5081" w:rsidRDefault="00053173">
      <w:pPr>
        <w:pStyle w:val="Heading1"/>
      </w:pPr>
      <w:bookmarkStart w:id="22" w:name="_heading=h.59dwg78dvwzl" w:colFirst="0" w:colLast="0"/>
      <w:bookmarkEnd w:id="22"/>
      <w:r>
        <w:t>5. Internal Rate of Return (IRR)</w:t>
      </w:r>
    </w:p>
    <w:p w14:paraId="62C3EC50" w14:textId="77777777" w:rsidR="003E5081" w:rsidRDefault="00053173">
      <w:r>
        <w:t>The Internal Rate of Return (IRR) refers to the discount rate where the net present value (NPV) of an investment project is equal to zero (</w:t>
      </w:r>
      <w:proofErr w:type="spellStart"/>
      <w:r>
        <w:t>Wangchuk</w:t>
      </w:r>
      <w:proofErr w:type="spellEnd"/>
      <w:r>
        <w:t>, 2022). This is the cost of capital that results in breakeven for the project. In this case, the criteria for decision-making are simple, whereby a project is accepted if its IRR is higher than the cost of capital (Fan, 2025).</w:t>
      </w:r>
    </w:p>
    <w:p w14:paraId="114DA231" w14:textId="77777777" w:rsidR="003E5081" w:rsidRDefault="00053173">
      <w:pPr>
        <w:pStyle w:val="Heading2"/>
      </w:pPr>
      <w:bookmarkStart w:id="23" w:name="_heading=h.i5uy4a3l866m" w:colFirst="0" w:colLast="0"/>
      <w:bookmarkEnd w:id="23"/>
      <w:r>
        <w:t>5.1 IRR Calculation</w:t>
      </w:r>
    </w:p>
    <w:p w14:paraId="6A53DF34" w14:textId="77777777" w:rsidR="003E5081" w:rsidRDefault="00053173">
      <w:r>
        <w:t>For Option C, the NPV at 5% (cost of capital) is £91,209 (positive). A higher discount rate is tested to obtain a negative NPV to find the IRR. At a discount rate of 12%, the NPV of Option C becomes approximately –£8,500 (see Appendix B for detailed workings).</w:t>
      </w:r>
    </w:p>
    <w:p w14:paraId="2EA6D0F1" w14:textId="77777777" w:rsidR="003E5081" w:rsidRDefault="00053173">
      <w:pPr>
        <w:spacing w:after="0"/>
        <w:rPr>
          <w:i/>
          <w:iCs/>
        </w:rPr>
      </w:pPr>
      <w:r>
        <w:rPr>
          <w:i/>
          <w:iCs/>
        </w:rPr>
        <w:t>Using linear interpolation:</w:t>
      </w:r>
    </w:p>
    <w:p w14:paraId="50AA7B7A" w14:textId="77777777" w:rsidR="003E5081" w:rsidRDefault="00053173">
      <w:pPr>
        <w:numPr>
          <w:ilvl w:val="0"/>
          <w:numId w:val="2"/>
        </w:numPr>
        <w:pBdr>
          <w:top w:val="nil"/>
          <w:left w:val="nil"/>
          <w:bottom w:val="nil"/>
          <w:right w:val="nil"/>
          <w:between w:val="nil"/>
        </w:pBdr>
        <w:spacing w:after="0"/>
        <w:rPr>
          <w:color w:val="000000"/>
        </w:rPr>
      </w:pPr>
      <w:r>
        <w:rPr>
          <w:b/>
          <w:bCs/>
          <w:i/>
          <w:iCs/>
          <w:color w:val="000000"/>
        </w:rPr>
        <w:t>Lower rate (R</w:t>
      </w:r>
      <w:r>
        <w:rPr>
          <w:rFonts w:ascii="Cambria Math" w:eastAsia="Cambria Math" w:hAnsi="Cambria Math" w:cs="Cambria Math"/>
          <w:b/>
          <w:bCs/>
          <w:i/>
          <w:iCs/>
          <w:color w:val="000000"/>
        </w:rPr>
        <w:t>₁</w:t>
      </w:r>
      <w:r>
        <w:rPr>
          <w:b/>
          <w:bCs/>
          <w:i/>
          <w:iCs/>
          <w:color w:val="000000"/>
        </w:rPr>
        <w:t>)</w:t>
      </w:r>
      <w:r>
        <w:rPr>
          <w:color w:val="000000"/>
        </w:rPr>
        <w:t xml:space="preserve"> = 5%, NPV</w:t>
      </w:r>
      <w:r>
        <w:rPr>
          <w:rFonts w:ascii="Cambria Math" w:eastAsia="Cambria Math" w:hAnsi="Cambria Math" w:cs="Cambria Math"/>
          <w:color w:val="000000"/>
        </w:rPr>
        <w:t>₁</w:t>
      </w:r>
      <w:r>
        <w:rPr>
          <w:color w:val="000000"/>
        </w:rPr>
        <w:t xml:space="preserve"> = £91,209</w:t>
      </w:r>
    </w:p>
    <w:p w14:paraId="374FCD90" w14:textId="77777777" w:rsidR="003E5081" w:rsidRDefault="00053173">
      <w:pPr>
        <w:numPr>
          <w:ilvl w:val="0"/>
          <w:numId w:val="2"/>
        </w:numPr>
        <w:pBdr>
          <w:top w:val="nil"/>
          <w:left w:val="nil"/>
          <w:bottom w:val="nil"/>
          <w:right w:val="nil"/>
          <w:between w:val="nil"/>
        </w:pBdr>
        <w:rPr>
          <w:color w:val="000000"/>
        </w:rPr>
      </w:pPr>
      <w:r>
        <w:rPr>
          <w:b/>
          <w:bCs/>
          <w:i/>
          <w:iCs/>
          <w:color w:val="000000"/>
        </w:rPr>
        <w:t>Higher rate (R</w:t>
      </w:r>
      <w:r>
        <w:rPr>
          <w:rFonts w:ascii="Cambria Math" w:eastAsia="Cambria Math" w:hAnsi="Cambria Math" w:cs="Cambria Math"/>
          <w:b/>
          <w:bCs/>
          <w:i/>
          <w:iCs/>
          <w:color w:val="000000"/>
        </w:rPr>
        <w:t>₂</w:t>
      </w:r>
      <w:r>
        <w:rPr>
          <w:b/>
          <w:bCs/>
          <w:i/>
          <w:iCs/>
          <w:color w:val="000000"/>
        </w:rPr>
        <w:t>)</w:t>
      </w:r>
      <w:r>
        <w:rPr>
          <w:color w:val="000000"/>
        </w:rPr>
        <w:t xml:space="preserve"> = 12%, NPV</w:t>
      </w:r>
      <w:r>
        <w:rPr>
          <w:rFonts w:ascii="Cambria Math" w:eastAsia="Cambria Math" w:hAnsi="Cambria Math" w:cs="Cambria Math"/>
          <w:color w:val="000000"/>
        </w:rPr>
        <w:t>₂</w:t>
      </w:r>
      <w:r>
        <w:rPr>
          <w:color w:val="000000"/>
        </w:rPr>
        <w:t xml:space="preserve"> = –£8,500</w:t>
      </w:r>
    </w:p>
    <w:p w14:paraId="0B8DE9C7" w14:textId="77777777" w:rsidR="003E5081" w:rsidRDefault="00053173">
      <w:pPr>
        <w:spacing w:after="0"/>
        <w:rPr>
          <w:b/>
          <w:bCs/>
          <w:u w:val="single"/>
        </w:rPr>
      </w:pPr>
      <w:r>
        <w:rPr>
          <w:b/>
          <w:bCs/>
          <w:u w:val="single"/>
        </w:rPr>
        <w:t>IRR Formula</w:t>
      </w:r>
    </w:p>
    <w:p w14:paraId="5E4E3050" w14:textId="77777777" w:rsidR="003E5081" w:rsidRDefault="00D54188">
      <w:pPr>
        <w:jc w:val="center"/>
      </w:pPr>
      <w:sdt>
        <w:sdtPr>
          <w:tag w:val="goog_rdk_0"/>
          <w:id w:val="260168405"/>
        </w:sdtPr>
        <w:sdtEndPr/>
        <w:sdtContent>
          <w:r w:rsidR="00053173">
            <w:rPr>
              <w:rFonts w:ascii="Arial Unicode MS" w:eastAsia="Arial Unicode MS" w:hAnsi="Arial Unicode MS" w:cs="Arial Unicode MS"/>
            </w:rPr>
            <w:t>IRR ≈ R</w:t>
          </w:r>
        </w:sdtContent>
      </w:sdt>
      <w:r w:rsidR="00053173">
        <w:rPr>
          <w:rFonts w:ascii="Cambria Math" w:eastAsia="Cambria Math" w:hAnsi="Cambria Math" w:cs="Cambria Math"/>
        </w:rPr>
        <w:t>₁</w:t>
      </w:r>
      <w:r w:rsidR="00053173">
        <w:t xml:space="preserve"> + [NPV</w:t>
      </w:r>
      <w:r w:rsidR="00053173">
        <w:rPr>
          <w:rFonts w:ascii="Cambria Math" w:eastAsia="Cambria Math" w:hAnsi="Cambria Math" w:cs="Cambria Math"/>
        </w:rPr>
        <w:t>₁</w:t>
      </w:r>
      <w:r w:rsidR="00053173">
        <w:t xml:space="preserve"> / (NPV</w:t>
      </w:r>
      <w:r w:rsidR="00053173">
        <w:rPr>
          <w:rFonts w:ascii="Cambria Math" w:eastAsia="Cambria Math" w:hAnsi="Cambria Math" w:cs="Cambria Math"/>
        </w:rPr>
        <w:t>₁</w:t>
      </w:r>
      <w:r w:rsidR="00053173">
        <w:t xml:space="preserve"> – NPV</w:t>
      </w:r>
      <w:r w:rsidR="00053173">
        <w:rPr>
          <w:rFonts w:ascii="Cambria Math" w:eastAsia="Cambria Math" w:hAnsi="Cambria Math" w:cs="Cambria Math"/>
        </w:rPr>
        <w:t>₂</w:t>
      </w:r>
      <w:r w:rsidR="00053173">
        <w:t>)] × (R</w:t>
      </w:r>
      <w:r w:rsidR="00053173">
        <w:rPr>
          <w:rFonts w:ascii="Cambria Math" w:eastAsia="Cambria Math" w:hAnsi="Cambria Math" w:cs="Cambria Math"/>
        </w:rPr>
        <w:t>₂</w:t>
      </w:r>
      <w:r w:rsidR="00053173">
        <w:t xml:space="preserve"> – R</w:t>
      </w:r>
      <w:r w:rsidR="00053173">
        <w:rPr>
          <w:rFonts w:ascii="Cambria Math" w:eastAsia="Cambria Math" w:hAnsi="Cambria Math" w:cs="Cambria Math"/>
        </w:rPr>
        <w:t>₁</w:t>
      </w:r>
      <w:r w:rsidR="00053173">
        <w:t>)</w:t>
      </w:r>
    </w:p>
    <w:p w14:paraId="78A04FAA" w14:textId="77777777" w:rsidR="003E5081" w:rsidRDefault="00D54188">
      <w:sdt>
        <w:sdtPr>
          <w:tag w:val="goog_rdk_1"/>
          <w:id w:val="1879540640"/>
        </w:sdtPr>
        <w:sdtEndPr/>
        <w:sdtContent>
          <w:r w:rsidR="00053173">
            <w:rPr>
              <w:rFonts w:ascii="Arial Unicode MS" w:eastAsia="Arial Unicode MS" w:hAnsi="Arial Unicode MS" w:cs="Arial Unicode MS"/>
            </w:rPr>
            <w:t xml:space="preserve">Therefore, IRR ≈ 5% + [91,209 / (91,209 + 8,500)] × 7% </w:t>
          </w:r>
        </w:sdtContent>
      </w:sdt>
    </w:p>
    <w:p w14:paraId="391D2E76" w14:textId="77777777" w:rsidR="003E5081" w:rsidRDefault="00D54188">
      <w:sdt>
        <w:sdtPr>
          <w:tag w:val="goog_rdk_2"/>
          <w:id w:val="683495523"/>
        </w:sdtPr>
        <w:sdtEndPr/>
        <w:sdtContent>
          <w:r w:rsidR="00053173">
            <w:rPr>
              <w:rFonts w:ascii="Arial Unicode MS" w:eastAsia="Arial Unicode MS" w:hAnsi="Arial Unicode MS" w:cs="Arial Unicode MS"/>
            </w:rPr>
            <w:t>≈ 5% + [91,209 / 99,709] × 7%</w:t>
          </w:r>
        </w:sdtContent>
      </w:sdt>
    </w:p>
    <w:p w14:paraId="2F8C2887" w14:textId="77777777" w:rsidR="003E5081" w:rsidRDefault="00D54188">
      <w:sdt>
        <w:sdtPr>
          <w:tag w:val="goog_rdk_3"/>
          <w:id w:val="-1046480309"/>
        </w:sdtPr>
        <w:sdtEndPr/>
        <w:sdtContent>
          <w:r w:rsidR="00053173">
            <w:rPr>
              <w:rFonts w:ascii="Arial Unicode MS" w:eastAsia="Arial Unicode MS" w:hAnsi="Arial Unicode MS" w:cs="Arial Unicode MS"/>
            </w:rPr>
            <w:t>≈ 5% + (0.915 × 7%)</w:t>
          </w:r>
        </w:sdtContent>
      </w:sdt>
    </w:p>
    <w:p w14:paraId="2EFB9DB5" w14:textId="77777777" w:rsidR="003E5081" w:rsidRDefault="00D54188">
      <w:sdt>
        <w:sdtPr>
          <w:tag w:val="goog_rdk_4"/>
          <w:id w:val="188389004"/>
        </w:sdtPr>
        <w:sdtEndPr/>
        <w:sdtContent>
          <w:r w:rsidR="00053173">
            <w:rPr>
              <w:rFonts w:ascii="Arial Unicode MS" w:eastAsia="Arial Unicode MS" w:hAnsi="Arial Unicode MS" w:cs="Arial Unicode MS"/>
            </w:rPr>
            <w:t>≈ 5% + 6.41%</w:t>
          </w:r>
        </w:sdtContent>
      </w:sdt>
    </w:p>
    <w:p w14:paraId="05DDFA5B" w14:textId="77777777" w:rsidR="003E5081" w:rsidRDefault="00D54188">
      <w:pPr>
        <w:rPr>
          <w:b/>
          <w:bCs/>
          <w:i/>
          <w:iCs/>
        </w:rPr>
      </w:pPr>
      <w:sdt>
        <w:sdtPr>
          <w:tag w:val="goog_rdk_5"/>
          <w:id w:val="-110032074"/>
        </w:sdtPr>
        <w:sdtEndPr/>
        <w:sdtContent>
          <w:r w:rsidR="00053173">
            <w:rPr>
              <w:rFonts w:ascii="Arial Unicode MS" w:eastAsia="Arial Unicode MS" w:hAnsi="Arial Unicode MS" w:cs="Arial Unicode MS"/>
              <w:b/>
              <w:bCs/>
              <w:i/>
              <w:iCs/>
            </w:rPr>
            <w:t>IRR ≈ 11.41%</w:t>
          </w:r>
        </w:sdtContent>
      </w:sdt>
    </w:p>
    <w:p w14:paraId="2FDA211E" w14:textId="77777777" w:rsidR="003E5081" w:rsidRDefault="00053173">
      <w:pPr>
        <w:pStyle w:val="Heading2"/>
      </w:pPr>
      <w:bookmarkStart w:id="24" w:name="_heading=h.q5wj03tyu5q3" w:colFirst="0" w:colLast="0"/>
      <w:bookmarkEnd w:id="24"/>
      <w:r>
        <w:t>5.2 Interpretation Relative to Cost of Capital and Limitations</w:t>
      </w:r>
    </w:p>
    <w:p w14:paraId="5E354E3E" w14:textId="77777777" w:rsidR="003E5081" w:rsidRDefault="00053173">
      <w:r>
        <w:t>The IRR of 11.41% is noticeably greater than the cost of capital of 5% for Beard Plc. The acceptance of Option C will result in a high return compared to the minimum requirement of the organisation. Even though IRR appears straightforward, it is not without its drawbacks. It assumes that interim cash flows are reinvested at the IRR, an assumption that might be impractical (</w:t>
      </w:r>
      <w:proofErr w:type="spellStart"/>
      <w:r>
        <w:t>Magni</w:t>
      </w:r>
      <w:proofErr w:type="spellEnd"/>
      <w:r>
        <w:t xml:space="preserve"> and Martin, 2025). In the case of mutually exclusive investments, IRR does not necessarily yield the same ranking as NPV. Moreover, in cases of unconventional cash flows, IRR could yield more than one value.</w:t>
      </w:r>
    </w:p>
    <w:p w14:paraId="3E079244" w14:textId="77777777" w:rsidR="003E5081" w:rsidRDefault="00053173">
      <w:pPr>
        <w:pStyle w:val="Heading1"/>
      </w:pPr>
      <w:bookmarkStart w:id="25" w:name="_heading=h.a243gv300b9t" w:colFirst="0" w:colLast="0"/>
      <w:bookmarkEnd w:id="25"/>
      <w:r>
        <w:t>6. Interpretation of Investment Appraisal Methods</w:t>
      </w:r>
    </w:p>
    <w:p w14:paraId="43830A34" w14:textId="77777777" w:rsidR="003E5081" w:rsidRDefault="00053173">
      <w:r>
        <w:t>The net present value (NPV) approach is conceptually better than other approaches that do not discount because there are many advantages to using NPV. Firstly, the use of NPV takes into consideration the time value of money, whereby it recognises that a pound today is worth more than a pound tomorrow (Prasad, 2025). Secondly, the use of NPV takes into account all cash flows throughout the duration of the project as opposed to the payback method, where cash flows beyond the payback period are ignored. Thirdly, NPV uses the cost of capital of the company as the discount factor (</w:t>
      </w:r>
      <w:proofErr w:type="spellStart"/>
      <w:r>
        <w:t>Lilford</w:t>
      </w:r>
      <w:proofErr w:type="spellEnd"/>
      <w:r>
        <w:t>, 2023). Lastly, NPV calculates the increase in wealth to shareholders.</w:t>
      </w:r>
    </w:p>
    <w:p w14:paraId="152B3C05" w14:textId="77777777" w:rsidR="003E5081" w:rsidRDefault="00053173">
      <w:r>
        <w:t>Although NPV has many strengths, other approaches, such as payback and ARR, are still widely used by professionals. For example, payback is easy to calculate without any complicated discounting processes (Cotter, 2023). In addition, it is especially effective in risky situations or those with high uncertainty because the earlier cash flows are more accurate. Another strength of payback is that it considers the liquidity and quick return of investments, which may be significant for companies lacking sufficient financial resources.</w:t>
      </w:r>
    </w:p>
    <w:p w14:paraId="36AA381A" w14:textId="77777777" w:rsidR="003E5081" w:rsidRDefault="00053173">
      <w:pPr>
        <w:pStyle w:val="Heading1"/>
      </w:pPr>
      <w:bookmarkStart w:id="26" w:name="_heading=h.2hx0jdttzq0f" w:colFirst="0" w:colLast="0"/>
      <w:bookmarkEnd w:id="26"/>
      <w:r>
        <w:t>7. Non-Financial Considerations</w:t>
      </w:r>
      <w:r>
        <w:rPr>
          <w:color w:val="0B5394"/>
        </w:rPr>
        <w:t xml:space="preserve"> </w:t>
      </w:r>
      <w:r>
        <w:rPr>
          <w:color w:val="0B5394"/>
          <w:sz w:val="24"/>
          <w:szCs w:val="24"/>
        </w:rPr>
        <w:t>in</w:t>
      </w:r>
      <w:r>
        <w:rPr>
          <w:color w:val="000000"/>
          <w:sz w:val="24"/>
          <w:szCs w:val="24"/>
        </w:rPr>
        <w:t xml:space="preserve"> </w:t>
      </w:r>
      <w:r>
        <w:t>Investment Appraisal</w:t>
      </w:r>
    </w:p>
    <w:p w14:paraId="3B36FE55" w14:textId="77777777" w:rsidR="003E5081" w:rsidRDefault="00053173">
      <w:r>
        <w:t>In addition to the above quantitative aspects, other qualitative considerations should determine the final choice. The strategic fit favours Option C, since it relies on the company's experience with leather goods, while Option B entails creating additional digital skills. The market environment suggests that e-commerce will be profitable, although Option C enjoys an already developed network of wholesale customers. Option C does not have problems with operational capacity because its production can be performed using existing production lines (</w:t>
      </w:r>
      <w:proofErr w:type="spellStart"/>
      <w:r>
        <w:t>Čamaj</w:t>
      </w:r>
      <w:proofErr w:type="spellEnd"/>
      <w:r>
        <w:t xml:space="preserve">, </w:t>
      </w:r>
      <w:proofErr w:type="spellStart"/>
      <w:r>
        <w:t>Bulková</w:t>
      </w:r>
      <w:proofErr w:type="spellEnd"/>
      <w:r>
        <w:t xml:space="preserve"> and </w:t>
      </w:r>
      <w:proofErr w:type="spellStart"/>
      <w:r>
        <w:t>Gašparík</w:t>
      </w:r>
      <w:proofErr w:type="spellEnd"/>
      <w:r>
        <w:t>, 2025). However, Option B would entail substantial logistical costs.  Regarding risk, the technology risks are greater for Option B and the risk of cyber-attacks is even greater. On the contrary, there are moderate competitive risks for Option C because of the presence of accessory brands. As far as ESG issues go, Option C is more suitable due to the lower carbon footprint in local production (</w:t>
      </w:r>
      <w:proofErr w:type="spellStart"/>
      <w:r>
        <w:t>Quaranta</w:t>
      </w:r>
      <w:proofErr w:type="spellEnd"/>
      <w:r>
        <w:t>, 2024). In contrast, internet sales entail more complex transportation networks. Option C is also favoured by management expertise since the existing management team is experienced in producing leather goods. Conversely, Option B would entail recruitment/training difficulties.</w:t>
      </w:r>
    </w:p>
    <w:p w14:paraId="47C7E842" w14:textId="77777777" w:rsidR="003E5081" w:rsidRDefault="00053173">
      <w:pPr>
        <w:pStyle w:val="Heading1"/>
      </w:pPr>
      <w:bookmarkStart w:id="27" w:name="_heading=h.ifqydab1wswy" w:colFirst="0" w:colLast="0"/>
      <w:bookmarkEnd w:id="27"/>
      <w:r>
        <w:t>8. Optimal Investment Policy</w:t>
      </w:r>
    </w:p>
    <w:p w14:paraId="5B25FC99" w14:textId="77777777" w:rsidR="003E5081" w:rsidRDefault="00053173">
      <w:r>
        <w:t>Capital requirement for Beard Plc is £1,500,000. It implies that not all three projects can be accepted at the same time due to the capital limit imposed by the firm. All three projects are feasible and more importantly, all projects are divisible. Thus, a fraction of each can be chosen.</w:t>
      </w:r>
    </w:p>
    <w:p w14:paraId="5B586481" w14:textId="77777777" w:rsidR="003E5081" w:rsidRDefault="00053173">
      <w:pPr>
        <w:pStyle w:val="Heading2"/>
      </w:pPr>
      <w:bookmarkStart w:id="28" w:name="_heading=h.j0wopmmv7agr" w:colFirst="0" w:colLast="0"/>
      <w:bookmarkEnd w:id="28"/>
      <w:r>
        <w:t>8.1 Approach</w:t>
      </w:r>
    </w:p>
    <w:p w14:paraId="69148A6B" w14:textId="77777777" w:rsidR="003E5081" w:rsidRDefault="00053173">
      <w:r>
        <w:t>Under capital rationing using divisible projects, the right thing to do is order them according to the Profitability Index (PI), also referred to as the value for money ratio (Drury, 2020). PI is determined through:</w:t>
      </w:r>
    </w:p>
    <w:p w14:paraId="540F17BE" w14:textId="77777777" w:rsidR="003E5081" w:rsidRDefault="00053173">
      <w:pPr>
        <w:jc w:val="center"/>
      </w:pPr>
      <w:r>
        <w:rPr>
          <w:b/>
          <w:bCs/>
        </w:rPr>
        <w:t>PI = NPV / Initial Investment</w:t>
      </w:r>
    </w:p>
    <w:p w14:paraId="620EAAF0" w14:textId="77777777" w:rsidR="003E5081" w:rsidRDefault="00053173">
      <w:r>
        <w:t>The projects with higher PI yield more NPV for each pound of investment and deserve consideration. Budget allocation is done from higher PI to lower PI projects until the constraint of £1,500,000 is met.</w:t>
      </w:r>
    </w:p>
    <w:p w14:paraId="67C0AE00" w14:textId="77777777" w:rsidR="003E5081" w:rsidRDefault="00053173">
      <w:pPr>
        <w:pStyle w:val="Heading2"/>
      </w:pPr>
      <w:bookmarkStart w:id="29" w:name="_heading=h.tmkmetl8p6qr" w:colFirst="0" w:colLast="0"/>
      <w:bookmarkEnd w:id="29"/>
      <w:r>
        <w:t>8.2 Results and recommendations</w:t>
      </w:r>
    </w:p>
    <w:p w14:paraId="65E016A8" w14:textId="77777777" w:rsidR="003E5081" w:rsidRDefault="00053173">
      <w:pPr>
        <w:spacing w:after="0"/>
        <w:rPr>
          <w:b/>
          <w:bCs/>
          <w:u w:val="single"/>
        </w:rPr>
      </w:pPr>
      <w:r>
        <w:rPr>
          <w:b/>
          <w:bCs/>
          <w:u w:val="single"/>
        </w:rPr>
        <w:t>Calculate PI for Each Option</w:t>
      </w:r>
    </w:p>
    <w:tbl>
      <w:tblPr>
        <w:tblStyle w:val="a8"/>
        <w:tblW w:w="9043" w:type="dxa"/>
        <w:tblInd w:w="-5" w:type="dxa"/>
        <w:tblBorders>
          <w:top w:val="single" w:sz="4" w:space="0" w:color="80350D"/>
          <w:left w:val="single" w:sz="4" w:space="0" w:color="80350D"/>
          <w:bottom w:val="single" w:sz="4" w:space="0" w:color="80350D"/>
          <w:right w:val="single" w:sz="4" w:space="0" w:color="80350D"/>
          <w:insideH w:val="single" w:sz="4" w:space="0" w:color="80350D"/>
          <w:insideV w:val="single" w:sz="4" w:space="0" w:color="80350D"/>
        </w:tblBorders>
        <w:tblLayout w:type="fixed"/>
        <w:tblLook w:val="04A0" w:firstRow="1" w:lastRow="0" w:firstColumn="1" w:lastColumn="0" w:noHBand="0" w:noVBand="1"/>
      </w:tblPr>
      <w:tblGrid>
        <w:gridCol w:w="1207"/>
        <w:gridCol w:w="1305"/>
        <w:gridCol w:w="3094"/>
        <w:gridCol w:w="3437"/>
      </w:tblGrid>
      <w:tr w:rsidR="003E5081" w14:paraId="50EB2B67" w14:textId="77777777" w:rsidTr="003E5081">
        <w:trPr>
          <w:cnfStyle w:val="100000000000" w:firstRow="1" w:lastRow="0" w:firstColumn="0" w:lastColumn="0" w:oddVBand="0" w:evenVBand="0" w:oddHBand="0"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1207" w:type="dxa"/>
          </w:tcPr>
          <w:p w14:paraId="60D21102" w14:textId="77777777" w:rsidR="003E5081" w:rsidRDefault="00053173">
            <w:pPr>
              <w:jc w:val="center"/>
              <w:rPr>
                <w:color w:val="000000"/>
              </w:rPr>
            </w:pPr>
            <w:r>
              <w:rPr>
                <w:color w:val="000000"/>
              </w:rPr>
              <w:t>Option</w:t>
            </w:r>
          </w:p>
        </w:tc>
        <w:tc>
          <w:tcPr>
            <w:tcW w:w="1305" w:type="dxa"/>
          </w:tcPr>
          <w:p w14:paraId="75E35BBB"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NPV (£)</w:t>
            </w:r>
          </w:p>
        </w:tc>
        <w:tc>
          <w:tcPr>
            <w:tcW w:w="3094" w:type="dxa"/>
          </w:tcPr>
          <w:p w14:paraId="2E430541"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Initial Investment (£)</w:t>
            </w:r>
          </w:p>
        </w:tc>
        <w:tc>
          <w:tcPr>
            <w:tcW w:w="3437" w:type="dxa"/>
          </w:tcPr>
          <w:p w14:paraId="5C2D4CE1"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Profitability Index (PI)</w:t>
            </w:r>
          </w:p>
        </w:tc>
      </w:tr>
      <w:tr w:rsidR="003E5081" w14:paraId="579042BB" w14:textId="77777777" w:rsidTr="003E5081">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1207" w:type="dxa"/>
          </w:tcPr>
          <w:p w14:paraId="68ECFC30" w14:textId="77777777" w:rsidR="003E5081" w:rsidRDefault="00053173">
            <w:pPr>
              <w:jc w:val="center"/>
              <w:rPr>
                <w:color w:val="000000"/>
              </w:rPr>
            </w:pPr>
            <w:r>
              <w:rPr>
                <w:color w:val="000000"/>
              </w:rPr>
              <w:t>A</w:t>
            </w:r>
          </w:p>
        </w:tc>
        <w:tc>
          <w:tcPr>
            <w:tcW w:w="1305" w:type="dxa"/>
          </w:tcPr>
          <w:p w14:paraId="66939B3F"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(3,272)</w:t>
            </w:r>
          </w:p>
        </w:tc>
        <w:tc>
          <w:tcPr>
            <w:tcW w:w="3094" w:type="dxa"/>
          </w:tcPr>
          <w:p w14:paraId="47B7A99C"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600,000</w:t>
            </w:r>
          </w:p>
        </w:tc>
        <w:tc>
          <w:tcPr>
            <w:tcW w:w="3437" w:type="dxa"/>
          </w:tcPr>
          <w:p w14:paraId="6BF2AAD3"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(0.005) - negative, reject</w:t>
            </w:r>
          </w:p>
        </w:tc>
      </w:tr>
      <w:tr w:rsidR="003E5081" w14:paraId="3B0C3ABB" w14:textId="77777777" w:rsidTr="003E5081">
        <w:trPr>
          <w:trHeight w:val="376"/>
        </w:trPr>
        <w:tc>
          <w:tcPr>
            <w:cnfStyle w:val="001000000000" w:firstRow="0" w:lastRow="0" w:firstColumn="1" w:lastColumn="0" w:oddVBand="0" w:evenVBand="0" w:oddHBand="0" w:evenHBand="0" w:firstRowFirstColumn="0" w:firstRowLastColumn="0" w:lastRowFirstColumn="0" w:lastRowLastColumn="0"/>
            <w:tcW w:w="1207" w:type="dxa"/>
          </w:tcPr>
          <w:p w14:paraId="545CF74B" w14:textId="77777777" w:rsidR="003E5081" w:rsidRDefault="00053173">
            <w:pPr>
              <w:jc w:val="center"/>
              <w:rPr>
                <w:color w:val="000000"/>
              </w:rPr>
            </w:pPr>
            <w:r>
              <w:rPr>
                <w:color w:val="000000"/>
              </w:rPr>
              <w:t>B</w:t>
            </w:r>
          </w:p>
        </w:tc>
        <w:tc>
          <w:tcPr>
            <w:tcW w:w="1305" w:type="dxa"/>
          </w:tcPr>
          <w:p w14:paraId="0D87DFA7"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73,938</w:t>
            </w:r>
          </w:p>
        </w:tc>
        <w:tc>
          <w:tcPr>
            <w:tcW w:w="3094" w:type="dxa"/>
          </w:tcPr>
          <w:p w14:paraId="309BB042"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900,000</w:t>
            </w:r>
          </w:p>
        </w:tc>
        <w:tc>
          <w:tcPr>
            <w:tcW w:w="3437" w:type="dxa"/>
          </w:tcPr>
          <w:p w14:paraId="5FC59C5B"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0.082</w:t>
            </w:r>
          </w:p>
        </w:tc>
      </w:tr>
      <w:tr w:rsidR="003E5081" w14:paraId="770CEDAA" w14:textId="77777777" w:rsidTr="003E5081">
        <w:trPr>
          <w:cnfStyle w:val="000000100000" w:firstRow="0" w:lastRow="0" w:firstColumn="0" w:lastColumn="0" w:oddVBand="0" w:evenVBand="0" w:oddHBand="1" w:evenHBand="0" w:firstRowFirstColumn="0" w:firstRowLastColumn="0" w:lastRowFirstColumn="0" w:lastRowLastColumn="0"/>
          <w:trHeight w:val="376"/>
        </w:trPr>
        <w:tc>
          <w:tcPr>
            <w:cnfStyle w:val="001000000000" w:firstRow="0" w:lastRow="0" w:firstColumn="1" w:lastColumn="0" w:oddVBand="0" w:evenVBand="0" w:oddHBand="0" w:evenHBand="0" w:firstRowFirstColumn="0" w:firstRowLastColumn="0" w:lastRowFirstColumn="0" w:lastRowLastColumn="0"/>
            <w:tcW w:w="1207" w:type="dxa"/>
          </w:tcPr>
          <w:p w14:paraId="5F35F272" w14:textId="77777777" w:rsidR="003E5081" w:rsidRDefault="00053173">
            <w:pPr>
              <w:jc w:val="center"/>
              <w:rPr>
                <w:color w:val="000000"/>
              </w:rPr>
            </w:pPr>
            <w:r>
              <w:rPr>
                <w:color w:val="000000"/>
              </w:rPr>
              <w:t>C</w:t>
            </w:r>
          </w:p>
        </w:tc>
        <w:tc>
          <w:tcPr>
            <w:tcW w:w="1305" w:type="dxa"/>
          </w:tcPr>
          <w:p w14:paraId="33A2E970"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91,209</w:t>
            </w:r>
          </w:p>
        </w:tc>
        <w:tc>
          <w:tcPr>
            <w:tcW w:w="3094" w:type="dxa"/>
          </w:tcPr>
          <w:p w14:paraId="0BE2485B"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1,000,000</w:t>
            </w:r>
          </w:p>
        </w:tc>
        <w:tc>
          <w:tcPr>
            <w:tcW w:w="3437" w:type="dxa"/>
          </w:tcPr>
          <w:p w14:paraId="02FE764C"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0.091</w:t>
            </w:r>
          </w:p>
        </w:tc>
      </w:tr>
    </w:tbl>
    <w:p w14:paraId="46068B78" w14:textId="77777777" w:rsidR="003E5081" w:rsidRDefault="00053173">
      <w:pPr>
        <w:spacing w:before="240"/>
      </w:pPr>
      <w:r>
        <w:t>Option A has a negative PI and is excluded entirely. Option C has the highest PI (0.091), followed by Option B (0.082).</w:t>
      </w:r>
    </w:p>
    <w:p w14:paraId="04215CFB" w14:textId="77777777" w:rsidR="003E5081" w:rsidRDefault="00053173">
      <w:pPr>
        <w:spacing w:after="0"/>
        <w:rPr>
          <w:u w:val="single"/>
        </w:rPr>
      </w:pPr>
      <w:r>
        <w:rPr>
          <w:b/>
          <w:bCs/>
          <w:u w:val="single"/>
        </w:rPr>
        <w:t>Allocate Budget to Maximise Total NPV</w:t>
      </w:r>
    </w:p>
    <w:p w14:paraId="0EF8A942" w14:textId="77777777" w:rsidR="003E5081" w:rsidRDefault="00053173">
      <w:pPr>
        <w:spacing w:after="0"/>
      </w:pPr>
      <w:r>
        <w:t>Since Option C offers more value per pound, it receives full funding first:</w:t>
      </w:r>
    </w:p>
    <w:p w14:paraId="7481F28F" w14:textId="77777777" w:rsidR="003E5081" w:rsidRDefault="00053173">
      <w:pPr>
        <w:numPr>
          <w:ilvl w:val="0"/>
          <w:numId w:val="5"/>
        </w:numPr>
        <w:pBdr>
          <w:top w:val="nil"/>
          <w:left w:val="nil"/>
          <w:bottom w:val="nil"/>
          <w:right w:val="nil"/>
          <w:between w:val="nil"/>
        </w:pBdr>
        <w:spacing w:after="0"/>
        <w:rPr>
          <w:color w:val="000000"/>
        </w:rPr>
      </w:pPr>
      <w:r>
        <w:rPr>
          <w:b/>
          <w:bCs/>
          <w:i/>
          <w:iCs/>
          <w:color w:val="000000"/>
        </w:rPr>
        <w:t>Fund Option C Fully:</w:t>
      </w:r>
      <w:sdt>
        <w:sdtPr>
          <w:tag w:val="goog_rdk_6"/>
          <w:id w:val="1016180787"/>
        </w:sdtPr>
        <w:sdtEndPr/>
        <w:sdtContent>
          <w:r>
            <w:rPr>
              <w:rFonts w:ascii="Arial Unicode MS" w:eastAsia="Arial Unicode MS" w:hAnsi="Arial Unicode MS" w:cs="Arial Unicode MS"/>
              <w:color w:val="000000"/>
            </w:rPr>
            <w:t xml:space="preserve"> £1,000,000 invested → </w:t>
          </w:r>
        </w:sdtContent>
      </w:sdt>
      <w:r>
        <w:rPr>
          <w:b/>
          <w:bCs/>
          <w:color w:val="000000"/>
        </w:rPr>
        <w:t>NPV of £91,209</w:t>
      </w:r>
    </w:p>
    <w:p w14:paraId="384350E2" w14:textId="77777777" w:rsidR="003E5081" w:rsidRDefault="00053173">
      <w:pPr>
        <w:numPr>
          <w:ilvl w:val="0"/>
          <w:numId w:val="5"/>
        </w:numPr>
        <w:pBdr>
          <w:top w:val="nil"/>
          <w:left w:val="nil"/>
          <w:bottom w:val="nil"/>
          <w:right w:val="nil"/>
          <w:between w:val="nil"/>
        </w:pBdr>
        <w:rPr>
          <w:color w:val="000000"/>
        </w:rPr>
      </w:pPr>
      <w:r>
        <w:rPr>
          <w:b/>
          <w:bCs/>
          <w:i/>
          <w:iCs/>
          <w:color w:val="000000"/>
        </w:rPr>
        <w:t>Remaining Budget:</w:t>
      </w:r>
      <w:r>
        <w:rPr>
          <w:color w:val="000000"/>
        </w:rPr>
        <w:t xml:space="preserve"> £1,500,000 – £1,000,000 = </w:t>
      </w:r>
      <w:r>
        <w:rPr>
          <w:b/>
          <w:bCs/>
          <w:color w:val="000000"/>
        </w:rPr>
        <w:t>£500,000</w:t>
      </w:r>
    </w:p>
    <w:p w14:paraId="0982CE63" w14:textId="77777777" w:rsidR="003E5081" w:rsidRDefault="00053173">
      <w:r>
        <w:t>With the remaining £500,000, Option B is funded partially. Option B requires £900,000 for full investment, so the fraction possible is £500,000 / £900,000 = 55.6%.</w:t>
      </w:r>
    </w:p>
    <w:p w14:paraId="7A346F19" w14:textId="77777777" w:rsidR="003E5081" w:rsidRDefault="00053173">
      <w:pPr>
        <w:numPr>
          <w:ilvl w:val="0"/>
          <w:numId w:val="6"/>
        </w:numPr>
        <w:pBdr>
          <w:top w:val="nil"/>
          <w:left w:val="nil"/>
          <w:bottom w:val="nil"/>
          <w:right w:val="nil"/>
          <w:between w:val="nil"/>
        </w:pBdr>
        <w:rPr>
          <w:color w:val="000000"/>
        </w:rPr>
      </w:pPr>
      <w:r>
        <w:rPr>
          <w:b/>
          <w:bCs/>
          <w:i/>
          <w:iCs/>
          <w:color w:val="000000"/>
        </w:rPr>
        <w:t>Fractional NPV from Option B:</w:t>
      </w:r>
      <w:r>
        <w:rPr>
          <w:color w:val="000000"/>
        </w:rPr>
        <w:t xml:space="preserve"> £73,938 × 0.556 = </w:t>
      </w:r>
      <w:r>
        <w:rPr>
          <w:b/>
          <w:bCs/>
          <w:color w:val="000000"/>
        </w:rPr>
        <w:t>£41,109</w:t>
      </w:r>
    </w:p>
    <w:p w14:paraId="489708B1" w14:textId="77777777" w:rsidR="003E5081" w:rsidRDefault="00053173">
      <w:pPr>
        <w:spacing w:after="0"/>
        <w:rPr>
          <w:u w:val="single"/>
        </w:rPr>
      </w:pPr>
      <w:r>
        <w:rPr>
          <w:b/>
          <w:bCs/>
          <w:u w:val="single"/>
        </w:rPr>
        <w:t>Calculate Total NPV</w:t>
      </w:r>
    </w:p>
    <w:p w14:paraId="65355CD1" w14:textId="77777777" w:rsidR="003E5081" w:rsidRDefault="00053173">
      <w:pPr>
        <w:numPr>
          <w:ilvl w:val="0"/>
          <w:numId w:val="6"/>
        </w:numPr>
        <w:pBdr>
          <w:top w:val="nil"/>
          <w:left w:val="nil"/>
          <w:bottom w:val="nil"/>
          <w:right w:val="nil"/>
          <w:between w:val="nil"/>
        </w:pBdr>
        <w:rPr>
          <w:color w:val="000000"/>
        </w:rPr>
      </w:pPr>
      <w:r>
        <w:rPr>
          <w:b/>
          <w:bCs/>
          <w:i/>
          <w:iCs/>
          <w:color w:val="000000"/>
        </w:rPr>
        <w:t>Total NPV</w:t>
      </w:r>
      <w:r>
        <w:rPr>
          <w:color w:val="000000"/>
        </w:rPr>
        <w:t xml:space="preserve"> = £91,209 (full C) + £41,109 (partial B) = </w:t>
      </w:r>
      <w:r>
        <w:rPr>
          <w:b/>
          <w:bCs/>
          <w:color w:val="000000"/>
        </w:rPr>
        <w:t>£132,318</w:t>
      </w:r>
    </w:p>
    <w:p w14:paraId="4B36BB0E" w14:textId="77777777" w:rsidR="003E5081" w:rsidRDefault="00053173">
      <w:pPr>
        <w:spacing w:after="0"/>
        <w:rPr>
          <w:i/>
          <w:iCs/>
        </w:rPr>
      </w:pPr>
      <w:r>
        <w:rPr>
          <w:i/>
          <w:iCs/>
        </w:rPr>
        <w:t>Comparison with single-project selection:</w:t>
      </w:r>
    </w:p>
    <w:tbl>
      <w:tblPr>
        <w:tblStyle w:val="a9"/>
        <w:tblW w:w="9361" w:type="dxa"/>
        <w:tblInd w:w="-5" w:type="dxa"/>
        <w:tblBorders>
          <w:top w:val="single" w:sz="4" w:space="0" w:color="0A3041"/>
          <w:left w:val="single" w:sz="4" w:space="0" w:color="0A3041"/>
          <w:bottom w:val="single" w:sz="4" w:space="0" w:color="0A3041"/>
          <w:right w:val="single" w:sz="4" w:space="0" w:color="0A3041"/>
          <w:insideH w:val="single" w:sz="4" w:space="0" w:color="0A3041"/>
          <w:insideV w:val="single" w:sz="4" w:space="0" w:color="0A3041"/>
        </w:tblBorders>
        <w:tblLayout w:type="fixed"/>
        <w:tblLook w:val="04A0" w:firstRow="1" w:lastRow="0" w:firstColumn="1" w:lastColumn="0" w:noHBand="0" w:noVBand="1"/>
      </w:tblPr>
      <w:tblGrid>
        <w:gridCol w:w="6690"/>
        <w:gridCol w:w="2671"/>
      </w:tblGrid>
      <w:tr w:rsidR="003E5081" w14:paraId="4CC2E1EE" w14:textId="77777777" w:rsidTr="003E50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90" w:type="dxa"/>
          </w:tcPr>
          <w:p w14:paraId="0DB2EEF7" w14:textId="77777777" w:rsidR="003E5081" w:rsidRDefault="00053173">
            <w:pPr>
              <w:jc w:val="left"/>
              <w:rPr>
                <w:color w:val="000000"/>
              </w:rPr>
            </w:pPr>
            <w:r>
              <w:rPr>
                <w:color w:val="000000"/>
              </w:rPr>
              <w:t>Strategy</w:t>
            </w:r>
          </w:p>
        </w:tc>
        <w:tc>
          <w:tcPr>
            <w:tcW w:w="2671" w:type="dxa"/>
          </w:tcPr>
          <w:p w14:paraId="24863C45" w14:textId="77777777" w:rsidR="003E5081" w:rsidRDefault="00053173">
            <w:pPr>
              <w:jc w:val="center"/>
              <w:cnfStyle w:val="100000000000" w:firstRow="1" w:lastRow="0" w:firstColumn="0" w:lastColumn="0" w:oddVBand="0" w:evenVBand="0" w:oddHBand="0" w:evenHBand="0" w:firstRowFirstColumn="0" w:firstRowLastColumn="0" w:lastRowFirstColumn="0" w:lastRowLastColumn="0"/>
              <w:rPr>
                <w:color w:val="000000"/>
              </w:rPr>
            </w:pPr>
            <w:r>
              <w:rPr>
                <w:color w:val="000000"/>
              </w:rPr>
              <w:t>Total NPV (£)</w:t>
            </w:r>
          </w:p>
        </w:tc>
      </w:tr>
      <w:tr w:rsidR="003E5081" w14:paraId="5B78A336"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90" w:type="dxa"/>
          </w:tcPr>
          <w:p w14:paraId="6B625082" w14:textId="77777777" w:rsidR="003E5081" w:rsidRDefault="00053173">
            <w:pPr>
              <w:jc w:val="left"/>
              <w:rPr>
                <w:color w:val="000000"/>
              </w:rPr>
            </w:pPr>
            <w:r>
              <w:rPr>
                <w:color w:val="000000"/>
              </w:rPr>
              <w:t>Option C only</w:t>
            </w:r>
          </w:p>
        </w:tc>
        <w:tc>
          <w:tcPr>
            <w:tcW w:w="2671" w:type="dxa"/>
          </w:tcPr>
          <w:p w14:paraId="35B77E64"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color w:val="000000"/>
              </w:rPr>
              <w:t>91,209</w:t>
            </w:r>
          </w:p>
        </w:tc>
      </w:tr>
      <w:tr w:rsidR="003E5081" w14:paraId="4B005380" w14:textId="77777777" w:rsidTr="003E5081">
        <w:tc>
          <w:tcPr>
            <w:cnfStyle w:val="001000000000" w:firstRow="0" w:lastRow="0" w:firstColumn="1" w:lastColumn="0" w:oddVBand="0" w:evenVBand="0" w:oddHBand="0" w:evenHBand="0" w:firstRowFirstColumn="0" w:firstRowLastColumn="0" w:lastRowFirstColumn="0" w:lastRowLastColumn="0"/>
            <w:tcW w:w="6690" w:type="dxa"/>
          </w:tcPr>
          <w:p w14:paraId="3E1A2323" w14:textId="77777777" w:rsidR="003E5081" w:rsidRDefault="00053173">
            <w:pPr>
              <w:jc w:val="left"/>
              <w:rPr>
                <w:color w:val="000000"/>
              </w:rPr>
            </w:pPr>
            <w:r>
              <w:rPr>
                <w:color w:val="000000"/>
              </w:rPr>
              <w:t>Option B only</w:t>
            </w:r>
          </w:p>
        </w:tc>
        <w:tc>
          <w:tcPr>
            <w:tcW w:w="2671" w:type="dxa"/>
          </w:tcPr>
          <w:p w14:paraId="0BC2CB5D" w14:textId="77777777" w:rsidR="003E5081" w:rsidRDefault="00053173">
            <w:pPr>
              <w:jc w:val="center"/>
              <w:cnfStyle w:val="000000000000" w:firstRow="0" w:lastRow="0" w:firstColumn="0" w:lastColumn="0" w:oddVBand="0" w:evenVBand="0" w:oddHBand="0" w:evenHBand="0" w:firstRowFirstColumn="0" w:firstRowLastColumn="0" w:lastRowFirstColumn="0" w:lastRowLastColumn="0"/>
              <w:rPr>
                <w:color w:val="000000"/>
              </w:rPr>
            </w:pPr>
            <w:r>
              <w:rPr>
                <w:color w:val="000000"/>
              </w:rPr>
              <w:t>73,938</w:t>
            </w:r>
          </w:p>
        </w:tc>
      </w:tr>
      <w:tr w:rsidR="003E5081" w14:paraId="3172C6F7" w14:textId="77777777" w:rsidTr="003E50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690" w:type="dxa"/>
          </w:tcPr>
          <w:p w14:paraId="66902F7D" w14:textId="77777777" w:rsidR="003E5081" w:rsidRDefault="00053173">
            <w:pPr>
              <w:jc w:val="left"/>
              <w:rPr>
                <w:color w:val="000000"/>
              </w:rPr>
            </w:pPr>
            <w:r>
              <w:rPr>
                <w:color w:val="000000"/>
              </w:rPr>
              <w:t>Optimal combination (C + partial B)</w:t>
            </w:r>
          </w:p>
        </w:tc>
        <w:tc>
          <w:tcPr>
            <w:tcW w:w="2671" w:type="dxa"/>
          </w:tcPr>
          <w:p w14:paraId="447AAE05" w14:textId="77777777" w:rsidR="003E5081" w:rsidRDefault="00053173">
            <w:pPr>
              <w:jc w:val="center"/>
              <w:cnfStyle w:val="000000100000" w:firstRow="0" w:lastRow="0" w:firstColumn="0" w:lastColumn="0" w:oddVBand="0" w:evenVBand="0" w:oddHBand="1" w:evenHBand="0" w:firstRowFirstColumn="0" w:firstRowLastColumn="0" w:lastRowFirstColumn="0" w:lastRowLastColumn="0"/>
              <w:rPr>
                <w:color w:val="000000"/>
              </w:rPr>
            </w:pPr>
            <w:r>
              <w:rPr>
                <w:b/>
                <w:bCs/>
                <w:color w:val="000000"/>
              </w:rPr>
              <w:t>132,318</w:t>
            </w:r>
          </w:p>
        </w:tc>
      </w:tr>
    </w:tbl>
    <w:p w14:paraId="1B47C0B5" w14:textId="77777777" w:rsidR="003E5081" w:rsidRDefault="00053173">
      <w:pPr>
        <w:spacing w:before="240"/>
      </w:pPr>
      <w:r>
        <w:t>The best policy earns a total of £132,318 from NPV, which is much better than choosing only one of the projects. Hence, Beard Plc must fully fund Option C and use the other £500,000 to finance 55.6% of Option B.</w:t>
      </w:r>
    </w:p>
    <w:p w14:paraId="2AB8A477" w14:textId="77777777" w:rsidR="003E5081" w:rsidRDefault="00053173">
      <w:pPr>
        <w:pStyle w:val="Heading1"/>
      </w:pPr>
      <w:bookmarkStart w:id="30" w:name="_heading=h.xo065kf9co5y" w:colFirst="0" w:colLast="0"/>
      <w:bookmarkEnd w:id="30"/>
      <w:r>
        <w:t>9. Financing the</w:t>
      </w:r>
      <w:r>
        <w:rPr>
          <w:color w:val="000000"/>
          <w:sz w:val="24"/>
          <w:szCs w:val="24"/>
        </w:rPr>
        <w:t xml:space="preserve"> </w:t>
      </w:r>
      <w:r>
        <w:t>Investment Programme</w:t>
      </w:r>
    </w:p>
    <w:p w14:paraId="088A325D" w14:textId="77777777" w:rsidR="003E5081" w:rsidRDefault="00053173">
      <w:pPr>
        <w:pStyle w:val="Heading2"/>
      </w:pPr>
      <w:bookmarkStart w:id="31" w:name="_heading=h.dyp7wzz52wxa" w:colFirst="0" w:colLast="0"/>
      <w:bookmarkEnd w:id="31"/>
      <w:r>
        <w:t>9.1 Main sources of finance</w:t>
      </w:r>
    </w:p>
    <w:p w14:paraId="38BAD80D" w14:textId="77777777" w:rsidR="003E5081" w:rsidRDefault="00053173">
      <w:pPr>
        <w:numPr>
          <w:ilvl w:val="0"/>
          <w:numId w:val="7"/>
        </w:numPr>
      </w:pPr>
      <w:r>
        <w:rPr>
          <w:b/>
          <w:bCs/>
          <w:i/>
          <w:iCs/>
        </w:rPr>
        <w:t>Debt:</w:t>
      </w:r>
      <w:r>
        <w:t> Interest is tax-deductible, thereby lowering the cost of borrowing. Nonetheless, debt leads to financial gearing and fixed repayments, making insolvency more likely in case the cash flows diminish (Naomi, 2023).</w:t>
      </w:r>
    </w:p>
    <w:p w14:paraId="72FF4263" w14:textId="77777777" w:rsidR="003E5081" w:rsidRDefault="00053173">
      <w:pPr>
        <w:numPr>
          <w:ilvl w:val="0"/>
          <w:numId w:val="7"/>
        </w:numPr>
      </w:pPr>
      <w:r>
        <w:rPr>
          <w:b/>
          <w:bCs/>
          <w:i/>
          <w:iCs/>
        </w:rPr>
        <w:t>Equity:</w:t>
      </w:r>
      <w:r>
        <w:t> No repayments required, thus maintaining cash flow for operations. The downside is dilution of the existing owners’ equity and control (</w:t>
      </w:r>
      <w:proofErr w:type="spellStart"/>
      <w:r>
        <w:t>Rejison</w:t>
      </w:r>
      <w:proofErr w:type="spellEnd"/>
      <w:r>
        <w:t>, 2024).</w:t>
      </w:r>
    </w:p>
    <w:p w14:paraId="45A2BDBC" w14:textId="77777777" w:rsidR="003E5081" w:rsidRDefault="00053173">
      <w:pPr>
        <w:numPr>
          <w:ilvl w:val="0"/>
          <w:numId w:val="7"/>
        </w:numPr>
      </w:pPr>
      <w:r>
        <w:rPr>
          <w:b/>
          <w:bCs/>
          <w:i/>
          <w:iCs/>
        </w:rPr>
        <w:t>Leasing:</w:t>
      </w:r>
      <w:r>
        <w:t> Protects working capital by not having high initial spending. It has the disadvantage of being more expensive overall than purchasing it outright (</w:t>
      </w:r>
      <w:proofErr w:type="spellStart"/>
      <w:r>
        <w:t>Yuxiu</w:t>
      </w:r>
      <w:proofErr w:type="spellEnd"/>
      <w:r>
        <w:t>, 2025).</w:t>
      </w:r>
    </w:p>
    <w:p w14:paraId="0F55B32F" w14:textId="77777777" w:rsidR="003E5081" w:rsidRDefault="00053173">
      <w:pPr>
        <w:numPr>
          <w:ilvl w:val="0"/>
          <w:numId w:val="7"/>
        </w:numPr>
      </w:pPr>
      <w:r>
        <w:rPr>
          <w:b/>
          <w:bCs/>
          <w:i/>
          <w:iCs/>
        </w:rPr>
        <w:t>Retained Earnings:</w:t>
      </w:r>
      <w:r>
        <w:t xml:space="preserve"> Issuance cost-free and non-dilutive, making it the least expensive form. Limited availability due to past earnings and present cash on hand.</w:t>
      </w:r>
    </w:p>
    <w:p w14:paraId="65C7DC67" w14:textId="77777777" w:rsidR="003E5081" w:rsidRDefault="00053173">
      <w:pPr>
        <w:pStyle w:val="Heading2"/>
      </w:pPr>
      <w:bookmarkStart w:id="32" w:name="_heading=h.jwq2872axgem" w:colFirst="0" w:colLast="0"/>
      <w:bookmarkEnd w:id="32"/>
      <w:r>
        <w:t>8.2 Recommended Financing Mix</w:t>
      </w:r>
    </w:p>
    <w:p w14:paraId="3F5F3C73" w14:textId="77777777" w:rsidR="003E5081" w:rsidRDefault="00053173">
      <w:r>
        <w:t>Considering the market environment today and with the requirement of £1,500,000, it is advisable to have a capital structure of 60% debt and 40% retained earnings. The reason is that debt can act as a tax shield and retained earnings prevent over-dilution.</w:t>
      </w:r>
    </w:p>
    <w:p w14:paraId="439EEA3C" w14:textId="77777777" w:rsidR="003E5081" w:rsidRDefault="00053173">
      <w:pPr>
        <w:pStyle w:val="Heading1"/>
      </w:pPr>
      <w:bookmarkStart w:id="33" w:name="_heading=h.pkx7dqo77j9s" w:colFirst="0" w:colLast="0"/>
      <w:bookmarkEnd w:id="33"/>
      <w:r>
        <w:t xml:space="preserve">Conclusion </w:t>
      </w:r>
    </w:p>
    <w:p w14:paraId="428CCD33" w14:textId="77777777" w:rsidR="003E5081" w:rsidRDefault="00053173">
      <w:r>
        <w:t>To sum up Tesco plc shows enhanced profitability, efficiency and returns to investors but the liquidity is not so good and it needs to be observed. In general, the company enjoys a stable financial position due to good cost management and operational performance. In the case of Beard Plc, the outcomes of the investment appraisal show that the value of Option C is the greatest one through the NPV and IRR analysis. Thus, this option would maximise the shareholder wealth and allow long-term financial sustainability with the primary emphasis on this option along with an optimal financing mix.</w:t>
      </w:r>
    </w:p>
    <w:p w14:paraId="2EA8E95B" w14:textId="77777777" w:rsidR="003E5081" w:rsidRDefault="00053173">
      <w:pPr>
        <w:spacing w:after="160" w:line="278" w:lineRule="auto"/>
        <w:jc w:val="left"/>
      </w:pPr>
      <w:r>
        <w:br w:type="page"/>
      </w:r>
    </w:p>
    <w:p w14:paraId="210D1B02" w14:textId="77777777" w:rsidR="003E5081" w:rsidRDefault="00053173">
      <w:pPr>
        <w:pStyle w:val="Heading1"/>
      </w:pPr>
      <w:bookmarkStart w:id="34" w:name="_heading=h.vqcnf7w6f73b" w:colFirst="0" w:colLast="0"/>
      <w:bookmarkEnd w:id="34"/>
      <w:r>
        <w:t>Reference List</w:t>
      </w:r>
    </w:p>
    <w:p w14:paraId="0ED1D221" w14:textId="77777777" w:rsidR="003E5081" w:rsidRDefault="00053173">
      <w:proofErr w:type="spellStart"/>
      <w:r>
        <w:t>Atrill</w:t>
      </w:r>
      <w:proofErr w:type="spellEnd"/>
      <w:r>
        <w:t xml:space="preserve">, P. 2019 Financial Management for Decision Makers. 9th </w:t>
      </w:r>
      <w:proofErr w:type="spellStart"/>
      <w:r>
        <w:t>edn</w:t>
      </w:r>
      <w:proofErr w:type="spellEnd"/>
      <w:r>
        <w:t>. Pearson.</w:t>
      </w:r>
    </w:p>
    <w:p w14:paraId="2276EA85" w14:textId="77777777" w:rsidR="003E5081" w:rsidRDefault="00053173">
      <w:proofErr w:type="spellStart"/>
      <w:r>
        <w:t>Čamaj</w:t>
      </w:r>
      <w:proofErr w:type="spellEnd"/>
      <w:r>
        <w:t xml:space="preserve">, J., </w:t>
      </w:r>
      <w:proofErr w:type="spellStart"/>
      <w:r>
        <w:t>Bulková</w:t>
      </w:r>
      <w:proofErr w:type="spellEnd"/>
      <w:r>
        <w:t xml:space="preserve">, Z. and </w:t>
      </w:r>
      <w:proofErr w:type="spellStart"/>
      <w:r>
        <w:t>Gašparík</w:t>
      </w:r>
      <w:proofErr w:type="spellEnd"/>
      <w:r>
        <w:t xml:space="preserve">, J., 2025. Material flow </w:t>
      </w:r>
      <w:proofErr w:type="spellStart"/>
      <w:r>
        <w:t>optimization</w:t>
      </w:r>
      <w:proofErr w:type="spellEnd"/>
      <w:r>
        <w:t xml:space="preserve"> as a tool for improving logistics processes in the company. </w:t>
      </w:r>
      <w:r>
        <w:rPr>
          <w:i/>
          <w:iCs/>
        </w:rPr>
        <w:t>Applied Sciences</w:t>
      </w:r>
      <w:r>
        <w:t>, </w:t>
      </w:r>
      <w:r>
        <w:rPr>
          <w:i/>
          <w:iCs/>
        </w:rPr>
        <w:t>15</w:t>
      </w:r>
      <w:r>
        <w:t>(6), p.3116.</w:t>
      </w:r>
    </w:p>
    <w:p w14:paraId="470FC270" w14:textId="77777777" w:rsidR="003E5081" w:rsidRDefault="00053173">
      <w:proofErr w:type="spellStart"/>
      <w:r>
        <w:t>Catalão</w:t>
      </w:r>
      <w:proofErr w:type="spellEnd"/>
      <w:r>
        <w:t>, I.D.P., 2022. Equity research-Tesco PLC.</w:t>
      </w:r>
    </w:p>
    <w:p w14:paraId="42A31F86" w14:textId="77777777" w:rsidR="003E5081" w:rsidRDefault="00053173">
      <w:pPr>
        <w:spacing w:before="240"/>
      </w:pPr>
      <w:r>
        <w:t>Cotter, E., 2023. Net Present Value and Payback Period: An Analysis.</w:t>
      </w:r>
    </w:p>
    <w:p w14:paraId="06FD338C" w14:textId="77777777" w:rsidR="003E5081" w:rsidRDefault="00053173">
      <w:pPr>
        <w:spacing w:before="240"/>
      </w:pPr>
      <w:r>
        <w:t>Fan, J., 2025. Beyond NPV and IRR: An Integrated Capital Budgeting Rule for Real-World Investment Decisions. </w:t>
      </w:r>
      <w:r>
        <w:rPr>
          <w:i/>
          <w:iCs/>
        </w:rPr>
        <w:t>Transactions on Economics, Business and Management Research</w:t>
      </w:r>
      <w:r>
        <w:t>, </w:t>
      </w:r>
      <w:r>
        <w:rPr>
          <w:i/>
          <w:iCs/>
        </w:rPr>
        <w:t>16</w:t>
      </w:r>
      <w:r>
        <w:t>, pp.161-165.</w:t>
      </w:r>
    </w:p>
    <w:p w14:paraId="3AAF297F" w14:textId="77777777" w:rsidR="003E5081" w:rsidRDefault="00053173">
      <w:pPr>
        <w:spacing w:before="240"/>
      </w:pPr>
      <w:r>
        <w:t xml:space="preserve">Hai, T., Jaffar, H.A., </w:t>
      </w:r>
      <w:proofErr w:type="spellStart"/>
      <w:r>
        <w:t>Taher</w:t>
      </w:r>
      <w:proofErr w:type="spellEnd"/>
      <w:r>
        <w:t xml:space="preserve">, H.H., </w:t>
      </w:r>
      <w:proofErr w:type="spellStart"/>
      <w:r>
        <w:t>Al-Rubaye</w:t>
      </w:r>
      <w:proofErr w:type="spellEnd"/>
      <w:r>
        <w:t xml:space="preserve">, A.H., Said, E.A., Hussein, A.H.A., </w:t>
      </w:r>
      <w:proofErr w:type="spellStart"/>
      <w:r>
        <w:t>Alhaidry</w:t>
      </w:r>
      <w:proofErr w:type="spellEnd"/>
      <w:r>
        <w:t xml:space="preserve">, W.A.A.H., </w:t>
      </w:r>
      <w:proofErr w:type="spellStart"/>
      <w:r>
        <w:t>Idan</w:t>
      </w:r>
      <w:proofErr w:type="spellEnd"/>
      <w:r>
        <w:t xml:space="preserve">, A.H. and </w:t>
      </w:r>
      <w:proofErr w:type="spellStart"/>
      <w:r>
        <w:t>Salehi</w:t>
      </w:r>
      <w:proofErr w:type="spellEnd"/>
      <w:r>
        <w:t>, A., 2024. Techno-economic and environmental analysis of a grid-connected rooftop solar photovoltaic system in three climate zones. </w:t>
      </w:r>
      <w:r>
        <w:rPr>
          <w:i/>
          <w:iCs/>
        </w:rPr>
        <w:t>International Journal of Low-Carbon Technologies</w:t>
      </w:r>
      <w:r>
        <w:t>, </w:t>
      </w:r>
      <w:r>
        <w:rPr>
          <w:i/>
          <w:iCs/>
        </w:rPr>
        <w:t>19</w:t>
      </w:r>
      <w:r>
        <w:t>, pp.1725-1739.</w:t>
      </w:r>
    </w:p>
    <w:p w14:paraId="6CD7CA58" w14:textId="77777777" w:rsidR="003E5081" w:rsidRDefault="00053173">
      <w:pPr>
        <w:spacing w:before="240"/>
      </w:pPr>
      <w:proofErr w:type="spellStart"/>
      <w:r>
        <w:t>Lilford</w:t>
      </w:r>
      <w:proofErr w:type="spellEnd"/>
      <w:r>
        <w:t>, E., 2023. Natural resources: Cost of capital and discounting–Risk and uncertainty. </w:t>
      </w:r>
      <w:r>
        <w:rPr>
          <w:i/>
          <w:iCs/>
        </w:rPr>
        <w:t>Resources Policy</w:t>
      </w:r>
      <w:r>
        <w:t>, </w:t>
      </w:r>
      <w:r>
        <w:rPr>
          <w:i/>
          <w:iCs/>
        </w:rPr>
        <w:t>80</w:t>
      </w:r>
      <w:r>
        <w:t>, p.103242.</w:t>
      </w:r>
    </w:p>
    <w:p w14:paraId="2D7A90AD" w14:textId="77777777" w:rsidR="003E5081" w:rsidRDefault="00053173">
      <w:pPr>
        <w:spacing w:before="240"/>
      </w:pPr>
      <w:r>
        <w:t>Lin, J., 2023. A comparative study on the application of NPV and IRR in financial market investment decision. </w:t>
      </w:r>
      <w:r>
        <w:rPr>
          <w:i/>
          <w:iCs/>
        </w:rPr>
        <w:t>Academic Journal of Business &amp; Management</w:t>
      </w:r>
      <w:r>
        <w:t>, </w:t>
      </w:r>
      <w:r>
        <w:rPr>
          <w:i/>
          <w:iCs/>
        </w:rPr>
        <w:t>5</w:t>
      </w:r>
      <w:r>
        <w:t>(4), pp.51-54.</w:t>
      </w:r>
    </w:p>
    <w:p w14:paraId="520CF651" w14:textId="77777777" w:rsidR="003E5081" w:rsidRDefault="00053173">
      <w:pPr>
        <w:spacing w:before="240"/>
      </w:pPr>
      <w:proofErr w:type="spellStart"/>
      <w:r>
        <w:t>Magni</w:t>
      </w:r>
      <w:proofErr w:type="spellEnd"/>
      <w:r>
        <w:t>, C.A. and Martin, J.D., 2025. The two sides of the reinvestment assumption fallacy in IRR and NPV. </w:t>
      </w:r>
      <w:r>
        <w:rPr>
          <w:i/>
          <w:iCs/>
        </w:rPr>
        <w:t>The Engineering Economist</w:t>
      </w:r>
      <w:r>
        <w:t>, </w:t>
      </w:r>
      <w:r>
        <w:rPr>
          <w:i/>
          <w:iCs/>
        </w:rPr>
        <w:t>70</w:t>
      </w:r>
      <w:r>
        <w:t>(3), pp.122-151.</w:t>
      </w:r>
    </w:p>
    <w:p w14:paraId="5652677A" w14:textId="77777777" w:rsidR="003E5081" w:rsidRDefault="00053173">
      <w:r>
        <w:t>Matthews, A., 2023. Food price situation in Europe. </w:t>
      </w:r>
      <w:r>
        <w:rPr>
          <w:i/>
          <w:iCs/>
        </w:rPr>
        <w:t>Studies in Agricultural Economics</w:t>
      </w:r>
      <w:r>
        <w:t>, </w:t>
      </w:r>
      <w:r>
        <w:rPr>
          <w:i/>
          <w:iCs/>
        </w:rPr>
        <w:t>125</w:t>
      </w:r>
      <w:r>
        <w:t>(2), pp.60-68.</w:t>
      </w:r>
    </w:p>
    <w:p w14:paraId="32589C4C" w14:textId="77777777" w:rsidR="003E5081" w:rsidRDefault="00053173">
      <w:r>
        <w:t xml:space="preserve">Meadows, J., Montano, M., </w:t>
      </w:r>
      <w:proofErr w:type="spellStart"/>
      <w:r>
        <w:t>Alfar</w:t>
      </w:r>
      <w:proofErr w:type="spellEnd"/>
      <w:r>
        <w:t xml:space="preserve">, A.J., </w:t>
      </w:r>
      <w:proofErr w:type="spellStart"/>
      <w:r>
        <w:t>Başkan</w:t>
      </w:r>
      <w:proofErr w:type="spellEnd"/>
      <w:r>
        <w:t xml:space="preserve">, Ö.Y., De </w:t>
      </w:r>
      <w:proofErr w:type="spellStart"/>
      <w:r>
        <w:t>Brún</w:t>
      </w:r>
      <w:proofErr w:type="spellEnd"/>
      <w:r>
        <w:t xml:space="preserve">, C., Hill, J., </w:t>
      </w:r>
      <w:proofErr w:type="spellStart"/>
      <w:r>
        <w:t>McClatchey</w:t>
      </w:r>
      <w:proofErr w:type="spellEnd"/>
      <w:r>
        <w:t xml:space="preserve">, R., </w:t>
      </w:r>
      <w:proofErr w:type="spellStart"/>
      <w:r>
        <w:t>Kallfa</w:t>
      </w:r>
      <w:proofErr w:type="spellEnd"/>
      <w:r>
        <w:t>, N. and Fernandes, G.S., 2024. The impact of the cost-of-living crisis on population health in the UK: rapid evidence review. </w:t>
      </w:r>
      <w:r>
        <w:rPr>
          <w:i/>
          <w:iCs/>
        </w:rPr>
        <w:t>BMC Public Health</w:t>
      </w:r>
      <w:r>
        <w:t>, </w:t>
      </w:r>
      <w:r>
        <w:rPr>
          <w:i/>
          <w:iCs/>
        </w:rPr>
        <w:t>24</w:t>
      </w:r>
      <w:r>
        <w:t>(1), p.561.</w:t>
      </w:r>
    </w:p>
    <w:p w14:paraId="0C70D572" w14:textId="77777777" w:rsidR="003E5081" w:rsidRDefault="00053173">
      <w:r>
        <w:t xml:space="preserve">MOFSL; 2026. </w:t>
      </w:r>
      <w:r>
        <w:rPr>
          <w:i/>
          <w:iCs/>
        </w:rPr>
        <w:t>MORE Retail Plans 2000 Cr IPO in 2026, Targets 3000 Stores by 2030</w:t>
      </w:r>
      <w:r>
        <w:t xml:space="preserve"> [Online] Available At: </w:t>
      </w:r>
      <w:hyperlink r:id="rId9" w:anchor=":~">
        <w:r>
          <w:rPr>
            <w:color w:val="467886"/>
            <w:u w:val="single"/>
          </w:rPr>
          <w:t>https://www.motilaloswal.com/learning-centre/2026/3/more-retail-plans-rs-2000-cr-ipo-in-2026-targets-3000-stores-by-2030#:~</w:t>
        </w:r>
      </w:hyperlink>
      <w:r>
        <w:t>:  [Accessed On: 9/04/2026]</w:t>
      </w:r>
    </w:p>
    <w:p w14:paraId="5FB934FA" w14:textId="77777777" w:rsidR="003E5081" w:rsidRDefault="00053173">
      <w:pPr>
        <w:spacing w:before="240"/>
      </w:pPr>
      <w:r>
        <w:t>Naomi, I.W., 2023. Effects of Debt Financing on Financial Performance of Manufacturing Firms in Kenya. </w:t>
      </w:r>
      <w:r>
        <w:rPr>
          <w:i/>
          <w:iCs/>
        </w:rPr>
        <w:t>African Journal of Commercial Studies</w:t>
      </w:r>
      <w:r>
        <w:t>, </w:t>
      </w:r>
      <w:r>
        <w:rPr>
          <w:i/>
          <w:iCs/>
        </w:rPr>
        <w:t>3</w:t>
      </w:r>
      <w:r>
        <w:t>(2), pp.86-95.</w:t>
      </w:r>
    </w:p>
    <w:p w14:paraId="5F324E5C" w14:textId="77777777" w:rsidR="003E5081" w:rsidRDefault="00053173">
      <w:pPr>
        <w:spacing w:before="240"/>
      </w:pPr>
      <w:r>
        <w:t>Prasad, N.N., 2025. </w:t>
      </w:r>
      <w:r>
        <w:rPr>
          <w:i/>
          <w:iCs/>
        </w:rPr>
        <w:t>Financial Management and Macroeconomics</w:t>
      </w:r>
      <w:r>
        <w:t xml:space="preserve">. </w:t>
      </w:r>
      <w:proofErr w:type="spellStart"/>
      <w:r>
        <w:t>Shineeks</w:t>
      </w:r>
      <w:proofErr w:type="spellEnd"/>
      <w:r>
        <w:t xml:space="preserve"> Publishers.</w:t>
      </w:r>
    </w:p>
    <w:p w14:paraId="27F4FCB6" w14:textId="77777777" w:rsidR="003E5081" w:rsidRDefault="00053173">
      <w:pPr>
        <w:spacing w:before="240"/>
      </w:pPr>
      <w:proofErr w:type="spellStart"/>
      <w:r>
        <w:t>Prismanda</w:t>
      </w:r>
      <w:proofErr w:type="spellEnd"/>
      <w:r>
        <w:t xml:space="preserve">, B.S., </w:t>
      </w:r>
      <w:proofErr w:type="spellStart"/>
      <w:r>
        <w:t>Witono</w:t>
      </w:r>
      <w:proofErr w:type="spellEnd"/>
      <w:r>
        <w:t xml:space="preserve">, Y., </w:t>
      </w:r>
      <w:proofErr w:type="spellStart"/>
      <w:r>
        <w:t>Belgis</w:t>
      </w:r>
      <w:proofErr w:type="spellEnd"/>
      <w:r>
        <w:t xml:space="preserve">, M. and </w:t>
      </w:r>
      <w:proofErr w:type="spellStart"/>
      <w:r>
        <w:t>Afriliana</w:t>
      </w:r>
      <w:proofErr w:type="spellEnd"/>
      <w:r>
        <w:t xml:space="preserve">, A., 2023. Financial Feasibility Analysis of the Inferior Robusta Coffee Beans Selling Using the Fermentation Method with Kefir Starter at CV. </w:t>
      </w:r>
      <w:proofErr w:type="spellStart"/>
      <w:r>
        <w:t>Asmak</w:t>
      </w:r>
      <w:proofErr w:type="spellEnd"/>
      <w:r>
        <w:t xml:space="preserve"> </w:t>
      </w:r>
      <w:proofErr w:type="spellStart"/>
      <w:r>
        <w:t>Kopi</w:t>
      </w:r>
      <w:proofErr w:type="spellEnd"/>
      <w:r>
        <w:t>. </w:t>
      </w:r>
      <w:r>
        <w:rPr>
          <w:i/>
          <w:iCs/>
        </w:rPr>
        <w:t>Asian Journal of Agricultural Extension, Economics &amp; Sociology</w:t>
      </w:r>
      <w:r>
        <w:t>, </w:t>
      </w:r>
      <w:r>
        <w:rPr>
          <w:i/>
          <w:iCs/>
        </w:rPr>
        <w:t>41</w:t>
      </w:r>
      <w:r>
        <w:t>(9), pp.900-908.</w:t>
      </w:r>
    </w:p>
    <w:p w14:paraId="7C8F8B0F" w14:textId="77777777" w:rsidR="003E5081" w:rsidRDefault="00053173">
      <w:pPr>
        <w:spacing w:before="240"/>
      </w:pPr>
      <w:proofErr w:type="spellStart"/>
      <w:r>
        <w:t>Quaranta</w:t>
      </w:r>
      <w:proofErr w:type="spellEnd"/>
      <w:r>
        <w:t>, D., 2024. Strategies to improve the carbon footprint of industrial zones and their competitiveness: Implications of the adoption of an ESG framework to measure performances of industrial zones and identify potential interventions. A study of two industrial zones in Morocco.</w:t>
      </w:r>
    </w:p>
    <w:p w14:paraId="29D6C074" w14:textId="77777777" w:rsidR="003E5081" w:rsidRDefault="00053173">
      <w:pPr>
        <w:spacing w:before="240"/>
      </w:pPr>
      <w:proofErr w:type="spellStart"/>
      <w:r>
        <w:t>Rejison</w:t>
      </w:r>
      <w:proofErr w:type="spellEnd"/>
      <w:r>
        <w:t>, P., 2024. Alternative financing options available to business. </w:t>
      </w:r>
      <w:r>
        <w:rPr>
          <w:i/>
          <w:iCs/>
        </w:rPr>
        <w:t>Available at SSRN 5063815</w:t>
      </w:r>
      <w:r>
        <w:t>.</w:t>
      </w:r>
    </w:p>
    <w:p w14:paraId="2EA1DB50" w14:textId="77777777" w:rsidR="003E5081" w:rsidRDefault="00053173">
      <w:pPr>
        <w:spacing w:before="240"/>
      </w:pPr>
      <w:r>
        <w:t>Sekhar, S.C., 2025. Reassessing The Role Of Net Present Value In Capital Budgeting Decisions. </w:t>
      </w:r>
      <w:r>
        <w:rPr>
          <w:i/>
          <w:iCs/>
        </w:rPr>
        <w:t>International Journal of Research and Analytical Reviews</w:t>
      </w:r>
      <w:r>
        <w:t>.</w:t>
      </w:r>
    </w:p>
    <w:p w14:paraId="1267563F" w14:textId="77777777" w:rsidR="003E5081" w:rsidRDefault="00053173">
      <w:pPr>
        <w:spacing w:before="240"/>
      </w:pPr>
      <w:r>
        <w:t>Singh, A.D. and Chatterjee, V., 2025. Capital Budgeting Decisions Using Net Present Value and Internal Rate of Return Techniques. </w:t>
      </w:r>
      <w:r>
        <w:rPr>
          <w:i/>
          <w:iCs/>
        </w:rPr>
        <w:t>Global Perspectives in Management</w:t>
      </w:r>
      <w:r>
        <w:t>, </w:t>
      </w:r>
      <w:r>
        <w:rPr>
          <w:i/>
          <w:iCs/>
        </w:rPr>
        <w:t>3</w:t>
      </w:r>
      <w:r>
        <w:t>(1), pp.48-59.</w:t>
      </w:r>
    </w:p>
    <w:p w14:paraId="21645B9F" w14:textId="77777777" w:rsidR="003E5081" w:rsidRDefault="00053173">
      <w:pPr>
        <w:spacing w:before="240"/>
      </w:pPr>
      <w:proofErr w:type="spellStart"/>
      <w:r>
        <w:t>Sokolov</w:t>
      </w:r>
      <w:proofErr w:type="spellEnd"/>
      <w:r>
        <w:t xml:space="preserve">, M.V., 2024. </w:t>
      </w:r>
      <w:proofErr w:type="spellStart"/>
      <w:r>
        <w:t>Npv</w:t>
      </w:r>
      <w:proofErr w:type="spellEnd"/>
      <w:r>
        <w:t xml:space="preserve">, </w:t>
      </w:r>
      <w:proofErr w:type="spellStart"/>
      <w:r>
        <w:t>irr</w:t>
      </w:r>
      <w:proofErr w:type="spellEnd"/>
      <w:r>
        <w:t xml:space="preserve">, pi, pp, and </w:t>
      </w:r>
      <w:proofErr w:type="spellStart"/>
      <w:r>
        <w:t>dpp</w:t>
      </w:r>
      <w:proofErr w:type="spellEnd"/>
      <w:r>
        <w:t>: a unified view. </w:t>
      </w:r>
      <w:r>
        <w:rPr>
          <w:i/>
          <w:iCs/>
        </w:rPr>
        <w:t>Journal of Mathematical Economics</w:t>
      </w:r>
      <w:r>
        <w:t>, </w:t>
      </w:r>
      <w:r>
        <w:rPr>
          <w:i/>
          <w:iCs/>
        </w:rPr>
        <w:t>114</w:t>
      </w:r>
      <w:r>
        <w:t>, p.102992.</w:t>
      </w:r>
    </w:p>
    <w:p w14:paraId="221BA719" w14:textId="77777777" w:rsidR="003E5081" w:rsidRDefault="00053173">
      <w:hyperlink r:id="rId10">
        <w:r>
          <w:rPr>
            <w:color w:val="000000"/>
          </w:rPr>
          <w:t>Statista Research Department</w:t>
        </w:r>
      </w:hyperlink>
      <w:r>
        <w:t xml:space="preserve">; 2025. </w:t>
      </w:r>
      <w:r>
        <w:rPr>
          <w:i/>
          <w:iCs/>
        </w:rPr>
        <w:t>Tesco PLC</w:t>
      </w:r>
      <w:r>
        <w:t xml:space="preserve"> [Online] Available At: </w:t>
      </w:r>
      <w:hyperlink r:id="rId11" w:anchor="topicOverview">
        <w:r>
          <w:rPr>
            <w:color w:val="467886"/>
            <w:u w:val="single"/>
          </w:rPr>
          <w:t>https://www.statista.com/topics/3807/tesco-plc/#topicOverview</w:t>
        </w:r>
      </w:hyperlink>
      <w:r>
        <w:t xml:space="preserve"> [Accessed On: 9/04/2026]</w:t>
      </w:r>
    </w:p>
    <w:p w14:paraId="19E636BC" w14:textId="77777777" w:rsidR="003E5081" w:rsidRDefault="00053173">
      <w:pPr>
        <w:spacing w:before="240"/>
      </w:pPr>
      <w:proofErr w:type="spellStart"/>
      <w:r>
        <w:t>Wangchuk</w:t>
      </w:r>
      <w:proofErr w:type="spellEnd"/>
      <w:r>
        <w:t>, P., 2022. Application of depreciation net present value and internal rate of return in engineering projects a brief literature review. </w:t>
      </w:r>
      <w:r>
        <w:rPr>
          <w:i/>
          <w:iCs/>
        </w:rPr>
        <w:t>Journal of Applied Engineering, Technology and Management</w:t>
      </w:r>
      <w:r>
        <w:t>, </w:t>
      </w:r>
      <w:r>
        <w:rPr>
          <w:i/>
          <w:iCs/>
        </w:rPr>
        <w:t>2</w:t>
      </w:r>
      <w:r>
        <w:t>(1), pp.25-30.</w:t>
      </w:r>
    </w:p>
    <w:p w14:paraId="2FCE9D2B" w14:textId="77777777" w:rsidR="003E5081" w:rsidRDefault="00053173">
      <w:pPr>
        <w:spacing w:before="240"/>
      </w:pPr>
      <w:proofErr w:type="spellStart"/>
      <w:r>
        <w:t>Yuxiu</w:t>
      </w:r>
      <w:proofErr w:type="spellEnd"/>
      <w:r>
        <w:t>, Z., 2025. Financial Leasing Company. In </w:t>
      </w:r>
      <w:r>
        <w:rPr>
          <w:i/>
          <w:iCs/>
        </w:rPr>
        <w:t>Dictionary of Contemporary Chinese Economics</w:t>
      </w:r>
      <w:r>
        <w:t> (pp. 1739-1741). Singapore: Springer Nature Singapore.</w:t>
      </w:r>
    </w:p>
    <w:p w14:paraId="2470506A" w14:textId="77777777" w:rsidR="003E5081" w:rsidRDefault="00053173">
      <w:pPr>
        <w:spacing w:after="160" w:line="278" w:lineRule="auto"/>
        <w:jc w:val="left"/>
      </w:pPr>
      <w:r>
        <w:br w:type="page"/>
      </w:r>
    </w:p>
    <w:p w14:paraId="03C9CB87" w14:textId="77777777" w:rsidR="003E5081" w:rsidRDefault="00053173">
      <w:pPr>
        <w:pStyle w:val="Heading1"/>
      </w:pPr>
      <w:bookmarkStart w:id="35" w:name="_heading=h.i260nhrtpx3x" w:colFirst="0" w:colLast="0"/>
      <w:bookmarkEnd w:id="35"/>
      <w:r>
        <w:t>Appendices</w:t>
      </w:r>
    </w:p>
    <w:p w14:paraId="6F91A56D" w14:textId="77777777" w:rsidR="003E5081" w:rsidRDefault="00053173">
      <w:pPr>
        <w:pStyle w:val="Heading2"/>
      </w:pPr>
      <w:bookmarkStart w:id="36" w:name="_heading=h.lkrnkz34dlqk" w:colFirst="0" w:colLast="0"/>
      <w:bookmarkEnd w:id="36"/>
      <w:r>
        <w:t>Appendix A: FINANCIAL STATEMENTS</w:t>
      </w:r>
    </w:p>
    <w:p w14:paraId="418426F5" w14:textId="77777777" w:rsidR="003E5081" w:rsidRDefault="00053173">
      <w:pPr>
        <w:rPr>
          <w:b/>
          <w:bCs/>
        </w:rPr>
      </w:pPr>
      <w:r>
        <w:rPr>
          <w:b/>
          <w:bCs/>
        </w:rPr>
        <w:t>Appendix A1: Income Statement</w:t>
      </w:r>
    </w:p>
    <w:tbl>
      <w:tblPr>
        <w:tblStyle w:val="aa"/>
        <w:tblW w:w="5255"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839"/>
        <w:gridCol w:w="1708"/>
        <w:gridCol w:w="1708"/>
      </w:tblGrid>
      <w:tr w:rsidR="003E5081" w14:paraId="4CE90B3D" w14:textId="77777777">
        <w:trPr>
          <w:jc w:val="center"/>
        </w:trPr>
        <w:tc>
          <w:tcPr>
            <w:tcW w:w="1839" w:type="dxa"/>
          </w:tcPr>
          <w:p w14:paraId="05D74F1D" w14:textId="77777777" w:rsidR="003E5081" w:rsidRDefault="00053173">
            <w:pPr>
              <w:spacing w:after="160"/>
              <w:rPr>
                <w:b/>
                <w:bCs/>
              </w:rPr>
            </w:pPr>
            <w:r>
              <w:rPr>
                <w:b/>
                <w:bCs/>
              </w:rPr>
              <w:t>(£ million)</w:t>
            </w:r>
          </w:p>
        </w:tc>
        <w:tc>
          <w:tcPr>
            <w:tcW w:w="1708" w:type="dxa"/>
          </w:tcPr>
          <w:p w14:paraId="3002B14D" w14:textId="77777777" w:rsidR="003E5081" w:rsidRDefault="00053173">
            <w:pPr>
              <w:spacing w:after="160"/>
              <w:rPr>
                <w:b/>
                <w:bCs/>
              </w:rPr>
            </w:pPr>
            <w:r>
              <w:rPr>
                <w:b/>
                <w:bCs/>
              </w:rPr>
              <w:t>2024</w:t>
            </w:r>
          </w:p>
        </w:tc>
        <w:tc>
          <w:tcPr>
            <w:tcW w:w="1708" w:type="dxa"/>
          </w:tcPr>
          <w:p w14:paraId="72589F6D" w14:textId="77777777" w:rsidR="003E5081" w:rsidRDefault="00053173">
            <w:pPr>
              <w:spacing w:after="160"/>
              <w:rPr>
                <w:b/>
                <w:bCs/>
              </w:rPr>
            </w:pPr>
            <w:r>
              <w:rPr>
                <w:b/>
                <w:bCs/>
              </w:rPr>
              <w:t>2025</w:t>
            </w:r>
          </w:p>
        </w:tc>
      </w:tr>
      <w:tr w:rsidR="003E5081" w14:paraId="3C03C346" w14:textId="77777777">
        <w:trPr>
          <w:jc w:val="center"/>
        </w:trPr>
        <w:tc>
          <w:tcPr>
            <w:tcW w:w="1839" w:type="dxa"/>
          </w:tcPr>
          <w:p w14:paraId="2360F98E" w14:textId="77777777" w:rsidR="003E5081" w:rsidRDefault="00053173">
            <w:pPr>
              <w:spacing w:after="160"/>
            </w:pPr>
            <w:r>
              <w:t>Revenue</w:t>
            </w:r>
          </w:p>
        </w:tc>
        <w:tc>
          <w:tcPr>
            <w:tcW w:w="1708" w:type="dxa"/>
          </w:tcPr>
          <w:p w14:paraId="5A52809F" w14:textId="77777777" w:rsidR="003E5081" w:rsidRDefault="00053173">
            <w:pPr>
              <w:spacing w:after="160"/>
            </w:pPr>
            <w:r>
              <w:t>61,476</w:t>
            </w:r>
          </w:p>
        </w:tc>
        <w:tc>
          <w:tcPr>
            <w:tcW w:w="1708" w:type="dxa"/>
          </w:tcPr>
          <w:p w14:paraId="2A1D2AE8" w14:textId="77777777" w:rsidR="003E5081" w:rsidRDefault="00053173">
            <w:pPr>
              <w:spacing w:after="160"/>
            </w:pPr>
            <w:r>
              <w:t>63,940</w:t>
            </w:r>
          </w:p>
        </w:tc>
      </w:tr>
      <w:tr w:rsidR="003E5081" w14:paraId="3226DBF2" w14:textId="77777777">
        <w:trPr>
          <w:jc w:val="center"/>
        </w:trPr>
        <w:tc>
          <w:tcPr>
            <w:tcW w:w="1839" w:type="dxa"/>
          </w:tcPr>
          <w:p w14:paraId="776728B9" w14:textId="77777777" w:rsidR="003E5081" w:rsidRDefault="00053173">
            <w:pPr>
              <w:spacing w:after="160"/>
            </w:pPr>
            <w:r>
              <w:t>Operating Profit</w:t>
            </w:r>
          </w:p>
        </w:tc>
        <w:tc>
          <w:tcPr>
            <w:tcW w:w="1708" w:type="dxa"/>
          </w:tcPr>
          <w:p w14:paraId="4B92284F" w14:textId="77777777" w:rsidR="003E5081" w:rsidRDefault="00053173">
            <w:pPr>
              <w:spacing w:after="160"/>
            </w:pPr>
            <w:r>
              <w:t>2,825</w:t>
            </w:r>
          </w:p>
        </w:tc>
        <w:tc>
          <w:tcPr>
            <w:tcW w:w="1708" w:type="dxa"/>
          </w:tcPr>
          <w:p w14:paraId="41213624" w14:textId="77777777" w:rsidR="003E5081" w:rsidRDefault="00053173">
            <w:pPr>
              <w:spacing w:after="160"/>
            </w:pPr>
            <w:r>
              <w:t>3,147</w:t>
            </w:r>
          </w:p>
        </w:tc>
      </w:tr>
      <w:tr w:rsidR="003E5081" w14:paraId="79A647C1" w14:textId="77777777">
        <w:trPr>
          <w:jc w:val="center"/>
        </w:trPr>
        <w:tc>
          <w:tcPr>
            <w:tcW w:w="1839" w:type="dxa"/>
          </w:tcPr>
          <w:p w14:paraId="17D096BA" w14:textId="77777777" w:rsidR="003E5081" w:rsidRDefault="00053173">
            <w:pPr>
              <w:spacing w:after="160"/>
            </w:pPr>
            <w:r>
              <w:t>Profit Before Tax</w:t>
            </w:r>
          </w:p>
        </w:tc>
        <w:tc>
          <w:tcPr>
            <w:tcW w:w="1708" w:type="dxa"/>
          </w:tcPr>
          <w:p w14:paraId="38331FCF" w14:textId="77777777" w:rsidR="003E5081" w:rsidRDefault="00053173">
            <w:pPr>
              <w:spacing w:after="160"/>
            </w:pPr>
            <w:r>
              <w:t>2,289</w:t>
            </w:r>
          </w:p>
        </w:tc>
        <w:tc>
          <w:tcPr>
            <w:tcW w:w="1708" w:type="dxa"/>
          </w:tcPr>
          <w:p w14:paraId="1C58118E" w14:textId="77777777" w:rsidR="003E5081" w:rsidRDefault="00053173">
            <w:pPr>
              <w:spacing w:after="160"/>
            </w:pPr>
            <w:r>
              <w:t>2,736</w:t>
            </w:r>
          </w:p>
        </w:tc>
      </w:tr>
      <w:tr w:rsidR="003E5081" w14:paraId="37269AAF" w14:textId="77777777">
        <w:trPr>
          <w:jc w:val="center"/>
        </w:trPr>
        <w:tc>
          <w:tcPr>
            <w:tcW w:w="1839" w:type="dxa"/>
          </w:tcPr>
          <w:p w14:paraId="7B1BA8C7" w14:textId="77777777" w:rsidR="003E5081" w:rsidRDefault="00053173">
            <w:pPr>
              <w:spacing w:after="160"/>
            </w:pPr>
            <w:r>
              <w:t>Net Profit</w:t>
            </w:r>
          </w:p>
        </w:tc>
        <w:tc>
          <w:tcPr>
            <w:tcW w:w="1708" w:type="dxa"/>
          </w:tcPr>
          <w:p w14:paraId="6F26C942" w14:textId="77777777" w:rsidR="003E5081" w:rsidRDefault="00053173">
            <w:pPr>
              <w:spacing w:after="160"/>
            </w:pPr>
            <w:r>
              <w:t>1,900 (approx.)</w:t>
            </w:r>
          </w:p>
        </w:tc>
        <w:tc>
          <w:tcPr>
            <w:tcW w:w="1708" w:type="dxa"/>
          </w:tcPr>
          <w:p w14:paraId="3E03E9A1" w14:textId="77777777" w:rsidR="003E5081" w:rsidRDefault="00053173">
            <w:pPr>
              <w:spacing w:after="160"/>
            </w:pPr>
            <w:r>
              <w:t>2,200 (approx.)</w:t>
            </w:r>
          </w:p>
        </w:tc>
      </w:tr>
    </w:tbl>
    <w:p w14:paraId="5F08F334" w14:textId="77777777" w:rsidR="003E5081" w:rsidRDefault="003E5081"/>
    <w:p w14:paraId="7567049A" w14:textId="77777777" w:rsidR="003E5081" w:rsidRDefault="00053173">
      <w:pPr>
        <w:rPr>
          <w:b/>
          <w:bCs/>
        </w:rPr>
      </w:pPr>
      <w:r>
        <w:rPr>
          <w:b/>
          <w:bCs/>
        </w:rPr>
        <w:t xml:space="preserve">Appendix A2: Balance Sheet </w:t>
      </w:r>
    </w:p>
    <w:tbl>
      <w:tblPr>
        <w:tblStyle w:val="ab"/>
        <w:tblW w:w="5578"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16"/>
        <w:gridCol w:w="1831"/>
        <w:gridCol w:w="1831"/>
      </w:tblGrid>
      <w:tr w:rsidR="003E5081" w14:paraId="57AA4DDF" w14:textId="77777777">
        <w:trPr>
          <w:jc w:val="center"/>
        </w:trPr>
        <w:tc>
          <w:tcPr>
            <w:tcW w:w="1916" w:type="dxa"/>
          </w:tcPr>
          <w:p w14:paraId="0C288BAC" w14:textId="77777777" w:rsidR="003E5081" w:rsidRDefault="00053173">
            <w:pPr>
              <w:spacing w:after="160"/>
              <w:rPr>
                <w:b/>
                <w:bCs/>
              </w:rPr>
            </w:pPr>
            <w:r>
              <w:rPr>
                <w:b/>
                <w:bCs/>
              </w:rPr>
              <w:t>(£ million)</w:t>
            </w:r>
          </w:p>
        </w:tc>
        <w:tc>
          <w:tcPr>
            <w:tcW w:w="1831" w:type="dxa"/>
          </w:tcPr>
          <w:p w14:paraId="0A830567" w14:textId="77777777" w:rsidR="003E5081" w:rsidRDefault="00053173">
            <w:pPr>
              <w:spacing w:after="160"/>
              <w:rPr>
                <w:b/>
                <w:bCs/>
              </w:rPr>
            </w:pPr>
            <w:r>
              <w:rPr>
                <w:b/>
                <w:bCs/>
              </w:rPr>
              <w:t>2024</w:t>
            </w:r>
          </w:p>
        </w:tc>
        <w:tc>
          <w:tcPr>
            <w:tcW w:w="1831" w:type="dxa"/>
          </w:tcPr>
          <w:p w14:paraId="5F72F192" w14:textId="77777777" w:rsidR="003E5081" w:rsidRDefault="00053173">
            <w:pPr>
              <w:spacing w:after="160"/>
              <w:rPr>
                <w:b/>
                <w:bCs/>
              </w:rPr>
            </w:pPr>
            <w:r>
              <w:rPr>
                <w:b/>
                <w:bCs/>
              </w:rPr>
              <w:t>2025</w:t>
            </w:r>
          </w:p>
        </w:tc>
      </w:tr>
      <w:tr w:rsidR="003E5081" w14:paraId="4C27D1E9" w14:textId="77777777">
        <w:trPr>
          <w:jc w:val="center"/>
        </w:trPr>
        <w:tc>
          <w:tcPr>
            <w:tcW w:w="1916" w:type="dxa"/>
          </w:tcPr>
          <w:p w14:paraId="3B7A4A11" w14:textId="77777777" w:rsidR="003E5081" w:rsidRDefault="00053173">
            <w:pPr>
              <w:spacing w:after="160"/>
            </w:pPr>
            <w:r>
              <w:t>Total Assets</w:t>
            </w:r>
          </w:p>
        </w:tc>
        <w:tc>
          <w:tcPr>
            <w:tcW w:w="1831" w:type="dxa"/>
          </w:tcPr>
          <w:p w14:paraId="5D7830C9" w14:textId="77777777" w:rsidR="003E5081" w:rsidRDefault="00053173">
            <w:pPr>
              <w:spacing w:after="160"/>
            </w:pPr>
            <w:r>
              <w:t>46,000 (approx.)</w:t>
            </w:r>
          </w:p>
        </w:tc>
        <w:tc>
          <w:tcPr>
            <w:tcW w:w="1831" w:type="dxa"/>
          </w:tcPr>
          <w:p w14:paraId="66F47B37" w14:textId="77777777" w:rsidR="003E5081" w:rsidRDefault="00053173">
            <w:pPr>
              <w:spacing w:after="160"/>
            </w:pPr>
            <w:r>
              <w:t>47,500 (approx.)</w:t>
            </w:r>
          </w:p>
        </w:tc>
      </w:tr>
      <w:tr w:rsidR="003E5081" w14:paraId="1608A0C2" w14:textId="77777777">
        <w:trPr>
          <w:jc w:val="center"/>
        </w:trPr>
        <w:tc>
          <w:tcPr>
            <w:tcW w:w="1916" w:type="dxa"/>
          </w:tcPr>
          <w:p w14:paraId="2EACA4D2" w14:textId="77777777" w:rsidR="003E5081" w:rsidRDefault="00053173">
            <w:pPr>
              <w:spacing w:after="160"/>
            </w:pPr>
            <w:r>
              <w:t>Current Assets</w:t>
            </w:r>
          </w:p>
        </w:tc>
        <w:tc>
          <w:tcPr>
            <w:tcW w:w="1831" w:type="dxa"/>
          </w:tcPr>
          <w:p w14:paraId="303BE993" w14:textId="77777777" w:rsidR="003E5081" w:rsidRDefault="00053173">
            <w:pPr>
              <w:spacing w:after="160"/>
            </w:pPr>
            <w:r>
              <w:t>16,000 (approx.)</w:t>
            </w:r>
          </w:p>
        </w:tc>
        <w:tc>
          <w:tcPr>
            <w:tcW w:w="1831" w:type="dxa"/>
          </w:tcPr>
          <w:p w14:paraId="057C8BB7" w14:textId="77777777" w:rsidR="003E5081" w:rsidRDefault="00053173">
            <w:pPr>
              <w:spacing w:after="160"/>
            </w:pPr>
            <w:r>
              <w:t>16,800 (approx.)</w:t>
            </w:r>
          </w:p>
        </w:tc>
      </w:tr>
      <w:tr w:rsidR="003E5081" w14:paraId="0586D894" w14:textId="77777777">
        <w:trPr>
          <w:jc w:val="center"/>
        </w:trPr>
        <w:tc>
          <w:tcPr>
            <w:tcW w:w="1916" w:type="dxa"/>
          </w:tcPr>
          <w:p w14:paraId="640BEB92" w14:textId="77777777" w:rsidR="003E5081" w:rsidRDefault="00053173">
            <w:pPr>
              <w:spacing w:after="160"/>
            </w:pPr>
            <w:r>
              <w:t>Current Liabilities</w:t>
            </w:r>
          </w:p>
        </w:tc>
        <w:tc>
          <w:tcPr>
            <w:tcW w:w="1831" w:type="dxa"/>
          </w:tcPr>
          <w:p w14:paraId="3859299D" w14:textId="77777777" w:rsidR="003E5081" w:rsidRDefault="00053173">
            <w:pPr>
              <w:spacing w:after="160"/>
            </w:pPr>
            <w:r>
              <w:t>21,500 (approx.)</w:t>
            </w:r>
          </w:p>
        </w:tc>
        <w:tc>
          <w:tcPr>
            <w:tcW w:w="1831" w:type="dxa"/>
          </w:tcPr>
          <w:p w14:paraId="4F9E4340" w14:textId="77777777" w:rsidR="003E5081" w:rsidRDefault="00053173">
            <w:pPr>
              <w:spacing w:after="160"/>
            </w:pPr>
            <w:r>
              <w:t>22,300 (approx.)</w:t>
            </w:r>
          </w:p>
        </w:tc>
      </w:tr>
      <w:tr w:rsidR="003E5081" w14:paraId="4677FFA7" w14:textId="77777777">
        <w:trPr>
          <w:jc w:val="center"/>
        </w:trPr>
        <w:tc>
          <w:tcPr>
            <w:tcW w:w="1916" w:type="dxa"/>
          </w:tcPr>
          <w:p w14:paraId="212F4F94" w14:textId="77777777" w:rsidR="003E5081" w:rsidRDefault="00053173">
            <w:pPr>
              <w:spacing w:after="160"/>
            </w:pPr>
            <w:r>
              <w:t>Total Equity</w:t>
            </w:r>
          </w:p>
        </w:tc>
        <w:tc>
          <w:tcPr>
            <w:tcW w:w="1831" w:type="dxa"/>
          </w:tcPr>
          <w:p w14:paraId="2F0CA1E1" w14:textId="77777777" w:rsidR="003E5081" w:rsidRDefault="00053173">
            <w:pPr>
              <w:spacing w:after="160"/>
            </w:pPr>
            <w:r>
              <w:t>10,800 (approx.)</w:t>
            </w:r>
          </w:p>
        </w:tc>
        <w:tc>
          <w:tcPr>
            <w:tcW w:w="1831" w:type="dxa"/>
          </w:tcPr>
          <w:p w14:paraId="12AB08A9" w14:textId="77777777" w:rsidR="003E5081" w:rsidRDefault="00053173">
            <w:pPr>
              <w:spacing w:after="160"/>
            </w:pPr>
            <w:r>
              <w:t>11,500 (approx.)</w:t>
            </w:r>
          </w:p>
        </w:tc>
      </w:tr>
      <w:tr w:rsidR="003E5081" w14:paraId="69767E69" w14:textId="77777777">
        <w:trPr>
          <w:jc w:val="center"/>
        </w:trPr>
        <w:tc>
          <w:tcPr>
            <w:tcW w:w="1916" w:type="dxa"/>
          </w:tcPr>
          <w:p w14:paraId="049795B8" w14:textId="77777777" w:rsidR="003E5081" w:rsidRDefault="00053173">
            <w:pPr>
              <w:spacing w:after="160"/>
            </w:pPr>
            <w:r>
              <w:t>Total Debt</w:t>
            </w:r>
          </w:p>
        </w:tc>
        <w:tc>
          <w:tcPr>
            <w:tcW w:w="1831" w:type="dxa"/>
          </w:tcPr>
          <w:p w14:paraId="46576479" w14:textId="77777777" w:rsidR="003E5081" w:rsidRDefault="00053173">
            <w:pPr>
              <w:spacing w:after="160"/>
            </w:pPr>
            <w:r>
              <w:t>9,200 (approx.)</w:t>
            </w:r>
          </w:p>
        </w:tc>
        <w:tc>
          <w:tcPr>
            <w:tcW w:w="1831" w:type="dxa"/>
          </w:tcPr>
          <w:p w14:paraId="21B64B61" w14:textId="77777777" w:rsidR="003E5081" w:rsidRDefault="00053173">
            <w:pPr>
              <w:spacing w:after="160"/>
            </w:pPr>
            <w:r>
              <w:t>9,400 (approx.)</w:t>
            </w:r>
          </w:p>
        </w:tc>
      </w:tr>
    </w:tbl>
    <w:p w14:paraId="01DC6880" w14:textId="77777777" w:rsidR="003E5081" w:rsidRDefault="003E5081"/>
    <w:p w14:paraId="7FA1AE9E" w14:textId="77777777" w:rsidR="003E5081" w:rsidRDefault="00053173">
      <w:pPr>
        <w:rPr>
          <w:b/>
          <w:bCs/>
        </w:rPr>
      </w:pPr>
      <w:r>
        <w:rPr>
          <w:b/>
          <w:bCs/>
        </w:rPr>
        <w:t xml:space="preserve">Appendix A3. Liabilities &amp; Equity </w:t>
      </w:r>
    </w:p>
    <w:tbl>
      <w:tblPr>
        <w:tblStyle w:val="ac"/>
        <w:tblW w:w="4811" w:type="dxa"/>
        <w:jc w:val="cente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15"/>
        <w:gridCol w:w="1048"/>
        <w:gridCol w:w="1048"/>
      </w:tblGrid>
      <w:tr w:rsidR="003E5081" w14:paraId="76154516" w14:textId="77777777">
        <w:trPr>
          <w:jc w:val="center"/>
        </w:trPr>
        <w:tc>
          <w:tcPr>
            <w:tcW w:w="2715" w:type="dxa"/>
          </w:tcPr>
          <w:p w14:paraId="78B4E579" w14:textId="77777777" w:rsidR="003E5081" w:rsidRDefault="00053173">
            <w:pPr>
              <w:spacing w:after="160"/>
              <w:rPr>
                <w:b/>
                <w:bCs/>
              </w:rPr>
            </w:pPr>
            <w:r>
              <w:rPr>
                <w:b/>
                <w:bCs/>
              </w:rPr>
              <w:t>(£ million)</w:t>
            </w:r>
          </w:p>
        </w:tc>
        <w:tc>
          <w:tcPr>
            <w:tcW w:w="1048" w:type="dxa"/>
          </w:tcPr>
          <w:p w14:paraId="4ED45050" w14:textId="77777777" w:rsidR="003E5081" w:rsidRDefault="00053173">
            <w:pPr>
              <w:spacing w:after="160"/>
              <w:rPr>
                <w:b/>
                <w:bCs/>
              </w:rPr>
            </w:pPr>
            <w:r>
              <w:rPr>
                <w:b/>
                <w:bCs/>
              </w:rPr>
              <w:t>2024</w:t>
            </w:r>
          </w:p>
        </w:tc>
        <w:tc>
          <w:tcPr>
            <w:tcW w:w="1048" w:type="dxa"/>
          </w:tcPr>
          <w:p w14:paraId="4219E28E" w14:textId="77777777" w:rsidR="003E5081" w:rsidRDefault="00053173">
            <w:pPr>
              <w:spacing w:after="160"/>
              <w:rPr>
                <w:b/>
                <w:bCs/>
              </w:rPr>
            </w:pPr>
            <w:r>
              <w:rPr>
                <w:b/>
                <w:bCs/>
              </w:rPr>
              <w:t>2025</w:t>
            </w:r>
          </w:p>
        </w:tc>
      </w:tr>
      <w:tr w:rsidR="003E5081" w14:paraId="34059E2E" w14:textId="77777777">
        <w:trPr>
          <w:jc w:val="center"/>
        </w:trPr>
        <w:tc>
          <w:tcPr>
            <w:tcW w:w="2715" w:type="dxa"/>
          </w:tcPr>
          <w:p w14:paraId="29086597" w14:textId="77777777" w:rsidR="003E5081" w:rsidRDefault="00053173">
            <w:pPr>
              <w:spacing w:after="160"/>
            </w:pPr>
            <w:r>
              <w:rPr>
                <w:b/>
                <w:bCs/>
              </w:rPr>
              <w:t>Current Liabilities</w:t>
            </w:r>
          </w:p>
        </w:tc>
        <w:tc>
          <w:tcPr>
            <w:tcW w:w="1048" w:type="dxa"/>
          </w:tcPr>
          <w:p w14:paraId="422E0A6D" w14:textId="77777777" w:rsidR="003E5081" w:rsidRDefault="00053173">
            <w:pPr>
              <w:spacing w:after="160"/>
            </w:pPr>
            <w:r>
              <w:t>21,500</w:t>
            </w:r>
          </w:p>
        </w:tc>
        <w:tc>
          <w:tcPr>
            <w:tcW w:w="1048" w:type="dxa"/>
          </w:tcPr>
          <w:p w14:paraId="7B52D6C1" w14:textId="77777777" w:rsidR="003E5081" w:rsidRDefault="00053173">
            <w:pPr>
              <w:spacing w:after="160"/>
            </w:pPr>
            <w:r>
              <w:t>22,300</w:t>
            </w:r>
          </w:p>
        </w:tc>
      </w:tr>
      <w:tr w:rsidR="003E5081" w14:paraId="3C9EF841" w14:textId="77777777">
        <w:trPr>
          <w:jc w:val="center"/>
        </w:trPr>
        <w:tc>
          <w:tcPr>
            <w:tcW w:w="2715" w:type="dxa"/>
          </w:tcPr>
          <w:p w14:paraId="56920C1F" w14:textId="77777777" w:rsidR="003E5081" w:rsidRDefault="00053173">
            <w:pPr>
              <w:spacing w:after="160"/>
            </w:pPr>
            <w:r>
              <w:t>Trade Payables (Approx.)</w:t>
            </w:r>
          </w:p>
        </w:tc>
        <w:tc>
          <w:tcPr>
            <w:tcW w:w="1048" w:type="dxa"/>
          </w:tcPr>
          <w:p w14:paraId="3BE7F10E" w14:textId="77777777" w:rsidR="003E5081" w:rsidRDefault="00053173">
            <w:pPr>
              <w:spacing w:after="160"/>
            </w:pPr>
            <w:r>
              <w:t>9,000</w:t>
            </w:r>
          </w:p>
        </w:tc>
        <w:tc>
          <w:tcPr>
            <w:tcW w:w="1048" w:type="dxa"/>
          </w:tcPr>
          <w:p w14:paraId="4C178039" w14:textId="77777777" w:rsidR="003E5081" w:rsidRDefault="00053173">
            <w:pPr>
              <w:spacing w:after="160"/>
            </w:pPr>
            <w:r>
              <w:t>9,500</w:t>
            </w:r>
          </w:p>
        </w:tc>
      </w:tr>
      <w:tr w:rsidR="003E5081" w14:paraId="481C240A" w14:textId="77777777">
        <w:trPr>
          <w:jc w:val="center"/>
        </w:trPr>
        <w:tc>
          <w:tcPr>
            <w:tcW w:w="4811" w:type="dxa"/>
            <w:gridSpan w:val="3"/>
          </w:tcPr>
          <w:p w14:paraId="39A69E85" w14:textId="77777777" w:rsidR="003E5081" w:rsidRDefault="00053173">
            <w:pPr>
              <w:spacing w:after="160"/>
              <w:jc w:val="center"/>
            </w:pPr>
            <w:r>
              <w:rPr>
                <w:b/>
                <w:bCs/>
              </w:rPr>
              <w:t>Non-Current Liabilities</w:t>
            </w:r>
          </w:p>
        </w:tc>
      </w:tr>
      <w:tr w:rsidR="003E5081" w14:paraId="70168289" w14:textId="77777777">
        <w:trPr>
          <w:jc w:val="center"/>
        </w:trPr>
        <w:tc>
          <w:tcPr>
            <w:tcW w:w="2715" w:type="dxa"/>
          </w:tcPr>
          <w:p w14:paraId="7A9F77A9" w14:textId="77777777" w:rsidR="003E5081" w:rsidRDefault="00053173">
            <w:pPr>
              <w:spacing w:after="160"/>
            </w:pPr>
            <w:r>
              <w:t>Long-term Debt</w:t>
            </w:r>
          </w:p>
        </w:tc>
        <w:tc>
          <w:tcPr>
            <w:tcW w:w="1048" w:type="dxa"/>
          </w:tcPr>
          <w:p w14:paraId="52BE7B0A" w14:textId="77777777" w:rsidR="003E5081" w:rsidRDefault="00053173">
            <w:pPr>
              <w:spacing w:after="160"/>
            </w:pPr>
            <w:r>
              <w:t>Included</w:t>
            </w:r>
          </w:p>
        </w:tc>
        <w:tc>
          <w:tcPr>
            <w:tcW w:w="1048" w:type="dxa"/>
          </w:tcPr>
          <w:p w14:paraId="70831701" w14:textId="77777777" w:rsidR="003E5081" w:rsidRDefault="00053173">
            <w:pPr>
              <w:spacing w:after="160"/>
            </w:pPr>
            <w:r>
              <w:t>Included</w:t>
            </w:r>
          </w:p>
        </w:tc>
      </w:tr>
      <w:tr w:rsidR="003E5081" w14:paraId="07E6C6C5" w14:textId="77777777">
        <w:trPr>
          <w:jc w:val="center"/>
        </w:trPr>
        <w:tc>
          <w:tcPr>
            <w:tcW w:w="2715" w:type="dxa"/>
          </w:tcPr>
          <w:p w14:paraId="2A9AC7AB" w14:textId="77777777" w:rsidR="003E5081" w:rsidRDefault="00053173">
            <w:pPr>
              <w:spacing w:after="160"/>
            </w:pPr>
            <w:r>
              <w:rPr>
                <w:b/>
                <w:bCs/>
              </w:rPr>
              <w:t>Total Debt (Approx.)</w:t>
            </w:r>
          </w:p>
        </w:tc>
        <w:tc>
          <w:tcPr>
            <w:tcW w:w="1048" w:type="dxa"/>
          </w:tcPr>
          <w:p w14:paraId="0EEAB561" w14:textId="77777777" w:rsidR="003E5081" w:rsidRDefault="00053173">
            <w:pPr>
              <w:spacing w:after="160"/>
            </w:pPr>
            <w:r>
              <w:t>9,200</w:t>
            </w:r>
          </w:p>
        </w:tc>
        <w:tc>
          <w:tcPr>
            <w:tcW w:w="1048" w:type="dxa"/>
          </w:tcPr>
          <w:p w14:paraId="5D3CFDF0" w14:textId="77777777" w:rsidR="003E5081" w:rsidRDefault="00053173">
            <w:pPr>
              <w:spacing w:after="160"/>
            </w:pPr>
            <w:r>
              <w:t>9,400</w:t>
            </w:r>
          </w:p>
        </w:tc>
      </w:tr>
      <w:tr w:rsidR="003E5081" w14:paraId="3BBA0424" w14:textId="77777777">
        <w:trPr>
          <w:jc w:val="center"/>
        </w:trPr>
        <w:tc>
          <w:tcPr>
            <w:tcW w:w="2715" w:type="dxa"/>
          </w:tcPr>
          <w:p w14:paraId="3B641A3B" w14:textId="77777777" w:rsidR="003E5081" w:rsidRDefault="00053173">
            <w:pPr>
              <w:spacing w:after="160"/>
            </w:pPr>
            <w:r>
              <w:rPr>
                <w:b/>
                <w:bCs/>
              </w:rPr>
              <w:t>Equity</w:t>
            </w:r>
          </w:p>
        </w:tc>
        <w:tc>
          <w:tcPr>
            <w:tcW w:w="1048" w:type="dxa"/>
          </w:tcPr>
          <w:p w14:paraId="0A4F18C9" w14:textId="77777777" w:rsidR="003E5081" w:rsidRDefault="00053173">
            <w:pPr>
              <w:spacing w:after="160"/>
            </w:pPr>
            <w:r>
              <w:t>10,800</w:t>
            </w:r>
          </w:p>
        </w:tc>
        <w:tc>
          <w:tcPr>
            <w:tcW w:w="1048" w:type="dxa"/>
          </w:tcPr>
          <w:p w14:paraId="17769836" w14:textId="77777777" w:rsidR="003E5081" w:rsidRDefault="00053173">
            <w:pPr>
              <w:spacing w:after="160"/>
            </w:pPr>
            <w:r>
              <w:t>11,500</w:t>
            </w:r>
          </w:p>
        </w:tc>
      </w:tr>
    </w:tbl>
    <w:p w14:paraId="6A3DBF94" w14:textId="77777777" w:rsidR="003E5081" w:rsidRDefault="003E5081"/>
    <w:p w14:paraId="5DEB7D2F" w14:textId="77777777" w:rsidR="003E5081" w:rsidRDefault="00053173">
      <w:pPr>
        <w:pStyle w:val="Heading2"/>
      </w:pPr>
      <w:bookmarkStart w:id="37" w:name="_heading=h.nw99ax484525" w:colFirst="0" w:colLast="0"/>
      <w:bookmarkEnd w:id="37"/>
      <w:r>
        <w:t>Appendix B: RATIO CALCULATIONS</w:t>
      </w:r>
    </w:p>
    <w:p w14:paraId="2E2E6DE9" w14:textId="77777777" w:rsidR="003E5081" w:rsidRDefault="00053173">
      <w:pPr>
        <w:rPr>
          <w:b/>
          <w:bCs/>
        </w:rPr>
      </w:pPr>
      <w:r>
        <w:rPr>
          <w:b/>
          <w:bCs/>
        </w:rPr>
        <w:t>B1. Profitability Ratios</w:t>
      </w:r>
    </w:p>
    <w:tbl>
      <w:tblPr>
        <w:tblStyle w:val="ad"/>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27"/>
        <w:gridCol w:w="2099"/>
        <w:gridCol w:w="1661"/>
        <w:gridCol w:w="1034"/>
        <w:gridCol w:w="1661"/>
        <w:gridCol w:w="1034"/>
      </w:tblGrid>
      <w:tr w:rsidR="003E5081" w14:paraId="0FED35C5" w14:textId="77777777">
        <w:tc>
          <w:tcPr>
            <w:tcW w:w="1527" w:type="dxa"/>
          </w:tcPr>
          <w:p w14:paraId="463B4475" w14:textId="77777777" w:rsidR="003E5081" w:rsidRDefault="00053173">
            <w:pPr>
              <w:spacing w:after="160"/>
              <w:rPr>
                <w:b/>
                <w:bCs/>
              </w:rPr>
            </w:pPr>
            <w:r>
              <w:rPr>
                <w:b/>
                <w:bCs/>
              </w:rPr>
              <w:t>Ratio</w:t>
            </w:r>
          </w:p>
        </w:tc>
        <w:tc>
          <w:tcPr>
            <w:tcW w:w="2099" w:type="dxa"/>
          </w:tcPr>
          <w:p w14:paraId="6ABE1AE9" w14:textId="77777777" w:rsidR="003E5081" w:rsidRDefault="00053173">
            <w:pPr>
              <w:spacing w:after="160"/>
              <w:rPr>
                <w:b/>
                <w:bCs/>
              </w:rPr>
            </w:pPr>
            <w:r>
              <w:rPr>
                <w:b/>
                <w:bCs/>
              </w:rPr>
              <w:t>Formula</w:t>
            </w:r>
          </w:p>
        </w:tc>
        <w:tc>
          <w:tcPr>
            <w:tcW w:w="1661" w:type="dxa"/>
          </w:tcPr>
          <w:p w14:paraId="1A1B57C1" w14:textId="77777777" w:rsidR="003E5081" w:rsidRDefault="00053173">
            <w:pPr>
              <w:spacing w:after="160"/>
              <w:rPr>
                <w:b/>
                <w:bCs/>
              </w:rPr>
            </w:pPr>
            <w:r>
              <w:rPr>
                <w:b/>
                <w:bCs/>
              </w:rPr>
              <w:t>2024 Calculation</w:t>
            </w:r>
          </w:p>
        </w:tc>
        <w:tc>
          <w:tcPr>
            <w:tcW w:w="1034" w:type="dxa"/>
          </w:tcPr>
          <w:p w14:paraId="26024B4D" w14:textId="77777777" w:rsidR="003E5081" w:rsidRDefault="00053173">
            <w:pPr>
              <w:spacing w:after="160"/>
              <w:rPr>
                <w:b/>
                <w:bCs/>
              </w:rPr>
            </w:pPr>
            <w:r>
              <w:rPr>
                <w:b/>
                <w:bCs/>
              </w:rPr>
              <w:t>2024 Result</w:t>
            </w:r>
          </w:p>
        </w:tc>
        <w:tc>
          <w:tcPr>
            <w:tcW w:w="1661" w:type="dxa"/>
          </w:tcPr>
          <w:p w14:paraId="410F87B0" w14:textId="77777777" w:rsidR="003E5081" w:rsidRDefault="00053173">
            <w:pPr>
              <w:spacing w:after="160"/>
              <w:rPr>
                <w:b/>
                <w:bCs/>
              </w:rPr>
            </w:pPr>
            <w:r>
              <w:rPr>
                <w:b/>
                <w:bCs/>
              </w:rPr>
              <w:t>2025 Calculation</w:t>
            </w:r>
          </w:p>
        </w:tc>
        <w:tc>
          <w:tcPr>
            <w:tcW w:w="1034" w:type="dxa"/>
          </w:tcPr>
          <w:p w14:paraId="0BD5460E" w14:textId="77777777" w:rsidR="003E5081" w:rsidRDefault="00053173">
            <w:pPr>
              <w:spacing w:after="160"/>
              <w:rPr>
                <w:b/>
                <w:bCs/>
              </w:rPr>
            </w:pPr>
            <w:r>
              <w:rPr>
                <w:b/>
                <w:bCs/>
              </w:rPr>
              <w:t>2025 Result</w:t>
            </w:r>
          </w:p>
        </w:tc>
      </w:tr>
      <w:tr w:rsidR="003E5081" w14:paraId="718D3023" w14:textId="77777777">
        <w:tc>
          <w:tcPr>
            <w:tcW w:w="1527" w:type="dxa"/>
          </w:tcPr>
          <w:p w14:paraId="1A348044" w14:textId="77777777" w:rsidR="003E5081" w:rsidRDefault="00053173">
            <w:pPr>
              <w:spacing w:after="160"/>
            </w:pPr>
            <w:r>
              <w:t>Gross Profit Margin*</w:t>
            </w:r>
          </w:p>
        </w:tc>
        <w:tc>
          <w:tcPr>
            <w:tcW w:w="2099" w:type="dxa"/>
          </w:tcPr>
          <w:p w14:paraId="6B295EEE" w14:textId="77777777" w:rsidR="003E5081" w:rsidRDefault="00053173">
            <w:pPr>
              <w:spacing w:after="160"/>
            </w:pPr>
            <w:r>
              <w:t>(Operating Profit / Revenue) × 100</w:t>
            </w:r>
          </w:p>
        </w:tc>
        <w:tc>
          <w:tcPr>
            <w:tcW w:w="1661" w:type="dxa"/>
          </w:tcPr>
          <w:p w14:paraId="2D2BD370" w14:textId="77777777" w:rsidR="003E5081" w:rsidRDefault="00053173">
            <w:pPr>
              <w:spacing w:after="160"/>
            </w:pPr>
            <w:r>
              <w:t>(2,825 / 61,476) × 100</w:t>
            </w:r>
          </w:p>
        </w:tc>
        <w:tc>
          <w:tcPr>
            <w:tcW w:w="1034" w:type="dxa"/>
          </w:tcPr>
          <w:p w14:paraId="055B36A6" w14:textId="77777777" w:rsidR="003E5081" w:rsidRDefault="00053173">
            <w:pPr>
              <w:spacing w:after="160"/>
            </w:pPr>
            <w:r>
              <w:t>4.59%</w:t>
            </w:r>
          </w:p>
        </w:tc>
        <w:tc>
          <w:tcPr>
            <w:tcW w:w="1661" w:type="dxa"/>
          </w:tcPr>
          <w:p w14:paraId="174C324F" w14:textId="77777777" w:rsidR="003E5081" w:rsidRDefault="00053173">
            <w:pPr>
              <w:spacing w:after="160"/>
            </w:pPr>
            <w:r>
              <w:t>(3,147 / 63,940) × 100</w:t>
            </w:r>
          </w:p>
        </w:tc>
        <w:tc>
          <w:tcPr>
            <w:tcW w:w="1034" w:type="dxa"/>
          </w:tcPr>
          <w:p w14:paraId="6132B66C" w14:textId="77777777" w:rsidR="003E5081" w:rsidRDefault="00053173">
            <w:pPr>
              <w:spacing w:after="160"/>
            </w:pPr>
            <w:r>
              <w:t>4.92%</w:t>
            </w:r>
          </w:p>
        </w:tc>
      </w:tr>
      <w:tr w:rsidR="003E5081" w14:paraId="7F28A774" w14:textId="77777777">
        <w:tc>
          <w:tcPr>
            <w:tcW w:w="1527" w:type="dxa"/>
          </w:tcPr>
          <w:p w14:paraId="507CA5ED" w14:textId="77777777" w:rsidR="003E5081" w:rsidRDefault="00053173">
            <w:pPr>
              <w:spacing w:after="160"/>
            </w:pPr>
            <w:r>
              <w:t>Operating Profit Margin</w:t>
            </w:r>
          </w:p>
        </w:tc>
        <w:tc>
          <w:tcPr>
            <w:tcW w:w="2099" w:type="dxa"/>
          </w:tcPr>
          <w:p w14:paraId="58F64EA3" w14:textId="77777777" w:rsidR="003E5081" w:rsidRDefault="00053173">
            <w:pPr>
              <w:spacing w:after="160"/>
            </w:pPr>
            <w:r>
              <w:t>(Operating Profit / Revenue) × 100</w:t>
            </w:r>
          </w:p>
        </w:tc>
        <w:tc>
          <w:tcPr>
            <w:tcW w:w="1661" w:type="dxa"/>
          </w:tcPr>
          <w:p w14:paraId="7C339F60" w14:textId="77777777" w:rsidR="003E5081" w:rsidRDefault="00053173">
            <w:pPr>
              <w:spacing w:after="160"/>
            </w:pPr>
            <w:r>
              <w:t>(2,825 / 61,476) × 100</w:t>
            </w:r>
          </w:p>
        </w:tc>
        <w:tc>
          <w:tcPr>
            <w:tcW w:w="1034" w:type="dxa"/>
          </w:tcPr>
          <w:p w14:paraId="63760FBF" w14:textId="77777777" w:rsidR="003E5081" w:rsidRDefault="00053173">
            <w:pPr>
              <w:spacing w:after="160"/>
            </w:pPr>
            <w:r>
              <w:t>4.59%</w:t>
            </w:r>
          </w:p>
        </w:tc>
        <w:tc>
          <w:tcPr>
            <w:tcW w:w="1661" w:type="dxa"/>
          </w:tcPr>
          <w:p w14:paraId="4347058D" w14:textId="77777777" w:rsidR="003E5081" w:rsidRDefault="00053173">
            <w:pPr>
              <w:spacing w:after="160"/>
            </w:pPr>
            <w:r>
              <w:t>(3,147 / 63,940) × 100</w:t>
            </w:r>
          </w:p>
        </w:tc>
        <w:tc>
          <w:tcPr>
            <w:tcW w:w="1034" w:type="dxa"/>
          </w:tcPr>
          <w:p w14:paraId="16ACD308" w14:textId="77777777" w:rsidR="003E5081" w:rsidRDefault="00053173">
            <w:pPr>
              <w:spacing w:after="160"/>
            </w:pPr>
            <w:r>
              <w:t>4.92%</w:t>
            </w:r>
          </w:p>
        </w:tc>
      </w:tr>
      <w:tr w:rsidR="003E5081" w14:paraId="383415B0" w14:textId="77777777">
        <w:tc>
          <w:tcPr>
            <w:tcW w:w="1527" w:type="dxa"/>
          </w:tcPr>
          <w:p w14:paraId="55AD0D44" w14:textId="77777777" w:rsidR="003E5081" w:rsidRDefault="00053173">
            <w:pPr>
              <w:spacing w:after="160"/>
            </w:pPr>
            <w:r>
              <w:t>ROCE</w:t>
            </w:r>
          </w:p>
        </w:tc>
        <w:tc>
          <w:tcPr>
            <w:tcW w:w="2099" w:type="dxa"/>
          </w:tcPr>
          <w:p w14:paraId="6AE2DAC5" w14:textId="77777777" w:rsidR="003E5081" w:rsidRDefault="00053173">
            <w:pPr>
              <w:spacing w:after="160"/>
            </w:pPr>
            <w:r>
              <w:t>(Operating Profit / Capital Employed) × 100</w:t>
            </w:r>
          </w:p>
        </w:tc>
        <w:tc>
          <w:tcPr>
            <w:tcW w:w="1661" w:type="dxa"/>
          </w:tcPr>
          <w:p w14:paraId="1BEF9514" w14:textId="77777777" w:rsidR="003E5081" w:rsidRDefault="00053173">
            <w:pPr>
              <w:spacing w:after="160"/>
            </w:pPr>
            <w:r>
              <w:t>(2,825 / 24,500) × 100</w:t>
            </w:r>
          </w:p>
        </w:tc>
        <w:tc>
          <w:tcPr>
            <w:tcW w:w="1034" w:type="dxa"/>
          </w:tcPr>
          <w:p w14:paraId="5136EE1E" w14:textId="77777777" w:rsidR="003E5081" w:rsidRDefault="00053173">
            <w:pPr>
              <w:spacing w:after="160"/>
            </w:pPr>
            <w:r>
              <w:t>11.5%</w:t>
            </w:r>
          </w:p>
        </w:tc>
        <w:tc>
          <w:tcPr>
            <w:tcW w:w="1661" w:type="dxa"/>
          </w:tcPr>
          <w:p w14:paraId="4359C42C" w14:textId="77777777" w:rsidR="003E5081" w:rsidRDefault="00053173">
            <w:pPr>
              <w:spacing w:after="160"/>
            </w:pPr>
            <w:r>
              <w:t>(3,147 / 25,200) × 100</w:t>
            </w:r>
          </w:p>
        </w:tc>
        <w:tc>
          <w:tcPr>
            <w:tcW w:w="1034" w:type="dxa"/>
          </w:tcPr>
          <w:p w14:paraId="65C7AC91" w14:textId="77777777" w:rsidR="003E5081" w:rsidRDefault="00053173">
            <w:pPr>
              <w:spacing w:after="160"/>
            </w:pPr>
            <w:r>
              <w:t>12.5%</w:t>
            </w:r>
          </w:p>
        </w:tc>
      </w:tr>
    </w:tbl>
    <w:p w14:paraId="4130C0B4" w14:textId="77777777" w:rsidR="003E5081" w:rsidRDefault="003E5081"/>
    <w:p w14:paraId="065D82F9" w14:textId="77777777" w:rsidR="003E5081" w:rsidRDefault="00053173">
      <w:pPr>
        <w:rPr>
          <w:b/>
          <w:bCs/>
        </w:rPr>
      </w:pPr>
      <w:r>
        <w:rPr>
          <w:b/>
          <w:bCs/>
        </w:rPr>
        <w:t>B2. Liquidity Ratios</w:t>
      </w:r>
    </w:p>
    <w:tbl>
      <w:tblPr>
        <w:tblStyle w:val="ae"/>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156"/>
        <w:gridCol w:w="2494"/>
        <w:gridCol w:w="1598"/>
        <w:gridCol w:w="1085"/>
        <w:gridCol w:w="1598"/>
        <w:gridCol w:w="1085"/>
      </w:tblGrid>
      <w:tr w:rsidR="003E5081" w14:paraId="338F3223" w14:textId="77777777">
        <w:tc>
          <w:tcPr>
            <w:tcW w:w="1156" w:type="dxa"/>
          </w:tcPr>
          <w:p w14:paraId="4C764C2B" w14:textId="77777777" w:rsidR="003E5081" w:rsidRDefault="00053173">
            <w:pPr>
              <w:spacing w:after="160"/>
              <w:rPr>
                <w:b/>
                <w:bCs/>
              </w:rPr>
            </w:pPr>
            <w:r>
              <w:rPr>
                <w:b/>
                <w:bCs/>
              </w:rPr>
              <w:t>Ratio</w:t>
            </w:r>
          </w:p>
        </w:tc>
        <w:tc>
          <w:tcPr>
            <w:tcW w:w="2494" w:type="dxa"/>
          </w:tcPr>
          <w:p w14:paraId="7154F2EC" w14:textId="77777777" w:rsidR="003E5081" w:rsidRDefault="00053173">
            <w:pPr>
              <w:spacing w:after="160"/>
              <w:rPr>
                <w:b/>
                <w:bCs/>
              </w:rPr>
            </w:pPr>
            <w:r>
              <w:rPr>
                <w:b/>
                <w:bCs/>
              </w:rPr>
              <w:t>Formula</w:t>
            </w:r>
          </w:p>
        </w:tc>
        <w:tc>
          <w:tcPr>
            <w:tcW w:w="1598" w:type="dxa"/>
          </w:tcPr>
          <w:p w14:paraId="62F837C0" w14:textId="77777777" w:rsidR="003E5081" w:rsidRDefault="00053173">
            <w:pPr>
              <w:spacing w:after="160"/>
              <w:rPr>
                <w:b/>
                <w:bCs/>
              </w:rPr>
            </w:pPr>
            <w:r>
              <w:rPr>
                <w:b/>
                <w:bCs/>
              </w:rPr>
              <w:t>2024 Calculation</w:t>
            </w:r>
          </w:p>
        </w:tc>
        <w:tc>
          <w:tcPr>
            <w:tcW w:w="1085" w:type="dxa"/>
          </w:tcPr>
          <w:p w14:paraId="677FAFDE" w14:textId="77777777" w:rsidR="003E5081" w:rsidRDefault="00053173">
            <w:pPr>
              <w:spacing w:after="160"/>
              <w:rPr>
                <w:b/>
                <w:bCs/>
              </w:rPr>
            </w:pPr>
            <w:r>
              <w:rPr>
                <w:b/>
                <w:bCs/>
              </w:rPr>
              <w:t>2024 Result</w:t>
            </w:r>
          </w:p>
        </w:tc>
        <w:tc>
          <w:tcPr>
            <w:tcW w:w="1598" w:type="dxa"/>
          </w:tcPr>
          <w:p w14:paraId="288ABFCD" w14:textId="77777777" w:rsidR="003E5081" w:rsidRDefault="00053173">
            <w:pPr>
              <w:spacing w:after="160"/>
              <w:rPr>
                <w:b/>
                <w:bCs/>
              </w:rPr>
            </w:pPr>
            <w:r>
              <w:rPr>
                <w:b/>
                <w:bCs/>
              </w:rPr>
              <w:t>2025 Calculation</w:t>
            </w:r>
          </w:p>
        </w:tc>
        <w:tc>
          <w:tcPr>
            <w:tcW w:w="1085" w:type="dxa"/>
          </w:tcPr>
          <w:p w14:paraId="6DECE161" w14:textId="77777777" w:rsidR="003E5081" w:rsidRDefault="00053173">
            <w:pPr>
              <w:spacing w:after="160"/>
              <w:rPr>
                <w:b/>
                <w:bCs/>
              </w:rPr>
            </w:pPr>
            <w:r>
              <w:rPr>
                <w:b/>
                <w:bCs/>
              </w:rPr>
              <w:t>2025 Result</w:t>
            </w:r>
          </w:p>
        </w:tc>
      </w:tr>
      <w:tr w:rsidR="003E5081" w14:paraId="2758A563" w14:textId="77777777">
        <w:tc>
          <w:tcPr>
            <w:tcW w:w="1156" w:type="dxa"/>
          </w:tcPr>
          <w:p w14:paraId="178331C6" w14:textId="77777777" w:rsidR="003E5081" w:rsidRDefault="00053173">
            <w:pPr>
              <w:spacing w:after="160"/>
            </w:pPr>
            <w:r>
              <w:t>Current Ratio</w:t>
            </w:r>
          </w:p>
        </w:tc>
        <w:tc>
          <w:tcPr>
            <w:tcW w:w="2494" w:type="dxa"/>
          </w:tcPr>
          <w:p w14:paraId="1F19303B" w14:textId="77777777" w:rsidR="003E5081" w:rsidRDefault="00053173">
            <w:pPr>
              <w:spacing w:after="160"/>
            </w:pPr>
            <w:r>
              <w:t>Current Assets / Current Liabilities</w:t>
            </w:r>
          </w:p>
        </w:tc>
        <w:tc>
          <w:tcPr>
            <w:tcW w:w="1598" w:type="dxa"/>
          </w:tcPr>
          <w:p w14:paraId="245BFCDC" w14:textId="77777777" w:rsidR="003E5081" w:rsidRDefault="00053173">
            <w:pPr>
              <w:spacing w:after="160"/>
            </w:pPr>
            <w:r>
              <w:t>16,000 / 21,500</w:t>
            </w:r>
          </w:p>
        </w:tc>
        <w:tc>
          <w:tcPr>
            <w:tcW w:w="1085" w:type="dxa"/>
          </w:tcPr>
          <w:p w14:paraId="78004AF3" w14:textId="77777777" w:rsidR="003E5081" w:rsidRDefault="00053173">
            <w:pPr>
              <w:spacing w:after="160"/>
            </w:pPr>
            <w:r>
              <w:t>0.74</w:t>
            </w:r>
          </w:p>
        </w:tc>
        <w:tc>
          <w:tcPr>
            <w:tcW w:w="1598" w:type="dxa"/>
          </w:tcPr>
          <w:p w14:paraId="3E4853F9" w14:textId="77777777" w:rsidR="003E5081" w:rsidRDefault="00053173">
            <w:pPr>
              <w:spacing w:after="160"/>
            </w:pPr>
            <w:r>
              <w:t>16,800 / 22,300</w:t>
            </w:r>
          </w:p>
        </w:tc>
        <w:tc>
          <w:tcPr>
            <w:tcW w:w="1085" w:type="dxa"/>
          </w:tcPr>
          <w:p w14:paraId="77CA4F7F" w14:textId="77777777" w:rsidR="003E5081" w:rsidRDefault="00053173">
            <w:pPr>
              <w:spacing w:after="160"/>
            </w:pPr>
            <w:r>
              <w:t>0.75</w:t>
            </w:r>
          </w:p>
        </w:tc>
      </w:tr>
      <w:tr w:rsidR="003E5081" w14:paraId="2AE2CA48" w14:textId="77777777">
        <w:tc>
          <w:tcPr>
            <w:tcW w:w="1156" w:type="dxa"/>
          </w:tcPr>
          <w:p w14:paraId="0ECD902C" w14:textId="77777777" w:rsidR="003E5081" w:rsidRDefault="00053173">
            <w:pPr>
              <w:spacing w:after="160"/>
            </w:pPr>
            <w:r>
              <w:t>Quick Ratio</w:t>
            </w:r>
          </w:p>
        </w:tc>
        <w:tc>
          <w:tcPr>
            <w:tcW w:w="2494" w:type="dxa"/>
          </w:tcPr>
          <w:p w14:paraId="7F20AD37" w14:textId="77777777" w:rsidR="003E5081" w:rsidRDefault="00053173">
            <w:pPr>
              <w:spacing w:after="160"/>
            </w:pPr>
            <w:r>
              <w:t>(Current Assets – Inventory) / Current Liabilities</w:t>
            </w:r>
          </w:p>
        </w:tc>
        <w:tc>
          <w:tcPr>
            <w:tcW w:w="1598" w:type="dxa"/>
          </w:tcPr>
          <w:p w14:paraId="23A210E4" w14:textId="77777777" w:rsidR="003E5081" w:rsidRDefault="00053173">
            <w:pPr>
              <w:spacing w:after="160"/>
            </w:pPr>
            <w:r>
              <w:t>Approx.</w:t>
            </w:r>
          </w:p>
        </w:tc>
        <w:tc>
          <w:tcPr>
            <w:tcW w:w="1085" w:type="dxa"/>
          </w:tcPr>
          <w:p w14:paraId="1B6EC2B0" w14:textId="77777777" w:rsidR="003E5081" w:rsidRDefault="00053173">
            <w:pPr>
              <w:spacing w:after="160"/>
            </w:pPr>
            <w:r>
              <w:t>0.55</w:t>
            </w:r>
          </w:p>
        </w:tc>
        <w:tc>
          <w:tcPr>
            <w:tcW w:w="1598" w:type="dxa"/>
          </w:tcPr>
          <w:p w14:paraId="032F94D6" w14:textId="77777777" w:rsidR="003E5081" w:rsidRDefault="00053173">
            <w:pPr>
              <w:spacing w:after="160"/>
            </w:pPr>
            <w:r>
              <w:t>Approx.</w:t>
            </w:r>
          </w:p>
        </w:tc>
        <w:tc>
          <w:tcPr>
            <w:tcW w:w="1085" w:type="dxa"/>
          </w:tcPr>
          <w:p w14:paraId="536D8060" w14:textId="77777777" w:rsidR="003E5081" w:rsidRDefault="00053173">
            <w:pPr>
              <w:spacing w:after="160"/>
            </w:pPr>
            <w:r>
              <w:t>0.58</w:t>
            </w:r>
          </w:p>
        </w:tc>
      </w:tr>
    </w:tbl>
    <w:p w14:paraId="5976E9BF" w14:textId="77777777" w:rsidR="003E5081" w:rsidRDefault="003E5081"/>
    <w:p w14:paraId="41F22A11" w14:textId="77777777" w:rsidR="003E5081" w:rsidRDefault="00053173">
      <w:pPr>
        <w:rPr>
          <w:b/>
          <w:bCs/>
        </w:rPr>
      </w:pPr>
      <w:r>
        <w:rPr>
          <w:b/>
          <w:bCs/>
        </w:rPr>
        <w:t>B3. Efficiency Ratios</w:t>
      </w:r>
    </w:p>
    <w:tbl>
      <w:tblPr>
        <w:tblStyle w:val="af"/>
        <w:tblW w:w="830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051"/>
        <w:gridCol w:w="3378"/>
        <w:gridCol w:w="1439"/>
        <w:gridCol w:w="1439"/>
      </w:tblGrid>
      <w:tr w:rsidR="003E5081" w14:paraId="30B04C37" w14:textId="77777777">
        <w:tc>
          <w:tcPr>
            <w:tcW w:w="2051" w:type="dxa"/>
          </w:tcPr>
          <w:p w14:paraId="02449450" w14:textId="77777777" w:rsidR="003E5081" w:rsidRDefault="00053173">
            <w:pPr>
              <w:spacing w:after="160"/>
              <w:rPr>
                <w:b/>
                <w:bCs/>
              </w:rPr>
            </w:pPr>
            <w:r>
              <w:rPr>
                <w:b/>
                <w:bCs/>
              </w:rPr>
              <w:t>Ratio</w:t>
            </w:r>
          </w:p>
        </w:tc>
        <w:tc>
          <w:tcPr>
            <w:tcW w:w="3378" w:type="dxa"/>
          </w:tcPr>
          <w:p w14:paraId="1BFA7524" w14:textId="77777777" w:rsidR="003E5081" w:rsidRDefault="00053173">
            <w:pPr>
              <w:spacing w:after="160"/>
              <w:rPr>
                <w:b/>
                <w:bCs/>
              </w:rPr>
            </w:pPr>
            <w:r>
              <w:rPr>
                <w:b/>
                <w:bCs/>
              </w:rPr>
              <w:t>Formula</w:t>
            </w:r>
          </w:p>
        </w:tc>
        <w:tc>
          <w:tcPr>
            <w:tcW w:w="1439" w:type="dxa"/>
          </w:tcPr>
          <w:p w14:paraId="726CA2C5" w14:textId="77777777" w:rsidR="003E5081" w:rsidRDefault="00053173">
            <w:pPr>
              <w:spacing w:after="160"/>
              <w:rPr>
                <w:b/>
                <w:bCs/>
              </w:rPr>
            </w:pPr>
            <w:r>
              <w:rPr>
                <w:b/>
                <w:bCs/>
              </w:rPr>
              <w:t>2024 Result</w:t>
            </w:r>
          </w:p>
        </w:tc>
        <w:tc>
          <w:tcPr>
            <w:tcW w:w="1439" w:type="dxa"/>
          </w:tcPr>
          <w:p w14:paraId="4CAD555A" w14:textId="77777777" w:rsidR="003E5081" w:rsidRDefault="00053173">
            <w:pPr>
              <w:spacing w:after="160"/>
              <w:rPr>
                <w:b/>
                <w:bCs/>
              </w:rPr>
            </w:pPr>
            <w:r>
              <w:rPr>
                <w:b/>
                <w:bCs/>
              </w:rPr>
              <w:t>2025 Result</w:t>
            </w:r>
          </w:p>
        </w:tc>
      </w:tr>
      <w:tr w:rsidR="003E5081" w14:paraId="5DEC86E7" w14:textId="77777777">
        <w:tc>
          <w:tcPr>
            <w:tcW w:w="2051" w:type="dxa"/>
          </w:tcPr>
          <w:p w14:paraId="7668B0BF" w14:textId="77777777" w:rsidR="003E5081" w:rsidRDefault="00053173">
            <w:pPr>
              <w:spacing w:after="160"/>
            </w:pPr>
            <w:r>
              <w:t>Inventory Turnover</w:t>
            </w:r>
          </w:p>
        </w:tc>
        <w:tc>
          <w:tcPr>
            <w:tcW w:w="3378" w:type="dxa"/>
          </w:tcPr>
          <w:p w14:paraId="29517644" w14:textId="77777777" w:rsidR="003E5081" w:rsidRDefault="00053173">
            <w:pPr>
              <w:spacing w:after="160"/>
            </w:pPr>
            <w:r>
              <w:t>Cost of Sales / Inventory</w:t>
            </w:r>
          </w:p>
        </w:tc>
        <w:tc>
          <w:tcPr>
            <w:tcW w:w="1439" w:type="dxa"/>
          </w:tcPr>
          <w:p w14:paraId="3532D151" w14:textId="77777777" w:rsidR="003E5081" w:rsidRDefault="00053173">
            <w:pPr>
              <w:spacing w:after="160"/>
            </w:pPr>
            <w:r>
              <w:t>18.5 times</w:t>
            </w:r>
          </w:p>
        </w:tc>
        <w:tc>
          <w:tcPr>
            <w:tcW w:w="1439" w:type="dxa"/>
          </w:tcPr>
          <w:p w14:paraId="7994D641" w14:textId="77777777" w:rsidR="003E5081" w:rsidRDefault="00053173">
            <w:pPr>
              <w:spacing w:after="160"/>
            </w:pPr>
            <w:r>
              <w:t>19.2 times</w:t>
            </w:r>
          </w:p>
        </w:tc>
      </w:tr>
      <w:tr w:rsidR="003E5081" w14:paraId="17059705" w14:textId="77777777">
        <w:tc>
          <w:tcPr>
            <w:tcW w:w="2051" w:type="dxa"/>
          </w:tcPr>
          <w:p w14:paraId="56003F88" w14:textId="77777777" w:rsidR="003E5081" w:rsidRDefault="00053173">
            <w:pPr>
              <w:spacing w:after="160"/>
            </w:pPr>
            <w:r>
              <w:t>Receivables Days</w:t>
            </w:r>
          </w:p>
        </w:tc>
        <w:tc>
          <w:tcPr>
            <w:tcW w:w="3378" w:type="dxa"/>
          </w:tcPr>
          <w:p w14:paraId="629228A9" w14:textId="77777777" w:rsidR="003E5081" w:rsidRDefault="00053173">
            <w:pPr>
              <w:spacing w:after="160"/>
            </w:pPr>
            <w:r>
              <w:t>(Receivables / Revenue) × 365</w:t>
            </w:r>
          </w:p>
        </w:tc>
        <w:tc>
          <w:tcPr>
            <w:tcW w:w="1439" w:type="dxa"/>
          </w:tcPr>
          <w:p w14:paraId="1C2EB696" w14:textId="77777777" w:rsidR="003E5081" w:rsidRDefault="00053173">
            <w:pPr>
              <w:spacing w:after="160"/>
            </w:pPr>
            <w:r>
              <w:t>5 days</w:t>
            </w:r>
          </w:p>
        </w:tc>
        <w:tc>
          <w:tcPr>
            <w:tcW w:w="1439" w:type="dxa"/>
          </w:tcPr>
          <w:p w14:paraId="471F4E24" w14:textId="77777777" w:rsidR="003E5081" w:rsidRDefault="00053173">
            <w:pPr>
              <w:spacing w:after="160"/>
            </w:pPr>
            <w:r>
              <w:t>4 days</w:t>
            </w:r>
          </w:p>
        </w:tc>
      </w:tr>
      <w:tr w:rsidR="003E5081" w14:paraId="14CCB7F2" w14:textId="77777777">
        <w:tc>
          <w:tcPr>
            <w:tcW w:w="2051" w:type="dxa"/>
          </w:tcPr>
          <w:p w14:paraId="4C7F496C" w14:textId="77777777" w:rsidR="003E5081" w:rsidRDefault="00053173">
            <w:pPr>
              <w:spacing w:after="160"/>
            </w:pPr>
            <w:r>
              <w:t>Payables Days</w:t>
            </w:r>
          </w:p>
        </w:tc>
        <w:tc>
          <w:tcPr>
            <w:tcW w:w="3378" w:type="dxa"/>
          </w:tcPr>
          <w:p w14:paraId="4A308D53" w14:textId="77777777" w:rsidR="003E5081" w:rsidRDefault="00053173">
            <w:pPr>
              <w:spacing w:after="160"/>
            </w:pPr>
            <w:r>
              <w:t>(Payables / Cost of Sales) × 365</w:t>
            </w:r>
          </w:p>
        </w:tc>
        <w:tc>
          <w:tcPr>
            <w:tcW w:w="1439" w:type="dxa"/>
          </w:tcPr>
          <w:p w14:paraId="43AA81DE" w14:textId="77777777" w:rsidR="003E5081" w:rsidRDefault="00053173">
            <w:pPr>
              <w:spacing w:after="160"/>
            </w:pPr>
            <w:r>
              <w:t>55 days</w:t>
            </w:r>
          </w:p>
        </w:tc>
        <w:tc>
          <w:tcPr>
            <w:tcW w:w="1439" w:type="dxa"/>
          </w:tcPr>
          <w:p w14:paraId="7F44FDE2" w14:textId="77777777" w:rsidR="003E5081" w:rsidRDefault="00053173">
            <w:pPr>
              <w:spacing w:after="160"/>
            </w:pPr>
            <w:r>
              <w:t>58 days</w:t>
            </w:r>
          </w:p>
        </w:tc>
      </w:tr>
    </w:tbl>
    <w:p w14:paraId="0CB98786" w14:textId="77777777" w:rsidR="003E5081" w:rsidRDefault="003E5081"/>
    <w:p w14:paraId="4490D388" w14:textId="77777777" w:rsidR="003E5081" w:rsidRDefault="00053173">
      <w:pPr>
        <w:rPr>
          <w:b/>
          <w:bCs/>
        </w:rPr>
      </w:pPr>
      <w:r>
        <w:rPr>
          <w:b/>
          <w:bCs/>
        </w:rPr>
        <w:t>B4. Gearing Ratios</w:t>
      </w:r>
    </w:p>
    <w:tbl>
      <w:tblPr>
        <w:tblStyle w:val="af0"/>
        <w:tblW w:w="9016"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264"/>
        <w:gridCol w:w="2142"/>
        <w:gridCol w:w="1659"/>
        <w:gridCol w:w="1146"/>
        <w:gridCol w:w="1659"/>
        <w:gridCol w:w="1146"/>
      </w:tblGrid>
      <w:tr w:rsidR="003E5081" w14:paraId="12CD668E" w14:textId="77777777">
        <w:tc>
          <w:tcPr>
            <w:tcW w:w="1264" w:type="dxa"/>
          </w:tcPr>
          <w:p w14:paraId="030FD68F" w14:textId="77777777" w:rsidR="003E5081" w:rsidRDefault="00053173">
            <w:pPr>
              <w:spacing w:after="160"/>
              <w:rPr>
                <w:b/>
                <w:bCs/>
              </w:rPr>
            </w:pPr>
            <w:r>
              <w:rPr>
                <w:b/>
                <w:bCs/>
              </w:rPr>
              <w:t>Ratio</w:t>
            </w:r>
          </w:p>
        </w:tc>
        <w:tc>
          <w:tcPr>
            <w:tcW w:w="2142" w:type="dxa"/>
          </w:tcPr>
          <w:p w14:paraId="11A6F0BD" w14:textId="77777777" w:rsidR="003E5081" w:rsidRDefault="00053173">
            <w:pPr>
              <w:spacing w:after="160"/>
              <w:rPr>
                <w:b/>
                <w:bCs/>
              </w:rPr>
            </w:pPr>
            <w:r>
              <w:rPr>
                <w:b/>
                <w:bCs/>
              </w:rPr>
              <w:t>Formula</w:t>
            </w:r>
          </w:p>
        </w:tc>
        <w:tc>
          <w:tcPr>
            <w:tcW w:w="1659" w:type="dxa"/>
          </w:tcPr>
          <w:p w14:paraId="4C6E2C66" w14:textId="77777777" w:rsidR="003E5081" w:rsidRDefault="00053173">
            <w:pPr>
              <w:spacing w:after="160"/>
              <w:rPr>
                <w:b/>
                <w:bCs/>
              </w:rPr>
            </w:pPr>
            <w:r>
              <w:rPr>
                <w:b/>
                <w:bCs/>
              </w:rPr>
              <w:t>2024 Calculation</w:t>
            </w:r>
          </w:p>
        </w:tc>
        <w:tc>
          <w:tcPr>
            <w:tcW w:w="1146" w:type="dxa"/>
          </w:tcPr>
          <w:p w14:paraId="39AA1634" w14:textId="77777777" w:rsidR="003E5081" w:rsidRDefault="00053173">
            <w:pPr>
              <w:spacing w:after="160"/>
              <w:rPr>
                <w:b/>
                <w:bCs/>
              </w:rPr>
            </w:pPr>
            <w:r>
              <w:rPr>
                <w:b/>
                <w:bCs/>
              </w:rPr>
              <w:t>2024 Result</w:t>
            </w:r>
          </w:p>
        </w:tc>
        <w:tc>
          <w:tcPr>
            <w:tcW w:w="1659" w:type="dxa"/>
          </w:tcPr>
          <w:p w14:paraId="4D2297DD" w14:textId="77777777" w:rsidR="003E5081" w:rsidRDefault="00053173">
            <w:pPr>
              <w:spacing w:after="160"/>
              <w:rPr>
                <w:b/>
                <w:bCs/>
              </w:rPr>
            </w:pPr>
            <w:r>
              <w:rPr>
                <w:b/>
                <w:bCs/>
              </w:rPr>
              <w:t>2025 Calculation</w:t>
            </w:r>
          </w:p>
        </w:tc>
        <w:tc>
          <w:tcPr>
            <w:tcW w:w="1146" w:type="dxa"/>
          </w:tcPr>
          <w:p w14:paraId="4328E45C" w14:textId="77777777" w:rsidR="003E5081" w:rsidRDefault="00053173">
            <w:pPr>
              <w:spacing w:after="160"/>
              <w:rPr>
                <w:b/>
                <w:bCs/>
              </w:rPr>
            </w:pPr>
            <w:r>
              <w:rPr>
                <w:b/>
                <w:bCs/>
              </w:rPr>
              <w:t>2025 Result</w:t>
            </w:r>
          </w:p>
        </w:tc>
      </w:tr>
      <w:tr w:rsidR="003E5081" w14:paraId="4671010D" w14:textId="77777777">
        <w:tc>
          <w:tcPr>
            <w:tcW w:w="1264" w:type="dxa"/>
          </w:tcPr>
          <w:p w14:paraId="6CE413D9" w14:textId="77777777" w:rsidR="003E5081" w:rsidRDefault="00053173">
            <w:pPr>
              <w:spacing w:after="160"/>
            </w:pPr>
            <w:r>
              <w:t>Debt-to-Equity</w:t>
            </w:r>
          </w:p>
        </w:tc>
        <w:tc>
          <w:tcPr>
            <w:tcW w:w="2142" w:type="dxa"/>
          </w:tcPr>
          <w:p w14:paraId="04DA69DE" w14:textId="77777777" w:rsidR="003E5081" w:rsidRDefault="00053173">
            <w:pPr>
              <w:spacing w:after="160"/>
            </w:pPr>
            <w:r>
              <w:t>Total Debt / Total Equity</w:t>
            </w:r>
          </w:p>
        </w:tc>
        <w:tc>
          <w:tcPr>
            <w:tcW w:w="1659" w:type="dxa"/>
          </w:tcPr>
          <w:p w14:paraId="4A1C0AB1" w14:textId="77777777" w:rsidR="003E5081" w:rsidRDefault="00053173">
            <w:pPr>
              <w:spacing w:after="160"/>
            </w:pPr>
            <w:r>
              <w:t>9,200 / 10,800</w:t>
            </w:r>
          </w:p>
        </w:tc>
        <w:tc>
          <w:tcPr>
            <w:tcW w:w="1146" w:type="dxa"/>
          </w:tcPr>
          <w:p w14:paraId="30D3061D" w14:textId="77777777" w:rsidR="003E5081" w:rsidRDefault="00053173">
            <w:pPr>
              <w:spacing w:after="160"/>
            </w:pPr>
            <w:r>
              <w:t>0.85</w:t>
            </w:r>
          </w:p>
        </w:tc>
        <w:tc>
          <w:tcPr>
            <w:tcW w:w="1659" w:type="dxa"/>
          </w:tcPr>
          <w:p w14:paraId="2A9E49E6" w14:textId="77777777" w:rsidR="003E5081" w:rsidRDefault="00053173">
            <w:pPr>
              <w:spacing w:after="160"/>
            </w:pPr>
            <w:r>
              <w:t>9,400 / 11,500</w:t>
            </w:r>
          </w:p>
        </w:tc>
        <w:tc>
          <w:tcPr>
            <w:tcW w:w="1146" w:type="dxa"/>
          </w:tcPr>
          <w:p w14:paraId="1585BB59" w14:textId="77777777" w:rsidR="003E5081" w:rsidRDefault="00053173">
            <w:pPr>
              <w:spacing w:after="160"/>
            </w:pPr>
            <w:r>
              <w:t>0.82</w:t>
            </w:r>
          </w:p>
        </w:tc>
      </w:tr>
      <w:tr w:rsidR="003E5081" w14:paraId="53D99C4C" w14:textId="77777777">
        <w:tc>
          <w:tcPr>
            <w:tcW w:w="1264" w:type="dxa"/>
          </w:tcPr>
          <w:p w14:paraId="784220A4" w14:textId="77777777" w:rsidR="003E5081" w:rsidRDefault="00053173">
            <w:pPr>
              <w:spacing w:after="160"/>
            </w:pPr>
            <w:r>
              <w:t>Interest Cover</w:t>
            </w:r>
          </w:p>
        </w:tc>
        <w:tc>
          <w:tcPr>
            <w:tcW w:w="2142" w:type="dxa"/>
          </w:tcPr>
          <w:p w14:paraId="1BEB3A60" w14:textId="77777777" w:rsidR="003E5081" w:rsidRDefault="00053173">
            <w:pPr>
              <w:spacing w:after="160"/>
            </w:pPr>
            <w:r>
              <w:t>Operating Profit / Finance Cost</w:t>
            </w:r>
          </w:p>
        </w:tc>
        <w:tc>
          <w:tcPr>
            <w:tcW w:w="1659" w:type="dxa"/>
          </w:tcPr>
          <w:p w14:paraId="2A2B4606" w14:textId="77777777" w:rsidR="003E5081" w:rsidRDefault="00053173">
            <w:pPr>
              <w:spacing w:after="160"/>
            </w:pPr>
            <w:r>
              <w:t>Approx.</w:t>
            </w:r>
          </w:p>
        </w:tc>
        <w:tc>
          <w:tcPr>
            <w:tcW w:w="1146" w:type="dxa"/>
          </w:tcPr>
          <w:p w14:paraId="592A2327" w14:textId="77777777" w:rsidR="003E5081" w:rsidRDefault="00053173">
            <w:pPr>
              <w:spacing w:after="160"/>
            </w:pPr>
            <w:r>
              <w:t>6.5 times</w:t>
            </w:r>
          </w:p>
        </w:tc>
        <w:tc>
          <w:tcPr>
            <w:tcW w:w="1659" w:type="dxa"/>
          </w:tcPr>
          <w:p w14:paraId="40937A3E" w14:textId="77777777" w:rsidR="003E5081" w:rsidRDefault="00053173">
            <w:pPr>
              <w:spacing w:after="160"/>
            </w:pPr>
            <w:r>
              <w:t>Approx.</w:t>
            </w:r>
          </w:p>
        </w:tc>
        <w:tc>
          <w:tcPr>
            <w:tcW w:w="1146" w:type="dxa"/>
          </w:tcPr>
          <w:p w14:paraId="74C565A7" w14:textId="77777777" w:rsidR="003E5081" w:rsidRDefault="00053173">
            <w:pPr>
              <w:spacing w:after="160"/>
            </w:pPr>
            <w:r>
              <w:t>7.2 times</w:t>
            </w:r>
          </w:p>
        </w:tc>
      </w:tr>
    </w:tbl>
    <w:p w14:paraId="5E4DE759" w14:textId="77777777" w:rsidR="003E5081" w:rsidRDefault="003E5081"/>
    <w:p w14:paraId="6DB13611" w14:textId="77777777" w:rsidR="003E5081" w:rsidRDefault="00053173">
      <w:pPr>
        <w:rPr>
          <w:b/>
          <w:bCs/>
        </w:rPr>
      </w:pPr>
      <w:r>
        <w:rPr>
          <w:b/>
          <w:bCs/>
        </w:rPr>
        <w:t>B5. Investor Ratios</w:t>
      </w:r>
    </w:p>
    <w:tbl>
      <w:tblPr>
        <w:tblStyle w:val="af1"/>
        <w:tblW w:w="8661"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760"/>
        <w:gridCol w:w="3023"/>
        <w:gridCol w:w="1439"/>
        <w:gridCol w:w="1439"/>
      </w:tblGrid>
      <w:tr w:rsidR="003E5081" w14:paraId="28E2906E" w14:textId="77777777">
        <w:tc>
          <w:tcPr>
            <w:tcW w:w="2760" w:type="dxa"/>
          </w:tcPr>
          <w:p w14:paraId="42742A3A" w14:textId="77777777" w:rsidR="003E5081" w:rsidRDefault="00053173">
            <w:pPr>
              <w:spacing w:after="160"/>
              <w:rPr>
                <w:b/>
                <w:bCs/>
              </w:rPr>
            </w:pPr>
            <w:r>
              <w:rPr>
                <w:b/>
                <w:bCs/>
              </w:rPr>
              <w:t>Ratio</w:t>
            </w:r>
          </w:p>
        </w:tc>
        <w:tc>
          <w:tcPr>
            <w:tcW w:w="3023" w:type="dxa"/>
          </w:tcPr>
          <w:p w14:paraId="7D84DD3E" w14:textId="77777777" w:rsidR="003E5081" w:rsidRDefault="00053173">
            <w:pPr>
              <w:spacing w:after="160"/>
              <w:rPr>
                <w:b/>
                <w:bCs/>
              </w:rPr>
            </w:pPr>
            <w:r>
              <w:rPr>
                <w:b/>
                <w:bCs/>
              </w:rPr>
              <w:t>Formula</w:t>
            </w:r>
          </w:p>
        </w:tc>
        <w:tc>
          <w:tcPr>
            <w:tcW w:w="1439" w:type="dxa"/>
          </w:tcPr>
          <w:p w14:paraId="6D287C1F" w14:textId="77777777" w:rsidR="003E5081" w:rsidRDefault="00053173">
            <w:pPr>
              <w:spacing w:after="160"/>
              <w:rPr>
                <w:b/>
                <w:bCs/>
              </w:rPr>
            </w:pPr>
            <w:r>
              <w:rPr>
                <w:b/>
                <w:bCs/>
              </w:rPr>
              <w:t>2024 Result</w:t>
            </w:r>
          </w:p>
        </w:tc>
        <w:tc>
          <w:tcPr>
            <w:tcW w:w="1439" w:type="dxa"/>
          </w:tcPr>
          <w:p w14:paraId="452EA0FB" w14:textId="77777777" w:rsidR="003E5081" w:rsidRDefault="00053173">
            <w:pPr>
              <w:spacing w:after="160"/>
              <w:rPr>
                <w:b/>
                <w:bCs/>
              </w:rPr>
            </w:pPr>
            <w:r>
              <w:rPr>
                <w:b/>
                <w:bCs/>
              </w:rPr>
              <w:t>2025 Result</w:t>
            </w:r>
          </w:p>
        </w:tc>
      </w:tr>
      <w:tr w:rsidR="003E5081" w14:paraId="66F72DCA" w14:textId="77777777">
        <w:tc>
          <w:tcPr>
            <w:tcW w:w="2760" w:type="dxa"/>
          </w:tcPr>
          <w:p w14:paraId="16CB9E3C" w14:textId="77777777" w:rsidR="003E5081" w:rsidRDefault="00053173">
            <w:pPr>
              <w:spacing w:after="160"/>
            </w:pPr>
            <w:r>
              <w:t>Earnings per Share (EPS)</w:t>
            </w:r>
          </w:p>
        </w:tc>
        <w:tc>
          <w:tcPr>
            <w:tcW w:w="3023" w:type="dxa"/>
          </w:tcPr>
          <w:p w14:paraId="1C822835" w14:textId="77777777" w:rsidR="003E5081" w:rsidRDefault="00053173">
            <w:pPr>
              <w:spacing w:after="160"/>
            </w:pPr>
            <w:r>
              <w:t>Profit / No. of Shares</w:t>
            </w:r>
          </w:p>
        </w:tc>
        <w:tc>
          <w:tcPr>
            <w:tcW w:w="1439" w:type="dxa"/>
          </w:tcPr>
          <w:p w14:paraId="484D4CE0" w14:textId="77777777" w:rsidR="003E5081" w:rsidRDefault="00053173">
            <w:pPr>
              <w:spacing w:after="160"/>
            </w:pPr>
            <w:r>
              <w:t>23.5p</w:t>
            </w:r>
          </w:p>
        </w:tc>
        <w:tc>
          <w:tcPr>
            <w:tcW w:w="1439" w:type="dxa"/>
          </w:tcPr>
          <w:p w14:paraId="588AFC20" w14:textId="77777777" w:rsidR="003E5081" w:rsidRDefault="00053173">
            <w:pPr>
              <w:spacing w:after="160"/>
            </w:pPr>
            <w:r>
              <w:t>26.8p</w:t>
            </w:r>
          </w:p>
        </w:tc>
      </w:tr>
      <w:tr w:rsidR="003E5081" w14:paraId="32D755C2" w14:textId="77777777">
        <w:tc>
          <w:tcPr>
            <w:tcW w:w="2760" w:type="dxa"/>
          </w:tcPr>
          <w:p w14:paraId="33A49A3E" w14:textId="77777777" w:rsidR="003E5081" w:rsidRDefault="00053173">
            <w:pPr>
              <w:spacing w:after="160"/>
            </w:pPr>
            <w:r>
              <w:t>Dividend Yield</w:t>
            </w:r>
          </w:p>
        </w:tc>
        <w:tc>
          <w:tcPr>
            <w:tcW w:w="3023" w:type="dxa"/>
          </w:tcPr>
          <w:p w14:paraId="4CBDF9AA" w14:textId="77777777" w:rsidR="003E5081" w:rsidRDefault="00053173">
            <w:pPr>
              <w:spacing w:after="160"/>
            </w:pPr>
            <w:r>
              <w:t>Dividend / Share Price × 100</w:t>
            </w:r>
          </w:p>
        </w:tc>
        <w:tc>
          <w:tcPr>
            <w:tcW w:w="1439" w:type="dxa"/>
          </w:tcPr>
          <w:p w14:paraId="2F1FD0FD" w14:textId="77777777" w:rsidR="003E5081" w:rsidRDefault="00053173">
            <w:pPr>
              <w:spacing w:after="160"/>
            </w:pPr>
            <w:r>
              <w:t>3.8%</w:t>
            </w:r>
          </w:p>
        </w:tc>
        <w:tc>
          <w:tcPr>
            <w:tcW w:w="1439" w:type="dxa"/>
          </w:tcPr>
          <w:p w14:paraId="72A158C4" w14:textId="77777777" w:rsidR="003E5081" w:rsidRDefault="00053173">
            <w:pPr>
              <w:spacing w:after="160"/>
            </w:pPr>
            <w:r>
              <w:t>4.1%</w:t>
            </w:r>
          </w:p>
        </w:tc>
      </w:tr>
    </w:tbl>
    <w:p w14:paraId="0A01C560" w14:textId="77777777" w:rsidR="003E5081" w:rsidRDefault="003E5081">
      <w:pPr>
        <w:spacing w:before="240"/>
      </w:pPr>
    </w:p>
    <w:p w14:paraId="00FDBBCF" w14:textId="77777777" w:rsidR="003E5081" w:rsidRDefault="003E5081">
      <w:pPr>
        <w:spacing w:before="240"/>
      </w:pPr>
    </w:p>
    <w:sectPr w:rsidR="003E5081">
      <w:footerReference w:type="default" r:id="rId12"/>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B81786" w14:textId="77777777" w:rsidR="00053173" w:rsidRDefault="00053173">
      <w:pPr>
        <w:spacing w:after="0" w:line="240" w:lineRule="auto"/>
      </w:pPr>
      <w:r>
        <w:separator/>
      </w:r>
    </w:p>
  </w:endnote>
  <w:endnote w:type="continuationSeparator" w:id="0">
    <w:p w14:paraId="1BC57DF3" w14:textId="77777777" w:rsidR="00053173" w:rsidRDefault="000531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647567CB-F2AA-7141-9197-7B2919071989}"/>
    <w:embedBold r:id="rId2" w:fontKey="{B5783911-6F50-5645-8168-44D71CFBF019}"/>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lay">
    <w:charset w:val="00"/>
    <w:family w:val="auto"/>
    <w:pitch w:val="default"/>
    <w:embedRegular r:id="rId3" w:fontKey="{FC08861F-C67E-9443-A14D-3902DB0AD555}"/>
    <w:embedBold r:id="rId4" w:fontKey="{FEB50B26-EB46-A54B-B9C6-390FC92573C6}"/>
  </w:font>
  <w:font w:name="Quattrocento Sans">
    <w:panose1 w:val="020B0502050000020003"/>
    <w:charset w:val="00"/>
    <w:family w:val="swiss"/>
    <w:pitch w:val="variable"/>
    <w:sig w:usb0="800000BF" w:usb1="4000005B" w:usb2="00000000" w:usb3="00000000" w:csb0="00000001" w:csb1="00000000"/>
    <w:embedRegular r:id="rId5" w:fontKey="{00000000-0000-0000-0000-000000000000}"/>
    <w:embedBold r:id="rId6" w:fontKey="{00000000-0000-0000-0000-000000000000}"/>
    <w:embedItalic r:id="rId7" w:fontKey="{00000000-0000-0000-0000-000000000000}"/>
    <w:embedBoldItalic r:id="rId8" w:fontKey="{00000000-0000-0000-0000-000000000000}"/>
  </w:font>
  <w:font w:name="Cambria Math">
    <w:panose1 w:val="02040503050406030204"/>
    <w:charset w:val="00"/>
    <w:family w:val="roman"/>
    <w:pitch w:val="variable"/>
    <w:sig w:usb0="E00006FF" w:usb1="420024FF" w:usb2="02000000" w:usb3="00000000" w:csb0="0000019F" w:csb1="00000000"/>
    <w:embedRegular r:id="rId9" w:fontKey="{00000000-0000-0000-0000-0000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CC1C11" w14:textId="38CC5125" w:rsidR="003E5081" w:rsidRDefault="00053173">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71920">
      <w:rPr>
        <w:noProof/>
        <w:color w:val="000000"/>
      </w:rPr>
      <w:t>2</w:t>
    </w:r>
    <w:r>
      <w:rPr>
        <w:color w:val="000000"/>
      </w:rPr>
      <w:fldChar w:fldCharType="end"/>
    </w:r>
    <w:r>
      <w:rPr>
        <w:color w:val="000000"/>
      </w:rPr>
      <w:t xml:space="preserve"> | </w:t>
    </w:r>
    <w:r>
      <w:rPr>
        <w:color w:val="7F7F7F"/>
      </w:rPr>
      <w:t>Page</w:t>
    </w:r>
  </w:p>
  <w:p w14:paraId="395D7911" w14:textId="77777777" w:rsidR="003E5081" w:rsidRDefault="003E508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68155" w14:textId="77777777" w:rsidR="00053173" w:rsidRDefault="00053173">
      <w:pPr>
        <w:spacing w:after="0" w:line="240" w:lineRule="auto"/>
      </w:pPr>
      <w:r>
        <w:separator/>
      </w:r>
    </w:p>
  </w:footnote>
  <w:footnote w:type="continuationSeparator" w:id="0">
    <w:p w14:paraId="0B7290EA" w14:textId="77777777" w:rsidR="00053173" w:rsidRDefault="000531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BA136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0CDC14AD"/>
    <w:multiLevelType w:val="multilevel"/>
    <w:tmpl w:val="FFFFFFFF"/>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53962A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22AD7B0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3924A43"/>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54C12C5"/>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343B7679"/>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3624312C"/>
    <w:multiLevelType w:val="hybridMultilevel"/>
    <w:tmpl w:val="45DC7D9A"/>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8" w15:restartNumberingAfterBreak="0">
    <w:nsid w:val="42491EBB"/>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9" w15:restartNumberingAfterBreak="0">
    <w:nsid w:val="5F656CFF"/>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11010780">
    <w:abstractNumId w:val="9"/>
  </w:num>
  <w:num w:numId="2" w16cid:durableId="2137790851">
    <w:abstractNumId w:val="2"/>
  </w:num>
  <w:num w:numId="3" w16cid:durableId="543636883">
    <w:abstractNumId w:val="4"/>
  </w:num>
  <w:num w:numId="4" w16cid:durableId="2074086629">
    <w:abstractNumId w:val="6"/>
  </w:num>
  <w:num w:numId="5" w16cid:durableId="1401519442">
    <w:abstractNumId w:val="3"/>
  </w:num>
  <w:num w:numId="6" w16cid:durableId="2025325788">
    <w:abstractNumId w:val="8"/>
  </w:num>
  <w:num w:numId="7" w16cid:durableId="59450743">
    <w:abstractNumId w:val="1"/>
  </w:num>
  <w:num w:numId="8" w16cid:durableId="1972201382">
    <w:abstractNumId w:val="5"/>
  </w:num>
  <w:num w:numId="9" w16cid:durableId="827088832">
    <w:abstractNumId w:val="0"/>
  </w:num>
  <w:num w:numId="10" w16cid:durableId="2596780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5081"/>
    <w:rsid w:val="00053173"/>
    <w:rsid w:val="000F185C"/>
    <w:rsid w:val="003E5081"/>
    <w:rsid w:val="007A01F0"/>
    <w:rsid w:val="00A8591C"/>
    <w:rsid w:val="00B83888"/>
    <w:rsid w:val="00C3666B"/>
    <w:rsid w:val="00D01BB1"/>
    <w:rsid w:val="00D719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442857"/>
  <w15:docId w15:val="{AB69B577-B559-904E-94FE-6D9464431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IN" w:eastAsia="en-GB"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20" w:after="0"/>
      <w:jc w:val="left"/>
      <w:outlineLvl w:val="0"/>
    </w:pPr>
    <w:rPr>
      <w:b/>
      <w:bCs/>
      <w:color w:val="215E99"/>
      <w:sz w:val="28"/>
      <w:szCs w:val="28"/>
    </w:rPr>
  </w:style>
  <w:style w:type="paragraph" w:styleId="Heading2">
    <w:name w:val="heading 2"/>
    <w:basedOn w:val="Normal"/>
    <w:next w:val="Normal"/>
    <w:uiPriority w:val="9"/>
    <w:unhideWhenUsed/>
    <w:qFormat/>
    <w:pPr>
      <w:keepNext/>
      <w:keepLines/>
      <w:spacing w:after="0"/>
      <w:jc w:val="left"/>
      <w:outlineLvl w:val="1"/>
    </w:pPr>
    <w:rPr>
      <w:b/>
      <w:bCs/>
      <w:color w:val="3A7D22"/>
      <w:sz w:val="26"/>
      <w:szCs w:val="26"/>
    </w:rPr>
  </w:style>
  <w:style w:type="paragraph" w:styleId="Heading3">
    <w:name w:val="heading 3"/>
    <w:basedOn w:val="Normal"/>
    <w:next w:val="Normal"/>
    <w:uiPriority w:val="9"/>
    <w:semiHidden/>
    <w:unhideWhenUsed/>
    <w:qFormat/>
    <w:pPr>
      <w:keepNext/>
      <w:keepLines/>
      <w:spacing w:after="0"/>
      <w:jc w:val="left"/>
      <w:outlineLvl w:val="2"/>
    </w:pPr>
    <w:rPr>
      <w:b/>
      <w:bCs/>
      <w:color w:val="BF4F14"/>
    </w:rPr>
  </w:style>
  <w:style w:type="paragraph" w:styleId="Heading4">
    <w:name w:val="heading 4"/>
    <w:basedOn w:val="Normal"/>
    <w:next w:val="Normal"/>
    <w:uiPriority w:val="9"/>
    <w:semiHidden/>
    <w:unhideWhenUsed/>
    <w:qFormat/>
    <w:pPr>
      <w:keepNext/>
      <w:keepLines/>
      <w:spacing w:after="0"/>
      <w:jc w:val="left"/>
      <w:outlineLvl w:val="3"/>
    </w:pPr>
    <w:rPr>
      <w:b/>
      <w:bCs/>
      <w:i/>
      <w:iCs/>
      <w:color w:val="77206E"/>
    </w:rPr>
  </w:style>
  <w:style w:type="paragraph" w:styleId="Heading5">
    <w:name w:val="heading 5"/>
    <w:basedOn w:val="Normal"/>
    <w:next w:val="Normal"/>
    <w:uiPriority w:val="9"/>
    <w:semiHidden/>
    <w:unhideWhenUsed/>
    <w:qFormat/>
    <w:pPr>
      <w:keepNext/>
      <w:keepLines/>
      <w:spacing w:before="80" w:after="40"/>
      <w:outlineLvl w:val="4"/>
    </w:pPr>
    <w:rPr>
      <w:rFonts w:ascii="Aptos" w:eastAsia="Aptos" w:hAnsi="Aptos" w:cs="Aptos"/>
      <w:color w:val="0F4761"/>
    </w:rPr>
  </w:style>
  <w:style w:type="paragraph" w:styleId="Heading6">
    <w:name w:val="heading 6"/>
    <w:basedOn w:val="Normal"/>
    <w:next w:val="Normal"/>
    <w:uiPriority w:val="9"/>
    <w:semiHidden/>
    <w:unhideWhenUsed/>
    <w:qFormat/>
    <w:pPr>
      <w:keepNext/>
      <w:keepLines/>
      <w:spacing w:before="40" w:after="0"/>
      <w:outlineLvl w:val="5"/>
    </w:pPr>
    <w:rPr>
      <w:rFonts w:ascii="Aptos" w:eastAsia="Aptos" w:hAnsi="Aptos" w:cs="Aptos"/>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pPr>
      <w:spacing w:after="160"/>
    </w:pPr>
    <w:rPr>
      <w:rFonts w:ascii="Aptos" w:eastAsia="Aptos" w:hAnsi="Aptos" w:cs="Aptos"/>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156082"/>
          <w:left w:val="single" w:sz="4" w:space="0" w:color="156082"/>
          <w:bottom w:val="single" w:sz="4" w:space="0" w:color="156082"/>
          <w:right w:val="single" w:sz="4" w:space="0" w:color="156082"/>
          <w:insideH w:val="nil"/>
          <w:insideV w:val="nil"/>
        </w:tcBorders>
        <w:shd w:val="clear" w:color="auto" w:fill="156082"/>
      </w:tcPr>
    </w:tblStylePr>
    <w:tblStylePr w:type="lastRow">
      <w:rPr>
        <w:b/>
        <w:bCs/>
      </w:rPr>
      <w:tblPr/>
      <w:tcPr>
        <w:tcBorders>
          <w:top w:val="single" w:sz="4" w:space="0" w:color="156082"/>
        </w:tcBorders>
      </w:tcPr>
    </w:tblStylePr>
    <w:tblStylePr w:type="firstCol">
      <w:rPr>
        <w:b/>
        <w:bCs/>
      </w:rPr>
    </w:tblStylePr>
    <w:tblStylePr w:type="lastCol">
      <w:rPr>
        <w:b/>
        <w:bCs/>
      </w:rPr>
    </w:tblStylePr>
    <w:tblStylePr w:type="band1Vert">
      <w:tblPr/>
      <w:tcPr>
        <w:shd w:val="clear" w:color="auto" w:fill="C1E4F5"/>
      </w:tcPr>
    </w:tblStylePr>
    <w:tblStylePr w:type="band1Horz">
      <w:tblPr/>
      <w:tcPr>
        <w:shd w:val="clear" w:color="auto" w:fill="C1E4F5"/>
      </w:tcPr>
    </w:tblStyle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E97132"/>
          <w:left w:val="single" w:sz="4" w:space="0" w:color="E97132"/>
          <w:bottom w:val="single" w:sz="4" w:space="0" w:color="E97132"/>
          <w:right w:val="single" w:sz="4" w:space="0" w:color="E97132"/>
          <w:insideH w:val="nil"/>
          <w:insideV w:val="nil"/>
        </w:tcBorders>
        <w:shd w:val="clear" w:color="auto" w:fill="E97132"/>
      </w:tcPr>
    </w:tblStylePr>
    <w:tblStylePr w:type="lastRow">
      <w:rPr>
        <w:b/>
        <w:bCs/>
      </w:rPr>
      <w:tblPr/>
      <w:tcPr>
        <w:tcBorders>
          <w:top w:val="single" w:sz="4" w:space="0" w:color="E97132"/>
        </w:tcBorders>
      </w:tcPr>
    </w:tblStylePr>
    <w:tblStylePr w:type="firstCol">
      <w:rPr>
        <w:b/>
        <w:bCs/>
      </w:rPr>
    </w:tblStylePr>
    <w:tblStylePr w:type="lastCol">
      <w:rPr>
        <w:b/>
        <w:bCs/>
      </w:rPr>
    </w:tblStylePr>
    <w:tblStylePr w:type="band1Vert">
      <w:tblPr/>
      <w:tcPr>
        <w:shd w:val="clear" w:color="auto" w:fill="FAE2D6"/>
      </w:tcPr>
    </w:tblStylePr>
    <w:tblStylePr w:type="band1Horz">
      <w:tblPr/>
      <w:tcPr>
        <w:shd w:val="clear" w:color="auto" w:fill="FAE2D6"/>
      </w:tcPr>
    </w:tblStyle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0F9ED5"/>
          <w:left w:val="single" w:sz="4" w:space="0" w:color="0F9ED5"/>
          <w:bottom w:val="single" w:sz="4" w:space="0" w:color="0F9ED5"/>
          <w:right w:val="single" w:sz="4" w:space="0" w:color="0F9ED5"/>
          <w:insideH w:val="nil"/>
          <w:insideV w:val="nil"/>
        </w:tcBorders>
        <w:shd w:val="clear" w:color="auto" w:fill="0F9ED5"/>
      </w:tcPr>
    </w:tblStylePr>
    <w:tblStylePr w:type="lastRow">
      <w:rPr>
        <w:b/>
        <w:bCs/>
      </w:rPr>
      <w:tblPr/>
      <w:tcPr>
        <w:tcBorders>
          <w:top w:val="single" w:sz="4" w:space="0" w:color="0F9ED5"/>
        </w:tcBorders>
      </w:tcPr>
    </w:tblStylePr>
    <w:tblStylePr w:type="firstCol">
      <w:rPr>
        <w:b/>
        <w:bCs/>
      </w:rPr>
    </w:tblStylePr>
    <w:tblStylePr w:type="lastCol">
      <w:rPr>
        <w:b/>
        <w:bCs/>
      </w:rPr>
    </w:tblStylePr>
    <w:tblStylePr w:type="band1Vert">
      <w:tblPr/>
      <w:tcPr>
        <w:shd w:val="clear" w:color="auto" w:fill="CAEDFB"/>
      </w:tcPr>
    </w:tblStylePr>
    <w:tblStylePr w:type="band1Horz">
      <w:tblPr/>
      <w:tcPr>
        <w:shd w:val="clear" w:color="auto" w:fill="CAEDFB"/>
      </w:tcPr>
    </w:tblStyle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196B24"/>
          <w:left w:val="single" w:sz="4" w:space="0" w:color="196B24"/>
          <w:bottom w:val="single" w:sz="4" w:space="0" w:color="196B24"/>
          <w:right w:val="single" w:sz="4" w:space="0" w:color="196B24"/>
          <w:insideH w:val="nil"/>
          <w:insideV w:val="nil"/>
        </w:tcBorders>
        <w:shd w:val="clear" w:color="auto" w:fill="196B24"/>
      </w:tcPr>
    </w:tblStylePr>
    <w:tblStylePr w:type="lastRow">
      <w:rPr>
        <w:b/>
        <w:bCs/>
      </w:rPr>
      <w:tblPr/>
      <w:tcPr>
        <w:tcBorders>
          <w:top w:val="single" w:sz="4" w:space="0" w:color="196B24"/>
        </w:tcBorders>
      </w:tcPr>
    </w:tblStylePr>
    <w:tblStylePr w:type="firstCol">
      <w:rPr>
        <w:b/>
        <w:bCs/>
      </w:rPr>
    </w:tblStylePr>
    <w:tblStylePr w:type="lastCol">
      <w:rPr>
        <w:b/>
        <w:bCs/>
      </w:rPr>
    </w:tblStylePr>
    <w:tblStylePr w:type="band1Vert">
      <w:tblPr/>
      <w:tcPr>
        <w:shd w:val="clear" w:color="auto" w:fill="C1F0C8"/>
      </w:tcPr>
    </w:tblStylePr>
    <w:tblStylePr w:type="band1Horz">
      <w:tblPr/>
      <w:tcPr>
        <w:shd w:val="clear" w:color="auto" w:fill="C1F0C8"/>
      </w:tcPr>
    </w:tblStylePr>
  </w:style>
  <w:style w:type="table" w:customStyle="1" w:styleId="a3">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A02B93"/>
          <w:left w:val="single" w:sz="4" w:space="0" w:color="A02B93"/>
          <w:bottom w:val="single" w:sz="4" w:space="0" w:color="A02B93"/>
          <w:right w:val="single" w:sz="4" w:space="0" w:color="A02B93"/>
          <w:insideH w:val="nil"/>
          <w:insideV w:val="nil"/>
        </w:tcBorders>
        <w:shd w:val="clear" w:color="auto" w:fill="A02B93"/>
      </w:tcPr>
    </w:tblStylePr>
    <w:tblStylePr w:type="lastRow">
      <w:rPr>
        <w:b/>
        <w:bCs/>
      </w:rPr>
      <w:tblPr/>
      <w:tcPr>
        <w:tcBorders>
          <w:top w:val="single" w:sz="4" w:space="0" w:color="A02B93"/>
        </w:tcBorders>
      </w:tcPr>
    </w:tblStylePr>
    <w:tblStylePr w:type="firstCol">
      <w:rPr>
        <w:b/>
        <w:bCs/>
      </w:rPr>
    </w:tblStylePr>
    <w:tblStylePr w:type="lastCol">
      <w:rPr>
        <w:b/>
        <w:bCs/>
      </w:rPr>
    </w:tblStylePr>
    <w:tblStylePr w:type="band1Vert">
      <w:tblPr/>
      <w:tcPr>
        <w:shd w:val="clear" w:color="auto" w:fill="F1CEEE"/>
      </w:tcPr>
    </w:tblStylePr>
    <w:tblStylePr w:type="band1Horz">
      <w:tblPr/>
      <w:tcPr>
        <w:shd w:val="clear" w:color="auto" w:fill="F1CEEE"/>
      </w:tcPr>
    </w:tblStylePr>
  </w:style>
  <w:style w:type="table" w:customStyle="1" w:styleId="a4">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CAEDFB"/>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0F9E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0F9E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0F9E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0F9ED5"/>
      </w:tcPr>
    </w:tblStylePr>
    <w:tblStylePr w:type="band1Vert">
      <w:tblPr/>
      <w:tcPr>
        <w:shd w:val="clear" w:color="auto" w:fill="95DCF7"/>
      </w:tcPr>
    </w:tblStylePr>
    <w:tblStylePr w:type="band1Horz">
      <w:tblPr/>
      <w:tcPr>
        <w:shd w:val="clear" w:color="auto" w:fill="95DCF7"/>
      </w:tcPr>
    </w:tblStylePr>
  </w:style>
  <w:style w:type="table" w:customStyle="1" w:styleId="a5">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D9F2D0"/>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EA72E"/>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EA72E"/>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EA72E"/>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EA72E"/>
      </w:tcPr>
    </w:tblStylePr>
    <w:tblStylePr w:type="band1Vert">
      <w:tblPr/>
      <w:tcPr>
        <w:shd w:val="clear" w:color="auto" w:fill="B3E5A1"/>
      </w:tcPr>
    </w:tblStylePr>
    <w:tblStylePr w:type="band1Horz">
      <w:tblPr/>
      <w:tcPr>
        <w:shd w:val="clear" w:color="auto" w:fill="B3E5A1"/>
      </w:tcPr>
    </w:tblStylePr>
  </w:style>
  <w:style w:type="table" w:customStyle="1" w:styleId="a6">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D9F2D0"/>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EA72E"/>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EA72E"/>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EA72E"/>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EA72E"/>
      </w:tcPr>
    </w:tblStylePr>
    <w:tblStylePr w:type="band1Vert">
      <w:tblPr/>
      <w:tcPr>
        <w:shd w:val="clear" w:color="auto" w:fill="B3E5A1"/>
      </w:tcPr>
    </w:tblStylePr>
    <w:tblStylePr w:type="band1Horz">
      <w:tblPr/>
      <w:tcPr>
        <w:shd w:val="clear" w:color="auto" w:fill="B3E5A1"/>
      </w:tcPr>
    </w:tblStylePr>
  </w:style>
  <w:style w:type="table" w:customStyle="1" w:styleId="a7">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D9F2D0"/>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4EA72E"/>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4EA72E"/>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4EA72E"/>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4EA72E"/>
      </w:tcPr>
    </w:tblStylePr>
    <w:tblStylePr w:type="band1Vert">
      <w:tblPr/>
      <w:tcPr>
        <w:shd w:val="clear" w:color="auto" w:fill="B3E5A1"/>
      </w:tcPr>
    </w:tblStylePr>
    <w:tblStylePr w:type="band1Horz">
      <w:tblPr/>
      <w:tcPr>
        <w:shd w:val="clear" w:color="auto" w:fill="B3E5A1"/>
      </w:tcPr>
    </w:tblStylePr>
  </w:style>
  <w:style w:type="table" w:customStyle="1" w:styleId="a8">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FAE2D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E97132"/>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E97132"/>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E97132"/>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E97132"/>
      </w:tcPr>
    </w:tblStylePr>
    <w:tblStylePr w:type="band1Vert">
      <w:tblPr/>
      <w:tcPr>
        <w:shd w:val="clear" w:color="auto" w:fill="F6C6AC"/>
      </w:tcPr>
    </w:tblStylePr>
    <w:tblStylePr w:type="band1Horz">
      <w:tblPr/>
      <w:tcPr>
        <w:shd w:val="clear" w:color="auto" w:fill="F6C6AC"/>
      </w:tcPr>
    </w:tblStylePr>
  </w:style>
  <w:style w:type="table" w:customStyle="1" w:styleId="a9">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C1E4F5"/>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156082"/>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156082"/>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156082"/>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156082"/>
      </w:tcPr>
    </w:tblStylePr>
    <w:tblStylePr w:type="band1Vert">
      <w:tblPr/>
      <w:tcPr>
        <w:shd w:val="clear" w:color="auto" w:fill="83CAEB"/>
      </w:tcPr>
    </w:tblStylePr>
    <w:tblStylePr w:type="band1Horz">
      <w:tblPr/>
      <w:tcPr>
        <w:shd w:val="clear" w:color="auto" w:fill="83CAEB"/>
      </w:tcPr>
    </w:tblStylePr>
  </w:style>
  <w:style w:type="table" w:customStyle="1" w:styleId="aa">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table" w:customStyle="1" w:styleId="ab">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table" w:customStyle="1" w:styleId="ac">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table" w:customStyle="1" w:styleId="ad">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table" w:customStyle="1" w:styleId="ae">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table" w:customStyle="1" w:styleId="af">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table" w:customStyle="1" w:styleId="af0">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table" w:customStyle="1" w:styleId="af1">
    <w:basedOn w:val="TableNormal0"/>
    <w:pPr>
      <w:spacing w:after="0" w:line="240" w:lineRule="auto"/>
    </w:pPr>
    <w:rPr>
      <w:sz w:val="22"/>
      <w:szCs w:val="22"/>
    </w:rPr>
    <w:tblPr>
      <w:tblStyleRowBandSize w:val="1"/>
      <w:tblStyleColBandSize w:val="1"/>
      <w:tblCellMar>
        <w:top w:w="0" w:type="dxa"/>
        <w:left w:w="108" w:type="dxa"/>
        <w:bottom w:w="0" w:type="dxa"/>
        <w:right w:w="108" w:type="dxa"/>
      </w:tblCellMar>
    </w:tblPr>
  </w:style>
  <w:style w:type="paragraph" w:styleId="ListParagraph">
    <w:name w:val="List Paragraph"/>
    <w:basedOn w:val="Normal"/>
    <w:uiPriority w:val="34"/>
    <w:qFormat/>
    <w:rsid w:val="00D719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topics/3807/tesco-plc/" TargetMode="External"/><Relationship Id="rId5" Type="http://schemas.openxmlformats.org/officeDocument/2006/relationships/webSettings" Target="webSettings.xml"/><Relationship Id="rId10" Type="http://schemas.openxmlformats.org/officeDocument/2006/relationships/hyperlink" Target="https://www.statista.com/aboutus/our-research-commitment" TargetMode="External"/><Relationship Id="rId4" Type="http://schemas.openxmlformats.org/officeDocument/2006/relationships/settings" Target="settings.xml"/><Relationship Id="rId9" Type="http://schemas.openxmlformats.org/officeDocument/2006/relationships/hyperlink" Target="https://www.motilaloswal.com/learning-centre/2026/3/more-retail-plans-rs-2000-cr-ipo-in-2026-targets-3000-stores-by-2030"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QuattrocentoSans-boldItalic.ttf"/><Relationship Id="rId3" Type="http://schemas.openxmlformats.org/officeDocument/2006/relationships/font" Target="fonts/font3.odttf"/><Relationship Id="rId7" Type="http://schemas.openxmlformats.org/officeDocument/2006/relationships/font" Target="fonts/QuattrocentoSans-italic.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QuattrocentoSans-bold.ttf"/><Relationship Id="rId5" Type="http://schemas.openxmlformats.org/officeDocument/2006/relationships/font" Target="fonts/QuattrocentoSans-regular.ttf"/><Relationship Id="rId4" Type="http://schemas.openxmlformats.org/officeDocument/2006/relationships/font" Target="fonts/font4.odttf"/><Relationship Id="rId9"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zbqUbgDlbWN+8vBVE+iK+CKPraw==">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6089</Words>
  <Characters>34713</Characters>
  <Application>Microsoft Office Word</Application>
  <DocSecurity>0</DocSecurity>
  <Lines>289</Lines>
  <Paragraphs>81</Paragraphs>
  <ScaleCrop>false</ScaleCrop>
  <Company/>
  <LinksUpToDate>false</LinksUpToDate>
  <CharactersWithSpaces>40721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Liviu Topala (1905828)</cp:lastModifiedBy>
  <cp:revision>2</cp:revision>
  <dcterms:created xsi:type="dcterms:W3CDTF">2026-04-20T20:13:00Z</dcterms:created>
  <dcterms:modified xsi:type="dcterms:W3CDTF">2026-04-20T20:13:00Z</dcterms:modified>
</cp:coreProperties>
</file>