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ackground w:color="FFFFFF" w:themeColor="background1"/>
  <w:body>
    <w:p w:rsidR="00952F7D" w:rsidRDefault="005526B1" w:rsidP="00A602AF">
      <w:pPr>
        <w:pStyle w:val="GraphicAnchor"/>
      </w:pPr>
      <w:r w:rsidRPr="00E44B70">
        <w:rPr>
          <w:noProof/>
          <w:lang w:eastAsia="en-GB"/>
        </w:rPr>
        <w:drawing>
          <wp:anchor distT="0" distB="0" distL="114300" distR="114300" simplePos="0" relativeHeight="251665407" behindDoc="1" locked="0" layoutInCell="1" allowOverlap="1" wp14:anchorId="7E17DB74" wp14:editId="6BE0A33A">
            <wp:simplePos x="0" y="0"/>
            <wp:positionH relativeFrom="margin">
              <wp:posOffset>-463550</wp:posOffset>
            </wp:positionH>
            <wp:positionV relativeFrom="margin">
              <wp:align>top</wp:align>
            </wp:positionV>
            <wp:extent cx="6845935" cy="8743950"/>
            <wp:effectExtent l="0" t="0" r="0" b="0"/>
            <wp:wrapNone/>
            <wp:docPr id="4" name="Picture 4">
              <a:extLst xmlns:a="http://schemas.openxmlformats.org/drawingml/2006/main">
                <a:ext uri="{C183D7F6-B498-43B3-948B-1728B52AA6E4}">
                  <adec:decorative xmlns=""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urn:schemas-microsoft-com:office:office" xmlns:v="urn:schemas-microsoft-com:vml" xmlns:w10="urn:schemas-microsoft-com:office:word" xmlns:w="http://schemas.openxmlformats.org/wordprocessingml/2006/main" xmlns:w16cid="http://schemas.microsoft.com/office/word/2016/wordml/cid"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01.png"/>
                    <pic:cNvPicPr/>
                  </pic:nvPicPr>
                  <pic:blipFill>
                    <a:blip r:embed="rId11">
                      <a:extLst>
                        <a:ext uri="{28A0092B-C50C-407E-A947-70E740481C1C}">
                          <a14:useLocalDpi xmlns:a14="http://schemas.microsoft.com/office/drawing/2010/main" val="0"/>
                        </a:ext>
                      </a:extLst>
                    </a:blip>
                    <a:stretch>
                      <a:fillRect/>
                    </a:stretch>
                  </pic:blipFill>
                  <pic:spPr>
                    <a:xfrm>
                      <a:off x="0" y="0"/>
                      <a:ext cx="6846148" cy="8744222"/>
                    </a:xfrm>
                    <a:prstGeom prst="rect">
                      <a:avLst/>
                    </a:prstGeom>
                  </pic:spPr>
                </pic:pic>
              </a:graphicData>
            </a:graphic>
            <wp14:sizeRelH relativeFrom="page">
              <wp14:pctWidth>0</wp14:pctWidth>
            </wp14:sizeRelH>
            <wp14:sizeRelV relativeFrom="page">
              <wp14:pctHeight>0</wp14:pctHeight>
            </wp14:sizeRelV>
          </wp:anchor>
        </w:drawing>
      </w:r>
      <w:r w:rsidRPr="00E44B70">
        <w:rPr>
          <w:noProof/>
          <w:lang w:eastAsia="en-GB"/>
        </w:rPr>
        <mc:AlternateContent>
          <mc:Choice Requires="wps">
            <w:drawing>
              <wp:anchor distT="0" distB="0" distL="114300" distR="114300" simplePos="0" relativeHeight="251673600" behindDoc="1" locked="0" layoutInCell="1" allowOverlap="1" wp14:anchorId="212CBAFF" wp14:editId="4EF92503">
                <wp:simplePos x="0" y="0"/>
                <wp:positionH relativeFrom="column">
                  <wp:posOffset>-466090</wp:posOffset>
                </wp:positionH>
                <wp:positionV relativeFrom="paragraph">
                  <wp:posOffset>2509520</wp:posOffset>
                </wp:positionV>
                <wp:extent cx="5735320" cy="6426200"/>
                <wp:effectExtent l="0" t="19050" r="17780" b="12700"/>
                <wp:wrapNone/>
                <wp:docPr id="2" name="Shape">
                  <a:extLst xmlns:a="http://schemas.openxmlformats.org/drawingml/2006/main">
                    <a:ext uri="{C183D7F6-B498-43B3-948B-1728B52AA6E4}">
                      <adec:decorative xmlns=""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urn:schemas-microsoft-com:office:office" xmlns:v="urn:schemas-microsoft-com:vml" xmlns:w10="urn:schemas-microsoft-com:office:word" xmlns:w="http://schemas.openxmlformats.org/wordprocessingml/2006/main" xmlns:w16cid="http://schemas.microsoft.com/office/word/2016/wordml/cid"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5735320" cy="6426200"/>
                        </a:xfrm>
                        <a:custGeom>
                          <a:avLst/>
                          <a:gdLst/>
                          <a:ahLst/>
                          <a:cxnLst>
                            <a:cxn ang="0">
                              <a:pos x="wd2" y="hd2"/>
                            </a:cxn>
                            <a:cxn ang="5400000">
                              <a:pos x="wd2" y="hd2"/>
                            </a:cxn>
                            <a:cxn ang="10800000">
                              <a:pos x="wd2" y="hd2"/>
                            </a:cxn>
                            <a:cxn ang="16200000">
                              <a:pos x="wd2" y="hd2"/>
                            </a:cxn>
                          </a:cxnLst>
                          <a:rect l="0" t="0" r="r" b="b"/>
                          <a:pathLst>
                            <a:path w="21600" h="21600" extrusionOk="0">
                              <a:moveTo>
                                <a:pt x="0" y="0"/>
                              </a:moveTo>
                              <a:lnTo>
                                <a:pt x="21600" y="14168"/>
                              </a:lnTo>
                              <a:lnTo>
                                <a:pt x="21600" y="21600"/>
                              </a:lnTo>
                              <a:lnTo>
                                <a:pt x="0" y="21600"/>
                              </a:lnTo>
                              <a:close/>
                            </a:path>
                          </a:pathLst>
                        </a:custGeom>
                        <a:solidFill>
                          <a:schemeClr val="accent6">
                            <a:lumMod val="90000"/>
                            <a:lumOff val="10000"/>
                          </a:schemeClr>
                        </a:solidFill>
                        <a:ln w="12700">
                          <a:solidFill>
                            <a:srgbClr val="FF0000"/>
                          </a:solidFill>
                          <a:miter lim="400000"/>
                        </a:ln>
                      </wps:spPr>
                      <wps:bodyPr lIns="38100" tIns="38100" rIns="38100" bIns="38100" anchor="ctr"/>
                    </wps:wsp>
                  </a:graphicData>
                </a:graphic>
              </wp:anchor>
            </w:drawing>
          </mc:Choice>
          <mc:Fallback>
            <w:pict>
              <v:shape w14:anchorId="5F46B4F0" id="Shape" o:spid="_x0000_s1026" style="position:absolute;margin-left:-36.7pt;margin-top:197.6pt;width:451.6pt;height:506pt;z-index:-251642880;visibility:visible;mso-wrap-style:square;mso-wrap-distance-left:9pt;mso-wrap-distance-top:0;mso-wrap-distance-right:9pt;mso-wrap-distance-bottom:0;mso-position-horizontal:absolute;mso-position-horizontal-relative:text;mso-position-vertical:absolute;mso-position-vertical-relative:text;v-text-anchor:middle" coordsize="21600,216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" path="m,l21600,14168r,7432l,21600,,xe" fillcolor="#004c71 [2905]" strokecolor="red" strokeweight="1pt">
                <v:stroke miterlimit="4" joinstyle="miter"/>
                <v:path arrowok="t" o:extrusionok="f" o:connecttype="custom" o:connectlocs="2867660,3213100;2867660,3213100;2867660,3213100;2867660,3213100" o:connectangles="0,90,180,270"/>
              </v:shape>
            </w:pict>
          </mc:Fallback>
        </mc:AlternateConten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CellMar>
          <w:left w:w="0" w:type="dxa"/>
          <w:right w:w="0" w:type="dxa"/>
        </w:tblCellMar>
        <w:tblLook w:val="0620" w:firstRow="1" w:lastRow="0" w:firstColumn="0" w:lastColumn="0" w:noHBand="1" w:noVBand="1"/>
      </w:tblPr>
      <w:tblGrid>
        <w:gridCol w:w="4675"/>
        <w:gridCol w:w="4675"/>
      </w:tblGrid>
      <w:tr w:rsidR="00A602AF" w:rsidTr="00A07DCE">
        <w:trPr>
          <w:trHeight w:val="2341"/>
        </w:trPr>
        <w:tc>
          <w:tcPr>
            <w:tcW w:w="9350" w:type="dxa"/>
            <w:gridSpan w:val="2"/>
            <w:vAlign w:val="center"/>
          </w:tcPr>
          <w:p w:rsidR="00A602AF" w:rsidRPr="00130551" w:rsidRDefault="00130551" w:rsidP="00130551">
            <w:pPr>
              <w:pStyle w:val="Heading1"/>
              <w:jc w:val="center"/>
              <w:rPr>
                <w:b w:val="0"/>
                <w:sz w:val="52"/>
                <w:szCs w:val="52"/>
              </w:rPr>
            </w:pPr>
            <w:bookmarkStart w:id="0" w:name="_Toc183091313"/>
            <w:bookmarkStart w:id="1" w:name="_Toc183102051"/>
            <w:r w:rsidRPr="00130551">
              <w:rPr>
                <w:b w:val="0"/>
                <w:color w:val="002D3E" w:themeColor="accent4" w:themeShade="80"/>
                <w:sz w:val="52"/>
                <w:szCs w:val="52"/>
              </w:rPr>
              <w:t>A critical evaluation of the impact a ‘Sustainable customer relationship’ has on an organisation and its customers</w:t>
            </w:r>
            <w:bookmarkEnd w:id="0"/>
            <w:bookmarkEnd w:id="1"/>
          </w:p>
        </w:tc>
      </w:tr>
      <w:tr w:rsidR="00A602AF" w:rsidTr="00A07DCE">
        <w:trPr>
          <w:trHeight w:val="8895"/>
        </w:trPr>
        <w:tc>
          <w:tcPr>
            <w:tcW w:w="4675" w:type="dxa"/>
            <w:vAlign w:val="center"/>
          </w:tcPr>
          <w:p w:rsidR="00A602AF" w:rsidRDefault="00E00C49" w:rsidP="00A602AF">
            <w:r>
              <w:rPr>
                <w:noProof/>
                <w:lang w:eastAsia="en-GB"/>
              </w:rPr>
              <w:drawing>
                <wp:anchor distT="0" distB="0" distL="114300" distR="114300" simplePos="0" relativeHeight="251674624" behindDoc="1" locked="0" layoutInCell="1" allowOverlap="1">
                  <wp:simplePos x="0" y="0"/>
                  <wp:positionH relativeFrom="column">
                    <wp:posOffset>0</wp:posOffset>
                  </wp:positionH>
                  <wp:positionV relativeFrom="paragraph">
                    <wp:posOffset>2187575</wp:posOffset>
                  </wp:positionV>
                  <wp:extent cx="1270000" cy="1270000"/>
                  <wp:effectExtent l="0" t="0" r="6350" b="6350"/>
                  <wp:wrapTight wrapText="bothSides">
                    <wp:wrapPolygon edited="0">
                      <wp:start x="7452" y="0"/>
                      <wp:lineTo x="5508" y="648"/>
                      <wp:lineTo x="648" y="4212"/>
                      <wp:lineTo x="0" y="7452"/>
                      <wp:lineTo x="0" y="13608"/>
                      <wp:lineTo x="324" y="16200"/>
                      <wp:lineTo x="4860" y="20736"/>
                      <wp:lineTo x="7452" y="21384"/>
                      <wp:lineTo x="13932" y="21384"/>
                      <wp:lineTo x="16524" y="20736"/>
                      <wp:lineTo x="21060" y="16200"/>
                      <wp:lineTo x="21384" y="13608"/>
                      <wp:lineTo x="21384" y="7452"/>
                      <wp:lineTo x="21060" y="4536"/>
                      <wp:lineTo x="15876" y="648"/>
                      <wp:lineTo x="13932" y="0"/>
                      <wp:lineTo x="7452"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640fba3024545c1acc62e328_6407b3d8c96763fd81c4caca_Tesco%20Logo.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270000" cy="1270000"/>
                          </a:xfrm>
                          <a:prstGeom prst="rect">
                            <a:avLst/>
                          </a:prstGeom>
                        </pic:spPr>
                      </pic:pic>
                    </a:graphicData>
                  </a:graphic>
                </wp:anchor>
              </w:drawing>
            </w:r>
          </w:p>
        </w:tc>
        <w:tc>
          <w:tcPr>
            <w:tcW w:w="4675" w:type="dxa"/>
          </w:tcPr>
          <w:p w:rsidR="00A602AF" w:rsidRDefault="00A602AF"/>
        </w:tc>
      </w:tr>
      <w:tr w:rsidR="00A602AF" w:rsidTr="00A07DCE">
        <w:trPr>
          <w:trHeight w:val="2718"/>
        </w:trPr>
        <w:tc>
          <w:tcPr>
            <w:tcW w:w="4675" w:type="dxa"/>
          </w:tcPr>
          <w:p w:rsidR="00A602AF" w:rsidRPr="00E87F83" w:rsidRDefault="00130551" w:rsidP="00A602AF">
            <w:pPr>
              <w:pStyle w:val="Heading2"/>
              <w:rPr>
                <w:color w:val="FFFFFF" w:themeColor="background1"/>
              </w:rPr>
            </w:pPr>
            <w:bookmarkStart w:id="2" w:name="_Toc183090484"/>
            <w:bookmarkStart w:id="3" w:name="_Toc183091314"/>
            <w:bookmarkStart w:id="4" w:name="_Toc183102052"/>
            <w:r w:rsidRPr="00E87F83">
              <w:rPr>
                <w:color w:val="FFFFFF" w:themeColor="background1"/>
              </w:rPr>
              <w:t>U</w:t>
            </w:r>
            <w:bookmarkEnd w:id="2"/>
            <w:r w:rsidRPr="00E87F83">
              <w:rPr>
                <w:color w:val="FFFFFF" w:themeColor="background1"/>
              </w:rPr>
              <w:t>niversity of Wales Trinity Saint David | Swansea</w:t>
            </w:r>
            <w:bookmarkEnd w:id="3"/>
            <w:bookmarkEnd w:id="4"/>
          </w:p>
          <w:p w:rsidR="00A602AF" w:rsidRPr="00E87F83" w:rsidRDefault="00130551" w:rsidP="00A602AF">
            <w:pPr>
              <w:pStyle w:val="Heading2"/>
              <w:rPr>
                <w:color w:val="FFFFFF" w:themeColor="background1"/>
              </w:rPr>
            </w:pPr>
            <w:bookmarkStart w:id="5" w:name="_Toc183091315"/>
            <w:bookmarkStart w:id="6" w:name="_Toc183102053"/>
            <w:r w:rsidRPr="00E87F83">
              <w:rPr>
                <w:color w:val="FFFFFF" w:themeColor="background1"/>
              </w:rPr>
              <w:t>November 2024</w:t>
            </w:r>
            <w:bookmarkEnd w:id="5"/>
            <w:bookmarkEnd w:id="6"/>
          </w:p>
          <w:p w:rsidR="00A602AF" w:rsidRDefault="00130551" w:rsidP="00130551">
            <w:pPr>
              <w:pStyle w:val="Heading2"/>
            </w:pPr>
            <w:bookmarkStart w:id="7" w:name="_Toc183090486"/>
            <w:bookmarkStart w:id="8" w:name="_Toc183091316"/>
            <w:bookmarkStart w:id="9" w:name="_Toc183102054"/>
            <w:r w:rsidRPr="00E87F83">
              <w:rPr>
                <w:color w:val="FFFFFF" w:themeColor="background1"/>
              </w:rPr>
              <w:t>S</w:t>
            </w:r>
            <w:bookmarkEnd w:id="7"/>
            <w:r w:rsidRPr="00E87F83">
              <w:rPr>
                <w:color w:val="FFFFFF" w:themeColor="background1"/>
              </w:rPr>
              <w:t>ocrat Domenco</w:t>
            </w:r>
            <w:r w:rsidR="00B77998">
              <w:rPr>
                <w:color w:val="FFFFFF" w:themeColor="background1"/>
              </w:rPr>
              <w:t>|1817175</w:t>
            </w:r>
            <w:bookmarkEnd w:id="8"/>
            <w:bookmarkEnd w:id="9"/>
          </w:p>
        </w:tc>
        <w:tc>
          <w:tcPr>
            <w:tcW w:w="4675" w:type="dxa"/>
          </w:tcPr>
          <w:p w:rsidR="00A602AF" w:rsidRDefault="00A602AF"/>
        </w:tc>
      </w:tr>
    </w:tbl>
    <w:p w:rsidR="000359D1" w:rsidRDefault="000359D1"/>
    <w:p w:rsidR="00E00C49" w:rsidRDefault="00E00C49"/>
    <w:p w:rsidR="00E00C49" w:rsidRDefault="00E00C49"/>
    <w:p w:rsidR="00E00C49" w:rsidRDefault="00E00C49" w:rsidP="00E00C49">
      <w:pPr>
        <w:pStyle w:val="Heading2"/>
        <w:jc w:val="center"/>
      </w:pPr>
      <w:bookmarkStart w:id="10" w:name="_Toc183090487"/>
      <w:bookmarkStart w:id="11" w:name="_Toc183091317"/>
      <w:bookmarkStart w:id="12" w:name="_Toc183102055"/>
      <w:r>
        <w:t>Executive summary</w:t>
      </w:r>
      <w:bookmarkEnd w:id="10"/>
      <w:bookmarkEnd w:id="11"/>
      <w:bookmarkEnd w:id="12"/>
    </w:p>
    <w:p w:rsidR="00E00C49" w:rsidRDefault="00E00C49" w:rsidP="00E00C49"/>
    <w:p w:rsidR="00E00C49" w:rsidRDefault="00E00C49" w:rsidP="00E00C49"/>
    <w:p w:rsidR="00237D27" w:rsidRDefault="00237D27" w:rsidP="00237D27">
      <w:r>
        <w:t>This report delves into the critical role of marketing relationships and their impact on Tesco's marketing strategies. As one of the largest retailers in the world, Tesco has recognized the necessity of cultivating strong relationships with its customers, suppliers, and stakeholders to enhance brand loyalty and competitive advantage.</w:t>
      </w:r>
    </w:p>
    <w:p w:rsidR="00237D27" w:rsidRDefault="00237D27" w:rsidP="00237D27"/>
    <w:p w:rsidR="00237D27" w:rsidRDefault="00237D27" w:rsidP="00237D27">
      <w:r>
        <w:t>At the core of Tesco's marketing strategy is the commitment to customer-centric practices, which include personalized marketing efforts and loyalty programs such as Clubcard. These initiatives not only foster deeper connections with customers but also provide valuable data that informs product offerings and service improvements. By leveraging customer insights, Tesco can tailor its marketing communications to resonate with the target audience, enhancing customer satisfaction and retention.</w:t>
      </w:r>
    </w:p>
    <w:p w:rsidR="00237D27" w:rsidRDefault="00237D27" w:rsidP="00237D27"/>
    <w:p w:rsidR="00237D27" w:rsidRDefault="00237D27" w:rsidP="00237D27">
      <w:r>
        <w:t>Additionally, Tesco embraces sustainable relationship marketing policies, focusing on transparency, ethical sourcing, and community engagement. These practices not only align with contemporary consumer values but also contribute to Tesco's reputation as a responsible retailer. By prioritizing sustainability in its marketing approach, Tesco positions itself as a leader in corporate social responsibility, appealing to socially-conscious consumers.</w:t>
      </w:r>
    </w:p>
    <w:p w:rsidR="00237D27" w:rsidRDefault="00237D27" w:rsidP="00237D27"/>
    <w:p w:rsidR="00237D27" w:rsidRDefault="00237D27" w:rsidP="00237D27">
      <w:r>
        <w:t>Furthermore, the integration of digital marketing tools has allowed Tesco to enhance its outreach and engagement strategies. Online platforms provide opportunities for real-time interaction with customers, enabling the company to respond quickly to changing consumer preferences and market trends.</w:t>
      </w:r>
    </w:p>
    <w:p w:rsidR="00237D27" w:rsidRDefault="00237D27" w:rsidP="00237D27"/>
    <w:p w:rsidR="00237D27" w:rsidRDefault="00237D27" w:rsidP="00237D27">
      <w:r>
        <w:t>In conclusion, Tesco's marketing strategies emphasize the importance of building sustainable relationships that drive organizational performance. By focusing on customer loyalty, ethical practices, and the effective use of digital marketing, Tesco is well-positioned to navigate the challenges of the retail landscape and achieve long-term success. This report will further explore the implications of these strategies and provide recommendations for optimizing relationship marketing practices within Tesco.</w:t>
      </w:r>
    </w:p>
    <w:p w:rsidR="00E00C49" w:rsidRDefault="00E00C49" w:rsidP="00E00C49"/>
    <w:p w:rsidR="00E00C49" w:rsidRDefault="00E00C49" w:rsidP="00E00C49"/>
    <w:p w:rsidR="00E00C49" w:rsidRDefault="00E00C49" w:rsidP="00E00C49"/>
    <w:p w:rsidR="00E00C49" w:rsidRDefault="00E00C49" w:rsidP="00E00C49"/>
    <w:p w:rsidR="00E00C49" w:rsidRDefault="00E00C49" w:rsidP="00E00C49"/>
    <w:p w:rsidR="00E00C49" w:rsidRDefault="00E00C49" w:rsidP="00E00C49"/>
    <w:p w:rsidR="00E00C49" w:rsidRDefault="00E00C49" w:rsidP="00E00C49"/>
    <w:p w:rsidR="00E00C49" w:rsidRDefault="00E00C49" w:rsidP="00E00C49"/>
    <w:p w:rsidR="00E00C49" w:rsidRDefault="00E00C49" w:rsidP="00E00C49"/>
    <w:p w:rsidR="00E00C49" w:rsidRDefault="00E00C49" w:rsidP="00E00C49"/>
    <w:p w:rsidR="00130551" w:rsidRDefault="00130551" w:rsidP="00237D27">
      <w:pPr>
        <w:pStyle w:val="TOCHeading"/>
      </w:pPr>
    </w:p>
    <w:p w:rsidR="00130551" w:rsidRDefault="00130551">
      <w:pPr>
        <w:pStyle w:val="TOCHeading"/>
      </w:pPr>
    </w:p>
    <w:p w:rsidR="00130551" w:rsidRDefault="00130551">
      <w:pPr>
        <w:pStyle w:val="TOCHeading"/>
      </w:pPr>
    </w:p>
    <w:p w:rsidR="00130551" w:rsidRDefault="00130551">
      <w:pPr>
        <w:pStyle w:val="TOCHeading"/>
      </w:pPr>
    </w:p>
    <w:p w:rsidR="00130551" w:rsidRDefault="00130551">
      <w:pPr>
        <w:pStyle w:val="TOCHeading"/>
      </w:pPr>
    </w:p>
    <w:p w:rsidR="003C72DE" w:rsidRDefault="003C72DE" w:rsidP="003C72DE"/>
    <w:p w:rsidR="003C72DE" w:rsidRDefault="003C72DE" w:rsidP="003C72DE"/>
    <w:p w:rsidR="003C72DE" w:rsidRDefault="003C72DE" w:rsidP="003C72DE"/>
    <w:p w:rsidR="003C72DE" w:rsidRPr="003C72DE" w:rsidRDefault="003C72DE" w:rsidP="003C72DE"/>
    <w:sdt>
      <w:sdtPr>
        <w:rPr>
          <w:rFonts w:asciiTheme="minorHAnsi" w:eastAsiaTheme="minorHAnsi" w:hAnsiTheme="minorHAnsi" w:cstheme="minorBidi"/>
          <w:color w:val="004B6F" w:themeColor="accent6" w:themeTint="E6"/>
          <w:sz w:val="24"/>
          <w:szCs w:val="24"/>
        </w:rPr>
        <w:id w:val="-5525880"/>
        <w:docPartObj>
          <w:docPartGallery w:val="Table of Contents"/>
          <w:docPartUnique/>
        </w:docPartObj>
      </w:sdtPr>
      <w:sdtEndPr>
        <w:rPr>
          <w:b/>
          <w:bCs/>
          <w:noProof/>
          <w:color w:val="auto"/>
          <w:sz w:val="40"/>
          <w:szCs w:val="40"/>
        </w:rPr>
      </w:sdtEndPr>
      <w:sdtContent>
        <w:p w:rsidR="00E00C49" w:rsidRPr="005A6861" w:rsidRDefault="003C72DE">
          <w:pPr>
            <w:pStyle w:val="TOCHeading"/>
            <w:rPr>
              <w:color w:val="004B6F" w:themeColor="accent6" w:themeTint="E6"/>
              <w:sz w:val="72"/>
              <w:szCs w:val="72"/>
            </w:rPr>
          </w:pPr>
          <w:r>
            <w:rPr>
              <w:color w:val="004B6F" w:themeColor="accent6" w:themeTint="E6"/>
              <w:sz w:val="72"/>
              <w:szCs w:val="72"/>
            </w:rPr>
            <w:t>Table of content:</w:t>
          </w:r>
        </w:p>
        <w:p w:rsidR="00061D0D" w:rsidRPr="003C72DE" w:rsidRDefault="00E00C49" w:rsidP="00061D0D">
          <w:pPr>
            <w:pStyle w:val="TOC1"/>
            <w:tabs>
              <w:tab w:val="right" w:leader="dot" w:pos="9350"/>
            </w:tabs>
            <w:rPr>
              <w:rFonts w:eastAsiaTheme="minorEastAsia"/>
              <w:noProof/>
              <w:sz w:val="40"/>
              <w:szCs w:val="40"/>
              <w:lang w:eastAsia="en-GB"/>
            </w:rPr>
          </w:pPr>
          <w:r w:rsidRPr="003C72DE">
            <w:rPr>
              <w:sz w:val="40"/>
              <w:szCs w:val="40"/>
            </w:rPr>
            <w:fldChar w:fldCharType="begin"/>
          </w:r>
          <w:r w:rsidRPr="003C72DE">
            <w:rPr>
              <w:sz w:val="40"/>
              <w:szCs w:val="40"/>
            </w:rPr>
            <w:instrText xml:space="preserve"> TOC \o "1-3" \h \z \u </w:instrText>
          </w:r>
          <w:r w:rsidRPr="003C72DE">
            <w:rPr>
              <w:sz w:val="40"/>
              <w:szCs w:val="40"/>
            </w:rPr>
            <w:fldChar w:fldCharType="separate"/>
          </w:r>
        </w:p>
        <w:p w:rsidR="00061D0D" w:rsidRPr="003C72DE" w:rsidRDefault="00402868">
          <w:pPr>
            <w:pStyle w:val="TOC2"/>
            <w:tabs>
              <w:tab w:val="right" w:leader="dot" w:pos="9350"/>
            </w:tabs>
            <w:rPr>
              <w:rFonts w:eastAsiaTheme="minorEastAsia"/>
              <w:noProof/>
              <w:color w:val="004B6F" w:themeColor="accent6" w:themeTint="E6"/>
              <w:sz w:val="40"/>
              <w:szCs w:val="40"/>
              <w:lang w:eastAsia="en-GB"/>
            </w:rPr>
          </w:pPr>
          <w:hyperlink w:anchor="_Toc183102056" w:history="1">
            <w:r w:rsidR="00061D0D" w:rsidRPr="003C72DE">
              <w:rPr>
                <w:rStyle w:val="Hyperlink"/>
                <w:noProof/>
                <w:color w:val="004B6F" w:themeColor="accent6" w:themeTint="E6"/>
                <w:sz w:val="40"/>
                <w:szCs w:val="40"/>
                <w:u w:val="none"/>
              </w:rPr>
              <w:t>Introduction</w:t>
            </w:r>
            <w:r w:rsidR="00061D0D" w:rsidRPr="003C72DE">
              <w:rPr>
                <w:noProof/>
                <w:webHidden/>
                <w:color w:val="004B6F" w:themeColor="accent6" w:themeTint="E6"/>
                <w:sz w:val="40"/>
                <w:szCs w:val="40"/>
              </w:rPr>
              <w:tab/>
            </w:r>
            <w:r w:rsidR="00061D0D" w:rsidRPr="003C72DE">
              <w:rPr>
                <w:noProof/>
                <w:webHidden/>
                <w:color w:val="004B6F" w:themeColor="accent6" w:themeTint="E6"/>
                <w:sz w:val="40"/>
                <w:szCs w:val="40"/>
              </w:rPr>
              <w:fldChar w:fldCharType="begin"/>
            </w:r>
            <w:r w:rsidR="00061D0D" w:rsidRPr="003C72DE">
              <w:rPr>
                <w:noProof/>
                <w:webHidden/>
                <w:color w:val="004B6F" w:themeColor="accent6" w:themeTint="E6"/>
                <w:sz w:val="40"/>
                <w:szCs w:val="40"/>
              </w:rPr>
              <w:instrText xml:space="preserve"> PAGEREF _Toc183102056 \h </w:instrText>
            </w:r>
            <w:r w:rsidR="00061D0D" w:rsidRPr="003C72DE">
              <w:rPr>
                <w:noProof/>
                <w:webHidden/>
                <w:color w:val="004B6F" w:themeColor="accent6" w:themeTint="E6"/>
                <w:sz w:val="40"/>
                <w:szCs w:val="40"/>
              </w:rPr>
            </w:r>
            <w:r w:rsidR="00061D0D" w:rsidRPr="003C72DE">
              <w:rPr>
                <w:noProof/>
                <w:webHidden/>
                <w:color w:val="004B6F" w:themeColor="accent6" w:themeTint="E6"/>
                <w:sz w:val="40"/>
                <w:szCs w:val="40"/>
              </w:rPr>
              <w:fldChar w:fldCharType="separate"/>
            </w:r>
            <w:r w:rsidR="00237D27" w:rsidRPr="003C72DE">
              <w:rPr>
                <w:noProof/>
                <w:webHidden/>
                <w:color w:val="004B6F" w:themeColor="accent6" w:themeTint="E6"/>
                <w:sz w:val="40"/>
                <w:szCs w:val="40"/>
              </w:rPr>
              <w:t>4</w:t>
            </w:r>
            <w:r w:rsidR="00061D0D" w:rsidRPr="003C72DE">
              <w:rPr>
                <w:noProof/>
                <w:webHidden/>
                <w:color w:val="004B6F" w:themeColor="accent6" w:themeTint="E6"/>
                <w:sz w:val="40"/>
                <w:szCs w:val="40"/>
              </w:rPr>
              <w:fldChar w:fldCharType="end"/>
            </w:r>
          </w:hyperlink>
        </w:p>
        <w:p w:rsidR="00061D0D" w:rsidRPr="003C72DE" w:rsidRDefault="00402868">
          <w:pPr>
            <w:pStyle w:val="TOC2"/>
            <w:tabs>
              <w:tab w:val="right" w:leader="dot" w:pos="9350"/>
            </w:tabs>
            <w:rPr>
              <w:rFonts w:eastAsiaTheme="minorEastAsia"/>
              <w:noProof/>
              <w:color w:val="004B6F" w:themeColor="accent6" w:themeTint="E6"/>
              <w:sz w:val="40"/>
              <w:szCs w:val="40"/>
              <w:lang w:eastAsia="en-GB"/>
            </w:rPr>
          </w:pPr>
          <w:hyperlink w:anchor="_Toc183102057" w:history="1">
            <w:r w:rsidR="00061D0D" w:rsidRPr="003C72DE">
              <w:rPr>
                <w:rStyle w:val="Hyperlink"/>
                <w:noProof/>
                <w:color w:val="004B6F" w:themeColor="accent6" w:themeTint="E6"/>
                <w:sz w:val="40"/>
                <w:szCs w:val="40"/>
                <w:u w:val="none"/>
              </w:rPr>
              <w:t>Tesco’s background information</w:t>
            </w:r>
            <w:r w:rsidR="00061D0D" w:rsidRPr="003C72DE">
              <w:rPr>
                <w:noProof/>
                <w:webHidden/>
                <w:color w:val="004B6F" w:themeColor="accent6" w:themeTint="E6"/>
                <w:sz w:val="40"/>
                <w:szCs w:val="40"/>
              </w:rPr>
              <w:tab/>
            </w:r>
            <w:r w:rsidR="00061D0D" w:rsidRPr="003C72DE">
              <w:rPr>
                <w:noProof/>
                <w:webHidden/>
                <w:color w:val="004B6F" w:themeColor="accent6" w:themeTint="E6"/>
                <w:sz w:val="40"/>
                <w:szCs w:val="40"/>
              </w:rPr>
              <w:fldChar w:fldCharType="begin"/>
            </w:r>
            <w:r w:rsidR="00061D0D" w:rsidRPr="003C72DE">
              <w:rPr>
                <w:noProof/>
                <w:webHidden/>
                <w:color w:val="004B6F" w:themeColor="accent6" w:themeTint="E6"/>
                <w:sz w:val="40"/>
                <w:szCs w:val="40"/>
              </w:rPr>
              <w:instrText xml:space="preserve"> PAGEREF _Toc183102057 \h </w:instrText>
            </w:r>
            <w:r w:rsidR="00061D0D" w:rsidRPr="003C72DE">
              <w:rPr>
                <w:noProof/>
                <w:webHidden/>
                <w:color w:val="004B6F" w:themeColor="accent6" w:themeTint="E6"/>
                <w:sz w:val="40"/>
                <w:szCs w:val="40"/>
              </w:rPr>
            </w:r>
            <w:r w:rsidR="00061D0D" w:rsidRPr="003C72DE">
              <w:rPr>
                <w:noProof/>
                <w:webHidden/>
                <w:color w:val="004B6F" w:themeColor="accent6" w:themeTint="E6"/>
                <w:sz w:val="40"/>
                <w:szCs w:val="40"/>
              </w:rPr>
              <w:fldChar w:fldCharType="separate"/>
            </w:r>
            <w:r w:rsidR="00237D27" w:rsidRPr="003C72DE">
              <w:rPr>
                <w:noProof/>
                <w:webHidden/>
                <w:color w:val="004B6F" w:themeColor="accent6" w:themeTint="E6"/>
                <w:sz w:val="40"/>
                <w:szCs w:val="40"/>
              </w:rPr>
              <w:t>4</w:t>
            </w:r>
            <w:r w:rsidR="00061D0D" w:rsidRPr="003C72DE">
              <w:rPr>
                <w:noProof/>
                <w:webHidden/>
                <w:color w:val="004B6F" w:themeColor="accent6" w:themeTint="E6"/>
                <w:sz w:val="40"/>
                <w:szCs w:val="40"/>
              </w:rPr>
              <w:fldChar w:fldCharType="end"/>
            </w:r>
          </w:hyperlink>
        </w:p>
        <w:p w:rsidR="00061D0D" w:rsidRPr="003C72DE" w:rsidRDefault="00402868">
          <w:pPr>
            <w:pStyle w:val="TOC2"/>
            <w:tabs>
              <w:tab w:val="right" w:leader="dot" w:pos="9350"/>
            </w:tabs>
            <w:rPr>
              <w:rFonts w:eastAsiaTheme="minorEastAsia"/>
              <w:noProof/>
              <w:color w:val="004B6F" w:themeColor="accent6" w:themeTint="E6"/>
              <w:sz w:val="40"/>
              <w:szCs w:val="40"/>
              <w:lang w:eastAsia="en-GB"/>
            </w:rPr>
          </w:pPr>
          <w:hyperlink w:anchor="_Toc183102058" w:history="1">
            <w:r w:rsidR="00061D0D" w:rsidRPr="003C72DE">
              <w:rPr>
                <w:rStyle w:val="Hyperlink"/>
                <w:noProof/>
                <w:color w:val="004B6F" w:themeColor="accent6" w:themeTint="E6"/>
                <w:sz w:val="40"/>
                <w:szCs w:val="40"/>
                <w:u w:val="none"/>
              </w:rPr>
              <w:t>Data collection/analysis/evaluation and its impact on Marketing Relationship</w:t>
            </w:r>
            <w:r w:rsidR="00061D0D" w:rsidRPr="003C72DE">
              <w:rPr>
                <w:noProof/>
                <w:webHidden/>
                <w:color w:val="004B6F" w:themeColor="accent6" w:themeTint="E6"/>
                <w:sz w:val="40"/>
                <w:szCs w:val="40"/>
              </w:rPr>
              <w:tab/>
            </w:r>
            <w:r w:rsidR="00061D0D" w:rsidRPr="003C72DE">
              <w:rPr>
                <w:noProof/>
                <w:webHidden/>
                <w:color w:val="004B6F" w:themeColor="accent6" w:themeTint="E6"/>
                <w:sz w:val="40"/>
                <w:szCs w:val="40"/>
              </w:rPr>
              <w:fldChar w:fldCharType="begin"/>
            </w:r>
            <w:r w:rsidR="00061D0D" w:rsidRPr="003C72DE">
              <w:rPr>
                <w:noProof/>
                <w:webHidden/>
                <w:color w:val="004B6F" w:themeColor="accent6" w:themeTint="E6"/>
                <w:sz w:val="40"/>
                <w:szCs w:val="40"/>
              </w:rPr>
              <w:instrText xml:space="preserve"> PAGEREF _Toc183102058 \h </w:instrText>
            </w:r>
            <w:r w:rsidR="00061D0D" w:rsidRPr="003C72DE">
              <w:rPr>
                <w:noProof/>
                <w:webHidden/>
                <w:color w:val="004B6F" w:themeColor="accent6" w:themeTint="E6"/>
                <w:sz w:val="40"/>
                <w:szCs w:val="40"/>
              </w:rPr>
            </w:r>
            <w:r w:rsidR="00061D0D" w:rsidRPr="003C72DE">
              <w:rPr>
                <w:noProof/>
                <w:webHidden/>
                <w:color w:val="004B6F" w:themeColor="accent6" w:themeTint="E6"/>
                <w:sz w:val="40"/>
                <w:szCs w:val="40"/>
              </w:rPr>
              <w:fldChar w:fldCharType="separate"/>
            </w:r>
            <w:r w:rsidR="00237D27" w:rsidRPr="003C72DE">
              <w:rPr>
                <w:noProof/>
                <w:webHidden/>
                <w:color w:val="004B6F" w:themeColor="accent6" w:themeTint="E6"/>
                <w:sz w:val="40"/>
                <w:szCs w:val="40"/>
              </w:rPr>
              <w:t>5</w:t>
            </w:r>
            <w:r w:rsidR="00061D0D" w:rsidRPr="003C72DE">
              <w:rPr>
                <w:noProof/>
                <w:webHidden/>
                <w:color w:val="004B6F" w:themeColor="accent6" w:themeTint="E6"/>
                <w:sz w:val="40"/>
                <w:szCs w:val="40"/>
              </w:rPr>
              <w:fldChar w:fldCharType="end"/>
            </w:r>
          </w:hyperlink>
        </w:p>
        <w:p w:rsidR="00061D0D" w:rsidRPr="003C72DE" w:rsidRDefault="00402868">
          <w:pPr>
            <w:pStyle w:val="TOC2"/>
            <w:tabs>
              <w:tab w:val="right" w:leader="dot" w:pos="9350"/>
            </w:tabs>
            <w:rPr>
              <w:rFonts w:eastAsiaTheme="minorEastAsia"/>
              <w:noProof/>
              <w:color w:val="004B6F" w:themeColor="accent6" w:themeTint="E6"/>
              <w:sz w:val="40"/>
              <w:szCs w:val="40"/>
              <w:lang w:eastAsia="en-GB"/>
            </w:rPr>
          </w:pPr>
          <w:hyperlink w:anchor="_Toc183102059" w:history="1">
            <w:r w:rsidR="00061D0D" w:rsidRPr="003C72DE">
              <w:rPr>
                <w:rStyle w:val="Hyperlink"/>
                <w:noProof/>
                <w:color w:val="004B6F" w:themeColor="accent6" w:themeTint="E6"/>
                <w:sz w:val="40"/>
                <w:szCs w:val="40"/>
                <w:u w:val="none"/>
              </w:rPr>
              <w:t>Tesco’s Marketing Relationship strategies</w:t>
            </w:r>
            <w:r w:rsidR="00061D0D" w:rsidRPr="003C72DE">
              <w:rPr>
                <w:noProof/>
                <w:webHidden/>
                <w:color w:val="004B6F" w:themeColor="accent6" w:themeTint="E6"/>
                <w:sz w:val="40"/>
                <w:szCs w:val="40"/>
              </w:rPr>
              <w:tab/>
            </w:r>
            <w:r w:rsidR="00061D0D" w:rsidRPr="003C72DE">
              <w:rPr>
                <w:noProof/>
                <w:webHidden/>
                <w:color w:val="004B6F" w:themeColor="accent6" w:themeTint="E6"/>
                <w:sz w:val="40"/>
                <w:szCs w:val="40"/>
              </w:rPr>
              <w:fldChar w:fldCharType="begin"/>
            </w:r>
            <w:r w:rsidR="00061D0D" w:rsidRPr="003C72DE">
              <w:rPr>
                <w:noProof/>
                <w:webHidden/>
                <w:color w:val="004B6F" w:themeColor="accent6" w:themeTint="E6"/>
                <w:sz w:val="40"/>
                <w:szCs w:val="40"/>
              </w:rPr>
              <w:instrText xml:space="preserve"> PAGEREF _Toc183102059 \h </w:instrText>
            </w:r>
            <w:r w:rsidR="00061D0D" w:rsidRPr="003C72DE">
              <w:rPr>
                <w:noProof/>
                <w:webHidden/>
                <w:color w:val="004B6F" w:themeColor="accent6" w:themeTint="E6"/>
                <w:sz w:val="40"/>
                <w:szCs w:val="40"/>
              </w:rPr>
            </w:r>
            <w:r w:rsidR="00061D0D" w:rsidRPr="003C72DE">
              <w:rPr>
                <w:noProof/>
                <w:webHidden/>
                <w:color w:val="004B6F" w:themeColor="accent6" w:themeTint="E6"/>
                <w:sz w:val="40"/>
                <w:szCs w:val="40"/>
              </w:rPr>
              <w:fldChar w:fldCharType="separate"/>
            </w:r>
            <w:r w:rsidR="00237D27" w:rsidRPr="003C72DE">
              <w:rPr>
                <w:noProof/>
                <w:webHidden/>
                <w:color w:val="004B6F" w:themeColor="accent6" w:themeTint="E6"/>
                <w:sz w:val="40"/>
                <w:szCs w:val="40"/>
              </w:rPr>
              <w:t>7</w:t>
            </w:r>
            <w:r w:rsidR="00061D0D" w:rsidRPr="003C72DE">
              <w:rPr>
                <w:noProof/>
                <w:webHidden/>
                <w:color w:val="004B6F" w:themeColor="accent6" w:themeTint="E6"/>
                <w:sz w:val="40"/>
                <w:szCs w:val="40"/>
              </w:rPr>
              <w:fldChar w:fldCharType="end"/>
            </w:r>
          </w:hyperlink>
        </w:p>
        <w:p w:rsidR="00061D0D" w:rsidRPr="003C72DE" w:rsidRDefault="00402868">
          <w:pPr>
            <w:pStyle w:val="TOC2"/>
            <w:tabs>
              <w:tab w:val="right" w:leader="dot" w:pos="9350"/>
            </w:tabs>
            <w:rPr>
              <w:rFonts w:eastAsiaTheme="minorEastAsia"/>
              <w:noProof/>
              <w:color w:val="004B6F" w:themeColor="accent6" w:themeTint="E6"/>
              <w:sz w:val="40"/>
              <w:szCs w:val="40"/>
              <w:lang w:eastAsia="en-GB"/>
            </w:rPr>
          </w:pPr>
          <w:hyperlink w:anchor="_Toc183102060" w:history="1">
            <w:r w:rsidR="00061D0D" w:rsidRPr="003C72DE">
              <w:rPr>
                <w:rStyle w:val="Hyperlink"/>
                <w:noProof/>
                <w:color w:val="004B6F" w:themeColor="accent6" w:themeTint="E6"/>
                <w:sz w:val="40"/>
                <w:szCs w:val="40"/>
                <w:u w:val="none"/>
              </w:rPr>
              <w:t>Conclusion</w:t>
            </w:r>
            <w:r w:rsidR="00061D0D" w:rsidRPr="003C72DE">
              <w:rPr>
                <w:noProof/>
                <w:webHidden/>
                <w:color w:val="004B6F" w:themeColor="accent6" w:themeTint="E6"/>
                <w:sz w:val="40"/>
                <w:szCs w:val="40"/>
              </w:rPr>
              <w:tab/>
            </w:r>
            <w:r w:rsidR="00061D0D" w:rsidRPr="003C72DE">
              <w:rPr>
                <w:noProof/>
                <w:webHidden/>
                <w:color w:val="004B6F" w:themeColor="accent6" w:themeTint="E6"/>
                <w:sz w:val="40"/>
                <w:szCs w:val="40"/>
              </w:rPr>
              <w:fldChar w:fldCharType="begin"/>
            </w:r>
            <w:r w:rsidR="00061D0D" w:rsidRPr="003C72DE">
              <w:rPr>
                <w:noProof/>
                <w:webHidden/>
                <w:color w:val="004B6F" w:themeColor="accent6" w:themeTint="E6"/>
                <w:sz w:val="40"/>
                <w:szCs w:val="40"/>
              </w:rPr>
              <w:instrText xml:space="preserve"> PAGEREF _Toc183102060 \h </w:instrText>
            </w:r>
            <w:r w:rsidR="00061D0D" w:rsidRPr="003C72DE">
              <w:rPr>
                <w:noProof/>
                <w:webHidden/>
                <w:color w:val="004B6F" w:themeColor="accent6" w:themeTint="E6"/>
                <w:sz w:val="40"/>
                <w:szCs w:val="40"/>
              </w:rPr>
            </w:r>
            <w:r w:rsidR="00061D0D" w:rsidRPr="003C72DE">
              <w:rPr>
                <w:noProof/>
                <w:webHidden/>
                <w:color w:val="004B6F" w:themeColor="accent6" w:themeTint="E6"/>
                <w:sz w:val="40"/>
                <w:szCs w:val="40"/>
              </w:rPr>
              <w:fldChar w:fldCharType="separate"/>
            </w:r>
            <w:r w:rsidR="00237D27" w:rsidRPr="003C72DE">
              <w:rPr>
                <w:noProof/>
                <w:webHidden/>
                <w:color w:val="004B6F" w:themeColor="accent6" w:themeTint="E6"/>
                <w:sz w:val="40"/>
                <w:szCs w:val="40"/>
              </w:rPr>
              <w:t>10</w:t>
            </w:r>
            <w:r w:rsidR="00061D0D" w:rsidRPr="003C72DE">
              <w:rPr>
                <w:noProof/>
                <w:webHidden/>
                <w:color w:val="004B6F" w:themeColor="accent6" w:themeTint="E6"/>
                <w:sz w:val="40"/>
                <w:szCs w:val="40"/>
              </w:rPr>
              <w:fldChar w:fldCharType="end"/>
            </w:r>
          </w:hyperlink>
        </w:p>
        <w:p w:rsidR="00061D0D" w:rsidRPr="003C72DE" w:rsidRDefault="00402868">
          <w:pPr>
            <w:pStyle w:val="TOC2"/>
            <w:tabs>
              <w:tab w:val="right" w:leader="dot" w:pos="9350"/>
            </w:tabs>
            <w:rPr>
              <w:rFonts w:eastAsiaTheme="minorEastAsia"/>
              <w:noProof/>
              <w:color w:val="004B6F" w:themeColor="accent6" w:themeTint="E6"/>
              <w:sz w:val="40"/>
              <w:szCs w:val="40"/>
              <w:lang w:eastAsia="en-GB"/>
            </w:rPr>
          </w:pPr>
          <w:hyperlink w:anchor="_Toc183102061" w:history="1">
            <w:r w:rsidR="00061D0D" w:rsidRPr="003C72DE">
              <w:rPr>
                <w:rStyle w:val="Hyperlink"/>
                <w:noProof/>
                <w:color w:val="004B6F" w:themeColor="accent6" w:themeTint="E6"/>
                <w:sz w:val="40"/>
                <w:szCs w:val="40"/>
                <w:u w:val="none"/>
              </w:rPr>
              <w:t>References</w:t>
            </w:r>
            <w:r w:rsidR="00061D0D" w:rsidRPr="003C72DE">
              <w:rPr>
                <w:noProof/>
                <w:webHidden/>
                <w:color w:val="004B6F" w:themeColor="accent6" w:themeTint="E6"/>
                <w:sz w:val="40"/>
                <w:szCs w:val="40"/>
              </w:rPr>
              <w:tab/>
            </w:r>
            <w:r w:rsidR="00061D0D" w:rsidRPr="003C72DE">
              <w:rPr>
                <w:noProof/>
                <w:webHidden/>
                <w:color w:val="004B6F" w:themeColor="accent6" w:themeTint="E6"/>
                <w:sz w:val="40"/>
                <w:szCs w:val="40"/>
              </w:rPr>
              <w:fldChar w:fldCharType="begin"/>
            </w:r>
            <w:r w:rsidR="00061D0D" w:rsidRPr="003C72DE">
              <w:rPr>
                <w:noProof/>
                <w:webHidden/>
                <w:color w:val="004B6F" w:themeColor="accent6" w:themeTint="E6"/>
                <w:sz w:val="40"/>
                <w:szCs w:val="40"/>
              </w:rPr>
              <w:instrText xml:space="preserve"> PAGEREF _Toc183102061 \h </w:instrText>
            </w:r>
            <w:r w:rsidR="00061D0D" w:rsidRPr="003C72DE">
              <w:rPr>
                <w:noProof/>
                <w:webHidden/>
                <w:color w:val="004B6F" w:themeColor="accent6" w:themeTint="E6"/>
                <w:sz w:val="40"/>
                <w:szCs w:val="40"/>
              </w:rPr>
            </w:r>
            <w:r w:rsidR="00061D0D" w:rsidRPr="003C72DE">
              <w:rPr>
                <w:noProof/>
                <w:webHidden/>
                <w:color w:val="004B6F" w:themeColor="accent6" w:themeTint="E6"/>
                <w:sz w:val="40"/>
                <w:szCs w:val="40"/>
              </w:rPr>
              <w:fldChar w:fldCharType="separate"/>
            </w:r>
            <w:r w:rsidR="00237D27" w:rsidRPr="003C72DE">
              <w:rPr>
                <w:noProof/>
                <w:webHidden/>
                <w:color w:val="004B6F" w:themeColor="accent6" w:themeTint="E6"/>
                <w:sz w:val="40"/>
                <w:szCs w:val="40"/>
              </w:rPr>
              <w:t>10</w:t>
            </w:r>
            <w:r w:rsidR="00061D0D" w:rsidRPr="003C72DE">
              <w:rPr>
                <w:noProof/>
                <w:webHidden/>
                <w:color w:val="004B6F" w:themeColor="accent6" w:themeTint="E6"/>
                <w:sz w:val="40"/>
                <w:szCs w:val="40"/>
              </w:rPr>
              <w:fldChar w:fldCharType="end"/>
            </w:r>
          </w:hyperlink>
        </w:p>
        <w:p w:rsidR="00E00C49" w:rsidRPr="003C72DE" w:rsidRDefault="00E00C49">
          <w:pPr>
            <w:rPr>
              <w:sz w:val="40"/>
              <w:szCs w:val="40"/>
            </w:rPr>
          </w:pPr>
          <w:r w:rsidRPr="003C72DE">
            <w:rPr>
              <w:b/>
              <w:bCs/>
              <w:noProof/>
              <w:sz w:val="40"/>
              <w:szCs w:val="40"/>
            </w:rPr>
            <w:fldChar w:fldCharType="end"/>
          </w:r>
        </w:p>
      </w:sdtContent>
    </w:sdt>
    <w:p w:rsidR="00E00C49" w:rsidRPr="003C72DE" w:rsidRDefault="00E00C49" w:rsidP="00E00C49">
      <w:pPr>
        <w:rPr>
          <w:sz w:val="40"/>
          <w:szCs w:val="40"/>
        </w:rPr>
      </w:pPr>
    </w:p>
    <w:p w:rsidR="00E00C49" w:rsidRPr="003C72DE" w:rsidRDefault="00E00C49" w:rsidP="00E00C49">
      <w:pPr>
        <w:rPr>
          <w:sz w:val="40"/>
          <w:szCs w:val="40"/>
        </w:rPr>
      </w:pPr>
    </w:p>
    <w:p w:rsidR="00E00C49" w:rsidRDefault="00E00C49" w:rsidP="00E00C49"/>
    <w:p w:rsidR="00E00C49" w:rsidRDefault="00E00C49" w:rsidP="00E00C49"/>
    <w:p w:rsidR="00E00C49" w:rsidRDefault="00E00C49" w:rsidP="00E00C49"/>
    <w:p w:rsidR="00E00C49" w:rsidRDefault="00E00C49" w:rsidP="00E00C49"/>
    <w:p w:rsidR="00E00C49" w:rsidRDefault="00E00C49" w:rsidP="00E00C49"/>
    <w:p w:rsidR="00E00C49" w:rsidRDefault="00E00C49" w:rsidP="00E00C49"/>
    <w:p w:rsidR="00E00C49" w:rsidRDefault="00E00C49" w:rsidP="00E00C49"/>
    <w:p w:rsidR="00E00C49" w:rsidRDefault="00E00C49" w:rsidP="00E00C49"/>
    <w:p w:rsidR="00E00C49" w:rsidRDefault="00E00C49" w:rsidP="00E00C49"/>
    <w:p w:rsidR="00E00C49" w:rsidRDefault="00E00C49" w:rsidP="00E00C49"/>
    <w:p w:rsidR="00E00C49" w:rsidRDefault="00E00C49" w:rsidP="00E00C49"/>
    <w:p w:rsidR="00067F41" w:rsidRDefault="00067F41" w:rsidP="00067F41">
      <w:pPr>
        <w:pStyle w:val="Heading2"/>
      </w:pPr>
      <w:bookmarkStart w:id="13" w:name="_Toc183102056"/>
    </w:p>
    <w:p w:rsidR="00067F41" w:rsidRDefault="00067F41" w:rsidP="00130551">
      <w:pPr>
        <w:pStyle w:val="Heading2"/>
        <w:jc w:val="center"/>
      </w:pPr>
    </w:p>
    <w:p w:rsidR="00D667A4" w:rsidRDefault="00E00C49" w:rsidP="00D667A4">
      <w:pPr>
        <w:pStyle w:val="Heading2"/>
        <w:jc w:val="center"/>
      </w:pPr>
      <w:r>
        <w:t>Introduction</w:t>
      </w:r>
      <w:bookmarkEnd w:id="13"/>
    </w:p>
    <w:p w:rsidR="00D667A4" w:rsidRDefault="00D667A4" w:rsidP="00D667A4"/>
    <w:p w:rsidR="00D667A4" w:rsidRPr="00D667A4" w:rsidRDefault="00D667A4" w:rsidP="00D667A4">
      <w:r>
        <w:t>T</w:t>
      </w:r>
      <w:r>
        <w:t>his report has been requested</w:t>
      </w:r>
      <w:r>
        <w:t xml:space="preserve"> by the Marketing Executive Officer of "Marketing Focus," the online journal produced by Tesco, to explore the intricate dynamics of sustainable relationship marketing policies and practices and their influence on organizational performance. In an era where consumer preferences are increasingly aligned with sustainability, understanding how these marketing strategies affect both customer loyalty and overall business success has become paramount. The marketing team is dedicated to investigating the methods and policies that foster long-term, mutually beneficial relationships with consumers, while also emphasizing the importance of environmental and social responsibility. Through comprehensive research, this report aims to provide actionable insights that can guide Tesco in enhancing its marketing strategies, ultimately driving improved performance in a competitive marketplace.</w:t>
      </w:r>
    </w:p>
    <w:p w:rsidR="00E00C49" w:rsidRDefault="00E00C49" w:rsidP="00E00C49"/>
    <w:p w:rsidR="00E00C49" w:rsidRDefault="00E00C49" w:rsidP="00E00C49"/>
    <w:p w:rsidR="00E00C49" w:rsidRPr="00E00C49" w:rsidRDefault="00E00C49" w:rsidP="00E00C49"/>
    <w:p w:rsidR="00E00C49" w:rsidRDefault="00E00C49" w:rsidP="00061D0D">
      <w:pPr>
        <w:pStyle w:val="Heading2"/>
        <w:jc w:val="center"/>
      </w:pPr>
      <w:bookmarkStart w:id="14" w:name="_Toc183102057"/>
      <w:r>
        <w:t>T</w:t>
      </w:r>
      <w:r w:rsidR="00061D0D">
        <w:t>esco’s background information</w:t>
      </w:r>
      <w:bookmarkEnd w:id="14"/>
    </w:p>
    <w:p w:rsidR="00F96649" w:rsidRDefault="00F96649" w:rsidP="00F96649"/>
    <w:p w:rsidR="00F96649" w:rsidRDefault="00F96649" w:rsidP="00F96649">
      <w:r>
        <w:t xml:space="preserve">                Tesco was founded in 1919 by Jack Cohen as a market stall in East London. The name "Tesco" was first used in 1924, derived from the initials of Cohen's tea supplier, T.E. Stockwell, combined with the first two letters of his own surname. The company grew steadily, opening its first store in 1929. By the 1960s, Tesco had expanded into a supermarket chain and began diversifying its product offerings. The introduction of the loyalty card in 1995 marked a significant innovation, helping Tesco to differentiate itself in the competitive retail market. Over the years, the company has also expanded internationally, operating in various countries, although it has exited some markets in response to profitability challenges. </w:t>
      </w:r>
      <w:r w:rsidRPr="006B2E24">
        <w:t>(Tesco, 2024</w:t>
      </w:r>
      <w:r>
        <w:t>)</w:t>
      </w:r>
    </w:p>
    <w:p w:rsidR="00F96649" w:rsidRDefault="00F96649" w:rsidP="00F96649">
      <w:r>
        <w:t xml:space="preserve">               As of 2024, Tesco holds 27.7% of the UK grocery market share, making it the largest supermarket chain in the country (Kantar.com, 2024). While Tesco has faced challenges from discount retailers and changing consumer preferences, it has managed to maintain its dominant position. </w:t>
      </w:r>
      <w:r w:rsidRPr="009F1068">
        <w:t>Recent strategies, including the focus on shopping online and sustainability, lead to a moderate increase rather than a decrease.</w:t>
      </w:r>
    </w:p>
    <w:p w:rsidR="00F96649" w:rsidRDefault="00F96649" w:rsidP="00F96649">
      <w:r>
        <w:t>According to Tesco's financial reports for 2024, the company posted a statutory pre-tax profit of £2.2 billion, reflecting a 159.5% increase from the previous year. This indicates a positive financial trend overall, despite challenges posed by inflation and supply chain issues (Tesco, 2024).</w:t>
      </w:r>
    </w:p>
    <w:p w:rsidR="00E00C49" w:rsidRDefault="00F96649" w:rsidP="00F96649">
      <w:r>
        <w:t xml:space="preserve">             Tesco's mission statement is "To serve shoppers a little better every day." This reflects the company’s commitment to improving customer experience and offering quality products at competitive prices. (Tesco, 2022)</w:t>
      </w:r>
    </w:p>
    <w:p w:rsidR="00E00C49" w:rsidRDefault="00E00C49" w:rsidP="00061D0D">
      <w:pPr>
        <w:jc w:val="center"/>
      </w:pPr>
    </w:p>
    <w:p w:rsidR="00E00C49" w:rsidRPr="00E00C49" w:rsidRDefault="00E00C49" w:rsidP="00061D0D">
      <w:pPr>
        <w:jc w:val="center"/>
      </w:pPr>
    </w:p>
    <w:p w:rsidR="00E00C49" w:rsidRDefault="00061D0D" w:rsidP="00061D0D">
      <w:pPr>
        <w:pStyle w:val="Heading2"/>
        <w:jc w:val="center"/>
      </w:pPr>
      <w:bookmarkStart w:id="15" w:name="_Toc183102058"/>
      <w:r>
        <w:t>Data collection/analysis/evaluation and its impact on Marketing Relationship</w:t>
      </w:r>
      <w:bookmarkEnd w:id="15"/>
    </w:p>
    <w:p w:rsidR="00130551" w:rsidRPr="00130551" w:rsidRDefault="00130551" w:rsidP="00061D0D">
      <w:pPr>
        <w:jc w:val="center"/>
      </w:pPr>
    </w:p>
    <w:p w:rsidR="00E00C49" w:rsidRDefault="00E00C49" w:rsidP="00061D0D">
      <w:pPr>
        <w:jc w:val="center"/>
      </w:pPr>
    </w:p>
    <w:p w:rsidR="00F9295E" w:rsidRDefault="00F9295E" w:rsidP="00F9295E">
      <w:r w:rsidRPr="00F9295E">
        <w:t>Marketing relationships have become a central tenet of contemporary marketing strategies, emphasizing long-term engagement with consumers rather than short-term transactions.</w:t>
      </w:r>
    </w:p>
    <w:p w:rsidR="00F9295E" w:rsidRDefault="00F9295E" w:rsidP="00143DEC">
      <w:r>
        <w:t>Establishing strong marketing relatio</w:t>
      </w:r>
      <w:r w:rsidR="00EC2D57">
        <w:t>nships fosters customer loyalty, a</w:t>
      </w:r>
      <w:r>
        <w:t xml:space="preserve">ccording to Berry (1995), relationship marketing encourages ongoing interactions that create emotional ties between customers and brands, resulting in repeat purchases and brand advocacy. </w:t>
      </w:r>
      <w:r w:rsidR="00EC2D57">
        <w:t>Although, Gummesson (2002) believes that b</w:t>
      </w:r>
      <w:r w:rsidR="00EC2D57">
        <w:t>uilding and maintaining marketing relationships can be resource-intensive, requiring significant investment in time, personnel, and technology</w:t>
      </w:r>
      <w:r w:rsidR="00EC2D57">
        <w:t xml:space="preserve">. </w:t>
      </w:r>
      <w:r>
        <w:t>Loyal customers are more likely to recommend the brand, contributing to organic growth and reducing customer acquisition costs (Kumar &amp; Shah, 2004).</w:t>
      </w:r>
      <w:r w:rsidR="00143DEC">
        <w:t xml:space="preserve"> </w:t>
      </w:r>
      <w:r>
        <w:t>Long-term relationships contribute significantly to increasing the Customer Lifetime Value (CLV). Research indicates that retaining existing customers can be five to 25 times cheaper than acquiring new ones (Reichheld &amp; Schefter, 2000), thus improving overall profitability.</w:t>
      </w:r>
      <w:r w:rsidR="00143DEC">
        <w:t xml:space="preserve"> </w:t>
      </w:r>
      <w:r w:rsidR="00EC2D57">
        <w:t>On the other hand, Homburg et.al (2011) claims that i</w:t>
      </w:r>
      <w:r w:rsidR="00EC2D57">
        <w:t xml:space="preserve">f a company invests too heavily in nurturing relationships with current customers, it may neglect opportunities to attract new customers, ultimately stunting growth </w:t>
      </w:r>
      <w:r>
        <w:t>Engaging with customers over time provides valuable insights into their pre</w:t>
      </w:r>
      <w:r w:rsidR="0057493B">
        <w:t xml:space="preserve">ferences, </w:t>
      </w:r>
      <w:r w:rsidR="001C0363">
        <w:t>behaviours</w:t>
      </w:r>
      <w:r w:rsidR="0057493B">
        <w:t xml:space="preserve">, and needs </w:t>
      </w:r>
      <w:r>
        <w:t>(Payne &amp; Frow, 2005).</w:t>
      </w:r>
      <w:r w:rsidR="00143DEC">
        <w:t xml:space="preserve"> </w:t>
      </w:r>
      <w:r>
        <w:t xml:space="preserve">A loyal customer base can act as a buffer against competitors, as customers are less likely to switch to rival brands when they feel a connection (Porter, 1985). </w:t>
      </w:r>
    </w:p>
    <w:p w:rsidR="00784B32" w:rsidRDefault="00EC6747" w:rsidP="00784B32">
      <w:r>
        <w:t xml:space="preserve">The most popular </w:t>
      </w:r>
      <w:r w:rsidR="000A3423">
        <w:t>Theories and</w:t>
      </w:r>
      <w:r>
        <w:t xml:space="preserve"> Models a</w:t>
      </w:r>
      <w:r w:rsidR="000A3423">
        <w:t>ssociated with Marketing Relationships</w:t>
      </w:r>
      <w:r>
        <w:t xml:space="preserve"> are the following: </w:t>
      </w:r>
      <w:r w:rsidR="00784B32">
        <w:t>Relationship Marketing Theory</w:t>
      </w:r>
      <w:r>
        <w:t xml:space="preserve">, </w:t>
      </w:r>
      <w:r w:rsidR="000A3423">
        <w:t>Customer Relat</w:t>
      </w:r>
      <w:r w:rsidR="00784B32">
        <w:t>ionship Management (CRM) Model</w:t>
      </w:r>
      <w:r>
        <w:t xml:space="preserve">, </w:t>
      </w:r>
      <w:r w:rsidR="000A3423">
        <w:t>Segmentation, Targeting, and Positioning (STP) Mod</w:t>
      </w:r>
      <w:r w:rsidR="00784B32">
        <w:t>el</w:t>
      </w:r>
      <w:r>
        <w:t xml:space="preserve"> and </w:t>
      </w:r>
      <w:r w:rsidR="00784B32">
        <w:t>The Marketing Mix, often referred to as the 4Ps</w:t>
      </w:r>
      <w:r>
        <w:t xml:space="preserve">. </w:t>
      </w:r>
    </w:p>
    <w:p w:rsidR="00237D27" w:rsidRDefault="00237D27" w:rsidP="00784B32"/>
    <w:p w:rsidR="00784B32" w:rsidRDefault="00784B32" w:rsidP="00EC6747">
      <w:r>
        <w:t>The landscape of marketing has evolved significantly with the advent of data analytics, digitalization, and an i</w:t>
      </w:r>
      <w:r w:rsidR="00EC6747">
        <w:t>ncreased focus on sustainability.</w:t>
      </w:r>
    </w:p>
    <w:p w:rsidR="00EC6747" w:rsidRDefault="00EC6747" w:rsidP="00EC6747"/>
    <w:p w:rsidR="00784B32" w:rsidRDefault="00784B32" w:rsidP="00784B32">
      <w:r>
        <w:t>Influence of Data</w:t>
      </w:r>
    </w:p>
    <w:p w:rsidR="00784B32" w:rsidRDefault="00784B32" w:rsidP="00784B32">
      <w:pPr>
        <w:ind w:left="360"/>
      </w:pPr>
    </w:p>
    <w:p w:rsidR="00784B32" w:rsidRDefault="00784B32" w:rsidP="00784B32">
      <w:pPr>
        <w:ind w:left="360"/>
      </w:pPr>
      <w:r>
        <w:t xml:space="preserve">Data plays a pivotal role in shaping sustainable marketing relationships. Through the collection and analysis of customer data, businesses can gain insights into consumer preferences, buying </w:t>
      </w:r>
      <w:r w:rsidR="001C0363">
        <w:t>behaviour</w:t>
      </w:r>
      <w:r>
        <w:t>, and feedback. By leveraging data effectively, companies can engage customers on a more personal level, fostering loyalty and commitment. However, reliance on data also raises concerns regarding privacy and ethical usage, as consumers become increasingly wary of how their information is handled (Martin, 2016).</w:t>
      </w:r>
    </w:p>
    <w:p w:rsidR="00784B32" w:rsidRDefault="00784B32" w:rsidP="00784B32">
      <w:pPr>
        <w:ind w:left="360"/>
      </w:pPr>
    </w:p>
    <w:p w:rsidR="00784B32" w:rsidRDefault="00784B32" w:rsidP="00784B32">
      <w:r>
        <w:t xml:space="preserve"> Pricing Strategies</w:t>
      </w:r>
    </w:p>
    <w:p w:rsidR="00784B32" w:rsidRDefault="00784B32" w:rsidP="00784B32">
      <w:pPr>
        <w:ind w:left="360"/>
      </w:pPr>
    </w:p>
    <w:p w:rsidR="00784B32" w:rsidRDefault="00784B32" w:rsidP="00784B32">
      <w:pPr>
        <w:ind w:left="360"/>
      </w:pPr>
      <w:r>
        <w:lastRenderedPageBreak/>
        <w:t>Effective pricing strategies are essential for maintaining sustainable marketing relationships</w:t>
      </w:r>
      <w:r w:rsidR="00237D27">
        <w:t>.</w:t>
      </w:r>
      <w:r>
        <w:t xml:space="preserve"> Dynamic pricing, which adjusts prices based on demand and customer </w:t>
      </w:r>
      <w:r w:rsidR="001C0363">
        <w:t>behaviour</w:t>
      </w:r>
      <w:r>
        <w:t xml:space="preserve">, can enhance customer satisfaction but may also lead to perceptions of unfairness if not managed transparently (Klein &amp; Ford, 2003). </w:t>
      </w:r>
    </w:p>
    <w:p w:rsidR="00784B32" w:rsidRDefault="00784B32" w:rsidP="00784B32">
      <w:pPr>
        <w:ind w:left="360"/>
      </w:pPr>
    </w:p>
    <w:p w:rsidR="00784B32" w:rsidRDefault="00784B32" w:rsidP="00784B32">
      <w:r>
        <w:t xml:space="preserve"> Segmentation</w:t>
      </w:r>
    </w:p>
    <w:p w:rsidR="00784B32" w:rsidRDefault="00784B32" w:rsidP="00784B32">
      <w:pPr>
        <w:ind w:left="360"/>
      </w:pPr>
    </w:p>
    <w:p w:rsidR="00784B32" w:rsidRDefault="00784B32" w:rsidP="00784B32">
      <w:pPr>
        <w:ind w:left="360"/>
      </w:pPr>
      <w:r>
        <w:t>Segmentation allows businesses to identify and target distinct customer groups based on shared characteristics. This targeted approach enables more relevant marketing communications and product offerings, leading to improved customer engagement (Kotler &amp; Keller, 2016). However, overly narrow segmentation can alienate broader audiences and limit growth potential (Wedell &amp; Gibbons, 1991).</w:t>
      </w:r>
    </w:p>
    <w:p w:rsidR="00784B32" w:rsidRDefault="00784B32" w:rsidP="00784B32">
      <w:pPr>
        <w:ind w:left="360"/>
      </w:pPr>
    </w:p>
    <w:p w:rsidR="00784B32" w:rsidRDefault="00784B32" w:rsidP="00784B32">
      <w:r>
        <w:t xml:space="preserve"> Importance of Marketing Growth and Market Share</w:t>
      </w:r>
    </w:p>
    <w:p w:rsidR="00784B32" w:rsidRDefault="00784B32" w:rsidP="00784B32">
      <w:pPr>
        <w:ind w:left="360"/>
      </w:pPr>
    </w:p>
    <w:p w:rsidR="00784B32" w:rsidRDefault="00784B32" w:rsidP="00784B32">
      <w:pPr>
        <w:ind w:left="360"/>
      </w:pPr>
      <w:r>
        <w:t>Sustainable marketing relationships are integral to achieving marketing growth and increasing market share. Companies that invest in relationship marketing often experience higher customer retention rates, which can drive profitability and market expansion (Reichheld &amp; Schefter, 2000). However, focusing too heavily on existing relationships may hinder new customer acquisition efforts, leading to stagnation (Homburg et al., 2011).</w:t>
      </w:r>
    </w:p>
    <w:p w:rsidR="00784B32" w:rsidRDefault="00784B32" w:rsidP="00784B32">
      <w:pPr>
        <w:ind w:left="360"/>
      </w:pPr>
    </w:p>
    <w:p w:rsidR="00784B32" w:rsidRDefault="00784B32" w:rsidP="00784B32">
      <w:r>
        <w:t xml:space="preserve"> Differentiation</w:t>
      </w:r>
    </w:p>
    <w:p w:rsidR="00784B32" w:rsidRDefault="00784B32" w:rsidP="00784B32">
      <w:pPr>
        <w:ind w:left="360"/>
      </w:pPr>
    </w:p>
    <w:p w:rsidR="00784B32" w:rsidRDefault="00784B32" w:rsidP="00784B32">
      <w:pPr>
        <w:ind w:left="360"/>
      </w:pPr>
      <w:r>
        <w:t>Differentiation is crucial for standing out in a competitive marketplace. By offering unique products or services, companies can create a distinct identity that resonates with consumers (Porter, 1985). Yet, excessive focus on differentiation can lead to increased costs and complexity, which may undermine profitability if not managed carefully (Aaker, 1996).</w:t>
      </w:r>
    </w:p>
    <w:p w:rsidR="00784B32" w:rsidRDefault="00784B32" w:rsidP="00784B32">
      <w:pPr>
        <w:ind w:left="360"/>
      </w:pPr>
    </w:p>
    <w:p w:rsidR="00784B32" w:rsidRDefault="00784B32" w:rsidP="00784B32">
      <w:r>
        <w:t xml:space="preserve"> Ethical and Sustainability Policies</w:t>
      </w:r>
    </w:p>
    <w:p w:rsidR="00784B32" w:rsidRDefault="00784B32" w:rsidP="00784B32">
      <w:pPr>
        <w:ind w:left="360"/>
      </w:pPr>
    </w:p>
    <w:p w:rsidR="00784B32" w:rsidRDefault="00784B32" w:rsidP="00784B32">
      <w:pPr>
        <w:ind w:left="360"/>
      </w:pPr>
      <w:r>
        <w:t>Ethical and sustainability policies are increasingly important in building sustainable marketing relationships. Consumers are more inclined to support brands that demonstrate social responsibility and commitment to sustainable practices (Elkington, 1997). However, greenwashing—where companies falsely claim sustainability—can damage reputations and trust if consumers perceive insincerity (Lyon &amp; Montgomery, 2015).</w:t>
      </w:r>
    </w:p>
    <w:p w:rsidR="00784B32" w:rsidRDefault="00784B32" w:rsidP="00784B32">
      <w:pPr>
        <w:ind w:left="360"/>
      </w:pPr>
    </w:p>
    <w:p w:rsidR="00784B32" w:rsidRDefault="00784B32" w:rsidP="00784B32">
      <w:r>
        <w:t xml:space="preserve"> Influence of Digital and Social Media Policies</w:t>
      </w:r>
    </w:p>
    <w:p w:rsidR="00784B32" w:rsidRDefault="00784B32" w:rsidP="00784B32">
      <w:pPr>
        <w:ind w:left="360"/>
      </w:pPr>
    </w:p>
    <w:p w:rsidR="000A3423" w:rsidRDefault="00784B32" w:rsidP="00784B32">
      <w:pPr>
        <w:ind w:left="360"/>
      </w:pPr>
      <w:r>
        <w:t xml:space="preserve">Digital and social media have transformed marketing strategies, providing platforms for direct engagement with consumers. These channels allow for real-time feedback and interaction, fostering a sense of community around brands (Kaplan &amp; Haenlein, 2010). Effective social media policies can enhance customer relationships by promoting transparency and responsiveness. However, mismanagement of social </w:t>
      </w:r>
      <w:r>
        <w:lastRenderedPageBreak/>
        <w:t>media can lead to negative perceptions and damage brand reputation, highlighting the need for careful strategy and moni</w:t>
      </w:r>
      <w:r>
        <w:t>toring (Mangold &amp; Faulds, 2009).</w:t>
      </w:r>
    </w:p>
    <w:p w:rsidR="00F9295E" w:rsidRDefault="00F9295E" w:rsidP="00F9295E"/>
    <w:p w:rsidR="00E00C49" w:rsidRPr="00E00C49" w:rsidRDefault="00E00C49" w:rsidP="00061D0D">
      <w:pPr>
        <w:jc w:val="center"/>
      </w:pPr>
    </w:p>
    <w:p w:rsidR="00E00C49" w:rsidRDefault="00061D0D" w:rsidP="00061D0D">
      <w:pPr>
        <w:pStyle w:val="Heading2"/>
        <w:jc w:val="center"/>
      </w:pPr>
      <w:bookmarkStart w:id="16" w:name="_Toc183102059"/>
      <w:r>
        <w:t>Tesco’s Marketing Relationship strategies</w:t>
      </w:r>
      <w:bookmarkEnd w:id="16"/>
    </w:p>
    <w:p w:rsidR="00130551" w:rsidRDefault="00130551" w:rsidP="00061D0D">
      <w:pPr>
        <w:jc w:val="center"/>
      </w:pPr>
    </w:p>
    <w:p w:rsidR="00784B32" w:rsidRDefault="00784B32" w:rsidP="00784B32">
      <w:r>
        <w:t>Tesco, one of the largest supermarket chains in the UK, employs a comprehensive marketing relationship strategy that focuses on segmentation, pricing strategies, differentiation, and ethical and sustainability practices. These elements are essential in achieving customer centrality and fostering long-term relationships with consumers.</w:t>
      </w:r>
    </w:p>
    <w:p w:rsidR="00784B32" w:rsidRDefault="00784B32" w:rsidP="00784B32"/>
    <w:p w:rsidR="00784B32" w:rsidRDefault="00784B32" w:rsidP="00784B32">
      <w:r>
        <w:t>Segmentation</w:t>
      </w:r>
    </w:p>
    <w:p w:rsidR="00784B32" w:rsidRDefault="00784B32" w:rsidP="00784B32"/>
    <w:p w:rsidR="00784B32" w:rsidRDefault="00784B32" w:rsidP="00784B32">
      <w:r>
        <w:t>Tesco uses a variety of segmentation strategies to target different customer groups effectively. This includes demographic segmentation (age, income, family size), geographic segmentation (location-based preferences), and psychographic segmentation (lifestyle and values). By understanding the diverse needs and preferences of its customer base, Tesco can tailor its marketing efforts, product offerings, and promotions. For instance, the introduction of the Tesco Finest range caters to high-income consumers looking for premium products, while the Tesco Value line targets budget-conscious shoppers (Kotler &amp; Keller, 2016).</w:t>
      </w:r>
    </w:p>
    <w:p w:rsidR="000B6723" w:rsidRDefault="000B6723" w:rsidP="00784B32"/>
    <w:p w:rsidR="00784B32" w:rsidRDefault="00784B32" w:rsidP="00784B32">
      <w:r>
        <w:t>Pricing Strategies</w:t>
      </w:r>
    </w:p>
    <w:p w:rsidR="00784B32" w:rsidRDefault="00784B32" w:rsidP="00784B32"/>
    <w:p w:rsidR="00784B32" w:rsidRDefault="00784B32" w:rsidP="00784B32">
      <w:r>
        <w:t>Tesco employs a dynamic pricing strategy that includes everyday low pricing, promotional pricing, and loyalty discounts. The "Price Promise" initiative reassures customers that they are getting good value for their money compared to competitors. Additionally, the Clubcard loyalty program offers personalized discounts based on shopping habits, incentivizing repeat purchases. This pricing strategy not only enhances customer satisfaction but also encourages brand loyalty (Gonzalez-Benito &amp; Gonzalez-Benito, 2005).</w:t>
      </w:r>
    </w:p>
    <w:p w:rsidR="00784B32" w:rsidRDefault="00784B32" w:rsidP="00784B32"/>
    <w:p w:rsidR="00784B32" w:rsidRDefault="00784B32" w:rsidP="00784B32">
      <w:r>
        <w:t>Differentiation</w:t>
      </w:r>
    </w:p>
    <w:p w:rsidR="00784B32" w:rsidRDefault="00784B32" w:rsidP="00784B32"/>
    <w:p w:rsidR="00784B32" w:rsidRDefault="00784B32" w:rsidP="00784B32">
      <w:r>
        <w:t>Differentiation is another crucial aspect of Tesco's marketing strategy. The supermarket distinguishes itself through its extensive product range, including exclusive brands and organic products. Tesco also emphasizes customer service, offering convenient online shopping and delivery services. By providing unique value propositions, Tesco can attract and retain customers who may otherwise choose competitors (Porter, 1985).</w:t>
      </w:r>
    </w:p>
    <w:p w:rsidR="00784B32" w:rsidRDefault="00784B32" w:rsidP="00784B32"/>
    <w:p w:rsidR="00784B32" w:rsidRDefault="00784B32" w:rsidP="00784B32">
      <w:r>
        <w:t>Ethical and Sustainability Policies</w:t>
      </w:r>
    </w:p>
    <w:p w:rsidR="00784B32" w:rsidRDefault="00784B32" w:rsidP="00784B32"/>
    <w:p w:rsidR="00784B32" w:rsidRDefault="00784B32" w:rsidP="00784B32">
      <w:r>
        <w:t xml:space="preserve">Tesco places a strong emphasis on ethical practices and sustainability. The company has committed to reducing its carbon footprint, eliminating plastic waste, and sourcing products responsibly. For example, Tesco's "Little Helps Plan" focuses on reducing food waste and supporting local communities. These initiatives resonate with socially </w:t>
      </w:r>
      <w:r>
        <w:lastRenderedPageBreak/>
        <w:t>conscious consumers and enhance Tesco's brand image, ultimately leading to increased customer loyalty (Elkington, 1999).</w:t>
      </w:r>
    </w:p>
    <w:p w:rsidR="00784B32" w:rsidRDefault="00784B32" w:rsidP="00784B32"/>
    <w:p w:rsidR="00784B32" w:rsidRDefault="00784B32" w:rsidP="00784B32">
      <w:r>
        <w:t>Achieving Customer Centrality</w:t>
      </w:r>
    </w:p>
    <w:p w:rsidR="00784B32" w:rsidRDefault="00784B32" w:rsidP="00784B32"/>
    <w:p w:rsidR="00784B32" w:rsidRDefault="00784B32" w:rsidP="00784B32">
      <w:r>
        <w:t>By integrating these strategies, Tesco aims to achieve customer centrality, ensuring that customers' needs and preferences are at the forefront of its operations. Segmenting the market allows Tesco to deliver personalized experiences, while competitive pricing fosters trust and value. Differentiation through quality and service enhances customer satisfaction, and ethical practices align with the values of modern consumers.</w:t>
      </w:r>
    </w:p>
    <w:p w:rsidR="000B6723" w:rsidRDefault="000B6723" w:rsidP="00784B32"/>
    <w:p w:rsidR="00784B32" w:rsidRDefault="00784B32" w:rsidP="00784B32">
      <w:r>
        <w:t>Areas for Improvement</w:t>
      </w:r>
    </w:p>
    <w:p w:rsidR="00784B32" w:rsidRDefault="00784B32" w:rsidP="00784B32"/>
    <w:p w:rsidR="00784B32" w:rsidRDefault="00784B32" w:rsidP="00784B32">
      <w:r>
        <w:t>Despite its strengths, Tesco can improve in several areas to enhance customer centrality further:</w:t>
      </w:r>
    </w:p>
    <w:p w:rsidR="00784B32" w:rsidRDefault="00784B32" w:rsidP="00784B32"/>
    <w:p w:rsidR="00784B32" w:rsidRDefault="000B6723" w:rsidP="00784B32">
      <w:r>
        <w:t xml:space="preserve">1. </w:t>
      </w:r>
      <w:r w:rsidR="00784B32">
        <w:t>Enhanced Personal</w:t>
      </w:r>
      <w:r>
        <w:t>ization</w:t>
      </w:r>
      <w:r w:rsidR="00784B32">
        <w:t>: While the Clubcard program offers some level of personalization, Tesco could leverage advanced data analytics to provide even more tailored promotions and product recommendations.</w:t>
      </w:r>
    </w:p>
    <w:p w:rsidR="00784B32" w:rsidRDefault="00784B32" w:rsidP="00784B32"/>
    <w:p w:rsidR="00784B32" w:rsidRDefault="000B6723" w:rsidP="00784B32">
      <w:r>
        <w:t>2. Transparency in Sustainability</w:t>
      </w:r>
      <w:r w:rsidR="00784B32">
        <w:t xml:space="preserve">: Although Tesco has made strides in sustainability, increasing transparency regarding sourcing and environmental impact can build greater trust with consumers. </w:t>
      </w:r>
    </w:p>
    <w:p w:rsidR="00784B32" w:rsidRDefault="00784B32" w:rsidP="00784B32"/>
    <w:p w:rsidR="00784B32" w:rsidRDefault="000B6723" w:rsidP="00784B32">
      <w:r>
        <w:t>3. Community Engagement</w:t>
      </w:r>
      <w:r w:rsidR="00784B32">
        <w:t>: Strengthening community engagement initiatives can enhance brand loyalty and customer relationships. Involving customers in sustainability practices through programs like community gardens or local sourcing can create a deeper connection.</w:t>
      </w:r>
    </w:p>
    <w:p w:rsidR="00067F41" w:rsidRDefault="00067F41" w:rsidP="00784B32"/>
    <w:p w:rsidR="000B6723" w:rsidRDefault="000B6723" w:rsidP="000B6723">
      <w:r>
        <w:t>Tesco employs various marketing models and theories to enhance its strategic approa</w:t>
      </w:r>
      <w:r w:rsidR="00EC6747">
        <w:t>ch and optimize its operations, such as:</w:t>
      </w:r>
    </w:p>
    <w:p w:rsidR="00EC6747" w:rsidRDefault="00EC6747" w:rsidP="000B6723"/>
    <w:p w:rsidR="000B6723" w:rsidRDefault="000B6723" w:rsidP="000B6723">
      <w:r>
        <w:t>1. Marketing Mix (4Ps)</w:t>
      </w:r>
    </w:p>
    <w:p w:rsidR="000B6723" w:rsidRDefault="000B6723" w:rsidP="000B6723"/>
    <w:p w:rsidR="000B6723" w:rsidRDefault="000B6723" w:rsidP="000B6723">
      <w:r>
        <w:t>The Marketing Mix, often referred to as the 4Ps (Product, Price, Place, Promotion), is a foundational model that Tesco utilizes to tailor its offerings and engage with customers effectively.</w:t>
      </w:r>
    </w:p>
    <w:p w:rsidR="000B6723" w:rsidRDefault="000B6723" w:rsidP="000B6723"/>
    <w:p w:rsidR="000B6723" w:rsidRDefault="00067F41" w:rsidP="000B6723">
      <w:r>
        <w:t>- Product</w:t>
      </w:r>
      <w:r w:rsidR="000B6723">
        <w:t>: Tesco offers a diverse range of products, including its own private labels such as Tesco Finest and Tesco Value. This segmentation allows the supermarket to cater to various customer preferences and price points (Kotler &amp; Keller, 2016).</w:t>
      </w:r>
    </w:p>
    <w:p w:rsidR="000B6723" w:rsidRDefault="000B6723" w:rsidP="000B6723">
      <w:r>
        <w:t xml:space="preserve">  </w:t>
      </w:r>
    </w:p>
    <w:p w:rsidR="000B6723" w:rsidRDefault="00067F41" w:rsidP="000B6723">
      <w:r>
        <w:t>- Price</w:t>
      </w:r>
      <w:r w:rsidR="000B6723">
        <w:t>: Tesco employs competitive pricing strategies, including discounts, promotions, and its Price Promise initiative, which assures customers they are getting the best prices compared to competitors (Gonzalez-Benito &amp; Gonzalez-Benito, 2005).</w:t>
      </w:r>
    </w:p>
    <w:p w:rsidR="000B6723" w:rsidRDefault="000B6723" w:rsidP="000B6723"/>
    <w:p w:rsidR="000B6723" w:rsidRDefault="00067F41" w:rsidP="000B6723">
      <w:r>
        <w:lastRenderedPageBreak/>
        <w:t>- Place</w:t>
      </w:r>
      <w:r w:rsidR="000B6723">
        <w:t>: With a large network of stores, Tesco ensures accessibility for customers, including hypermarkets, convenience stores, and an online shopping platform that enhances customer convenience and expands market reach.</w:t>
      </w:r>
    </w:p>
    <w:p w:rsidR="000B6723" w:rsidRDefault="000B6723" w:rsidP="000B6723"/>
    <w:p w:rsidR="000B6723" w:rsidRDefault="00067F41" w:rsidP="000B6723">
      <w:r>
        <w:t>- Promotion</w:t>
      </w:r>
      <w:r w:rsidR="000B6723">
        <w:t>: Tesco uses various promotional strategies, including advertising, loyalty programs (like the Clubcard), and targeted marketing campaigns that leverage customer data to personalize offers (Chaffey &amp; Ellis-Chadwick, 2019).</w:t>
      </w:r>
    </w:p>
    <w:p w:rsidR="000B6723" w:rsidRDefault="000B6723" w:rsidP="000B6723"/>
    <w:p w:rsidR="000B6723" w:rsidRDefault="000B6723" w:rsidP="000B6723">
      <w:r>
        <w:t>2. STP Model (Segmentation, Targeting, Positioning)</w:t>
      </w:r>
    </w:p>
    <w:p w:rsidR="000B6723" w:rsidRDefault="000B6723" w:rsidP="000B6723"/>
    <w:p w:rsidR="000B6723" w:rsidRDefault="000B6723" w:rsidP="000B6723">
      <w:r>
        <w:t>The STP model is crucial for Tesco’s marketing strategy, allowing the company to identify and cater to specific customer segments.</w:t>
      </w:r>
    </w:p>
    <w:p w:rsidR="000B6723" w:rsidRDefault="000B6723" w:rsidP="000B6723"/>
    <w:p w:rsidR="000B6723" w:rsidRDefault="00067F41" w:rsidP="000B6723">
      <w:r>
        <w:t>- Segmentation</w:t>
      </w:r>
      <w:r w:rsidR="000B6723">
        <w:t xml:space="preserve">: Tesco segments its market based on demographics, lifestyles, and shopping </w:t>
      </w:r>
      <w:r w:rsidR="001C0363">
        <w:t>behaviours</w:t>
      </w:r>
      <w:r w:rsidR="000B6723">
        <w:t>. For example, it targets families with children through promotions on bulk purchases and convenience products (Smith, 1956).</w:t>
      </w:r>
    </w:p>
    <w:p w:rsidR="000B6723" w:rsidRDefault="000B6723" w:rsidP="000B6723"/>
    <w:p w:rsidR="000B6723" w:rsidRDefault="00067F41" w:rsidP="000B6723">
      <w:r>
        <w:t>- Targeting</w:t>
      </w:r>
      <w:r w:rsidR="000B6723">
        <w:t>: Tesco employs differentiated targeting strategies, focusing on various segments such as budget-conscious shoppers through its Tesco Value line and premium shoppers with its Finest range.</w:t>
      </w:r>
    </w:p>
    <w:p w:rsidR="000B6723" w:rsidRDefault="000B6723" w:rsidP="000B6723"/>
    <w:p w:rsidR="000B6723" w:rsidRDefault="000B6723" w:rsidP="000B6723">
      <w:r>
        <w:t>-</w:t>
      </w:r>
      <w:r w:rsidR="00067F41">
        <w:t>Positioning</w:t>
      </w:r>
      <w:r>
        <w:t>: Tesco positions itself as a customer-oriented retailer that offers value for money, quality products, and convenience. Its branding and marketing communications emphasize its commitment to customer satisfaction and community engagement (Kotler &amp; Keller, 2016).</w:t>
      </w:r>
    </w:p>
    <w:p w:rsidR="000B6723" w:rsidRDefault="000B6723" w:rsidP="000B6723"/>
    <w:p w:rsidR="000B6723" w:rsidRDefault="000B6723" w:rsidP="000B6723">
      <w:r>
        <w:t>3. Ansoff Matrix</w:t>
      </w:r>
    </w:p>
    <w:p w:rsidR="000B6723" w:rsidRDefault="000B6723" w:rsidP="000B6723"/>
    <w:p w:rsidR="000B6723" w:rsidRDefault="000B6723" w:rsidP="000B6723">
      <w:r>
        <w:t>The Ansoff Matrix helps Tesco evaluate growth strategies through four quadrants: Market Penetration, Product Development, Market Development, and Diversification.</w:t>
      </w:r>
    </w:p>
    <w:p w:rsidR="000B6723" w:rsidRDefault="000B6723" w:rsidP="000B6723"/>
    <w:p w:rsidR="000B6723" w:rsidRDefault="00067F41" w:rsidP="000B6723">
      <w:r>
        <w:t>- Market Penetration</w:t>
      </w:r>
      <w:r w:rsidR="000B6723">
        <w:t>: Tesco focuses on increasing its market share through promotions and enhancing customer loyalty via the Clubcard program.</w:t>
      </w:r>
    </w:p>
    <w:p w:rsidR="000B6723" w:rsidRDefault="000B6723" w:rsidP="000B6723"/>
    <w:p w:rsidR="000B6723" w:rsidRDefault="00067F41" w:rsidP="000B6723">
      <w:r>
        <w:t xml:space="preserve">- </w:t>
      </w:r>
      <w:r w:rsidR="000B6723">
        <w:t>Product Develo</w:t>
      </w:r>
      <w:r>
        <w:t>pment</w:t>
      </w:r>
      <w:r w:rsidR="000B6723">
        <w:t>: The introduction of new product lines, such as organic foods and ready-to-eat meals, reflects Tesco's commitment to product innovation and responding to consumer trends.</w:t>
      </w:r>
    </w:p>
    <w:p w:rsidR="000B6723" w:rsidRDefault="000B6723" w:rsidP="000B6723"/>
    <w:p w:rsidR="000B6723" w:rsidRDefault="00067F41" w:rsidP="000B6723">
      <w:r>
        <w:t>- Market Development</w:t>
      </w:r>
      <w:r w:rsidR="000B6723">
        <w:t>: Tesco has expanded its presence in international markets, such as Asia and Europe, adapting its offerings to suit local tastes and preferences.</w:t>
      </w:r>
    </w:p>
    <w:p w:rsidR="000B6723" w:rsidRDefault="000B6723" w:rsidP="000B6723"/>
    <w:p w:rsidR="000B6723" w:rsidRDefault="00067F41" w:rsidP="000B6723">
      <w:r>
        <w:t>- Diversification</w:t>
      </w:r>
      <w:r w:rsidR="000B6723">
        <w:t>: Tesco has also ventured into non-food sectors and services, including banking (Tesco Bank) and mobile services, which diversify its revenue streams (Ansoff, 1957).</w:t>
      </w:r>
    </w:p>
    <w:p w:rsidR="000B6723" w:rsidRDefault="000B6723" w:rsidP="000B6723"/>
    <w:p w:rsidR="000B6723" w:rsidRDefault="000B6723" w:rsidP="00EC6747">
      <w:r>
        <w:t xml:space="preserve"> </w:t>
      </w:r>
    </w:p>
    <w:p w:rsidR="000B6723" w:rsidRDefault="000B6723" w:rsidP="00784B32"/>
    <w:p w:rsidR="00130551" w:rsidRDefault="00130551" w:rsidP="00784B32"/>
    <w:p w:rsidR="00130551" w:rsidRDefault="00130551" w:rsidP="00061D0D">
      <w:pPr>
        <w:jc w:val="center"/>
      </w:pPr>
    </w:p>
    <w:p w:rsidR="00130551" w:rsidRPr="00130551" w:rsidRDefault="00130551" w:rsidP="00061D0D">
      <w:pPr>
        <w:jc w:val="center"/>
      </w:pPr>
    </w:p>
    <w:p w:rsidR="00E00C49" w:rsidRDefault="00061D0D" w:rsidP="00061D0D">
      <w:pPr>
        <w:pStyle w:val="Heading2"/>
        <w:jc w:val="center"/>
      </w:pPr>
      <w:bookmarkStart w:id="17" w:name="_Toc183102060"/>
      <w:r>
        <w:t>Conclusion</w:t>
      </w:r>
      <w:bookmarkEnd w:id="17"/>
    </w:p>
    <w:p w:rsidR="005A6861" w:rsidRDefault="005A6861" w:rsidP="00061D0D">
      <w:pPr>
        <w:jc w:val="center"/>
      </w:pPr>
    </w:p>
    <w:p w:rsidR="000B6723" w:rsidRDefault="00067F41" w:rsidP="000B6723">
      <w:r>
        <w:t>In conclusion</w:t>
      </w:r>
      <w:r w:rsidR="000B6723">
        <w:t>, while marketing relationships offer substantial benefits, including enhanced customer loyalty, increased CLV, improved customer insights, and competitive advantages, they also present significant drawbacks such as resource intensity, risk of over-reliance, potential misalignment with customer needs, and privacy concerns. Companies must carefully balance these factors to leverage marketing relationships effectively.</w:t>
      </w:r>
      <w:r w:rsidR="000B6723" w:rsidRPr="000B6723">
        <w:t xml:space="preserve"> </w:t>
      </w:r>
      <w:r w:rsidR="000B6723">
        <w:t>T</w:t>
      </w:r>
      <w:r w:rsidR="000B6723">
        <w:t>he influences of data, pricing strategies, segmentation, marketing growth and market share, differentiation, ethical and sustainability practices, and digital and social media policies significantly shape sustainable marketing relationships. While these elements provide opportunities for deeper customer engagement and loyalty, they also present challenges that organizations must navigate carefully. A balanced approach that prioritizes customer needs, ethical considerations, and effective communication is essential for fostering long-lasting marketing relationships.</w:t>
      </w:r>
    </w:p>
    <w:p w:rsidR="000B6723" w:rsidRDefault="000B6723" w:rsidP="000B6723">
      <w:r>
        <w:t>Tesco's marketing relationship strategy, underpinned by segmentation, pricing, differentiation, and ethical practices, effectively supports its goal of customer centrality. However, by focusing on enhanced personalization, transparency, and community engagement, Tesco can further solidify its relationships with consumers and adapt to the evolving marketplace.</w:t>
      </w:r>
      <w:r w:rsidRPr="000B6723">
        <w:t xml:space="preserve"> </w:t>
      </w:r>
      <w:r>
        <w:t>By employing the Marketing Mix, STP model, and Ansoff Matrix, Tesco effectively navigates the competitive retail landscape. These marketing models provide a structured approach to understanding customer needs, optimizing product offerings, and identifying growth opportunities, ensuring that Tesco remains a market leader.</w:t>
      </w:r>
    </w:p>
    <w:p w:rsidR="000B6723" w:rsidRDefault="000B6723" w:rsidP="000B6723"/>
    <w:p w:rsidR="000B6723" w:rsidRDefault="000B6723" w:rsidP="000B6723"/>
    <w:p w:rsidR="005A6861" w:rsidRDefault="005A6861" w:rsidP="000B6723"/>
    <w:p w:rsidR="005A6861" w:rsidRDefault="005A6861" w:rsidP="00061D0D">
      <w:pPr>
        <w:jc w:val="center"/>
      </w:pPr>
    </w:p>
    <w:p w:rsidR="005A6861" w:rsidRDefault="005A6861" w:rsidP="00061D0D">
      <w:pPr>
        <w:jc w:val="center"/>
      </w:pPr>
    </w:p>
    <w:p w:rsidR="005A6861" w:rsidRDefault="005A6861" w:rsidP="00061D0D">
      <w:pPr>
        <w:pStyle w:val="Heading2"/>
        <w:jc w:val="center"/>
      </w:pPr>
      <w:bookmarkStart w:id="18" w:name="_Toc183102061"/>
      <w:r>
        <w:t>References</w:t>
      </w:r>
      <w:bookmarkEnd w:id="18"/>
    </w:p>
    <w:p w:rsidR="00EB0F19" w:rsidRDefault="00EB0F19" w:rsidP="00EB0F19"/>
    <w:p w:rsidR="00EB0F19" w:rsidRPr="00EB0F19" w:rsidRDefault="00EB0F19" w:rsidP="00EB0F19"/>
    <w:p w:rsidR="00EB0F19" w:rsidRDefault="00EB0F19" w:rsidP="002D57CE"/>
    <w:p w:rsidR="00EB0F19" w:rsidRDefault="00EB0F19" w:rsidP="00237D27">
      <w:pPr>
        <w:pStyle w:val="ListParagraph"/>
        <w:numPr>
          <w:ilvl w:val="0"/>
          <w:numId w:val="2"/>
        </w:numPr>
      </w:pPr>
      <w:r>
        <w:t>Aaker, D. A. (1996). *Building Strong Brands*. Free Press.</w:t>
      </w:r>
    </w:p>
    <w:p w:rsidR="00EB0F19" w:rsidRDefault="00EB0F19" w:rsidP="00237D27">
      <w:pPr>
        <w:pStyle w:val="ListParagraph"/>
        <w:numPr>
          <w:ilvl w:val="0"/>
          <w:numId w:val="2"/>
        </w:numPr>
      </w:pPr>
      <w:r>
        <w:t>Ansoff, H. I. (1957). *Strategies for Diversification*. Harvard Business Review.</w:t>
      </w:r>
    </w:p>
    <w:p w:rsidR="00EB0F19" w:rsidRDefault="00EB0F19" w:rsidP="00237D27">
      <w:pPr>
        <w:pStyle w:val="ListParagraph"/>
        <w:numPr>
          <w:ilvl w:val="0"/>
          <w:numId w:val="2"/>
        </w:numPr>
      </w:pPr>
      <w:r>
        <w:t>Berry, L. L. (1995). Relationship Marketing of Services—Growing Interest, Emerging Perspectives. *Journal of the Academy of Marketing Science*, 23(4), 236-245.</w:t>
      </w:r>
    </w:p>
    <w:p w:rsidR="00EB0F19" w:rsidRDefault="00EB0F19" w:rsidP="00237D27">
      <w:pPr>
        <w:pStyle w:val="ListParagraph"/>
        <w:numPr>
          <w:ilvl w:val="0"/>
          <w:numId w:val="2"/>
        </w:numPr>
      </w:pPr>
      <w:r>
        <w:t>Borden, N. H. (1964). The Concept of the Marketing Mix. *Journal of Advertising Research*, 4(2), 2-7.</w:t>
      </w:r>
    </w:p>
    <w:p w:rsidR="00EB0F19" w:rsidRDefault="00EB0F19" w:rsidP="00237D27">
      <w:pPr>
        <w:pStyle w:val="ListParagraph"/>
        <w:numPr>
          <w:ilvl w:val="0"/>
          <w:numId w:val="2"/>
        </w:numPr>
      </w:pPr>
      <w:r>
        <w:t>Chaffey, D., &amp; Ellis-Chadwick, F. (2019). *Digital Marketing*. Pearson Education.</w:t>
      </w:r>
    </w:p>
    <w:p w:rsidR="00EB0F19" w:rsidRDefault="00EB0F19" w:rsidP="00237D27">
      <w:pPr>
        <w:pStyle w:val="ListParagraph"/>
        <w:numPr>
          <w:ilvl w:val="0"/>
          <w:numId w:val="2"/>
        </w:numPr>
      </w:pPr>
      <w:r>
        <w:lastRenderedPageBreak/>
        <w:t>Elkington, J. (1997). *Cannibals with Forks: The Triple Bottom Line of 21st Century Business*. Capstone.</w:t>
      </w:r>
    </w:p>
    <w:p w:rsidR="00EB0F19" w:rsidRDefault="00EB0F19" w:rsidP="00237D27">
      <w:pPr>
        <w:pStyle w:val="ListParagraph"/>
        <w:numPr>
          <w:ilvl w:val="0"/>
          <w:numId w:val="2"/>
        </w:numPr>
      </w:pPr>
      <w:r>
        <w:t>Elkington, J. (1999). *Cannibals with Forks: The Triple Bottom Line of 21st Century Business*. Capstone Publishing.</w:t>
      </w:r>
    </w:p>
    <w:p w:rsidR="00EB0F19" w:rsidRDefault="00EB0F19" w:rsidP="00237D27">
      <w:pPr>
        <w:pStyle w:val="ListParagraph"/>
        <w:numPr>
          <w:ilvl w:val="0"/>
          <w:numId w:val="2"/>
        </w:numPr>
      </w:pPr>
      <w:r>
        <w:t>Gonzalez-Benito, O., &amp; Gonzalez-Benito, J. (2005). "A review of determinant factors of the environmental commitment of the firms." *International Journal of Management Reviews*, 7(2), 63-75.</w:t>
      </w:r>
    </w:p>
    <w:p w:rsidR="00EB0F19" w:rsidRDefault="00EB0F19" w:rsidP="00237D27">
      <w:pPr>
        <w:pStyle w:val="ListParagraph"/>
        <w:numPr>
          <w:ilvl w:val="0"/>
          <w:numId w:val="2"/>
        </w:numPr>
      </w:pPr>
      <w:r>
        <w:t>Gummesson, E. (2002). Relationship Marketing in the New Economy. *Journal of Relationship Marketing*, 1(1), 37-57.</w:t>
      </w:r>
    </w:p>
    <w:p w:rsidR="00EB0F19" w:rsidRDefault="00EB0F19" w:rsidP="00237D27">
      <w:pPr>
        <w:pStyle w:val="ListParagraph"/>
        <w:numPr>
          <w:ilvl w:val="0"/>
          <w:numId w:val="2"/>
        </w:numPr>
      </w:pPr>
      <w:r>
        <w:t>Homburg, C., Müller, M., &amp; Klarmann, M. (2011). When Should the Customer Really Be King? On the Optimum Level of Customer Participation in New Product Development. *Journal of Marketing*, 75(5), 90-105.</w:t>
      </w:r>
    </w:p>
    <w:p w:rsidR="00EB0F19" w:rsidRDefault="00EB0F19" w:rsidP="00237D27">
      <w:pPr>
        <w:pStyle w:val="ListParagraph"/>
        <w:numPr>
          <w:ilvl w:val="0"/>
          <w:numId w:val="2"/>
        </w:numPr>
      </w:pPr>
      <w:r>
        <w:t xml:space="preserve">Kantar.com. (2024). Grocery growth slows but financial outlook brightens for shoppers. [online] Available at: </w:t>
      </w:r>
      <w:hyperlink r:id="rId13" w:history="1">
        <w:r w:rsidRPr="00CD1E3C">
          <w:rPr>
            <w:rStyle w:val="Hyperlink"/>
          </w:rPr>
          <w:t>https://www.kantar.com/inspiration/fmcg/2024-wp-grocery-growth-slows-but-financial-outlook-brightens-for-shoppers</w:t>
        </w:r>
      </w:hyperlink>
      <w:r>
        <w:t xml:space="preserve"> </w:t>
      </w:r>
      <w:r>
        <w:t>[Accessed 15</w:t>
      </w:r>
      <w:r>
        <w:t xml:space="preserve"> Nov. 2024].</w:t>
      </w:r>
    </w:p>
    <w:p w:rsidR="00EB0F19" w:rsidRDefault="00EB0F19" w:rsidP="00237D27">
      <w:pPr>
        <w:pStyle w:val="ListParagraph"/>
        <w:numPr>
          <w:ilvl w:val="0"/>
          <w:numId w:val="2"/>
        </w:numPr>
      </w:pPr>
      <w:r>
        <w:t>Kaplan, A. M., &amp; Haenlein, M. (2010). Users of the World, Unite! The Challenges and Opportunities of Social Media. *Business Horizons*, 53(1), 59-68.</w:t>
      </w:r>
    </w:p>
    <w:p w:rsidR="00EB0F19" w:rsidRDefault="00EB0F19" w:rsidP="00237D27">
      <w:pPr>
        <w:pStyle w:val="ListParagraph"/>
        <w:numPr>
          <w:ilvl w:val="0"/>
          <w:numId w:val="2"/>
        </w:numPr>
      </w:pPr>
      <w:r>
        <w:t>Klein, T. A., &amp; Ford, D. A. (2003). The Role of Pricing Strategy in Marketing. *Journal of Marketing Theory and Practice*, 11(1), 57-67.</w:t>
      </w:r>
    </w:p>
    <w:p w:rsidR="00EB0F19" w:rsidRDefault="00EB0F19" w:rsidP="00EB0F19">
      <w:pPr>
        <w:pStyle w:val="ListParagraph"/>
        <w:numPr>
          <w:ilvl w:val="0"/>
          <w:numId w:val="2"/>
        </w:numPr>
      </w:pPr>
      <w:r>
        <w:t xml:space="preserve">Kotler, P., &amp; Keller, K. L. (2016). *Marketing Management* (15th </w:t>
      </w:r>
      <w:r w:rsidR="001C0363">
        <w:t>Ed</w:t>
      </w:r>
      <w:r>
        <w:t>.). Pearson Education.</w:t>
      </w:r>
    </w:p>
    <w:p w:rsidR="00EB0F19" w:rsidRDefault="00EB0F19" w:rsidP="00A3302C">
      <w:pPr>
        <w:pStyle w:val="ListParagraph"/>
        <w:numPr>
          <w:ilvl w:val="0"/>
          <w:numId w:val="2"/>
        </w:numPr>
      </w:pPr>
      <w:r>
        <w:t>Kumar, V., &amp; Reinartz, W. (2016). *Creating Enduring Customer Value*. Journal of Marketing, 80(6), 36-68.</w:t>
      </w:r>
    </w:p>
    <w:p w:rsidR="00EB0F19" w:rsidRDefault="00EB0F19" w:rsidP="00237D27">
      <w:pPr>
        <w:pStyle w:val="ListParagraph"/>
        <w:numPr>
          <w:ilvl w:val="0"/>
          <w:numId w:val="2"/>
        </w:numPr>
      </w:pPr>
      <w:r>
        <w:t>Kumar, V., &amp; Shah, D. (2004). Building and Sustaining Profitable Customer Relationships. *Journal of Retailing*, 80(4), 317-330.</w:t>
      </w:r>
    </w:p>
    <w:p w:rsidR="00EB0F19" w:rsidRDefault="00EB0F19" w:rsidP="00237D27">
      <w:pPr>
        <w:pStyle w:val="ListParagraph"/>
        <w:numPr>
          <w:ilvl w:val="0"/>
          <w:numId w:val="2"/>
        </w:numPr>
      </w:pPr>
      <w:r>
        <w:t>Lyon, T. P., &amp; Montgomery, A. W. (2015). The Means and End of Greenwashing. *Organization &amp; Environment*, 28(2), 223-249.</w:t>
      </w:r>
    </w:p>
    <w:p w:rsidR="00EB0F19" w:rsidRDefault="00EB0F19" w:rsidP="00237D27">
      <w:pPr>
        <w:pStyle w:val="ListParagraph"/>
        <w:numPr>
          <w:ilvl w:val="0"/>
          <w:numId w:val="2"/>
        </w:numPr>
      </w:pPr>
      <w:r>
        <w:t>Mangold, W. G., &amp; Faulds, D. J. (2009). Social Media: The New Hybrid Element of the Promotion Mix. *Business Horizons*, 52(4), 357-365.</w:t>
      </w:r>
    </w:p>
    <w:p w:rsidR="00EB0F19" w:rsidRDefault="00EB0F19" w:rsidP="00237D27">
      <w:pPr>
        <w:pStyle w:val="ListParagraph"/>
        <w:numPr>
          <w:ilvl w:val="0"/>
          <w:numId w:val="2"/>
        </w:numPr>
      </w:pPr>
      <w:r>
        <w:t>Martin, K. (2016). Privacy by Design: The 7 Foundational Principles. *Information and Privacy Commissioner of Ontario*. Retrieved from [IPC</w:t>
      </w:r>
      <w:r w:rsidR="001C0363">
        <w:t>] (</w:t>
      </w:r>
      <w:hyperlink r:id="rId14" w:history="1">
        <w:r w:rsidR="001C0363" w:rsidRPr="00CD1E3C">
          <w:rPr>
            <w:rStyle w:val="Hyperlink"/>
          </w:rPr>
          <w:t>https://</w:t>
        </w:r>
        <w:r w:rsidR="001C0363" w:rsidRPr="00CD1E3C">
          <w:rPr>
            <w:rStyle w:val="Hyperlink"/>
          </w:rPr>
          <w:t>w</w:t>
        </w:r>
        <w:r w:rsidR="001C0363" w:rsidRPr="00CD1E3C">
          <w:rPr>
            <w:rStyle w:val="Hyperlink"/>
          </w:rPr>
          <w:t>ww.ipc.on.ca</w:t>
        </w:r>
      </w:hyperlink>
      <w:r w:rsidR="001C0363">
        <w:t xml:space="preserve"> ) [Accessed 16</w:t>
      </w:r>
      <w:r w:rsidR="001C0363">
        <w:t xml:space="preserve"> Nov. 2024].</w:t>
      </w:r>
      <w:bookmarkStart w:id="19" w:name="_GoBack"/>
      <w:bookmarkEnd w:id="19"/>
    </w:p>
    <w:p w:rsidR="00EB0F19" w:rsidRDefault="00EB0F19" w:rsidP="00237D27">
      <w:pPr>
        <w:pStyle w:val="ListParagraph"/>
        <w:numPr>
          <w:ilvl w:val="0"/>
          <w:numId w:val="2"/>
        </w:numPr>
      </w:pPr>
      <w:r>
        <w:t>Payne, A., &amp; Frow, P. (2005). A Strategic Framework for Customer Relationship Management. *Journal of Marketing*, 69(4), 167-176.</w:t>
      </w:r>
    </w:p>
    <w:p w:rsidR="00EB0F19" w:rsidRDefault="00EB0F19" w:rsidP="00237D27">
      <w:pPr>
        <w:pStyle w:val="ListParagraph"/>
        <w:numPr>
          <w:ilvl w:val="0"/>
          <w:numId w:val="2"/>
        </w:numPr>
      </w:pPr>
      <w:r>
        <w:t>Porter, M. E. (1985). *Competitive Advantage: Creating and Sustaining Superior Performance*. Free Press.</w:t>
      </w:r>
    </w:p>
    <w:p w:rsidR="00EB0F19" w:rsidRDefault="00EB0F19" w:rsidP="00237D27">
      <w:pPr>
        <w:pStyle w:val="ListParagraph"/>
        <w:numPr>
          <w:ilvl w:val="0"/>
          <w:numId w:val="2"/>
        </w:numPr>
      </w:pPr>
      <w:r>
        <w:t>Reichheld, F. F., &amp; Schefter, P. (2000). E-Loyalty: Your Secret Weapon on the Web. *Harvard Business Review*, 78(4), 105-113.</w:t>
      </w:r>
    </w:p>
    <w:p w:rsidR="00EB0F19" w:rsidRDefault="00EB0F19" w:rsidP="00237D27">
      <w:pPr>
        <w:pStyle w:val="ListParagraph"/>
        <w:numPr>
          <w:ilvl w:val="0"/>
          <w:numId w:val="2"/>
        </w:numPr>
      </w:pPr>
      <w:r>
        <w:t>Smith, W. R. (1956). "Product Differentiation and Market Segmentation as Alternative Marketing Strategies." *Journal of Marketing*, 21(1), 3-8.</w:t>
      </w:r>
    </w:p>
    <w:p w:rsidR="00EB0F19" w:rsidRDefault="00EB0F19" w:rsidP="00237D27">
      <w:pPr>
        <w:pStyle w:val="ListParagraph"/>
        <w:numPr>
          <w:ilvl w:val="0"/>
          <w:numId w:val="2"/>
        </w:numPr>
      </w:pPr>
      <w:r>
        <w:t xml:space="preserve">Tesco (2024). Our history. [online] Tesco PLC. Available at: </w:t>
      </w:r>
      <w:hyperlink r:id="rId15" w:history="1">
        <w:r w:rsidRPr="00CD1E3C">
          <w:rPr>
            <w:rStyle w:val="Hyperlink"/>
          </w:rPr>
          <w:t>https://www.tescoplc.com/about/our-history</w:t>
        </w:r>
      </w:hyperlink>
      <w:r>
        <w:t xml:space="preserve">  </w:t>
      </w:r>
      <w:r>
        <w:t xml:space="preserve">[Accessed 15 </w:t>
      </w:r>
      <w:r>
        <w:t>Nov. 2024].</w:t>
      </w:r>
    </w:p>
    <w:p w:rsidR="00EB0F19" w:rsidRDefault="00EB0F19" w:rsidP="00237D27">
      <w:pPr>
        <w:pStyle w:val="ListParagraph"/>
        <w:numPr>
          <w:ilvl w:val="0"/>
          <w:numId w:val="2"/>
        </w:numPr>
      </w:pPr>
      <w:r>
        <w:t>Tesco (2024). Tesco PLC Annual Report and Financial Statements 2024. [online] Available at: https://www.tescoplc.com/media/zgvhd0dn/tescos_ar24.pdf (pg.1.)</w:t>
      </w:r>
    </w:p>
    <w:p w:rsidR="00EB0F19" w:rsidRDefault="00EB0F19" w:rsidP="00237D27">
      <w:pPr>
        <w:pStyle w:val="ListParagraph"/>
        <w:numPr>
          <w:ilvl w:val="0"/>
          <w:numId w:val="2"/>
        </w:numPr>
      </w:pPr>
      <w:r>
        <w:lastRenderedPageBreak/>
        <w:t xml:space="preserve">Tesco PLC (2022). Core Purpose and Values. [online] Tesco PLC. Available at: </w:t>
      </w:r>
      <w:hyperlink r:id="rId16" w:history="1">
        <w:r w:rsidRPr="00CD1E3C">
          <w:rPr>
            <w:rStyle w:val="Hyperlink"/>
          </w:rPr>
          <w:t>https://www.tescoplc.com/about/how-we-do-business/core-purpose-and-values</w:t>
        </w:r>
      </w:hyperlink>
      <w:r>
        <w:t xml:space="preserve"> </w:t>
      </w:r>
      <w:r>
        <w:t>[Accessed 15</w:t>
      </w:r>
      <w:r>
        <w:t xml:space="preserve"> Nov. 2024].</w:t>
      </w:r>
    </w:p>
    <w:p w:rsidR="00EB0F19" w:rsidRDefault="00EB0F19" w:rsidP="00237D27">
      <w:pPr>
        <w:pStyle w:val="ListParagraph"/>
        <w:numPr>
          <w:ilvl w:val="0"/>
          <w:numId w:val="2"/>
        </w:numPr>
      </w:pPr>
      <w:r>
        <w:t>Wedell, M., &amp; Gibbons, M. (1991). Market Segmentation: A Review of the Literature. *European Journal of Marketing*, 25(11), 23-36.</w:t>
      </w:r>
    </w:p>
    <w:p w:rsidR="00EB0F19" w:rsidRDefault="00EB0F19" w:rsidP="00237D27">
      <w:pPr>
        <w:pStyle w:val="ListParagraph"/>
        <w:numPr>
          <w:ilvl w:val="0"/>
          <w:numId w:val="2"/>
        </w:numPr>
      </w:pPr>
      <w:r>
        <w:t>Zeithaml, V. A., Berry, L. L., &amp; Parasuraman, A. (1996). The Behavioral Consequences of Service Quality. *Journal of Marketing*, 60(2), 31-46.</w:t>
      </w:r>
    </w:p>
    <w:sectPr w:rsidR="00EB0F19" w:rsidSect="009B2968">
      <w:headerReference w:type="default" r:id="rId17"/>
      <w:footerReference w:type="even" r:id="rId18"/>
      <w:footerReference w:type="default" r:id="rId19"/>
      <w:pgSz w:w="12240" w:h="15840" w:code="1"/>
      <w:pgMar w:top="720" w:right="1440" w:bottom="72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02868" w:rsidRDefault="00402868" w:rsidP="009B2968">
      <w:r>
        <w:separator/>
      </w:r>
    </w:p>
  </w:endnote>
  <w:endnote w:type="continuationSeparator" w:id="0">
    <w:p w:rsidR="00402868" w:rsidRDefault="00402868" w:rsidP="009B296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Book Antiqua">
    <w:panose1 w:val="02040602050305030304"/>
    <w:charset w:val="00"/>
    <w:family w:val="roman"/>
    <w:pitch w:val="variable"/>
    <w:sig w:usb0="00000287" w:usb1="00000000" w:usb2="00000000" w:usb3="00000000" w:csb0="0000009F" w:csb1="00000000"/>
  </w:font>
  <w:font w:name="Franklin Gothic Medium">
    <w:panose1 w:val="020B0603020102020204"/>
    <w:charset w:val="00"/>
    <w:family w:val="swiss"/>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Style w:val="PageNumber"/>
      </w:rPr>
      <w:id w:val="413218877"/>
      <w:docPartObj>
        <w:docPartGallery w:val="Page Numbers (Bottom of Page)"/>
        <w:docPartUnique/>
      </w:docPartObj>
    </w:sdtPr>
    <w:sdtEndPr>
      <w:rPr>
        <w:rStyle w:val="PageNumber"/>
      </w:rPr>
    </w:sdtEndPr>
    <w:sdtContent>
      <w:p w:rsidR="009B2968" w:rsidRDefault="009B2968" w:rsidP="00E832AC">
        <w:pPr>
          <w:pStyle w:val="Footer"/>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9B2968" w:rsidRDefault="009B2968" w:rsidP="00E832A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2968" w:rsidRDefault="00E832AC" w:rsidP="00E832AC">
    <w:pPr>
      <w:pStyle w:val="Footer"/>
      <w:rPr>
        <w:rStyle w:val="PageNumber"/>
      </w:rPr>
    </w:pPr>
    <w:r w:rsidRPr="00E832AC">
      <w:t>PAGE</w:t>
    </w:r>
    <w:r>
      <w:t xml:space="preserve">   </w:t>
    </w:r>
    <w:sdt>
      <w:sdtPr>
        <w:rPr>
          <w:rStyle w:val="PageNumber"/>
        </w:rPr>
        <w:id w:val="-601500411"/>
        <w:docPartObj>
          <w:docPartGallery w:val="Page Numbers (Bottom of Page)"/>
          <w:docPartUnique/>
        </w:docPartObj>
      </w:sdtPr>
      <w:sdtEndPr>
        <w:rPr>
          <w:rStyle w:val="PageNumber"/>
        </w:rPr>
      </w:sdtEndPr>
      <w:sdtContent>
        <w:r w:rsidR="009B2968">
          <w:rPr>
            <w:rStyle w:val="PageNumber"/>
          </w:rPr>
          <w:fldChar w:fldCharType="begin"/>
        </w:r>
        <w:r w:rsidR="009B2968">
          <w:rPr>
            <w:rStyle w:val="PageNumber"/>
          </w:rPr>
          <w:instrText xml:space="preserve"> PAGE </w:instrText>
        </w:r>
        <w:r w:rsidR="009B2968">
          <w:rPr>
            <w:rStyle w:val="PageNumber"/>
          </w:rPr>
          <w:fldChar w:fldCharType="separate"/>
        </w:r>
        <w:r w:rsidR="001C0363">
          <w:rPr>
            <w:rStyle w:val="PageNumber"/>
            <w:noProof/>
          </w:rPr>
          <w:t>12</w:t>
        </w:r>
        <w:r w:rsidR="009B2968">
          <w:rPr>
            <w:rStyle w:val="PageNumber"/>
          </w:rPr>
          <w:fldChar w:fldCharType="end"/>
        </w:r>
      </w:sdtContent>
    </w:sdt>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02868" w:rsidRDefault="00402868" w:rsidP="009B2968">
      <w:r>
        <w:separator/>
      </w:r>
    </w:p>
  </w:footnote>
  <w:footnote w:type="continuationSeparator" w:id="0">
    <w:p w:rsidR="00402868" w:rsidRDefault="00402868" w:rsidP="009B296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2968" w:rsidRPr="009B2968" w:rsidRDefault="009B2968" w:rsidP="00E832AC">
    <w:pPr>
      <w:pStyle w:val="Header"/>
    </w:pPr>
    <w:r w:rsidRPr="00E44B70">
      <w:rPr>
        <w:noProof/>
        <w:lang w:eastAsia="en-GB"/>
      </w:rPr>
      <mc:AlternateContent>
        <mc:Choice Requires="wps">
          <w:drawing>
            <wp:inline distT="0" distB="0" distL="0" distR="0" wp14:anchorId="767EA893" wp14:editId="23E2CDAD">
              <wp:extent cx="6031230" cy="45719"/>
              <wp:effectExtent l="0" t="0" r="7620" b="0"/>
              <wp:docPr id="5" name="Rectangle 5">
                <a:extLst xmlns:a="http://schemas.openxmlformats.org/drawingml/2006/main">
                  <a:ext uri="{C183D7F6-B498-43B3-948B-1728B52AA6E4}">
                    <adec:decorative xmlns=""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urn:schemas-microsoft-com:office:office" xmlns:v="urn:schemas-microsoft-com:vml" xmlns:w10="urn:schemas-microsoft-com:office:word" xmlns:w="http://schemas.openxmlformats.org/wordprocessingml/2006/main" xmlns:w16cid="http://schemas.microsoft.com/office/word/2016/wordml/cid" xmlns:adec="http://schemas.microsoft.com/office/drawing/2017/decorative" val="1"/>
                  </a:ext>
                </a:extLst>
              </wp:docPr>
              <wp:cNvGraphicFramePr/>
              <a:graphic xmlns:a="http://schemas.openxmlformats.org/drawingml/2006/main">
                <a:graphicData uri="http://schemas.microsoft.com/office/word/2010/wordprocessingShape">
                  <wps:wsp>
                    <wps:cNvSpPr/>
                    <wps:spPr>
                      <a:xfrm flipV="1">
                        <a:off x="0" y="0"/>
                        <a:ext cx="6031230" cy="45719"/>
                      </a:xfrm>
                      <a:prstGeom prst="rect">
                        <a:avLst/>
                      </a:prstGeom>
                      <a:solidFill>
                        <a:schemeClr val="accent6">
                          <a:lumMod val="90000"/>
                          <a:lumOff val="10000"/>
                        </a:schemeClr>
                      </a:solidFill>
                      <a:ln w="25400" cap="flat">
                        <a:noFill/>
                        <a:prstDash val="solid"/>
                        <a:miter lim="400000"/>
                      </a:ln>
                      <a:effectLst/>
                      <a:sp3d/>
                    </wps:spPr>
                    <wps:style>
                      <a:lnRef idx="0">
                        <a:scrgbClr r="0" g="0" b="0"/>
                      </a:lnRef>
                      <a:fillRef idx="0">
                        <a:scrgbClr r="0" g="0" b="0"/>
                      </a:fillRef>
                      <a:effectRef idx="0">
                        <a:scrgbClr r="0" g="0" b="0"/>
                      </a:effectRef>
                      <a:fontRef idx="none"/>
                    </wps:style>
                    <wps:bodyPr rot="0" spcFirstLastPara="1" vertOverflow="overflow" horzOverflow="overflow" vert="horz" wrap="square" lIns="38100" tIns="38100" rIns="38100" bIns="38100" numCol="1" spcCol="38100" rtlCol="0" fromWordArt="0" anchor="ctr" anchorCtr="0" forceAA="0" compatLnSpc="1">
                      <a:prstTxWarp prst="textNoShape">
                        <a:avLst/>
                      </a:prstTxWarp>
                      <a:noAutofit/>
                    </wps:bodyPr>
                  </wps:wsp>
                </a:graphicData>
              </a:graphic>
            </wp:inline>
          </w:drawing>
        </mc:Choice>
        <mc:Fallback>
          <w:pict>
            <v:rect w14:anchorId="133CFF37" id="Rectangle 5" o:spid="_x0000_s1026" style="width:474.9pt;height:3.6pt;flip:y;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" fillcolor="#004c71 [2905]" stroked="f" strokeweight="2pt">
              <v:stroke miterlimit="4"/>
              <v:textbox inset="3pt,3pt,3pt,3pt"/>
              <w10:anchorlock/>
            </v:rect>
          </w:pict>
        </mc:Fallback>
      </mc:AlternateConten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2C53E2F"/>
    <w:multiLevelType w:val="hybridMultilevel"/>
    <w:tmpl w:val="9272B9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D184C29"/>
    <w:multiLevelType w:val="hybridMultilevel"/>
    <w:tmpl w:val="1F4E6B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53E70DF"/>
    <w:multiLevelType w:val="hybridMultilevel"/>
    <w:tmpl w:val="CDE0951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6856F9E"/>
    <w:multiLevelType w:val="hybridMultilevel"/>
    <w:tmpl w:val="A696417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6CB0382"/>
    <w:multiLevelType w:val="hybridMultilevel"/>
    <w:tmpl w:val="9F1A26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8CD758A"/>
    <w:multiLevelType w:val="hybridMultilevel"/>
    <w:tmpl w:val="05701D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C485AB9"/>
    <w:multiLevelType w:val="hybridMultilevel"/>
    <w:tmpl w:val="897CDC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5"/>
  </w:num>
  <w:num w:numId="4">
    <w:abstractNumId w:val="1"/>
  </w:num>
  <w:num w:numId="5">
    <w:abstractNumId w:val="6"/>
  </w:num>
  <w:num w:numId="6">
    <w:abstractNumId w:val="0"/>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removePersonalInformation/>
  <w:removeDateAndTime/>
  <w:displayBackgroundShape/>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00C49"/>
    <w:rsid w:val="000114EB"/>
    <w:rsid w:val="000359D1"/>
    <w:rsid w:val="00061D0D"/>
    <w:rsid w:val="00067F41"/>
    <w:rsid w:val="00075273"/>
    <w:rsid w:val="00086AFE"/>
    <w:rsid w:val="000A3423"/>
    <w:rsid w:val="000B6723"/>
    <w:rsid w:val="00130551"/>
    <w:rsid w:val="00143DEC"/>
    <w:rsid w:val="00187632"/>
    <w:rsid w:val="001C0363"/>
    <w:rsid w:val="001D390E"/>
    <w:rsid w:val="001F327F"/>
    <w:rsid w:val="00211CE6"/>
    <w:rsid w:val="002366C9"/>
    <w:rsid w:val="00237D27"/>
    <w:rsid w:val="002D57CE"/>
    <w:rsid w:val="003A7DA5"/>
    <w:rsid w:val="003C72DE"/>
    <w:rsid w:val="003D7EFD"/>
    <w:rsid w:val="003E6AB7"/>
    <w:rsid w:val="00402868"/>
    <w:rsid w:val="005508E2"/>
    <w:rsid w:val="005526B1"/>
    <w:rsid w:val="005566D3"/>
    <w:rsid w:val="0057493B"/>
    <w:rsid w:val="005A6861"/>
    <w:rsid w:val="006C60E6"/>
    <w:rsid w:val="00784B32"/>
    <w:rsid w:val="00952F7D"/>
    <w:rsid w:val="009A380C"/>
    <w:rsid w:val="009B2968"/>
    <w:rsid w:val="009B72D4"/>
    <w:rsid w:val="009D4923"/>
    <w:rsid w:val="00A07DCE"/>
    <w:rsid w:val="00A123DD"/>
    <w:rsid w:val="00A602AF"/>
    <w:rsid w:val="00A64F96"/>
    <w:rsid w:val="00AE2317"/>
    <w:rsid w:val="00B77998"/>
    <w:rsid w:val="00C3007A"/>
    <w:rsid w:val="00C95220"/>
    <w:rsid w:val="00D667A4"/>
    <w:rsid w:val="00E00C49"/>
    <w:rsid w:val="00E44B70"/>
    <w:rsid w:val="00E832AC"/>
    <w:rsid w:val="00E87F83"/>
    <w:rsid w:val="00EA4A50"/>
    <w:rsid w:val="00EB0F19"/>
    <w:rsid w:val="00EC2D57"/>
    <w:rsid w:val="00EC6747"/>
    <w:rsid w:val="00F4393B"/>
    <w:rsid w:val="00F9295E"/>
    <w:rsid w:val="00F96649"/>
    <w:rsid w:val="00FC50F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C7ED84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semiHidden="1"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semiHidden="1" w:uiPriority="6"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uiPriority w:val="7"/>
    <w:qFormat/>
    <w:rsid w:val="00E832AC"/>
    <w:rPr>
      <w:lang w:val="en-GB"/>
    </w:rPr>
  </w:style>
  <w:style w:type="paragraph" w:styleId="Heading1">
    <w:name w:val="heading 1"/>
    <w:basedOn w:val="Normal"/>
    <w:next w:val="Normal"/>
    <w:link w:val="Heading1Char"/>
    <w:qFormat/>
    <w:rsid w:val="009B72D4"/>
    <w:pPr>
      <w:outlineLvl w:val="0"/>
    </w:pPr>
    <w:rPr>
      <w:rFonts w:asciiTheme="majorHAnsi" w:hAnsiTheme="majorHAnsi"/>
      <w:b/>
      <w:sz w:val="80"/>
      <w:szCs w:val="80"/>
    </w:rPr>
  </w:style>
  <w:style w:type="paragraph" w:styleId="Heading2">
    <w:name w:val="heading 2"/>
    <w:basedOn w:val="Normal"/>
    <w:next w:val="Normal"/>
    <w:link w:val="Heading2Char"/>
    <w:uiPriority w:val="1"/>
    <w:qFormat/>
    <w:rsid w:val="009B72D4"/>
    <w:pPr>
      <w:outlineLvl w:val="1"/>
    </w:pPr>
    <w:rPr>
      <w:rFonts w:asciiTheme="majorHAnsi" w:hAnsiTheme="majorHAnsi"/>
      <w:sz w:val="36"/>
      <w:szCs w:val="36"/>
    </w:rPr>
  </w:style>
  <w:style w:type="paragraph" w:styleId="Heading3">
    <w:name w:val="heading 3"/>
    <w:basedOn w:val="Normal"/>
    <w:next w:val="Normal"/>
    <w:link w:val="Heading3Char"/>
    <w:uiPriority w:val="2"/>
    <w:qFormat/>
    <w:rsid w:val="009B72D4"/>
    <w:pPr>
      <w:jc w:val="center"/>
      <w:outlineLvl w:val="2"/>
    </w:pPr>
    <w:rPr>
      <w:rFonts w:asciiTheme="majorHAnsi" w:hAnsiTheme="majorHAnsi"/>
      <w:b/>
      <w:color w:val="000000" w:themeColor="text1"/>
      <w:sz w:val="44"/>
      <w:szCs w:val="36"/>
    </w:rPr>
  </w:style>
  <w:style w:type="paragraph" w:styleId="Heading4">
    <w:name w:val="heading 4"/>
    <w:basedOn w:val="Normal"/>
    <w:next w:val="Normal"/>
    <w:link w:val="Heading4Char"/>
    <w:uiPriority w:val="3"/>
    <w:qFormat/>
    <w:rsid w:val="009B72D4"/>
    <w:pPr>
      <w:ind w:left="567" w:right="567"/>
      <w:jc w:val="center"/>
      <w:outlineLvl w:val="3"/>
    </w:pPr>
    <w:rPr>
      <w:b/>
      <w:sz w:val="80"/>
    </w:rPr>
  </w:style>
  <w:style w:type="paragraph" w:styleId="Heading5">
    <w:name w:val="heading 5"/>
    <w:basedOn w:val="Text"/>
    <w:next w:val="Normal"/>
    <w:link w:val="Heading5Char"/>
    <w:uiPriority w:val="4"/>
    <w:qFormat/>
    <w:rsid w:val="00E832AC"/>
    <w:pPr>
      <w:outlineLvl w:val="4"/>
    </w:pPr>
    <w:rPr>
      <w:b/>
      <w:color w:val="E2B80F"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GraphicAnchor">
    <w:name w:val="Graphic Anchor"/>
    <w:basedOn w:val="Normal"/>
    <w:uiPriority w:val="8"/>
    <w:qFormat/>
    <w:rsid w:val="00A602AF"/>
    <w:rPr>
      <w:sz w:val="10"/>
    </w:rPr>
  </w:style>
  <w:style w:type="table" w:styleId="TableGrid">
    <w:name w:val="Table Grid"/>
    <w:basedOn w:val="TableNormal"/>
    <w:uiPriority w:val="39"/>
    <w:rsid w:val="00A602A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A602AF"/>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9B72D4"/>
    <w:rPr>
      <w:rFonts w:ascii="Times New Roman" w:hAnsi="Times New Roman" w:cs="Times New Roman"/>
      <w:sz w:val="18"/>
      <w:szCs w:val="18"/>
    </w:rPr>
  </w:style>
  <w:style w:type="character" w:customStyle="1" w:styleId="Heading1Char">
    <w:name w:val="Heading 1 Char"/>
    <w:basedOn w:val="DefaultParagraphFont"/>
    <w:link w:val="Heading1"/>
    <w:rsid w:val="009B72D4"/>
    <w:rPr>
      <w:rFonts w:asciiTheme="majorHAnsi" w:hAnsiTheme="majorHAnsi"/>
      <w:b/>
      <w:sz w:val="80"/>
      <w:szCs w:val="80"/>
    </w:rPr>
  </w:style>
  <w:style w:type="character" w:customStyle="1" w:styleId="Heading2Char">
    <w:name w:val="Heading 2 Char"/>
    <w:basedOn w:val="DefaultParagraphFont"/>
    <w:link w:val="Heading2"/>
    <w:uiPriority w:val="1"/>
    <w:rsid w:val="009B72D4"/>
    <w:rPr>
      <w:rFonts w:asciiTheme="majorHAnsi" w:hAnsiTheme="majorHAnsi"/>
      <w:sz w:val="36"/>
      <w:szCs w:val="36"/>
    </w:rPr>
  </w:style>
  <w:style w:type="paragraph" w:styleId="Header">
    <w:name w:val="header"/>
    <w:basedOn w:val="Normal"/>
    <w:link w:val="HeaderChar"/>
    <w:uiPriority w:val="99"/>
    <w:rsid w:val="00E832AC"/>
    <w:pPr>
      <w:tabs>
        <w:tab w:val="center" w:pos="4680"/>
        <w:tab w:val="right" w:pos="9360"/>
      </w:tabs>
      <w:jc w:val="right"/>
    </w:pPr>
    <w:rPr>
      <w:rFonts w:asciiTheme="majorHAnsi" w:hAnsiTheme="majorHAnsi"/>
      <w:sz w:val="20"/>
    </w:rPr>
  </w:style>
  <w:style w:type="character" w:customStyle="1" w:styleId="HeaderChar">
    <w:name w:val="Header Char"/>
    <w:basedOn w:val="DefaultParagraphFont"/>
    <w:link w:val="Header"/>
    <w:uiPriority w:val="99"/>
    <w:rsid w:val="00E832AC"/>
    <w:rPr>
      <w:rFonts w:asciiTheme="majorHAnsi" w:hAnsiTheme="majorHAnsi"/>
      <w:sz w:val="20"/>
    </w:rPr>
  </w:style>
  <w:style w:type="paragraph" w:styleId="Footer">
    <w:name w:val="footer"/>
    <w:basedOn w:val="Normal"/>
    <w:link w:val="FooterChar"/>
    <w:uiPriority w:val="99"/>
    <w:rsid w:val="00E832AC"/>
    <w:pPr>
      <w:tabs>
        <w:tab w:val="center" w:pos="4680"/>
        <w:tab w:val="right" w:pos="9360"/>
      </w:tabs>
      <w:ind w:right="360"/>
      <w:jc w:val="right"/>
    </w:pPr>
    <w:rPr>
      <w:rFonts w:asciiTheme="majorHAnsi" w:hAnsiTheme="majorHAnsi"/>
      <w:sz w:val="20"/>
    </w:rPr>
  </w:style>
  <w:style w:type="character" w:customStyle="1" w:styleId="FooterChar">
    <w:name w:val="Footer Char"/>
    <w:basedOn w:val="DefaultParagraphFont"/>
    <w:link w:val="Footer"/>
    <w:uiPriority w:val="99"/>
    <w:rsid w:val="00E832AC"/>
    <w:rPr>
      <w:rFonts w:asciiTheme="majorHAnsi" w:hAnsiTheme="majorHAnsi"/>
      <w:sz w:val="20"/>
    </w:rPr>
  </w:style>
  <w:style w:type="character" w:styleId="PageNumber">
    <w:name w:val="page number"/>
    <w:basedOn w:val="DefaultParagraphFont"/>
    <w:uiPriority w:val="99"/>
    <w:semiHidden/>
    <w:rsid w:val="009B2968"/>
  </w:style>
  <w:style w:type="character" w:customStyle="1" w:styleId="Heading3Char">
    <w:name w:val="Heading 3 Char"/>
    <w:basedOn w:val="DefaultParagraphFont"/>
    <w:link w:val="Heading3"/>
    <w:uiPriority w:val="2"/>
    <w:rsid w:val="009B72D4"/>
    <w:rPr>
      <w:rFonts w:asciiTheme="majorHAnsi" w:hAnsiTheme="majorHAnsi"/>
      <w:b/>
      <w:color w:val="000000" w:themeColor="text1"/>
      <w:sz w:val="44"/>
      <w:szCs w:val="36"/>
    </w:rPr>
  </w:style>
  <w:style w:type="character" w:customStyle="1" w:styleId="Heading4Char">
    <w:name w:val="Heading 4 Char"/>
    <w:basedOn w:val="DefaultParagraphFont"/>
    <w:link w:val="Heading4"/>
    <w:uiPriority w:val="3"/>
    <w:rsid w:val="009B72D4"/>
    <w:rPr>
      <w:b/>
      <w:sz w:val="80"/>
    </w:rPr>
  </w:style>
  <w:style w:type="paragraph" w:customStyle="1" w:styleId="Text">
    <w:name w:val="Text"/>
    <w:basedOn w:val="Normal"/>
    <w:uiPriority w:val="5"/>
    <w:qFormat/>
    <w:rsid w:val="009B72D4"/>
    <w:rPr>
      <w:sz w:val="28"/>
      <w:szCs w:val="28"/>
    </w:rPr>
  </w:style>
  <w:style w:type="paragraph" w:customStyle="1" w:styleId="ImageCaption">
    <w:name w:val="Image Caption"/>
    <w:basedOn w:val="Normal"/>
    <w:uiPriority w:val="6"/>
    <w:qFormat/>
    <w:rsid w:val="009B72D4"/>
    <w:pPr>
      <w:ind w:left="113"/>
    </w:pPr>
    <w:rPr>
      <w:i/>
      <w:color w:val="000000" w:themeColor="text1"/>
    </w:rPr>
  </w:style>
  <w:style w:type="character" w:customStyle="1" w:styleId="Heading5Char">
    <w:name w:val="Heading 5 Char"/>
    <w:basedOn w:val="DefaultParagraphFont"/>
    <w:link w:val="Heading5"/>
    <w:uiPriority w:val="4"/>
    <w:rsid w:val="00E832AC"/>
    <w:rPr>
      <w:b/>
      <w:color w:val="E2B80F" w:themeColor="accent1"/>
      <w:sz w:val="28"/>
      <w:szCs w:val="28"/>
    </w:rPr>
  </w:style>
  <w:style w:type="character" w:styleId="PlaceholderText">
    <w:name w:val="Placeholder Text"/>
    <w:basedOn w:val="DefaultParagraphFont"/>
    <w:uiPriority w:val="99"/>
    <w:semiHidden/>
    <w:rsid w:val="00A123DD"/>
    <w:rPr>
      <w:color w:val="808080"/>
    </w:rPr>
  </w:style>
  <w:style w:type="paragraph" w:styleId="TOCHeading">
    <w:name w:val="TOC Heading"/>
    <w:basedOn w:val="Heading1"/>
    <w:next w:val="Normal"/>
    <w:uiPriority w:val="39"/>
    <w:unhideWhenUsed/>
    <w:qFormat/>
    <w:rsid w:val="00E00C49"/>
    <w:pPr>
      <w:keepNext/>
      <w:keepLines/>
      <w:spacing w:before="240" w:line="259" w:lineRule="auto"/>
      <w:outlineLvl w:val="9"/>
    </w:pPr>
    <w:rPr>
      <w:rFonts w:eastAsiaTheme="majorEastAsia" w:cstheme="majorBidi"/>
      <w:b w:val="0"/>
      <w:color w:val="A9890B" w:themeColor="accent1" w:themeShade="BF"/>
      <w:sz w:val="32"/>
      <w:szCs w:val="32"/>
    </w:rPr>
  </w:style>
  <w:style w:type="paragraph" w:styleId="TOC1">
    <w:name w:val="toc 1"/>
    <w:basedOn w:val="Normal"/>
    <w:next w:val="Normal"/>
    <w:autoRedefine/>
    <w:uiPriority w:val="39"/>
    <w:rsid w:val="00E00C49"/>
    <w:pPr>
      <w:spacing w:after="100"/>
    </w:pPr>
  </w:style>
  <w:style w:type="paragraph" w:styleId="TOC2">
    <w:name w:val="toc 2"/>
    <w:basedOn w:val="Normal"/>
    <w:next w:val="Normal"/>
    <w:autoRedefine/>
    <w:uiPriority w:val="39"/>
    <w:rsid w:val="00E00C49"/>
    <w:pPr>
      <w:spacing w:after="100"/>
      <w:ind w:left="240"/>
    </w:pPr>
  </w:style>
  <w:style w:type="character" w:styleId="Hyperlink">
    <w:name w:val="Hyperlink"/>
    <w:basedOn w:val="DefaultParagraphFont"/>
    <w:uiPriority w:val="99"/>
    <w:unhideWhenUsed/>
    <w:rsid w:val="00E00C49"/>
    <w:rPr>
      <w:color w:val="0000FF" w:themeColor="hyperlink"/>
      <w:u w:val="single"/>
    </w:rPr>
  </w:style>
  <w:style w:type="paragraph" w:styleId="ListParagraph">
    <w:name w:val="List Paragraph"/>
    <w:basedOn w:val="Normal"/>
    <w:uiPriority w:val="34"/>
    <w:qFormat/>
    <w:rsid w:val="002D57CE"/>
    <w:pPr>
      <w:ind w:left="720"/>
      <w:contextualSpacing/>
    </w:pPr>
  </w:style>
  <w:style w:type="character" w:styleId="FollowedHyperlink">
    <w:name w:val="FollowedHyperlink"/>
    <w:basedOn w:val="DefaultParagraphFont"/>
    <w:uiPriority w:val="99"/>
    <w:semiHidden/>
    <w:rsid w:val="001C0363"/>
    <w:rPr>
      <w:color w:val="FF00FF"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kantar.com/inspiration/fmcg/2024-wp-grocery-growth-slows-but-financial-outlook-brightens-for-shoppers" TargetMode="External"/><Relationship Id="rId18"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tescoplc.com/about/how-we-do-business/core-purpose-and-values"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g"/><Relationship Id="rId5" Type="http://schemas.openxmlformats.org/officeDocument/2006/relationships/numbering" Target="numbering.xml"/><Relationship Id="rId15" Type="http://schemas.openxmlformats.org/officeDocument/2006/relationships/hyperlink" Target="https://www.tescoplc.com/about/our-history" TargetMode="External"/><Relationship Id="rId10" Type="http://schemas.openxmlformats.org/officeDocument/2006/relationships/endnotes" Target="endnotes.xml"/><Relationship Id="rId19" Type="http://schemas.openxmlformats.org/officeDocument/2006/relationships/footer" Target="footer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ipc.on.ca"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mytar\AppData\Roaming\Microsoft\Templates\Modern%20report.dotx" TargetMode="External"/></Relationships>
</file>

<file path=word/theme/theme1.xml><?xml version="1.0" encoding="utf-8"?>
<a:theme xmlns:a="http://schemas.openxmlformats.org/drawingml/2006/main" name="MR">
  <a:themeElements>
    <a:clrScheme name="Modern Report 1">
      <a:dk1>
        <a:srgbClr val="000000"/>
      </a:dk1>
      <a:lt1>
        <a:srgbClr val="FFFFFF"/>
      </a:lt1>
      <a:dk2>
        <a:srgbClr val="5E5E5E"/>
      </a:dk2>
      <a:lt2>
        <a:srgbClr val="D6D5D5"/>
      </a:lt2>
      <a:accent1>
        <a:srgbClr val="E2B80F"/>
      </a:accent1>
      <a:accent2>
        <a:srgbClr val="FF7900"/>
      </a:accent2>
      <a:accent3>
        <a:srgbClr val="007093"/>
      </a:accent3>
      <a:accent4>
        <a:srgbClr val="005C7C"/>
      </a:accent4>
      <a:accent5>
        <a:srgbClr val="004B67"/>
      </a:accent5>
      <a:accent6>
        <a:srgbClr val="002E44"/>
      </a:accent6>
      <a:hlink>
        <a:srgbClr val="0000FF"/>
      </a:hlink>
      <a:folHlink>
        <a:srgbClr val="FF00FF"/>
      </a:folHlink>
    </a:clrScheme>
    <a:fontScheme name="Custom 12">
      <a:majorFont>
        <a:latin typeface="Franklin Gothic Medium"/>
        <a:ea typeface=""/>
        <a:cs typeface=""/>
      </a:majorFont>
      <a:minorFont>
        <a:latin typeface="Book Antiqu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MR" id="{576F8857-8344-CC40-AE0E-EF60A6767544}" vid="{BDC92DF4-E7E1-0844-A1CD-530A464FD270}"/>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tatus xmlns="71af3243-3dd4-4a8d-8c0d-dd76da1f02a5">Not started</Status>
    <MediaServiceKeyPoints xmlns="71af3243-3dd4-4a8d-8c0d-dd76da1f02a5"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2" ma:contentTypeDescription="Create a new document." ma:contentTypeScope="" ma:versionID="fa6e671f1cd7e4d96ff9652be322dd5e">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4e2496f70b101db0b8013f30a071bbf7"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2: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element name="Status" ma:index="19" nillable="true" ma:displayName="Status" ma:default="Not started" ma:format="Dropdown" ma:internalName="Status">
      <xsd:simpleType>
        <xsd:restriction base="dms:Choice">
          <xsd:enumeration value="Not started"/>
          <xsd:enumeration value="In Progress"/>
          <xsd:enumeration value="Completed"/>
        </xsd:restriction>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E058DEA-A24B-4A4E-9EA4-6D86FDA62B5B}">
  <ds:schemaRefs>
    <ds:schemaRef ds:uri="http://schemas.microsoft.com/sharepoint/v3/contenttype/forms"/>
  </ds:schemaRefs>
</ds:datastoreItem>
</file>

<file path=customXml/itemProps2.xml><?xml version="1.0" encoding="utf-8"?>
<ds:datastoreItem xmlns:ds="http://schemas.openxmlformats.org/officeDocument/2006/customXml" ds:itemID="{E1E1983F-6286-415F-8BD0-D2570EFEFB27}">
  <ds:schemaRefs>
    <ds:schemaRef ds:uri="http://schemas.microsoft.com/office/2006/metadata/properties"/>
    <ds:schemaRef ds:uri="http://schemas.microsoft.com/office/infopath/2007/PartnerControls"/>
    <ds:schemaRef ds:uri="71af3243-3dd4-4a8d-8c0d-dd76da1f02a5"/>
  </ds:schemaRefs>
</ds:datastoreItem>
</file>

<file path=customXml/itemProps3.xml><?xml version="1.0" encoding="utf-8"?>
<ds:datastoreItem xmlns:ds="http://schemas.openxmlformats.org/officeDocument/2006/customXml" ds:itemID="{D209B3CA-0C8C-48D4-A94D-FB24C1AB21F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01D3799-EFEE-409A-83EC-ED4BADBCB7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Modern report.dotx</Template>
  <TotalTime>0</TotalTime>
  <Pages>12</Pages>
  <Words>3512</Words>
  <Characters>20025</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23491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2024-11-21T13:58:00Z</dcterms:created>
  <dcterms:modified xsi:type="dcterms:W3CDTF">2024-11-28T15:45:00Z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