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72734840"/>
        <w:docPartObj>
          <w:docPartGallery w:val="Cover Pages"/>
          <w:docPartUnique/>
        </w:docPartObj>
      </w:sdtPr>
      <w:sdtEndPr/>
      <w:sdtContent>
        <w:p w14:paraId="05EDB1C9" w14:textId="605C5476" w:rsidR="009A13F0" w:rsidRDefault="009A13F0">
          <w:r>
            <w:rPr>
              <w:noProof/>
            </w:rPr>
            <mc:AlternateContent>
              <mc:Choice Requires="wps">
                <w:drawing>
                  <wp:anchor distT="0" distB="0" distL="114300" distR="114300" simplePos="0" relativeHeight="251659264" behindDoc="0" locked="0" layoutInCell="1" allowOverlap="1" wp14:anchorId="07A2B740" wp14:editId="22756913">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10248900"/>
                    <wp:effectExtent l="0" t="0" r="3175" b="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10248900"/>
                            </a:xfrm>
                            <a:prstGeom prst="rect">
                              <a:avLst/>
                            </a:prstGeom>
                            <a:solidFill>
                              <a:schemeClr val="accent1"/>
                            </a:solidFill>
                            <a:ln>
                              <a:noFill/>
                            </a:ln>
                          </wps:spPr>
                          <wps:txbx>
                            <w:txbxContent>
                              <w:sdt>
                                <w:sdtPr>
                                  <w:rPr>
                                    <w:rFonts w:ascii="Arial" w:eastAsia="Times New Roman" w:hAnsi="Arial" w:cs="Arial"/>
                                    <w:b/>
                                    <w:kern w:val="0"/>
                                    <w:szCs w:val="22"/>
                                    <w:lang w:bidi="ar-SA"/>
                                    <w14:ligatures w14:val="none"/>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103D7627" w14:textId="629E2EBF" w:rsidR="009A13F0" w:rsidRDefault="009A13F0">
                                    <w:pPr>
                                      <w:pStyle w:val="Title"/>
                                      <w:jc w:val="right"/>
                                      <w:rPr>
                                        <w:caps/>
                                        <w:color w:val="FFFFFF" w:themeColor="background1"/>
                                        <w:sz w:val="80"/>
                                        <w:szCs w:val="80"/>
                                      </w:rPr>
                                    </w:pPr>
                                    <w:r w:rsidRPr="009A13F0">
                                      <w:rPr>
                                        <w:rFonts w:ascii="Arial" w:eastAsia="Times New Roman" w:hAnsi="Arial" w:cs="Arial"/>
                                        <w:b/>
                                        <w:kern w:val="0"/>
                                        <w:szCs w:val="22"/>
                                        <w:lang w:bidi="ar-SA"/>
                                        <w14:ligatures w14:val="none"/>
                                      </w:rPr>
                                      <w:t>BA (Hons) Business Management</w:t>
                                    </w:r>
                                  </w:p>
                                </w:sdtContent>
                              </w:sdt>
                              <w:p w14:paraId="20EA666D" w14:textId="77777777" w:rsidR="009A13F0" w:rsidRDefault="009A13F0">
                                <w:pPr>
                                  <w:spacing w:before="240"/>
                                  <w:ind w:left="720"/>
                                  <w:jc w:val="right"/>
                                  <w:rPr>
                                    <w:color w:val="FFFFFF" w:themeColor="background1"/>
                                  </w:rPr>
                                </w:pPr>
                              </w:p>
                              <w:sdt>
                                <w:sdtPr>
                                  <w:rPr>
                                    <w:rFonts w:ascii="Arial" w:eastAsia="Times New Roman" w:hAnsi="Arial" w:cs="Arial"/>
                                    <w:b/>
                                    <w:bCs/>
                                    <w:kern w:val="0"/>
                                    <w:szCs w:val="22"/>
                                    <w:lang w:bidi="ar-SA"/>
                                    <w14:ligatures w14:val="none"/>
                                  </w:rPr>
                                  <w:alias w:val="Abstract"/>
                                  <w:id w:val="-1812170092"/>
                                  <w:dataBinding w:prefixMappings="xmlns:ns0='http://schemas.microsoft.com/office/2006/coverPageProps'" w:xpath="/ns0:CoverPageProperties[1]/ns0:Abstract[1]" w:storeItemID="{55AF091B-3C7A-41E3-B477-F2FDAA23CFDA}"/>
                                  <w:text/>
                                </w:sdtPr>
                                <w:sdtEndPr/>
                                <w:sdtContent>
                                  <w:p w14:paraId="5B68162C" w14:textId="7014D3BC" w:rsidR="009A13F0" w:rsidRDefault="009A13F0">
                                    <w:pPr>
                                      <w:spacing w:before="240"/>
                                      <w:ind w:left="1008"/>
                                      <w:jc w:val="right"/>
                                      <w:rPr>
                                        <w:color w:val="FFFFFF" w:themeColor="background1"/>
                                      </w:rPr>
                                    </w:pPr>
                                    <w:proofErr w:type="gramStart"/>
                                    <w:r w:rsidRPr="009A13F0">
                                      <w:rPr>
                                        <w:rFonts w:ascii="Arial" w:eastAsia="Times New Roman" w:hAnsi="Arial" w:cs="Arial"/>
                                        <w:b/>
                                        <w:bCs/>
                                        <w:kern w:val="0"/>
                                        <w:szCs w:val="22"/>
                                        <w:lang w:bidi="ar-SA"/>
                                        <w14:ligatures w14:val="none"/>
                                      </w:rPr>
                                      <w:t>Lecturer ;</w:t>
                                    </w:r>
                                    <w:proofErr w:type="gramEnd"/>
                                    <w:r w:rsidR="0072152D">
                                      <w:rPr>
                                        <w:rFonts w:ascii="Arial" w:eastAsia="Times New Roman" w:hAnsi="Arial" w:cs="Arial"/>
                                        <w:b/>
                                        <w:bCs/>
                                        <w:kern w:val="0"/>
                                        <w:szCs w:val="22"/>
                                        <w:lang w:bidi="ar-SA"/>
                                        <w14:ligatures w14:val="none"/>
                                      </w:rPr>
                                      <w:t xml:space="preserve"> Dr. </w:t>
                                    </w:r>
                                    <w:r w:rsidRPr="009A13F0">
                                      <w:rPr>
                                        <w:rFonts w:ascii="Arial" w:eastAsia="Times New Roman" w:hAnsi="Arial" w:cs="Arial"/>
                                        <w:b/>
                                        <w:bCs/>
                                        <w:kern w:val="0"/>
                                        <w:szCs w:val="22"/>
                                        <w:lang w:bidi="ar-SA"/>
                                        <w14:ligatures w14:val="none"/>
                                      </w:rPr>
                                      <w:t>Said Usman</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0</wp14:pctHeight>
                    </wp14:sizeRelV>
                  </wp:anchor>
                </w:drawing>
              </mc:Choice>
              <mc:Fallback>
                <w:pict>
                  <v:rect w14:anchorId="07A2B740" id="Rectangle 16" o:spid="_x0000_s1026" style="position:absolute;margin-left:0;margin-top:0;width:422.3pt;height:807pt;z-index:251659264;visibility:visible;mso-wrap-style:square;mso-width-percent:690;mso-height-percent:0;mso-left-percent:20;mso-top-percent:20;mso-wrap-distance-left:9pt;mso-wrap-distance-top:0;mso-wrap-distance-right:9pt;mso-wrap-distance-bottom:0;mso-position-horizontal-relative:page;mso-position-vertical-relative:page;mso-width-percent:690;mso-height-percent: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" fillcolor="#156082 [3204]" stroked="f">
                    <v:textbox inset="21.6pt,1in,21.6pt">
                      <w:txbxContent>
                        <w:sdt>
                          <w:sdtPr>
                            <w:rPr>
                              <w:rFonts w:ascii="Arial" w:eastAsia="Times New Roman" w:hAnsi="Arial" w:cs="Arial"/>
                              <w:b/>
                              <w:kern w:val="0"/>
                              <w:szCs w:val="22"/>
                              <w:lang w:bidi="ar-SA"/>
                              <w14:ligatures w14:val="none"/>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103D7627" w14:textId="629E2EBF" w:rsidR="009A13F0" w:rsidRDefault="009A13F0">
                              <w:pPr>
                                <w:pStyle w:val="Title"/>
                                <w:jc w:val="right"/>
                                <w:rPr>
                                  <w:caps/>
                                  <w:color w:val="FFFFFF" w:themeColor="background1"/>
                                  <w:sz w:val="80"/>
                                  <w:szCs w:val="80"/>
                                </w:rPr>
                              </w:pPr>
                              <w:r w:rsidRPr="009A13F0">
                                <w:rPr>
                                  <w:rFonts w:ascii="Arial" w:eastAsia="Times New Roman" w:hAnsi="Arial" w:cs="Arial"/>
                                  <w:b/>
                                  <w:kern w:val="0"/>
                                  <w:szCs w:val="22"/>
                                  <w:lang w:bidi="ar-SA"/>
                                  <w14:ligatures w14:val="none"/>
                                </w:rPr>
                                <w:t>BA (Hons) Business Management</w:t>
                              </w:r>
                            </w:p>
                          </w:sdtContent>
                        </w:sdt>
                        <w:p w14:paraId="20EA666D" w14:textId="77777777" w:rsidR="009A13F0" w:rsidRDefault="009A13F0">
                          <w:pPr>
                            <w:spacing w:before="240"/>
                            <w:ind w:left="720"/>
                            <w:jc w:val="right"/>
                            <w:rPr>
                              <w:color w:val="FFFFFF" w:themeColor="background1"/>
                            </w:rPr>
                          </w:pPr>
                        </w:p>
                        <w:sdt>
                          <w:sdtPr>
                            <w:rPr>
                              <w:rFonts w:ascii="Arial" w:eastAsia="Times New Roman" w:hAnsi="Arial" w:cs="Arial"/>
                              <w:b/>
                              <w:bCs/>
                              <w:kern w:val="0"/>
                              <w:szCs w:val="22"/>
                              <w:lang w:bidi="ar-SA"/>
                              <w14:ligatures w14:val="none"/>
                            </w:rPr>
                            <w:alias w:val="Abstract"/>
                            <w:id w:val="-1812170092"/>
                            <w:dataBinding w:prefixMappings="xmlns:ns0='http://schemas.microsoft.com/office/2006/coverPageProps'" w:xpath="/ns0:CoverPageProperties[1]/ns0:Abstract[1]" w:storeItemID="{55AF091B-3C7A-41E3-B477-F2FDAA23CFDA}"/>
                            <w:text/>
                          </w:sdtPr>
                          <w:sdtEndPr/>
                          <w:sdtContent>
                            <w:p w14:paraId="5B68162C" w14:textId="7014D3BC" w:rsidR="009A13F0" w:rsidRDefault="009A13F0">
                              <w:pPr>
                                <w:spacing w:before="240"/>
                                <w:ind w:left="1008"/>
                                <w:jc w:val="right"/>
                                <w:rPr>
                                  <w:color w:val="FFFFFF" w:themeColor="background1"/>
                                </w:rPr>
                              </w:pPr>
                              <w:proofErr w:type="gramStart"/>
                              <w:r w:rsidRPr="009A13F0">
                                <w:rPr>
                                  <w:rFonts w:ascii="Arial" w:eastAsia="Times New Roman" w:hAnsi="Arial" w:cs="Arial"/>
                                  <w:b/>
                                  <w:bCs/>
                                  <w:kern w:val="0"/>
                                  <w:szCs w:val="22"/>
                                  <w:lang w:bidi="ar-SA"/>
                                  <w14:ligatures w14:val="none"/>
                                </w:rPr>
                                <w:t>Lecturer ;</w:t>
                              </w:r>
                              <w:proofErr w:type="gramEnd"/>
                              <w:r w:rsidR="0072152D">
                                <w:rPr>
                                  <w:rFonts w:ascii="Arial" w:eastAsia="Times New Roman" w:hAnsi="Arial" w:cs="Arial"/>
                                  <w:b/>
                                  <w:bCs/>
                                  <w:kern w:val="0"/>
                                  <w:szCs w:val="22"/>
                                  <w:lang w:bidi="ar-SA"/>
                                  <w14:ligatures w14:val="none"/>
                                </w:rPr>
                                <w:t xml:space="preserve"> Dr. </w:t>
                              </w:r>
                              <w:r w:rsidRPr="009A13F0">
                                <w:rPr>
                                  <w:rFonts w:ascii="Arial" w:eastAsia="Times New Roman" w:hAnsi="Arial" w:cs="Arial"/>
                                  <w:b/>
                                  <w:bCs/>
                                  <w:kern w:val="0"/>
                                  <w:szCs w:val="22"/>
                                  <w:lang w:bidi="ar-SA"/>
                                  <w14:ligatures w14:val="none"/>
                                </w:rPr>
                                <w:t>Said Usman</w:t>
                              </w:r>
                            </w:p>
                          </w:sdtContent>
                        </w:sdt>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6C3989CC" wp14:editId="3EEAEBCC">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0" b="3810"/>
                    <wp:wrapNone/>
                    <wp:docPr id="472" name="Rectangle 26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eastAsia="Times New Roman" w:hAnsi="Arial" w:cs="Arial"/>
                                    <w:b/>
                                    <w:color w:val="E8E8E8" w:themeColor="background2"/>
                                    <w:kern w:val="0"/>
                                    <w:szCs w:val="22"/>
                                    <w:lang w:bidi="ar-SA"/>
                                    <w14:ligatures w14:val="none"/>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5E77BB1A" w14:textId="00A64E7E" w:rsidR="009A13F0" w:rsidRPr="009A13F0" w:rsidRDefault="009A13F0">
                                    <w:pPr>
                                      <w:pStyle w:val="Subtitle"/>
                                      <w:rPr>
                                        <w:rFonts w:cstheme="minorBidi"/>
                                        <w:color w:val="E8E8E8" w:themeColor="background2"/>
                                      </w:rPr>
                                    </w:pPr>
                                    <w:r w:rsidRPr="009A13F0">
                                      <w:rPr>
                                        <w:rFonts w:ascii="Arial" w:eastAsia="Times New Roman" w:hAnsi="Arial" w:cs="Arial"/>
                                        <w:b/>
                                        <w:color w:val="E8E8E8" w:themeColor="background2"/>
                                        <w:kern w:val="0"/>
                                        <w:szCs w:val="22"/>
                                        <w:lang w:bidi="ar-SA"/>
                                        <w14:ligatures w14:val="none"/>
                                      </w:rPr>
                                      <w:t>Global Business Environment</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6C3989CC" id="Rectangle 268"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" fillcolor="#0e2841 [3215]" stroked="f" strokeweight="1pt">
                    <v:textbox inset="14.4pt,,14.4pt">
                      <w:txbxContent>
                        <w:sdt>
                          <w:sdtPr>
                            <w:rPr>
                              <w:rFonts w:ascii="Arial" w:eastAsia="Times New Roman" w:hAnsi="Arial" w:cs="Arial"/>
                              <w:b/>
                              <w:color w:val="E8E8E8" w:themeColor="background2"/>
                              <w:kern w:val="0"/>
                              <w:szCs w:val="22"/>
                              <w:lang w:bidi="ar-SA"/>
                              <w14:ligatures w14:val="none"/>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5E77BB1A" w14:textId="00A64E7E" w:rsidR="009A13F0" w:rsidRPr="009A13F0" w:rsidRDefault="009A13F0">
                              <w:pPr>
                                <w:pStyle w:val="Subtitle"/>
                                <w:rPr>
                                  <w:rFonts w:cstheme="minorBidi"/>
                                  <w:color w:val="E8E8E8" w:themeColor="background2"/>
                                </w:rPr>
                              </w:pPr>
                              <w:r w:rsidRPr="009A13F0">
                                <w:rPr>
                                  <w:rFonts w:ascii="Arial" w:eastAsia="Times New Roman" w:hAnsi="Arial" w:cs="Arial"/>
                                  <w:b/>
                                  <w:color w:val="E8E8E8" w:themeColor="background2"/>
                                  <w:kern w:val="0"/>
                                  <w:szCs w:val="22"/>
                                  <w:lang w:bidi="ar-SA"/>
                                  <w14:ligatures w14:val="none"/>
                                </w:rPr>
                                <w:t>Global Business Environment</w:t>
                              </w:r>
                            </w:p>
                          </w:sdtContent>
                        </w:sdt>
                      </w:txbxContent>
                    </v:textbox>
                    <w10:wrap anchorx="page" anchory="page"/>
                  </v:rect>
                </w:pict>
              </mc:Fallback>
            </mc:AlternateContent>
          </w:r>
        </w:p>
        <w:p w14:paraId="0ACA22B9" w14:textId="77777777" w:rsidR="009A13F0" w:rsidRDefault="009A13F0"/>
        <w:p w14:paraId="7540787B" w14:textId="76CB95D5" w:rsidR="009A13F0" w:rsidRDefault="009B4633">
          <w:r>
            <w:rPr>
              <w:noProof/>
            </w:rPr>
            <mc:AlternateContent>
              <mc:Choice Requires="wps">
                <w:drawing>
                  <wp:anchor distT="45720" distB="45720" distL="114300" distR="114300" simplePos="0" relativeHeight="251662336" behindDoc="0" locked="0" layoutInCell="1" allowOverlap="1" wp14:anchorId="7B3FFEDE" wp14:editId="6D84F80A">
                    <wp:simplePos x="0" y="0"/>
                    <wp:positionH relativeFrom="column">
                      <wp:posOffset>14605</wp:posOffset>
                    </wp:positionH>
                    <wp:positionV relativeFrom="paragraph">
                      <wp:posOffset>5507355</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69A9D81B" w14:textId="02115022" w:rsidR="009B4633" w:rsidRDefault="003F25B5">
                                <w:r>
                                  <w:t>Name: Apu B</w:t>
                                </w:r>
                                <w:r w:rsidR="00715DDE">
                                  <w:t>abu Chanda</w:t>
                                </w:r>
                              </w:p>
                              <w:p w14:paraId="3E0A6208" w14:textId="34C719A9" w:rsidR="00715DDE" w:rsidRDefault="00715DDE">
                                <w:r>
                                  <w:t>ID</w:t>
                                </w:r>
                                <w:r w:rsidR="00881EE7">
                                  <w:t>: 2517222</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7B3FFEDE" id="_x0000_t202" coordsize="21600,21600" o:spt="202" path="m,l,21600r21600,l21600,xe">
                    <v:stroke joinstyle="miter"/>
                    <v:path gradientshapeok="t" o:connecttype="rect"/>
                  </v:shapetype>
                  <v:shape id="Text Box 2" o:spid="_x0000_s1028" type="#_x0000_t202" style="position:absolute;margin-left:1.15pt;margin-top:433.65pt;width:185.9pt;height:110.6pt;z-index:25166233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BNrXFQIAACc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">
                    <v:textbox style="mso-fit-shape-to-text:t">
                      <w:txbxContent>
                        <w:p w14:paraId="69A9D81B" w14:textId="02115022" w:rsidR="009B4633" w:rsidRDefault="003F25B5">
                          <w:r>
                            <w:t>Name: Apu B</w:t>
                          </w:r>
                          <w:r w:rsidR="00715DDE">
                            <w:t>abu Chanda</w:t>
                          </w:r>
                        </w:p>
                        <w:p w14:paraId="3E0A6208" w14:textId="34C719A9" w:rsidR="00715DDE" w:rsidRDefault="00715DDE">
                          <w:r>
                            <w:t>ID</w:t>
                          </w:r>
                          <w:r w:rsidR="00881EE7">
                            <w:t>: 2517222</w:t>
                          </w:r>
                        </w:p>
                      </w:txbxContent>
                    </v:textbox>
                    <w10:wrap type="square"/>
                  </v:shape>
                </w:pict>
              </mc:Fallback>
            </mc:AlternateContent>
          </w:r>
          <w:r w:rsidR="009A13F0">
            <w:br w:type="page"/>
          </w:r>
        </w:p>
      </w:sdtContent>
    </w:sdt>
    <w:p w14:paraId="5B077BF3" w14:textId="77777777" w:rsidR="008C6243" w:rsidRDefault="008C6243" w:rsidP="008C6243">
      <w:pPr>
        <w:spacing w:line="360" w:lineRule="auto"/>
        <w:jc w:val="center"/>
        <w:rPr>
          <w:rFonts w:ascii="Times New Roman" w:eastAsia="MS Gothic" w:hAnsi="Times New Roman" w:cs="Times New Roman"/>
          <w:b/>
          <w:bCs/>
          <w:sz w:val="36"/>
          <w:szCs w:val="36"/>
        </w:rPr>
      </w:pPr>
    </w:p>
    <w:p w14:paraId="492B0327" w14:textId="77777777" w:rsidR="008C6243" w:rsidRDefault="008C6243" w:rsidP="008C6243">
      <w:pPr>
        <w:spacing w:line="360" w:lineRule="auto"/>
        <w:rPr>
          <w:rFonts w:ascii="Times New Roman" w:eastAsia="MS Gothic" w:hAnsi="Times New Roman" w:cs="Times New Roman"/>
          <w:b/>
          <w:bCs/>
          <w:sz w:val="36"/>
          <w:szCs w:val="36"/>
        </w:rPr>
      </w:pPr>
    </w:p>
    <w:p w14:paraId="1224BBE6" w14:textId="77777777" w:rsidR="008C6243" w:rsidRDefault="008C6243" w:rsidP="008C6243">
      <w:pPr>
        <w:spacing w:line="360" w:lineRule="auto"/>
        <w:rPr>
          <w:rFonts w:ascii="Times New Roman" w:eastAsia="MS Gothic" w:hAnsi="Times New Roman" w:cs="Times New Roman"/>
          <w:b/>
          <w:bCs/>
          <w:sz w:val="36"/>
          <w:szCs w:val="36"/>
        </w:rPr>
      </w:pPr>
    </w:p>
    <w:p w14:paraId="26491A08" w14:textId="77777777" w:rsidR="008C6243" w:rsidRDefault="008C6243" w:rsidP="008C6243">
      <w:pPr>
        <w:spacing w:line="360" w:lineRule="auto"/>
        <w:jc w:val="center"/>
        <w:rPr>
          <w:rFonts w:ascii="Times New Roman" w:eastAsia="MS Gothic" w:hAnsi="Times New Roman" w:cs="Times New Roman"/>
          <w:b/>
          <w:bCs/>
          <w:sz w:val="36"/>
          <w:szCs w:val="36"/>
        </w:rPr>
      </w:pPr>
    </w:p>
    <w:p w14:paraId="5D787694" w14:textId="77777777" w:rsidR="008C6243" w:rsidRDefault="008C6243" w:rsidP="008C6243">
      <w:pPr>
        <w:spacing w:line="360" w:lineRule="auto"/>
        <w:jc w:val="center"/>
        <w:rPr>
          <w:rFonts w:ascii="Times New Roman" w:eastAsia="MS Gothic" w:hAnsi="Times New Roman" w:cs="Times New Roman"/>
          <w:b/>
          <w:bCs/>
          <w:sz w:val="36"/>
          <w:szCs w:val="36"/>
        </w:rPr>
      </w:pPr>
    </w:p>
    <w:p w14:paraId="7169E527" w14:textId="77777777" w:rsidR="008C6243" w:rsidRDefault="008C6243" w:rsidP="008C6243">
      <w:pPr>
        <w:spacing w:line="360" w:lineRule="auto"/>
        <w:jc w:val="center"/>
        <w:rPr>
          <w:rFonts w:ascii="Times New Roman" w:eastAsia="MS Gothic" w:hAnsi="Times New Roman" w:cs="Times New Roman"/>
          <w:b/>
          <w:bCs/>
          <w:sz w:val="36"/>
          <w:szCs w:val="36"/>
        </w:rPr>
      </w:pPr>
      <w:r w:rsidRPr="0025089E">
        <w:rPr>
          <w:rFonts w:ascii="Times New Roman" w:eastAsia="MS Gothic" w:hAnsi="Times New Roman" w:cs="Times New Roman"/>
          <w:b/>
          <w:bCs/>
          <w:sz w:val="36"/>
          <w:szCs w:val="36"/>
        </w:rPr>
        <w:t>Navigating AI, Geopolitical Supply-Chain Disruption and the CSRD: Unilever PLC, 2024–2025</w:t>
      </w:r>
    </w:p>
    <w:p w14:paraId="0688FDC3" w14:textId="77777777" w:rsidR="008C6243" w:rsidRPr="00550BD4" w:rsidRDefault="008C6243" w:rsidP="008C6243">
      <w:pPr>
        <w:jc w:val="center"/>
        <w:rPr>
          <w:rFonts w:ascii="Times New Roman" w:eastAsia="MS Gothic" w:hAnsi="Times New Roman" w:cs="Times New Roman"/>
          <w:sz w:val="28"/>
        </w:rPr>
      </w:pPr>
      <w:r w:rsidRPr="00550BD4">
        <w:rPr>
          <w:rFonts w:ascii="Times New Roman" w:eastAsia="MS Gothic" w:hAnsi="Times New Roman" w:cs="Times New Roman"/>
          <w:sz w:val="28"/>
        </w:rPr>
        <w:t>Programme: BA (Hons) Business Management</w:t>
      </w:r>
    </w:p>
    <w:p w14:paraId="507BC73A" w14:textId="77777777" w:rsidR="008C6243" w:rsidRPr="00550BD4" w:rsidRDefault="008C6243" w:rsidP="008C6243">
      <w:pPr>
        <w:jc w:val="center"/>
        <w:rPr>
          <w:rFonts w:ascii="Times New Roman" w:eastAsia="MS Gothic" w:hAnsi="Times New Roman" w:cs="Times New Roman"/>
          <w:sz w:val="28"/>
        </w:rPr>
      </w:pPr>
      <w:r w:rsidRPr="00550BD4">
        <w:rPr>
          <w:rFonts w:ascii="Times New Roman" w:eastAsia="MS Gothic" w:hAnsi="Times New Roman" w:cs="Times New Roman"/>
          <w:sz w:val="28"/>
        </w:rPr>
        <w:t>Module: Global Business Environment</w:t>
      </w:r>
    </w:p>
    <w:p w14:paraId="3796EE69" w14:textId="77777777" w:rsidR="008C6243" w:rsidRDefault="008C6243" w:rsidP="008C6243">
      <w:pPr>
        <w:jc w:val="center"/>
        <w:rPr>
          <w:rFonts w:ascii="Times New Roman" w:eastAsia="MS Gothic" w:hAnsi="Times New Roman" w:cs="Times New Roman"/>
          <w:b/>
          <w:bCs/>
          <w:sz w:val="36"/>
          <w:szCs w:val="36"/>
        </w:rPr>
      </w:pPr>
      <w:r w:rsidRPr="00550BD4">
        <w:rPr>
          <w:rFonts w:ascii="Times New Roman" w:eastAsia="MS Gothic" w:hAnsi="Times New Roman" w:cs="Times New Roman"/>
          <w:sz w:val="28"/>
        </w:rPr>
        <w:t>Module code: LCBB4016</w:t>
      </w:r>
      <w:r w:rsidRPr="00550BD4">
        <w:rPr>
          <w:rFonts w:ascii="Times New Roman" w:eastAsia="MS Gothic" w:hAnsi="Times New Roman" w:cs="Times New Roman"/>
          <w:b/>
          <w:bCs/>
          <w:sz w:val="28"/>
        </w:rPr>
        <w:t xml:space="preserve"> </w:t>
      </w:r>
      <w:r>
        <w:rPr>
          <w:rFonts w:ascii="Times New Roman" w:eastAsia="MS Gothic" w:hAnsi="Times New Roman" w:cs="Times New Roman"/>
          <w:b/>
          <w:bCs/>
          <w:sz w:val="36"/>
          <w:szCs w:val="36"/>
        </w:rPr>
        <w:br w:type="page"/>
      </w:r>
    </w:p>
    <w:sdt>
      <w:sdtPr>
        <w:rPr>
          <w:rFonts w:asciiTheme="minorHAnsi" w:eastAsiaTheme="minorHAnsi" w:hAnsiTheme="minorHAnsi" w:cstheme="minorBidi"/>
          <w:color w:val="auto"/>
          <w:kern w:val="2"/>
          <w:sz w:val="22"/>
          <w:szCs w:val="28"/>
          <w:lang w:val="en-GB" w:bidi="bn-BD"/>
          <w14:ligatures w14:val="standardContextual"/>
        </w:rPr>
        <w:id w:val="-306701026"/>
        <w:docPartObj>
          <w:docPartGallery w:val="Table of Contents"/>
          <w:docPartUnique/>
        </w:docPartObj>
      </w:sdtPr>
      <w:sdtEndPr>
        <w:rPr>
          <w:b/>
          <w:bCs/>
          <w:noProof/>
        </w:rPr>
      </w:sdtEndPr>
      <w:sdtContent>
        <w:p w14:paraId="6D7323C1" w14:textId="1580522A" w:rsidR="00491587" w:rsidRDefault="00491587">
          <w:pPr>
            <w:pStyle w:val="TOCHeading"/>
          </w:pPr>
          <w:r>
            <w:t>Contents</w:t>
          </w:r>
        </w:p>
        <w:p w14:paraId="2405231E" w14:textId="6D3DC666" w:rsidR="00491587" w:rsidRDefault="00491587">
          <w:pPr>
            <w:pStyle w:val="TOC1"/>
            <w:tabs>
              <w:tab w:val="right" w:leader="dot" w:pos="9016"/>
            </w:tabs>
            <w:rPr>
              <w:rFonts w:eastAsiaTheme="minorEastAsia"/>
              <w:noProof/>
              <w:kern w:val="2"/>
              <w:sz w:val="24"/>
              <w:szCs w:val="30"/>
              <w:lang w:val="en-GB" w:eastAsia="en-GB" w:bidi="bn-BD"/>
              <w14:ligatures w14:val="standardContextual"/>
            </w:rPr>
          </w:pPr>
          <w:r>
            <w:fldChar w:fldCharType="begin"/>
          </w:r>
          <w:r>
            <w:instrText xml:space="preserve"> TOC \o "1-3" \h \z \u </w:instrText>
          </w:r>
          <w:r>
            <w:fldChar w:fldCharType="separate"/>
          </w:r>
          <w:hyperlink w:anchor="_Toc237454903" w:history="1">
            <w:r w:rsidRPr="003A7192">
              <w:rPr>
                <w:rStyle w:val="Hyperlink"/>
                <w:rFonts w:ascii="Times New Roman" w:eastAsia="MS Gothic" w:hAnsi="Times New Roman" w:cs="Times New Roman"/>
                <w:b/>
                <w:bCs/>
                <w:noProof/>
              </w:rPr>
              <w:t>Introduction</w:t>
            </w:r>
            <w:r>
              <w:rPr>
                <w:noProof/>
                <w:webHidden/>
              </w:rPr>
              <w:tab/>
            </w:r>
            <w:r>
              <w:rPr>
                <w:noProof/>
                <w:webHidden/>
              </w:rPr>
              <w:fldChar w:fldCharType="begin"/>
            </w:r>
            <w:r>
              <w:rPr>
                <w:noProof/>
                <w:webHidden/>
              </w:rPr>
              <w:instrText xml:space="preserve"> PAGEREF _Toc237454903 \h </w:instrText>
            </w:r>
            <w:r>
              <w:rPr>
                <w:noProof/>
                <w:webHidden/>
              </w:rPr>
            </w:r>
            <w:r>
              <w:rPr>
                <w:noProof/>
                <w:webHidden/>
              </w:rPr>
              <w:fldChar w:fldCharType="separate"/>
            </w:r>
            <w:r>
              <w:rPr>
                <w:noProof/>
                <w:webHidden/>
              </w:rPr>
              <w:t>3</w:t>
            </w:r>
            <w:r>
              <w:rPr>
                <w:noProof/>
                <w:webHidden/>
              </w:rPr>
              <w:fldChar w:fldCharType="end"/>
            </w:r>
          </w:hyperlink>
        </w:p>
        <w:p w14:paraId="7420EC72" w14:textId="426BAA84" w:rsidR="00491587" w:rsidRDefault="00491587">
          <w:pPr>
            <w:pStyle w:val="TOC1"/>
            <w:tabs>
              <w:tab w:val="right" w:leader="dot" w:pos="9016"/>
            </w:tabs>
            <w:rPr>
              <w:rFonts w:eastAsiaTheme="minorEastAsia"/>
              <w:noProof/>
              <w:kern w:val="2"/>
              <w:sz w:val="24"/>
              <w:szCs w:val="30"/>
              <w:lang w:val="en-GB" w:eastAsia="en-GB" w:bidi="bn-BD"/>
              <w14:ligatures w14:val="standardContextual"/>
            </w:rPr>
          </w:pPr>
          <w:hyperlink w:anchor="_Toc237454904" w:history="1">
            <w:r w:rsidRPr="003A7192">
              <w:rPr>
                <w:rStyle w:val="Hyperlink"/>
                <w:rFonts w:ascii="Times New Roman" w:eastAsia="MS Gothic" w:hAnsi="Times New Roman" w:cs="Times New Roman"/>
                <w:b/>
                <w:bCs/>
                <w:noProof/>
              </w:rPr>
              <w:t>Opportunities created by global forces</w:t>
            </w:r>
            <w:r>
              <w:rPr>
                <w:noProof/>
                <w:webHidden/>
              </w:rPr>
              <w:tab/>
            </w:r>
            <w:r>
              <w:rPr>
                <w:noProof/>
                <w:webHidden/>
              </w:rPr>
              <w:fldChar w:fldCharType="begin"/>
            </w:r>
            <w:r>
              <w:rPr>
                <w:noProof/>
                <w:webHidden/>
              </w:rPr>
              <w:instrText xml:space="preserve"> PAGEREF _Toc237454904 \h </w:instrText>
            </w:r>
            <w:r>
              <w:rPr>
                <w:noProof/>
                <w:webHidden/>
              </w:rPr>
            </w:r>
            <w:r>
              <w:rPr>
                <w:noProof/>
                <w:webHidden/>
              </w:rPr>
              <w:fldChar w:fldCharType="separate"/>
            </w:r>
            <w:r>
              <w:rPr>
                <w:noProof/>
                <w:webHidden/>
              </w:rPr>
              <w:t>3</w:t>
            </w:r>
            <w:r>
              <w:rPr>
                <w:noProof/>
                <w:webHidden/>
              </w:rPr>
              <w:fldChar w:fldCharType="end"/>
            </w:r>
          </w:hyperlink>
        </w:p>
        <w:p w14:paraId="2E1BB43F" w14:textId="470D3362" w:rsidR="00491587" w:rsidRDefault="00491587">
          <w:pPr>
            <w:pStyle w:val="TOC1"/>
            <w:tabs>
              <w:tab w:val="right" w:leader="dot" w:pos="9016"/>
            </w:tabs>
            <w:rPr>
              <w:rFonts w:eastAsiaTheme="minorEastAsia"/>
              <w:noProof/>
              <w:kern w:val="2"/>
              <w:sz w:val="24"/>
              <w:szCs w:val="30"/>
              <w:lang w:val="en-GB" w:eastAsia="en-GB" w:bidi="bn-BD"/>
              <w14:ligatures w14:val="standardContextual"/>
            </w:rPr>
          </w:pPr>
          <w:hyperlink w:anchor="_Toc237454905" w:history="1">
            <w:r w:rsidRPr="003A7192">
              <w:rPr>
                <w:rStyle w:val="Hyperlink"/>
                <w:rFonts w:ascii="Times New Roman" w:eastAsia="MS Gothic" w:hAnsi="Times New Roman" w:cs="Times New Roman"/>
                <w:b/>
                <w:bCs/>
                <w:noProof/>
              </w:rPr>
              <w:t>Challenges and operational consequences</w:t>
            </w:r>
            <w:r>
              <w:rPr>
                <w:noProof/>
                <w:webHidden/>
              </w:rPr>
              <w:tab/>
            </w:r>
            <w:r>
              <w:rPr>
                <w:noProof/>
                <w:webHidden/>
              </w:rPr>
              <w:fldChar w:fldCharType="begin"/>
            </w:r>
            <w:r>
              <w:rPr>
                <w:noProof/>
                <w:webHidden/>
              </w:rPr>
              <w:instrText xml:space="preserve"> PAGEREF _Toc237454905 \h </w:instrText>
            </w:r>
            <w:r>
              <w:rPr>
                <w:noProof/>
                <w:webHidden/>
              </w:rPr>
            </w:r>
            <w:r>
              <w:rPr>
                <w:noProof/>
                <w:webHidden/>
              </w:rPr>
              <w:fldChar w:fldCharType="separate"/>
            </w:r>
            <w:r>
              <w:rPr>
                <w:noProof/>
                <w:webHidden/>
              </w:rPr>
              <w:t>4</w:t>
            </w:r>
            <w:r>
              <w:rPr>
                <w:noProof/>
                <w:webHidden/>
              </w:rPr>
              <w:fldChar w:fldCharType="end"/>
            </w:r>
          </w:hyperlink>
        </w:p>
        <w:p w14:paraId="77DE9ED6" w14:textId="20364830" w:rsidR="00491587" w:rsidRDefault="00491587">
          <w:pPr>
            <w:pStyle w:val="TOC1"/>
            <w:tabs>
              <w:tab w:val="right" w:leader="dot" w:pos="9016"/>
            </w:tabs>
            <w:rPr>
              <w:rFonts w:eastAsiaTheme="minorEastAsia"/>
              <w:noProof/>
              <w:kern w:val="2"/>
              <w:sz w:val="24"/>
              <w:szCs w:val="30"/>
              <w:lang w:val="en-GB" w:eastAsia="en-GB" w:bidi="bn-BD"/>
              <w14:ligatures w14:val="standardContextual"/>
            </w:rPr>
          </w:pPr>
          <w:hyperlink w:anchor="_Toc237454906" w:history="1">
            <w:r w:rsidRPr="003A7192">
              <w:rPr>
                <w:rStyle w:val="Hyperlink"/>
                <w:rFonts w:ascii="Times New Roman" w:eastAsia="MS Gothic" w:hAnsi="Times New Roman" w:cs="Times New Roman"/>
                <w:b/>
                <w:bCs/>
                <w:noProof/>
              </w:rPr>
              <w:t>Impact on positioning, innovation, talent and competitiveness</w:t>
            </w:r>
            <w:r>
              <w:rPr>
                <w:noProof/>
                <w:webHidden/>
              </w:rPr>
              <w:tab/>
            </w:r>
            <w:r>
              <w:rPr>
                <w:noProof/>
                <w:webHidden/>
              </w:rPr>
              <w:fldChar w:fldCharType="begin"/>
            </w:r>
            <w:r>
              <w:rPr>
                <w:noProof/>
                <w:webHidden/>
              </w:rPr>
              <w:instrText xml:space="preserve"> PAGEREF _Toc237454906 \h </w:instrText>
            </w:r>
            <w:r>
              <w:rPr>
                <w:noProof/>
                <w:webHidden/>
              </w:rPr>
            </w:r>
            <w:r>
              <w:rPr>
                <w:noProof/>
                <w:webHidden/>
              </w:rPr>
              <w:fldChar w:fldCharType="separate"/>
            </w:r>
            <w:r>
              <w:rPr>
                <w:noProof/>
                <w:webHidden/>
              </w:rPr>
              <w:t>5</w:t>
            </w:r>
            <w:r>
              <w:rPr>
                <w:noProof/>
                <w:webHidden/>
              </w:rPr>
              <w:fldChar w:fldCharType="end"/>
            </w:r>
          </w:hyperlink>
        </w:p>
        <w:p w14:paraId="328082A9" w14:textId="00328332" w:rsidR="00491587" w:rsidRDefault="00491587">
          <w:pPr>
            <w:pStyle w:val="TOC1"/>
            <w:tabs>
              <w:tab w:val="right" w:leader="dot" w:pos="9016"/>
            </w:tabs>
            <w:rPr>
              <w:rFonts w:eastAsiaTheme="minorEastAsia"/>
              <w:noProof/>
              <w:kern w:val="2"/>
              <w:sz w:val="24"/>
              <w:szCs w:val="30"/>
              <w:lang w:val="en-GB" w:eastAsia="en-GB" w:bidi="bn-BD"/>
              <w14:ligatures w14:val="standardContextual"/>
            </w:rPr>
          </w:pPr>
          <w:hyperlink w:anchor="_Toc237454907" w:history="1">
            <w:r w:rsidRPr="003A7192">
              <w:rPr>
                <w:rStyle w:val="Hyperlink"/>
                <w:rFonts w:ascii="Times New Roman" w:eastAsia="MS Gothic" w:hAnsi="Times New Roman" w:cs="Times New Roman"/>
                <w:b/>
                <w:bCs/>
                <w:noProof/>
              </w:rPr>
              <w:t>Strategic recommendations</w:t>
            </w:r>
            <w:r>
              <w:rPr>
                <w:noProof/>
                <w:webHidden/>
              </w:rPr>
              <w:tab/>
            </w:r>
            <w:r>
              <w:rPr>
                <w:noProof/>
                <w:webHidden/>
              </w:rPr>
              <w:fldChar w:fldCharType="begin"/>
            </w:r>
            <w:r>
              <w:rPr>
                <w:noProof/>
                <w:webHidden/>
              </w:rPr>
              <w:instrText xml:space="preserve"> PAGEREF _Toc237454907 \h </w:instrText>
            </w:r>
            <w:r>
              <w:rPr>
                <w:noProof/>
                <w:webHidden/>
              </w:rPr>
            </w:r>
            <w:r>
              <w:rPr>
                <w:noProof/>
                <w:webHidden/>
              </w:rPr>
              <w:fldChar w:fldCharType="separate"/>
            </w:r>
            <w:r>
              <w:rPr>
                <w:noProof/>
                <w:webHidden/>
              </w:rPr>
              <w:t>6</w:t>
            </w:r>
            <w:r>
              <w:rPr>
                <w:noProof/>
                <w:webHidden/>
              </w:rPr>
              <w:fldChar w:fldCharType="end"/>
            </w:r>
          </w:hyperlink>
        </w:p>
        <w:p w14:paraId="07215E3F" w14:textId="1DAE6972" w:rsidR="00491587" w:rsidRDefault="00491587">
          <w:pPr>
            <w:pStyle w:val="TOC1"/>
            <w:tabs>
              <w:tab w:val="right" w:leader="dot" w:pos="9016"/>
            </w:tabs>
            <w:rPr>
              <w:rFonts w:eastAsiaTheme="minorEastAsia"/>
              <w:noProof/>
              <w:kern w:val="2"/>
              <w:sz w:val="24"/>
              <w:szCs w:val="30"/>
              <w:lang w:val="en-GB" w:eastAsia="en-GB" w:bidi="bn-BD"/>
              <w14:ligatures w14:val="standardContextual"/>
            </w:rPr>
          </w:pPr>
          <w:hyperlink w:anchor="_Toc237454908" w:history="1">
            <w:r w:rsidRPr="003A7192">
              <w:rPr>
                <w:rStyle w:val="Hyperlink"/>
                <w:rFonts w:ascii="Times New Roman" w:eastAsia="MS Gothic" w:hAnsi="Times New Roman" w:cs="Times New Roman"/>
                <w:b/>
                <w:bCs/>
                <w:noProof/>
              </w:rPr>
              <w:t>Conclusion</w:t>
            </w:r>
            <w:r>
              <w:rPr>
                <w:noProof/>
                <w:webHidden/>
              </w:rPr>
              <w:tab/>
            </w:r>
            <w:r>
              <w:rPr>
                <w:noProof/>
                <w:webHidden/>
              </w:rPr>
              <w:fldChar w:fldCharType="begin"/>
            </w:r>
            <w:r>
              <w:rPr>
                <w:noProof/>
                <w:webHidden/>
              </w:rPr>
              <w:instrText xml:space="preserve"> PAGEREF _Toc237454908 \h </w:instrText>
            </w:r>
            <w:r>
              <w:rPr>
                <w:noProof/>
                <w:webHidden/>
              </w:rPr>
            </w:r>
            <w:r>
              <w:rPr>
                <w:noProof/>
                <w:webHidden/>
              </w:rPr>
              <w:fldChar w:fldCharType="separate"/>
            </w:r>
            <w:r>
              <w:rPr>
                <w:noProof/>
                <w:webHidden/>
              </w:rPr>
              <w:t>7</w:t>
            </w:r>
            <w:r>
              <w:rPr>
                <w:noProof/>
                <w:webHidden/>
              </w:rPr>
              <w:fldChar w:fldCharType="end"/>
            </w:r>
          </w:hyperlink>
        </w:p>
        <w:p w14:paraId="262949FD" w14:textId="4DA3E1C5" w:rsidR="00491587" w:rsidRDefault="00491587">
          <w:pPr>
            <w:pStyle w:val="TOC1"/>
            <w:tabs>
              <w:tab w:val="right" w:leader="dot" w:pos="9016"/>
            </w:tabs>
            <w:rPr>
              <w:rFonts w:eastAsiaTheme="minorEastAsia"/>
              <w:noProof/>
              <w:kern w:val="2"/>
              <w:sz w:val="24"/>
              <w:szCs w:val="30"/>
              <w:lang w:val="en-GB" w:eastAsia="en-GB" w:bidi="bn-BD"/>
              <w14:ligatures w14:val="standardContextual"/>
            </w:rPr>
          </w:pPr>
          <w:hyperlink w:anchor="_Toc237454909" w:history="1">
            <w:r w:rsidRPr="003A7192">
              <w:rPr>
                <w:rStyle w:val="Hyperlink"/>
                <w:rFonts w:ascii="Times New Roman" w:eastAsia="MS Mincho" w:hAnsi="Times New Roman" w:cs="Times New Roman"/>
                <w:b/>
                <w:bCs/>
                <w:noProof/>
              </w:rPr>
              <w:t>References</w:t>
            </w:r>
            <w:r>
              <w:rPr>
                <w:noProof/>
                <w:webHidden/>
              </w:rPr>
              <w:tab/>
            </w:r>
            <w:r>
              <w:rPr>
                <w:noProof/>
                <w:webHidden/>
              </w:rPr>
              <w:fldChar w:fldCharType="begin"/>
            </w:r>
            <w:r>
              <w:rPr>
                <w:noProof/>
                <w:webHidden/>
              </w:rPr>
              <w:instrText xml:space="preserve"> PAGEREF _Toc237454909 \h </w:instrText>
            </w:r>
            <w:r>
              <w:rPr>
                <w:noProof/>
                <w:webHidden/>
              </w:rPr>
            </w:r>
            <w:r>
              <w:rPr>
                <w:noProof/>
                <w:webHidden/>
              </w:rPr>
              <w:fldChar w:fldCharType="separate"/>
            </w:r>
            <w:r>
              <w:rPr>
                <w:noProof/>
                <w:webHidden/>
              </w:rPr>
              <w:t>8</w:t>
            </w:r>
            <w:r>
              <w:rPr>
                <w:noProof/>
                <w:webHidden/>
              </w:rPr>
              <w:fldChar w:fldCharType="end"/>
            </w:r>
          </w:hyperlink>
        </w:p>
        <w:p w14:paraId="752F833F" w14:textId="23191D28" w:rsidR="00491587" w:rsidRDefault="00491587">
          <w:r>
            <w:rPr>
              <w:b/>
              <w:bCs/>
              <w:noProof/>
            </w:rPr>
            <w:fldChar w:fldCharType="end"/>
          </w:r>
        </w:p>
      </w:sdtContent>
    </w:sdt>
    <w:p w14:paraId="7DD017C5" w14:textId="77777777" w:rsidR="008C6243" w:rsidRDefault="008C6243" w:rsidP="008C6243">
      <w:pPr>
        <w:spacing w:line="360" w:lineRule="auto"/>
        <w:rPr>
          <w:rFonts w:ascii="Times New Roman" w:eastAsia="MS Gothic" w:hAnsi="Times New Roman" w:cs="Times New Roman"/>
          <w:b/>
          <w:bCs/>
          <w:color w:val="2E74B5"/>
          <w:sz w:val="24"/>
          <w:szCs w:val="24"/>
        </w:rPr>
      </w:pPr>
      <w:r>
        <w:rPr>
          <w:rFonts w:ascii="Times New Roman" w:eastAsia="MS Gothic" w:hAnsi="Times New Roman" w:cs="Times New Roman"/>
          <w:b/>
          <w:bCs/>
          <w:color w:val="2E74B5"/>
          <w:sz w:val="24"/>
          <w:szCs w:val="24"/>
        </w:rPr>
        <w:br w:type="page"/>
      </w:r>
    </w:p>
    <w:p w14:paraId="332CDEAC" w14:textId="77777777" w:rsidR="008C6243" w:rsidRPr="0025089E" w:rsidRDefault="008C6243" w:rsidP="008C6243">
      <w:pPr>
        <w:keepNext/>
        <w:keepLines/>
        <w:spacing w:before="280" w:line="360" w:lineRule="auto"/>
        <w:jc w:val="both"/>
        <w:outlineLvl w:val="0"/>
        <w:rPr>
          <w:rFonts w:ascii="Times New Roman" w:eastAsia="MS Gothic" w:hAnsi="Times New Roman" w:cs="Times New Roman"/>
          <w:b/>
          <w:bCs/>
          <w:sz w:val="32"/>
          <w:szCs w:val="32"/>
        </w:rPr>
      </w:pPr>
      <w:bookmarkStart w:id="0" w:name="_Toc237454903"/>
      <w:r w:rsidRPr="0025089E">
        <w:rPr>
          <w:rFonts w:ascii="Times New Roman" w:eastAsia="MS Gothic" w:hAnsi="Times New Roman" w:cs="Times New Roman"/>
          <w:b/>
          <w:bCs/>
          <w:sz w:val="32"/>
          <w:szCs w:val="32"/>
        </w:rPr>
        <w:lastRenderedPageBreak/>
        <w:t>Introduction</w:t>
      </w:r>
      <w:bookmarkEnd w:id="0"/>
    </w:p>
    <w:p w14:paraId="5B673AEF" w14:textId="77777777" w:rsidR="008C6243" w:rsidRPr="0025089E" w:rsidRDefault="008C6243" w:rsidP="008C6243">
      <w:pPr>
        <w:spacing w:after="80" w:line="360" w:lineRule="auto"/>
        <w:jc w:val="both"/>
        <w:rPr>
          <w:rFonts w:ascii="Times New Roman" w:eastAsia="MS Mincho" w:hAnsi="Times New Roman" w:cs="Times New Roman"/>
          <w:color w:val="000000"/>
          <w:sz w:val="24"/>
          <w:szCs w:val="24"/>
        </w:rPr>
      </w:pPr>
      <w:r w:rsidRPr="0025089E">
        <w:rPr>
          <w:rFonts w:ascii="Times New Roman" w:eastAsia="MS Mincho" w:hAnsi="Times New Roman" w:cs="Times New Roman"/>
          <w:color w:val="000000"/>
          <w:sz w:val="24"/>
          <w:szCs w:val="24"/>
        </w:rPr>
        <w:t xml:space="preserve">Globalisation intensifies cross-border flows of goods, capital, people, knowledge and regulation, making decisions in one location consequential elsewhere (Held et al., 1999). It continues to play a central role in international business, yet geopolitical competition and regulatory heterogeneity </w:t>
      </w:r>
      <w:r>
        <w:rPr>
          <w:rFonts w:ascii="Times New Roman" w:eastAsia="MS Mincho" w:hAnsi="Times New Roman" w:cs="Times New Roman"/>
          <w:color w:val="000000"/>
          <w:sz w:val="24"/>
          <w:szCs w:val="24"/>
        </w:rPr>
        <w:t>demonstrate</w:t>
      </w:r>
      <w:r w:rsidRPr="0025089E">
        <w:rPr>
          <w:rFonts w:ascii="Times New Roman" w:eastAsia="MS Mincho" w:hAnsi="Times New Roman" w:cs="Times New Roman"/>
          <w:color w:val="000000"/>
          <w:sz w:val="24"/>
          <w:szCs w:val="24"/>
        </w:rPr>
        <w:t xml:space="preserve"> that integration is neither frictionless nor irreversible. World Trade Organization (2024) has projected that the level of merchandise trade would resume in 2024 by 2.6 </w:t>
      </w:r>
      <w:r>
        <w:rPr>
          <w:rFonts w:ascii="Times New Roman" w:eastAsia="MS Mincho" w:hAnsi="Times New Roman" w:cs="Times New Roman"/>
          <w:color w:val="000000"/>
          <w:sz w:val="24"/>
          <w:szCs w:val="24"/>
        </w:rPr>
        <w:t>per cent</w:t>
      </w:r>
      <w:r w:rsidRPr="0025089E">
        <w:rPr>
          <w:rFonts w:ascii="Times New Roman" w:eastAsia="MS Mincho" w:hAnsi="Times New Roman" w:cs="Times New Roman"/>
          <w:color w:val="000000"/>
          <w:sz w:val="24"/>
          <w:szCs w:val="24"/>
        </w:rPr>
        <w:t>, although regional conflicts might undermine the trend. Global value chains therefore offer scale and specialisation while transmitting disruption rapidly (</w:t>
      </w:r>
      <w:proofErr w:type="spellStart"/>
      <w:r w:rsidRPr="0025089E">
        <w:rPr>
          <w:rFonts w:ascii="Times New Roman" w:eastAsia="MS Mincho" w:hAnsi="Times New Roman" w:cs="Times New Roman"/>
          <w:color w:val="000000"/>
          <w:sz w:val="24"/>
          <w:szCs w:val="24"/>
        </w:rPr>
        <w:t>Gereffi</w:t>
      </w:r>
      <w:proofErr w:type="spellEnd"/>
      <w:r w:rsidRPr="0025089E">
        <w:rPr>
          <w:rFonts w:ascii="Times New Roman" w:eastAsia="MS Mincho" w:hAnsi="Times New Roman" w:cs="Times New Roman"/>
          <w:color w:val="000000"/>
          <w:sz w:val="24"/>
          <w:szCs w:val="24"/>
        </w:rPr>
        <w:t>, Humphrey and Sturgeon, 2005).</w:t>
      </w:r>
    </w:p>
    <w:p w14:paraId="224CC37C" w14:textId="77777777" w:rsidR="008C6243" w:rsidRPr="0025089E" w:rsidRDefault="008C6243" w:rsidP="008C6243">
      <w:pPr>
        <w:spacing w:after="80" w:line="360" w:lineRule="auto"/>
        <w:jc w:val="both"/>
        <w:rPr>
          <w:rFonts w:ascii="Times New Roman" w:eastAsia="MS Mincho" w:hAnsi="Times New Roman" w:cs="Times New Roman"/>
          <w:color w:val="000000"/>
          <w:sz w:val="24"/>
          <w:szCs w:val="24"/>
        </w:rPr>
      </w:pPr>
      <w:r w:rsidRPr="0025089E">
        <w:rPr>
          <w:rFonts w:ascii="Times New Roman" w:eastAsia="MS Mincho" w:hAnsi="Times New Roman" w:cs="Times New Roman"/>
          <w:color w:val="000000"/>
          <w:sz w:val="24"/>
          <w:szCs w:val="24"/>
        </w:rPr>
        <w:t xml:space="preserve">Unilever </w:t>
      </w:r>
      <w:r>
        <w:rPr>
          <w:rFonts w:ascii="Times New Roman" w:eastAsia="MS Mincho" w:hAnsi="Times New Roman" w:cs="Times New Roman"/>
          <w:color w:val="000000"/>
          <w:sz w:val="24"/>
          <w:szCs w:val="24"/>
        </w:rPr>
        <w:t>PLC</w:t>
      </w:r>
      <w:r w:rsidRPr="0025089E">
        <w:rPr>
          <w:rFonts w:ascii="Times New Roman" w:eastAsia="MS Mincho" w:hAnsi="Times New Roman" w:cs="Times New Roman"/>
          <w:color w:val="000000"/>
          <w:sz w:val="24"/>
          <w:szCs w:val="24"/>
        </w:rPr>
        <w:t xml:space="preserve"> is a multinational that sells </w:t>
      </w:r>
      <w:r>
        <w:rPr>
          <w:rFonts w:ascii="Times New Roman" w:eastAsia="MS Mincho" w:hAnsi="Times New Roman" w:cs="Times New Roman"/>
          <w:color w:val="000000"/>
          <w:sz w:val="24"/>
          <w:szCs w:val="24"/>
        </w:rPr>
        <w:t>Dove</w:t>
      </w:r>
      <w:r w:rsidRPr="0025089E">
        <w:rPr>
          <w:rFonts w:ascii="Times New Roman" w:eastAsia="MS Mincho" w:hAnsi="Times New Roman" w:cs="Times New Roman"/>
          <w:color w:val="000000"/>
          <w:sz w:val="24"/>
          <w:szCs w:val="24"/>
        </w:rPr>
        <w:t>, Knorr, Persil and Vaseline products with its headquarters in London. It recorded a turnover of EUR 60.8 billion and 4.2% underlying sales growth in 2024</w:t>
      </w:r>
      <w:r>
        <w:rPr>
          <w:rFonts w:ascii="Times New Roman" w:eastAsia="MS Mincho" w:hAnsi="Times New Roman" w:cs="Times New Roman"/>
          <w:color w:val="000000"/>
          <w:sz w:val="24"/>
          <w:szCs w:val="24"/>
        </w:rPr>
        <w:t>,</w:t>
      </w:r>
      <w:r w:rsidRPr="0025089E">
        <w:rPr>
          <w:rFonts w:ascii="Times New Roman" w:eastAsia="MS Mincho" w:hAnsi="Times New Roman" w:cs="Times New Roman"/>
          <w:color w:val="000000"/>
          <w:sz w:val="24"/>
          <w:szCs w:val="24"/>
        </w:rPr>
        <w:t xml:space="preserve"> whose operations and suppliers cut across both developed and emerging markets (Unilever, 2025a). This essay will claim that artificial intelligence (AI), geopolitical supply-chain instability, and </w:t>
      </w:r>
      <w:r>
        <w:rPr>
          <w:rFonts w:ascii="Times New Roman" w:eastAsia="MS Mincho" w:hAnsi="Times New Roman" w:cs="Times New Roman"/>
          <w:color w:val="000000"/>
          <w:sz w:val="24"/>
          <w:szCs w:val="24"/>
        </w:rPr>
        <w:t xml:space="preserve">the </w:t>
      </w:r>
      <w:r w:rsidRPr="0025089E">
        <w:rPr>
          <w:rFonts w:ascii="Times New Roman" w:eastAsia="MS Mincho" w:hAnsi="Times New Roman" w:cs="Times New Roman"/>
          <w:color w:val="000000"/>
          <w:sz w:val="24"/>
          <w:szCs w:val="24"/>
        </w:rPr>
        <w:t>EU Corporate Sustainability Reporting Directive (CSRD) can empower Unilever to become efficient, legitimate, and innovative, but only when it avoids technological risk, introduces redundancy into its logistics and transforms sustainability reporting into operational change instead of compliance.</w:t>
      </w:r>
    </w:p>
    <w:p w14:paraId="75F42BA8" w14:textId="77777777" w:rsidR="008C6243" w:rsidRPr="0025089E" w:rsidRDefault="008C6243" w:rsidP="008C6243">
      <w:pPr>
        <w:keepNext/>
        <w:keepLines/>
        <w:spacing w:before="280" w:line="360" w:lineRule="auto"/>
        <w:jc w:val="both"/>
        <w:outlineLvl w:val="0"/>
        <w:rPr>
          <w:rFonts w:ascii="Times New Roman" w:eastAsia="MS Gothic" w:hAnsi="Times New Roman" w:cs="Times New Roman"/>
          <w:b/>
          <w:bCs/>
          <w:sz w:val="32"/>
          <w:szCs w:val="32"/>
        </w:rPr>
      </w:pPr>
      <w:bookmarkStart w:id="1" w:name="_Toc237454904"/>
      <w:r w:rsidRPr="0025089E">
        <w:rPr>
          <w:rFonts w:ascii="Times New Roman" w:eastAsia="MS Gothic" w:hAnsi="Times New Roman" w:cs="Times New Roman"/>
          <w:b/>
          <w:bCs/>
          <w:sz w:val="32"/>
          <w:szCs w:val="32"/>
        </w:rPr>
        <w:t>Opportunities created by global forces</w:t>
      </w:r>
      <w:bookmarkEnd w:id="1"/>
    </w:p>
    <w:p w14:paraId="333BD467" w14:textId="77777777" w:rsidR="008C6243" w:rsidRPr="0025089E" w:rsidRDefault="008C6243" w:rsidP="008C6243">
      <w:pPr>
        <w:spacing w:after="80" w:line="360" w:lineRule="auto"/>
        <w:jc w:val="both"/>
        <w:rPr>
          <w:rFonts w:ascii="Times New Roman" w:eastAsia="MS Mincho" w:hAnsi="Times New Roman" w:cs="Times New Roman"/>
          <w:color w:val="000000"/>
          <w:sz w:val="24"/>
          <w:szCs w:val="24"/>
        </w:rPr>
      </w:pPr>
      <w:r w:rsidRPr="0025089E">
        <w:rPr>
          <w:rFonts w:ascii="Times New Roman" w:eastAsia="MS Mincho" w:hAnsi="Times New Roman" w:cs="Times New Roman"/>
          <w:color w:val="000000"/>
          <w:sz w:val="24"/>
          <w:szCs w:val="24"/>
        </w:rPr>
        <w:t>Unilever</w:t>
      </w:r>
      <w:r>
        <w:rPr>
          <w:rFonts w:ascii="Times New Roman" w:eastAsia="MS Mincho" w:hAnsi="Times New Roman" w:cs="Times New Roman"/>
          <w:color w:val="000000"/>
          <w:sz w:val="24"/>
          <w:szCs w:val="24"/>
        </w:rPr>
        <w:t xml:space="preserve">’s </w:t>
      </w:r>
      <w:r w:rsidRPr="0025089E">
        <w:rPr>
          <w:rFonts w:ascii="Times New Roman" w:eastAsia="MS Mincho" w:hAnsi="Times New Roman" w:cs="Times New Roman"/>
          <w:color w:val="000000"/>
          <w:sz w:val="24"/>
          <w:szCs w:val="24"/>
        </w:rPr>
        <w:t xml:space="preserve">AI-powered ice-cream freezers </w:t>
      </w:r>
      <w:proofErr w:type="gramStart"/>
      <w:r w:rsidRPr="0025089E">
        <w:rPr>
          <w:rFonts w:ascii="Times New Roman" w:eastAsia="MS Mincho" w:hAnsi="Times New Roman" w:cs="Times New Roman"/>
          <w:color w:val="000000"/>
          <w:sz w:val="24"/>
          <w:szCs w:val="24"/>
        </w:rPr>
        <w:t>are able to</w:t>
      </w:r>
      <w:proofErr w:type="gramEnd"/>
      <w:r w:rsidRPr="0025089E">
        <w:rPr>
          <w:rFonts w:ascii="Times New Roman" w:eastAsia="MS Mincho" w:hAnsi="Times New Roman" w:cs="Times New Roman"/>
          <w:color w:val="000000"/>
          <w:sz w:val="24"/>
          <w:szCs w:val="24"/>
        </w:rPr>
        <w:t xml:space="preserve"> track inventory through image recognition; </w:t>
      </w:r>
      <w:r>
        <w:rPr>
          <w:rFonts w:ascii="Times New Roman" w:eastAsia="MS Mincho" w:hAnsi="Times New Roman" w:cs="Times New Roman"/>
          <w:color w:val="000000"/>
          <w:sz w:val="24"/>
          <w:szCs w:val="24"/>
        </w:rPr>
        <w:t>organisational</w:t>
      </w:r>
      <w:r w:rsidRPr="0025089E">
        <w:rPr>
          <w:rFonts w:ascii="Times New Roman" w:eastAsia="MS Mincho" w:hAnsi="Times New Roman" w:cs="Times New Roman"/>
          <w:color w:val="000000"/>
          <w:sz w:val="24"/>
          <w:szCs w:val="24"/>
        </w:rPr>
        <w:t xml:space="preserve"> statistics show that involved retailers have grown orders and sales by as much as 30% (Unilever, 2024b). In Sweden, forecast accuracy also increased by 10 </w:t>
      </w:r>
      <w:r>
        <w:rPr>
          <w:rFonts w:ascii="Times New Roman" w:eastAsia="MS Mincho" w:hAnsi="Times New Roman" w:cs="Times New Roman"/>
          <w:color w:val="000000"/>
          <w:sz w:val="24"/>
          <w:szCs w:val="24"/>
        </w:rPr>
        <w:t>per cent</w:t>
      </w:r>
      <w:r w:rsidRPr="0025089E">
        <w:rPr>
          <w:rFonts w:ascii="Times New Roman" w:eastAsia="MS Mincho" w:hAnsi="Times New Roman" w:cs="Times New Roman"/>
          <w:color w:val="000000"/>
          <w:sz w:val="24"/>
          <w:szCs w:val="24"/>
        </w:rPr>
        <w:t xml:space="preserve"> through weather-informed forecasting and enabled production and inventory to react </w:t>
      </w:r>
      <w:r>
        <w:rPr>
          <w:rFonts w:ascii="Times New Roman" w:eastAsia="MS Mincho" w:hAnsi="Times New Roman" w:cs="Times New Roman"/>
          <w:color w:val="000000"/>
          <w:sz w:val="24"/>
          <w:szCs w:val="24"/>
        </w:rPr>
        <w:t>more quickly</w:t>
      </w:r>
      <w:r w:rsidRPr="0025089E">
        <w:rPr>
          <w:rFonts w:ascii="Times New Roman" w:eastAsia="MS Mincho" w:hAnsi="Times New Roman" w:cs="Times New Roman"/>
          <w:color w:val="000000"/>
          <w:sz w:val="24"/>
          <w:szCs w:val="24"/>
        </w:rPr>
        <w:t xml:space="preserve"> to demand sensitivity to temperature variations (Unilever, 2025b). A customer-connectivity pilot synchronised retailer sales data with Unilever's value chain and was being extended to 30 major customers representing more than 15% of global modern-trade turnover </w:t>
      </w:r>
      <w:r>
        <w:rPr>
          <w:rFonts w:ascii="Times New Roman" w:eastAsia="MS Mincho" w:hAnsi="Times New Roman" w:cs="Times New Roman"/>
          <w:color w:val="000000"/>
          <w:sz w:val="24"/>
          <w:szCs w:val="24"/>
        </w:rPr>
        <w:t>(</w:t>
      </w:r>
      <w:r w:rsidRPr="0025089E">
        <w:rPr>
          <w:rFonts w:ascii="Times New Roman" w:eastAsia="MS Mincho" w:hAnsi="Times New Roman" w:cs="Times New Roman"/>
          <w:color w:val="000000"/>
          <w:sz w:val="24"/>
          <w:szCs w:val="24"/>
        </w:rPr>
        <w:t>Unilever, 2024a).</w:t>
      </w:r>
    </w:p>
    <w:p w14:paraId="19503D60" w14:textId="77777777" w:rsidR="008C6243" w:rsidRPr="0025089E" w:rsidRDefault="008C6243" w:rsidP="008C6243">
      <w:pPr>
        <w:spacing w:after="80" w:line="360" w:lineRule="auto"/>
        <w:jc w:val="both"/>
        <w:rPr>
          <w:rFonts w:ascii="Times New Roman" w:eastAsia="MS Mincho" w:hAnsi="Times New Roman" w:cs="Times New Roman"/>
          <w:color w:val="000000"/>
          <w:sz w:val="24"/>
          <w:szCs w:val="24"/>
        </w:rPr>
      </w:pPr>
      <w:r w:rsidRPr="0025089E">
        <w:rPr>
          <w:rFonts w:ascii="Times New Roman" w:eastAsia="MS Mincho" w:hAnsi="Times New Roman" w:cs="Times New Roman"/>
          <w:color w:val="000000"/>
          <w:sz w:val="24"/>
          <w:szCs w:val="24"/>
        </w:rPr>
        <w:t xml:space="preserve">The productivity case is plausible, but not inelastic, in the broader empirical literature. An experiment by Noy and Zhang (2023) has discovered that generative AI cut writing tasks on professional work by 40 per cent and enhanced writing quality by 18 per cent. A study by Brynjolfsson, Li and Raymond (2025), which </w:t>
      </w:r>
      <w:r>
        <w:rPr>
          <w:rFonts w:ascii="Times New Roman" w:eastAsia="MS Mincho" w:hAnsi="Times New Roman" w:cs="Times New Roman"/>
          <w:color w:val="000000"/>
          <w:sz w:val="24"/>
          <w:szCs w:val="24"/>
        </w:rPr>
        <w:t>analysed</w:t>
      </w:r>
      <w:r w:rsidRPr="0025089E">
        <w:rPr>
          <w:rFonts w:ascii="Times New Roman" w:eastAsia="MS Mincho" w:hAnsi="Times New Roman" w:cs="Times New Roman"/>
          <w:color w:val="000000"/>
          <w:sz w:val="24"/>
          <w:szCs w:val="24"/>
        </w:rPr>
        <w:t xml:space="preserve"> 5,179 customer-support agents, reported a 14% average productivity improvement, which was </w:t>
      </w:r>
      <w:r>
        <w:rPr>
          <w:rFonts w:ascii="Times New Roman" w:eastAsia="MS Mincho" w:hAnsi="Times New Roman" w:cs="Times New Roman"/>
          <w:color w:val="000000"/>
          <w:sz w:val="24"/>
          <w:szCs w:val="24"/>
        </w:rPr>
        <w:t>observed</w:t>
      </w:r>
      <w:r w:rsidRPr="0025089E">
        <w:rPr>
          <w:rFonts w:ascii="Times New Roman" w:eastAsia="MS Mincho" w:hAnsi="Times New Roman" w:cs="Times New Roman"/>
          <w:color w:val="000000"/>
          <w:sz w:val="24"/>
          <w:szCs w:val="24"/>
        </w:rPr>
        <w:t xml:space="preserve"> among lower-</w:t>
      </w:r>
      <w:r w:rsidRPr="0025089E">
        <w:rPr>
          <w:rFonts w:ascii="Times New Roman" w:eastAsia="MS Mincho" w:hAnsi="Times New Roman" w:cs="Times New Roman"/>
          <w:color w:val="000000"/>
          <w:sz w:val="24"/>
          <w:szCs w:val="24"/>
        </w:rPr>
        <w:lastRenderedPageBreak/>
        <w:t>experienced employees. The 2024 collaboration between Unilever and Accenture with the goal of using generative AI in the digital core of the company could transform these task-based benefits into organisational agility (Accenture, 2024). Nevertheless, Wamba-Taguimdje et al. (2020) emphasise that technology is not enough to determine business value, but complementary process and management capabilities.</w:t>
      </w:r>
    </w:p>
    <w:p w14:paraId="364F4A11" w14:textId="77777777" w:rsidR="008C6243" w:rsidRPr="0025089E" w:rsidRDefault="008C6243" w:rsidP="008C6243">
      <w:pPr>
        <w:spacing w:after="80" w:line="360" w:lineRule="auto"/>
        <w:jc w:val="both"/>
        <w:rPr>
          <w:rFonts w:ascii="Times New Roman" w:eastAsia="MS Mincho" w:hAnsi="Times New Roman" w:cs="Times New Roman"/>
          <w:color w:val="000000"/>
          <w:sz w:val="24"/>
          <w:szCs w:val="24"/>
        </w:rPr>
      </w:pPr>
      <w:r w:rsidRPr="0025089E">
        <w:rPr>
          <w:rFonts w:ascii="Times New Roman" w:eastAsia="MS Mincho" w:hAnsi="Times New Roman" w:cs="Times New Roman"/>
          <w:color w:val="000000"/>
          <w:sz w:val="24"/>
          <w:szCs w:val="24"/>
        </w:rPr>
        <w:t>The CSRD provides a second chance. It involves sustainability reporting as per European Sustainability Reporting Standards (ESRS) and double materiality</w:t>
      </w:r>
      <w:r>
        <w:rPr>
          <w:rFonts w:ascii="Times New Roman" w:eastAsia="MS Mincho" w:hAnsi="Times New Roman" w:cs="Times New Roman"/>
          <w:color w:val="000000"/>
          <w:sz w:val="24"/>
          <w:szCs w:val="24"/>
        </w:rPr>
        <w:t xml:space="preserve">; </w:t>
      </w:r>
      <w:r w:rsidRPr="0025089E">
        <w:rPr>
          <w:rFonts w:ascii="Times New Roman" w:eastAsia="MS Mincho" w:hAnsi="Times New Roman" w:cs="Times New Roman"/>
          <w:color w:val="000000"/>
          <w:sz w:val="24"/>
          <w:szCs w:val="24"/>
        </w:rPr>
        <w:t>the impact of sustainability on enterprise value and the impact of the firm on people and the environment (European Parliament and Council, 2022; European Commission, 2023). In 2024</w:t>
      </w:r>
      <w:r>
        <w:rPr>
          <w:rFonts w:ascii="Times New Roman" w:eastAsia="MS Mincho" w:hAnsi="Times New Roman" w:cs="Times New Roman"/>
          <w:color w:val="000000"/>
          <w:sz w:val="24"/>
          <w:szCs w:val="24"/>
        </w:rPr>
        <w:t>,</w:t>
      </w:r>
      <w:r w:rsidRPr="0025089E">
        <w:rPr>
          <w:rFonts w:ascii="Times New Roman" w:eastAsia="MS Mincho" w:hAnsi="Times New Roman" w:cs="Times New Roman"/>
          <w:color w:val="000000"/>
          <w:sz w:val="24"/>
          <w:szCs w:val="24"/>
        </w:rPr>
        <w:t xml:space="preserve"> Unilever undertook a double-materiality evaluation and included an ESRS-based sustainability statement in its annual report (Unilever, 2025a). This </w:t>
      </w:r>
      <w:proofErr w:type="gramStart"/>
      <w:r w:rsidRPr="0025089E">
        <w:rPr>
          <w:rFonts w:ascii="Times New Roman" w:eastAsia="MS Mincho" w:hAnsi="Times New Roman" w:cs="Times New Roman"/>
          <w:color w:val="000000"/>
          <w:sz w:val="24"/>
          <w:szCs w:val="24"/>
        </w:rPr>
        <w:t>is capable of enhancing</w:t>
      </w:r>
      <w:proofErr w:type="gramEnd"/>
      <w:r w:rsidRPr="0025089E">
        <w:rPr>
          <w:rFonts w:ascii="Times New Roman" w:eastAsia="MS Mincho" w:hAnsi="Times New Roman" w:cs="Times New Roman"/>
          <w:color w:val="000000"/>
          <w:sz w:val="24"/>
          <w:szCs w:val="24"/>
        </w:rPr>
        <w:t xml:space="preserve"> risk visibility, comparability of investors and accountability of suppliers. Unilever stated that it has seen operational Scope </w:t>
      </w:r>
      <w:proofErr w:type="gramStart"/>
      <w:r w:rsidRPr="0025089E">
        <w:rPr>
          <w:rFonts w:ascii="Times New Roman" w:eastAsia="MS Mincho" w:hAnsi="Times New Roman" w:cs="Times New Roman"/>
          <w:color w:val="000000"/>
          <w:sz w:val="24"/>
          <w:szCs w:val="24"/>
        </w:rPr>
        <w:t>1</w:t>
      </w:r>
      <w:proofErr w:type="gramEnd"/>
      <w:r w:rsidRPr="0025089E">
        <w:rPr>
          <w:rFonts w:ascii="Times New Roman" w:eastAsia="MS Mincho" w:hAnsi="Times New Roman" w:cs="Times New Roman"/>
          <w:color w:val="000000"/>
          <w:sz w:val="24"/>
          <w:szCs w:val="24"/>
        </w:rPr>
        <w:t xml:space="preserve"> and 2 emissions drop by 72% since its 2015 baseline</w:t>
      </w:r>
      <w:r>
        <w:rPr>
          <w:rFonts w:ascii="Times New Roman" w:eastAsia="MS Mincho" w:hAnsi="Times New Roman" w:cs="Times New Roman"/>
          <w:color w:val="000000"/>
          <w:sz w:val="24"/>
          <w:szCs w:val="24"/>
        </w:rPr>
        <w:t xml:space="preserve"> and </w:t>
      </w:r>
      <w:r w:rsidRPr="0025089E">
        <w:rPr>
          <w:rFonts w:ascii="Times New Roman" w:eastAsia="MS Mincho" w:hAnsi="Times New Roman" w:cs="Times New Roman"/>
          <w:color w:val="000000"/>
          <w:sz w:val="24"/>
          <w:szCs w:val="24"/>
        </w:rPr>
        <w:t>Scope 3 energy and industrial emissions decreased by 14% and 8% in 2021 respectively (Unilever, 2025c). Grewal, Riedl and Serafeim (2019) discovered that market response to EU mandatory non-financial disclosure was not so negative among firms with high, pre-existing disclosure and sustainability performance.</w:t>
      </w:r>
    </w:p>
    <w:p w14:paraId="1AD93EE0" w14:textId="77777777" w:rsidR="008C6243" w:rsidRPr="0025089E" w:rsidRDefault="008C6243" w:rsidP="008C6243">
      <w:pPr>
        <w:keepNext/>
        <w:keepLines/>
        <w:spacing w:before="280" w:line="360" w:lineRule="auto"/>
        <w:jc w:val="both"/>
        <w:outlineLvl w:val="0"/>
        <w:rPr>
          <w:rFonts w:ascii="Times New Roman" w:eastAsia="MS Gothic" w:hAnsi="Times New Roman" w:cs="Times New Roman"/>
          <w:b/>
          <w:bCs/>
          <w:sz w:val="32"/>
          <w:szCs w:val="32"/>
        </w:rPr>
      </w:pPr>
      <w:bookmarkStart w:id="2" w:name="_Toc237454905"/>
      <w:r w:rsidRPr="0025089E">
        <w:rPr>
          <w:rFonts w:ascii="Times New Roman" w:eastAsia="MS Gothic" w:hAnsi="Times New Roman" w:cs="Times New Roman"/>
          <w:b/>
          <w:bCs/>
          <w:sz w:val="32"/>
          <w:szCs w:val="32"/>
        </w:rPr>
        <w:t>Challenges and operational consequences</w:t>
      </w:r>
      <w:bookmarkEnd w:id="2"/>
    </w:p>
    <w:p w14:paraId="1B4DE2E8" w14:textId="77777777" w:rsidR="008C6243" w:rsidRPr="0025089E" w:rsidRDefault="008C6243" w:rsidP="008C6243">
      <w:pPr>
        <w:spacing w:after="80" w:line="360" w:lineRule="auto"/>
        <w:jc w:val="both"/>
        <w:rPr>
          <w:rFonts w:ascii="Times New Roman" w:eastAsia="MS Mincho" w:hAnsi="Times New Roman" w:cs="Times New Roman"/>
          <w:color w:val="000000"/>
          <w:sz w:val="24"/>
          <w:szCs w:val="24"/>
        </w:rPr>
      </w:pPr>
      <w:r w:rsidRPr="0025089E">
        <w:rPr>
          <w:rFonts w:ascii="Times New Roman" w:eastAsia="MS Mincho" w:hAnsi="Times New Roman" w:cs="Times New Roman"/>
          <w:color w:val="000000"/>
          <w:sz w:val="24"/>
          <w:szCs w:val="24"/>
        </w:rPr>
        <w:t xml:space="preserve">The cheap, high-accessibility system of fast-moving consumer goods is endangered by geopolitical disruption. According to UN Trade and Development, the Suez Canal transits decreased by 42 </w:t>
      </w:r>
      <w:r>
        <w:rPr>
          <w:rFonts w:ascii="Times New Roman" w:eastAsia="MS Mincho" w:hAnsi="Times New Roman" w:cs="Times New Roman"/>
          <w:color w:val="000000"/>
          <w:sz w:val="24"/>
          <w:szCs w:val="24"/>
        </w:rPr>
        <w:t>per cent</w:t>
      </w:r>
      <w:r w:rsidRPr="0025089E">
        <w:rPr>
          <w:rFonts w:ascii="Times New Roman" w:eastAsia="MS Mincho" w:hAnsi="Times New Roman" w:cs="Times New Roman"/>
          <w:color w:val="000000"/>
          <w:sz w:val="24"/>
          <w:szCs w:val="24"/>
        </w:rPr>
        <w:t xml:space="preserve"> of their peak and weekly container-ship transits by 67 </w:t>
      </w:r>
      <w:r>
        <w:rPr>
          <w:rFonts w:ascii="Times New Roman" w:eastAsia="MS Mincho" w:hAnsi="Times New Roman" w:cs="Times New Roman"/>
          <w:color w:val="000000"/>
          <w:sz w:val="24"/>
          <w:szCs w:val="24"/>
        </w:rPr>
        <w:t>per cent</w:t>
      </w:r>
      <w:r w:rsidRPr="0025089E">
        <w:rPr>
          <w:rFonts w:ascii="Times New Roman" w:eastAsia="MS Mincho" w:hAnsi="Times New Roman" w:cs="Times New Roman"/>
          <w:color w:val="000000"/>
          <w:sz w:val="24"/>
          <w:szCs w:val="24"/>
        </w:rPr>
        <w:t xml:space="preserve"> during the Red Sea crisis (UNCTAD, 2024a). Bypassing the Cape of Good Hope extends lead times, increases freight and insurance expenses, ties up inventory and increases emissions. In the case of Unilever, which moves raw materials, packaging and finished goods to different parts of the world, it may result in stock-outs or price hikes in price-sensitive markets.</w:t>
      </w:r>
    </w:p>
    <w:p w14:paraId="1606955B" w14:textId="77777777" w:rsidR="008C6243" w:rsidRPr="0025089E" w:rsidRDefault="008C6243" w:rsidP="008C6243">
      <w:pPr>
        <w:spacing w:after="80" w:line="360" w:lineRule="auto"/>
        <w:jc w:val="both"/>
        <w:rPr>
          <w:rFonts w:ascii="Times New Roman" w:eastAsia="MS Mincho" w:hAnsi="Times New Roman" w:cs="Times New Roman"/>
          <w:color w:val="000000"/>
          <w:sz w:val="24"/>
          <w:szCs w:val="24"/>
        </w:rPr>
      </w:pPr>
      <w:r w:rsidRPr="0025089E">
        <w:rPr>
          <w:rFonts w:ascii="Times New Roman" w:eastAsia="MS Mincho" w:hAnsi="Times New Roman" w:cs="Times New Roman"/>
          <w:color w:val="000000"/>
          <w:sz w:val="24"/>
          <w:szCs w:val="24"/>
        </w:rPr>
        <w:t xml:space="preserve">The China-Taiwan tensions present a less direct but significant concentration risk. More than 90 percent of the most advanced chips and more than 60 </w:t>
      </w:r>
      <w:r>
        <w:rPr>
          <w:rFonts w:ascii="Times New Roman" w:eastAsia="MS Mincho" w:hAnsi="Times New Roman" w:cs="Times New Roman"/>
          <w:color w:val="000000"/>
          <w:sz w:val="24"/>
          <w:szCs w:val="24"/>
        </w:rPr>
        <w:t>per cent</w:t>
      </w:r>
      <w:r w:rsidRPr="0025089E">
        <w:rPr>
          <w:rFonts w:ascii="Times New Roman" w:eastAsia="MS Mincho" w:hAnsi="Times New Roman" w:cs="Times New Roman"/>
          <w:color w:val="000000"/>
          <w:sz w:val="24"/>
          <w:szCs w:val="24"/>
        </w:rPr>
        <w:t xml:space="preserve"> of the </w:t>
      </w:r>
      <w:r>
        <w:rPr>
          <w:rFonts w:ascii="Times New Roman" w:eastAsia="MS Mincho" w:hAnsi="Times New Roman" w:cs="Times New Roman"/>
          <w:color w:val="000000"/>
          <w:sz w:val="24"/>
          <w:szCs w:val="24"/>
        </w:rPr>
        <w:t>world's</w:t>
      </w:r>
      <w:r w:rsidRPr="0025089E">
        <w:rPr>
          <w:rFonts w:ascii="Times New Roman" w:eastAsia="MS Mincho" w:hAnsi="Times New Roman" w:cs="Times New Roman"/>
          <w:color w:val="000000"/>
          <w:sz w:val="24"/>
          <w:szCs w:val="24"/>
        </w:rPr>
        <w:t xml:space="preserve"> semiconductors are produced in Taiwan (Asia Pacific Foundation of Canada, 2025). Unilever does not produce chips, yet automation equipment, sensors, data centres and AI-enabled freezers are based on electronics; a Taiwan Strait shock will thus slow down both production maintenance and digital transformation. Resilience studies encourage diversification, exposure and adaptive capacity, and caution that redundancy raises normal-period cost (Christopher and Peck, 2004; Tang, </w:t>
      </w:r>
      <w:r w:rsidRPr="0025089E">
        <w:rPr>
          <w:rFonts w:ascii="Times New Roman" w:eastAsia="MS Mincho" w:hAnsi="Times New Roman" w:cs="Times New Roman"/>
          <w:color w:val="000000"/>
          <w:sz w:val="24"/>
          <w:szCs w:val="24"/>
        </w:rPr>
        <w:lastRenderedPageBreak/>
        <w:t>2006). The strategic objective shifts from blind accumulation to long-term viability</w:t>
      </w:r>
      <w:r>
        <w:rPr>
          <w:rFonts w:ascii="Times New Roman" w:eastAsia="MS Mincho" w:hAnsi="Times New Roman" w:cs="Times New Roman"/>
          <w:color w:val="000000"/>
          <w:sz w:val="24"/>
          <w:szCs w:val="24"/>
        </w:rPr>
        <w:t xml:space="preserve"> </w:t>
      </w:r>
      <w:r w:rsidRPr="0025089E">
        <w:rPr>
          <w:rFonts w:ascii="Times New Roman" w:eastAsia="MS Mincho" w:hAnsi="Times New Roman" w:cs="Times New Roman"/>
          <w:color w:val="000000"/>
          <w:sz w:val="24"/>
          <w:szCs w:val="24"/>
        </w:rPr>
        <w:t xml:space="preserve">ensuring the network remains agile enough to sustain priority markets, even amid disruption (Ivanov and </w:t>
      </w:r>
      <w:proofErr w:type="spellStart"/>
      <w:r w:rsidRPr="0025089E">
        <w:rPr>
          <w:rFonts w:ascii="Times New Roman" w:eastAsia="MS Mincho" w:hAnsi="Times New Roman" w:cs="Times New Roman"/>
          <w:color w:val="000000"/>
          <w:sz w:val="24"/>
          <w:szCs w:val="24"/>
        </w:rPr>
        <w:t>Dolgui</w:t>
      </w:r>
      <w:proofErr w:type="spellEnd"/>
      <w:r w:rsidRPr="0025089E">
        <w:rPr>
          <w:rFonts w:ascii="Times New Roman" w:eastAsia="MS Mincho" w:hAnsi="Times New Roman" w:cs="Times New Roman"/>
          <w:color w:val="000000"/>
          <w:sz w:val="24"/>
          <w:szCs w:val="24"/>
        </w:rPr>
        <w:t>, 2020).</w:t>
      </w:r>
    </w:p>
    <w:p w14:paraId="159C8AF2" w14:textId="77777777" w:rsidR="008C6243" w:rsidRPr="0025089E" w:rsidRDefault="008C6243" w:rsidP="008C6243">
      <w:pPr>
        <w:spacing w:after="80" w:line="360" w:lineRule="auto"/>
        <w:jc w:val="both"/>
        <w:rPr>
          <w:rFonts w:ascii="Times New Roman" w:eastAsia="MS Mincho" w:hAnsi="Times New Roman" w:cs="Times New Roman"/>
          <w:color w:val="000000"/>
          <w:sz w:val="24"/>
          <w:szCs w:val="24"/>
        </w:rPr>
      </w:pPr>
      <w:r w:rsidRPr="0025089E">
        <w:rPr>
          <w:rFonts w:ascii="Times New Roman" w:eastAsia="MS Mincho" w:hAnsi="Times New Roman" w:cs="Times New Roman"/>
          <w:color w:val="000000"/>
          <w:sz w:val="24"/>
          <w:szCs w:val="24"/>
        </w:rPr>
        <w:t xml:space="preserve">AI </w:t>
      </w:r>
      <w:proofErr w:type="gramStart"/>
      <w:r w:rsidRPr="0025089E">
        <w:rPr>
          <w:rFonts w:ascii="Times New Roman" w:eastAsia="MS Mincho" w:hAnsi="Times New Roman" w:cs="Times New Roman"/>
          <w:color w:val="000000"/>
          <w:sz w:val="24"/>
          <w:szCs w:val="24"/>
        </w:rPr>
        <w:t>in itself brings</w:t>
      </w:r>
      <w:proofErr w:type="gramEnd"/>
      <w:r w:rsidRPr="0025089E">
        <w:rPr>
          <w:rFonts w:ascii="Times New Roman" w:eastAsia="MS Mincho" w:hAnsi="Times New Roman" w:cs="Times New Roman"/>
          <w:color w:val="000000"/>
          <w:sz w:val="24"/>
          <w:szCs w:val="24"/>
        </w:rPr>
        <w:t xml:space="preserve"> on model error, cyberattack, intellectual-property leakage, privacy breaches and discriminative decisions. Automation-augmentation paradox refers to the fact that systems can better human judgement and at the same time deskill workers or lead to the discouragement of thinking (Raisch and Krakowski, 2021). Algorithmic hiring is especially sensitive because vendor claims about bias mitigation are often difficult to verify </w:t>
      </w:r>
      <w:r>
        <w:rPr>
          <w:rFonts w:ascii="Times New Roman" w:eastAsia="MS Mincho" w:hAnsi="Times New Roman" w:cs="Times New Roman"/>
          <w:color w:val="000000"/>
          <w:sz w:val="24"/>
          <w:szCs w:val="24"/>
        </w:rPr>
        <w:t>(</w:t>
      </w:r>
      <w:r w:rsidRPr="0025089E">
        <w:rPr>
          <w:rFonts w:ascii="Times New Roman" w:eastAsia="MS Mincho" w:hAnsi="Times New Roman" w:cs="Times New Roman"/>
          <w:color w:val="000000"/>
          <w:sz w:val="24"/>
          <w:szCs w:val="24"/>
        </w:rPr>
        <w:t>Raghavan et al., 2020). The cross-functional AI review procedure and responsible-AI training of Unilever are good answers (Unilever, 2024c), but the governance should be in line with the risk-based obligations of the EU AI Act (European Parliament and Council, 2024).</w:t>
      </w:r>
      <w:r>
        <w:rPr>
          <w:rFonts w:ascii="Times New Roman" w:eastAsia="MS Mincho" w:hAnsi="Times New Roman" w:cs="Times New Roman"/>
          <w:color w:val="000000"/>
          <w:sz w:val="24"/>
          <w:szCs w:val="24"/>
        </w:rPr>
        <w:t xml:space="preserve"> </w:t>
      </w:r>
      <w:r w:rsidRPr="0025089E">
        <w:rPr>
          <w:rFonts w:ascii="Times New Roman" w:eastAsia="MS Mincho" w:hAnsi="Times New Roman" w:cs="Times New Roman"/>
          <w:color w:val="000000"/>
          <w:sz w:val="24"/>
          <w:szCs w:val="24"/>
        </w:rPr>
        <w:t xml:space="preserve">The employment exchange-off is also acute. The productivity programme initiated by Unilever focused on savings of EUR 800 million and the laying </w:t>
      </w:r>
      <w:proofErr w:type="gramStart"/>
      <w:r w:rsidRPr="0025089E">
        <w:rPr>
          <w:rFonts w:ascii="Times New Roman" w:eastAsia="MS Mincho" w:hAnsi="Times New Roman" w:cs="Times New Roman"/>
          <w:color w:val="000000"/>
          <w:sz w:val="24"/>
          <w:szCs w:val="24"/>
        </w:rPr>
        <w:t>off of</w:t>
      </w:r>
      <w:proofErr w:type="gramEnd"/>
      <w:r w:rsidRPr="0025089E">
        <w:rPr>
          <w:rFonts w:ascii="Times New Roman" w:eastAsia="MS Mincho" w:hAnsi="Times New Roman" w:cs="Times New Roman"/>
          <w:color w:val="000000"/>
          <w:sz w:val="24"/>
          <w:szCs w:val="24"/>
        </w:rPr>
        <w:t xml:space="preserve"> about 7,500 predominantly office jobs within three years (Unilever, 2024d). The reduction is not entirely due to AI, but when automation is used concurrently, employees may feel that efficiency is being eliminated instead of enhanced. Overall engagement was 79% in 2024 and dropped to 75% in 2024, at the office (Unilever, 2025a).</w:t>
      </w:r>
    </w:p>
    <w:p w14:paraId="318B12F2" w14:textId="77777777" w:rsidR="008C6243" w:rsidRPr="0025089E" w:rsidRDefault="008C6243" w:rsidP="008C6243">
      <w:pPr>
        <w:spacing w:after="80" w:line="360" w:lineRule="auto"/>
        <w:jc w:val="both"/>
        <w:rPr>
          <w:rFonts w:ascii="Times New Roman" w:eastAsia="MS Mincho" w:hAnsi="Times New Roman" w:cs="Times New Roman"/>
          <w:color w:val="000000"/>
          <w:sz w:val="24"/>
          <w:szCs w:val="24"/>
        </w:rPr>
      </w:pPr>
      <w:r w:rsidRPr="0025089E">
        <w:rPr>
          <w:rFonts w:ascii="Times New Roman" w:eastAsia="MS Mincho" w:hAnsi="Times New Roman" w:cs="Times New Roman"/>
          <w:color w:val="000000"/>
          <w:sz w:val="24"/>
          <w:szCs w:val="24"/>
        </w:rPr>
        <w:t xml:space="preserve">Lastly, CSRD is costly compliance. The data needed in the assessment of </w:t>
      </w:r>
      <w:r>
        <w:rPr>
          <w:rFonts w:ascii="Times New Roman" w:eastAsia="MS Mincho" w:hAnsi="Times New Roman" w:cs="Times New Roman"/>
          <w:color w:val="000000"/>
          <w:sz w:val="24"/>
          <w:szCs w:val="24"/>
        </w:rPr>
        <w:t>double materiality</w:t>
      </w:r>
      <w:r w:rsidRPr="0025089E">
        <w:rPr>
          <w:rFonts w:ascii="Times New Roman" w:eastAsia="MS Mincho" w:hAnsi="Times New Roman" w:cs="Times New Roman"/>
          <w:color w:val="000000"/>
          <w:sz w:val="24"/>
          <w:szCs w:val="24"/>
        </w:rPr>
        <w:t xml:space="preserve"> entails information on thousands of suppliers, whereas Scope 3 numbers are mostly based on estimates</w:t>
      </w:r>
      <w:r>
        <w:rPr>
          <w:rFonts w:ascii="Times New Roman" w:eastAsia="MS Mincho" w:hAnsi="Times New Roman" w:cs="Times New Roman"/>
          <w:color w:val="000000"/>
          <w:sz w:val="24"/>
          <w:szCs w:val="24"/>
        </w:rPr>
        <w:t>,</w:t>
      </w:r>
      <w:r w:rsidRPr="0025089E">
        <w:rPr>
          <w:rFonts w:ascii="Times New Roman" w:eastAsia="MS Mincho" w:hAnsi="Times New Roman" w:cs="Times New Roman"/>
          <w:color w:val="000000"/>
          <w:sz w:val="24"/>
          <w:szCs w:val="24"/>
        </w:rPr>
        <w:t xml:space="preserve"> </w:t>
      </w:r>
      <w:r>
        <w:rPr>
          <w:rFonts w:ascii="Times New Roman" w:eastAsia="MS Mincho" w:hAnsi="Times New Roman" w:cs="Times New Roman"/>
          <w:color w:val="000000"/>
          <w:sz w:val="24"/>
          <w:szCs w:val="24"/>
        </w:rPr>
        <w:t>lacking</w:t>
      </w:r>
      <w:r w:rsidRPr="0025089E">
        <w:rPr>
          <w:rFonts w:ascii="Times New Roman" w:eastAsia="MS Mincho" w:hAnsi="Times New Roman" w:cs="Times New Roman"/>
          <w:color w:val="000000"/>
          <w:sz w:val="24"/>
          <w:szCs w:val="24"/>
        </w:rPr>
        <w:t xml:space="preserve"> specific measurements of suppliers. Guarantee, digital tagging and transforming methodologies generate cost and possible legal liability (Mezzanotte, 2023). Grewal, Riedl and Serafeim (2019) observed a median of -0.79% market response on the adoption events of the previous EU disclosure directive, which aligns with the expectations of investors of compliance and proprietary expenses. Furthermore, reporting itself does not imply better behaviour</w:t>
      </w:r>
      <w:r>
        <w:rPr>
          <w:rFonts w:ascii="Times New Roman" w:eastAsia="MS Mincho" w:hAnsi="Times New Roman" w:cs="Times New Roman"/>
          <w:color w:val="000000"/>
          <w:sz w:val="24"/>
          <w:szCs w:val="24"/>
        </w:rPr>
        <w:t>;</w:t>
      </w:r>
      <w:r w:rsidRPr="0025089E">
        <w:rPr>
          <w:rFonts w:ascii="Times New Roman" w:eastAsia="MS Mincho" w:hAnsi="Times New Roman" w:cs="Times New Roman"/>
          <w:color w:val="000000"/>
          <w:sz w:val="24"/>
          <w:szCs w:val="24"/>
        </w:rPr>
        <w:t xml:space="preserve"> according to Christensen, Hail and </w:t>
      </w:r>
      <w:proofErr w:type="spellStart"/>
      <w:r w:rsidRPr="0025089E">
        <w:rPr>
          <w:rFonts w:ascii="Times New Roman" w:eastAsia="MS Mincho" w:hAnsi="Times New Roman" w:cs="Times New Roman"/>
          <w:color w:val="000000"/>
          <w:sz w:val="24"/>
          <w:szCs w:val="24"/>
        </w:rPr>
        <w:t>Leuz</w:t>
      </w:r>
      <w:proofErr w:type="spellEnd"/>
      <w:r w:rsidRPr="0025089E">
        <w:rPr>
          <w:rFonts w:ascii="Times New Roman" w:eastAsia="MS Mincho" w:hAnsi="Times New Roman" w:cs="Times New Roman"/>
          <w:color w:val="000000"/>
          <w:sz w:val="24"/>
          <w:szCs w:val="24"/>
        </w:rPr>
        <w:t xml:space="preserve"> (2021), it is only reliable to enforce, guarantee and reward. In the case of Unilever, </w:t>
      </w:r>
      <w:r>
        <w:rPr>
          <w:rFonts w:ascii="Times New Roman" w:eastAsia="MS Mincho" w:hAnsi="Times New Roman" w:cs="Times New Roman"/>
          <w:color w:val="000000"/>
          <w:sz w:val="24"/>
          <w:szCs w:val="24"/>
        </w:rPr>
        <w:t>false</w:t>
      </w:r>
      <w:r w:rsidRPr="0025089E">
        <w:rPr>
          <w:rFonts w:ascii="Times New Roman" w:eastAsia="MS Mincho" w:hAnsi="Times New Roman" w:cs="Times New Roman"/>
          <w:color w:val="000000"/>
          <w:sz w:val="24"/>
          <w:szCs w:val="24"/>
        </w:rPr>
        <w:t xml:space="preserve"> disclosure that cannot be proven with tangible outcomes would increase greenwashing claims.</w:t>
      </w:r>
    </w:p>
    <w:p w14:paraId="3F62AE1F" w14:textId="77777777" w:rsidR="008C6243" w:rsidRPr="0025089E" w:rsidRDefault="008C6243" w:rsidP="008C6243">
      <w:pPr>
        <w:keepNext/>
        <w:keepLines/>
        <w:spacing w:before="280" w:line="360" w:lineRule="auto"/>
        <w:jc w:val="both"/>
        <w:outlineLvl w:val="0"/>
        <w:rPr>
          <w:rFonts w:ascii="Times New Roman" w:eastAsia="MS Gothic" w:hAnsi="Times New Roman" w:cs="Times New Roman"/>
          <w:b/>
          <w:bCs/>
          <w:sz w:val="32"/>
          <w:szCs w:val="32"/>
        </w:rPr>
      </w:pPr>
      <w:bookmarkStart w:id="3" w:name="_Toc237454906"/>
      <w:r w:rsidRPr="0025089E">
        <w:rPr>
          <w:rFonts w:ascii="Times New Roman" w:eastAsia="MS Gothic" w:hAnsi="Times New Roman" w:cs="Times New Roman"/>
          <w:b/>
          <w:bCs/>
          <w:sz w:val="32"/>
          <w:szCs w:val="32"/>
        </w:rPr>
        <w:t>Impact on positioning, innovation, talent and competitiveness</w:t>
      </w:r>
      <w:bookmarkEnd w:id="3"/>
    </w:p>
    <w:p w14:paraId="47BEBDCB" w14:textId="77777777" w:rsidR="008C6243" w:rsidRPr="0025089E" w:rsidRDefault="008C6243" w:rsidP="008C6243">
      <w:pPr>
        <w:spacing w:after="80" w:line="360" w:lineRule="auto"/>
        <w:jc w:val="both"/>
        <w:rPr>
          <w:rFonts w:ascii="Times New Roman" w:eastAsia="MS Mincho" w:hAnsi="Times New Roman" w:cs="Times New Roman"/>
          <w:color w:val="000000"/>
          <w:sz w:val="24"/>
          <w:szCs w:val="24"/>
        </w:rPr>
      </w:pPr>
      <w:r w:rsidRPr="0025089E">
        <w:rPr>
          <w:rFonts w:ascii="Times New Roman" w:eastAsia="MS Mincho" w:hAnsi="Times New Roman" w:cs="Times New Roman"/>
          <w:color w:val="000000"/>
          <w:sz w:val="24"/>
          <w:szCs w:val="24"/>
        </w:rPr>
        <w:t xml:space="preserve">Collectively, these forces redefine the balance of integration-responsiveness at Unilever (Bartlett and Ghoshal, 1989). The global AI platforms and ESRS controls are more supportive </w:t>
      </w:r>
      <w:r>
        <w:rPr>
          <w:rFonts w:ascii="Times New Roman" w:eastAsia="MS Mincho" w:hAnsi="Times New Roman" w:cs="Times New Roman"/>
          <w:color w:val="000000"/>
          <w:sz w:val="24"/>
          <w:szCs w:val="24"/>
        </w:rPr>
        <w:t>of</w:t>
      </w:r>
      <w:r w:rsidRPr="0025089E">
        <w:rPr>
          <w:rFonts w:ascii="Times New Roman" w:eastAsia="MS Mincho" w:hAnsi="Times New Roman" w:cs="Times New Roman"/>
          <w:color w:val="000000"/>
          <w:sz w:val="24"/>
          <w:szCs w:val="24"/>
        </w:rPr>
        <w:t xml:space="preserve"> standardisation, whereas local regulation and culturally specific demand </w:t>
      </w:r>
      <w:r>
        <w:rPr>
          <w:rFonts w:ascii="Times New Roman" w:eastAsia="MS Mincho" w:hAnsi="Times New Roman" w:cs="Times New Roman"/>
          <w:color w:val="000000"/>
          <w:sz w:val="24"/>
          <w:szCs w:val="24"/>
        </w:rPr>
        <w:t>disrupt</w:t>
      </w:r>
      <w:r w:rsidRPr="0025089E">
        <w:rPr>
          <w:rFonts w:ascii="Times New Roman" w:eastAsia="MS Mincho" w:hAnsi="Times New Roman" w:cs="Times New Roman"/>
          <w:color w:val="000000"/>
          <w:sz w:val="24"/>
          <w:szCs w:val="24"/>
        </w:rPr>
        <w:t xml:space="preserve"> routes need regional autonomy. Unilever can be a responsible and reliable premium operator by enhancing </w:t>
      </w:r>
      <w:r w:rsidRPr="0025089E">
        <w:rPr>
          <w:rFonts w:ascii="Times New Roman" w:eastAsia="MS Mincho" w:hAnsi="Times New Roman" w:cs="Times New Roman"/>
          <w:color w:val="000000"/>
          <w:sz w:val="24"/>
          <w:szCs w:val="24"/>
        </w:rPr>
        <w:lastRenderedPageBreak/>
        <w:t>its availability with AI and supporting its sustainability through evidence. Its Power Brands that constitute over 75% of its turnover registered 5.3% underlying sales growth in 2024 compared to 4.2% of its group (Unilever, 2025a). This correlation does not indicate that AI or sustainability led to growth</w:t>
      </w:r>
      <w:r>
        <w:rPr>
          <w:rFonts w:ascii="Times New Roman" w:eastAsia="MS Mincho" w:hAnsi="Times New Roman" w:cs="Times New Roman"/>
          <w:color w:val="000000"/>
          <w:sz w:val="24"/>
          <w:szCs w:val="24"/>
        </w:rPr>
        <w:t>,</w:t>
      </w:r>
      <w:r w:rsidRPr="0025089E">
        <w:rPr>
          <w:rFonts w:ascii="Times New Roman" w:eastAsia="MS Mincho" w:hAnsi="Times New Roman" w:cs="Times New Roman"/>
          <w:color w:val="000000"/>
          <w:sz w:val="24"/>
          <w:szCs w:val="24"/>
        </w:rPr>
        <w:t xml:space="preserve"> but it demonstrates the business </w:t>
      </w:r>
      <w:r>
        <w:rPr>
          <w:rFonts w:ascii="Times New Roman" w:eastAsia="MS Mincho" w:hAnsi="Times New Roman" w:cs="Times New Roman"/>
          <w:color w:val="000000"/>
          <w:sz w:val="24"/>
          <w:szCs w:val="24"/>
        </w:rPr>
        <w:t>value</w:t>
      </w:r>
      <w:r w:rsidRPr="0025089E">
        <w:rPr>
          <w:rFonts w:ascii="Times New Roman" w:eastAsia="MS Mincho" w:hAnsi="Times New Roman" w:cs="Times New Roman"/>
          <w:color w:val="000000"/>
          <w:sz w:val="24"/>
          <w:szCs w:val="24"/>
        </w:rPr>
        <w:t xml:space="preserve"> of integrating brand investment, innovation and execution.</w:t>
      </w:r>
      <w:r>
        <w:rPr>
          <w:rFonts w:ascii="Times New Roman" w:eastAsia="MS Mincho" w:hAnsi="Times New Roman" w:cs="Times New Roman"/>
          <w:color w:val="000000"/>
          <w:sz w:val="24"/>
          <w:szCs w:val="24"/>
        </w:rPr>
        <w:t xml:space="preserve"> </w:t>
      </w:r>
      <w:r w:rsidRPr="0025089E">
        <w:rPr>
          <w:rFonts w:ascii="Times New Roman" w:eastAsia="MS Mincho" w:hAnsi="Times New Roman" w:cs="Times New Roman"/>
          <w:color w:val="000000"/>
          <w:sz w:val="24"/>
          <w:szCs w:val="24"/>
        </w:rPr>
        <w:t>Consumer analytics, virtual testing, and generative content can accelerate innovation and make it more localised. On the other hand, focusing data and capital on 30 Power Brands can push other smaller local brands out and generate algorithmic sameness. Talent strategy is a competitiveness problem: according to experimental evidence, AI is especially useful when applied to less-experienced workers, but only when Unilever does not lay off and train them but uses technology as a headcount replacement.</w:t>
      </w:r>
    </w:p>
    <w:p w14:paraId="7B83E91D" w14:textId="77777777" w:rsidR="008C6243" w:rsidRPr="0025089E" w:rsidRDefault="008C6243" w:rsidP="008C6243">
      <w:pPr>
        <w:keepNext/>
        <w:keepLines/>
        <w:spacing w:before="280" w:line="360" w:lineRule="auto"/>
        <w:jc w:val="both"/>
        <w:outlineLvl w:val="0"/>
        <w:rPr>
          <w:rFonts w:ascii="Times New Roman" w:eastAsia="MS Gothic" w:hAnsi="Times New Roman" w:cs="Times New Roman"/>
          <w:b/>
          <w:bCs/>
          <w:sz w:val="32"/>
          <w:szCs w:val="32"/>
        </w:rPr>
      </w:pPr>
      <w:bookmarkStart w:id="4" w:name="_Toc237454907"/>
      <w:r w:rsidRPr="0025089E">
        <w:rPr>
          <w:rFonts w:ascii="Times New Roman" w:eastAsia="MS Gothic" w:hAnsi="Times New Roman" w:cs="Times New Roman"/>
          <w:b/>
          <w:bCs/>
          <w:sz w:val="32"/>
          <w:szCs w:val="32"/>
        </w:rPr>
        <w:t>Strategic recommendations</w:t>
      </w:r>
      <w:bookmarkEnd w:id="4"/>
    </w:p>
    <w:p w14:paraId="0E92EB9C" w14:textId="77777777" w:rsidR="008C6243" w:rsidRPr="0025089E" w:rsidRDefault="008C6243" w:rsidP="008C6243">
      <w:pPr>
        <w:spacing w:after="80" w:line="360" w:lineRule="auto"/>
        <w:jc w:val="both"/>
        <w:rPr>
          <w:rFonts w:ascii="Times New Roman" w:eastAsia="MS Mincho" w:hAnsi="Times New Roman" w:cs="Times New Roman"/>
          <w:color w:val="000000"/>
          <w:sz w:val="24"/>
          <w:szCs w:val="24"/>
        </w:rPr>
      </w:pPr>
      <w:r>
        <w:rPr>
          <w:rFonts w:ascii="Times New Roman" w:eastAsia="MS Mincho" w:hAnsi="Times New Roman" w:cs="Times New Roman"/>
          <w:color w:val="000000"/>
          <w:sz w:val="24"/>
          <w:szCs w:val="24"/>
        </w:rPr>
        <w:t>First</w:t>
      </w:r>
      <w:r w:rsidRPr="0025089E">
        <w:rPr>
          <w:rFonts w:ascii="Times New Roman" w:eastAsia="MS Mincho" w:hAnsi="Times New Roman" w:cs="Times New Roman"/>
          <w:color w:val="000000"/>
          <w:sz w:val="24"/>
          <w:szCs w:val="24"/>
        </w:rPr>
        <w:t xml:space="preserve">, Unilever ought to create a multi-tier supply-chain control tower between the supplier sites and ports, inventory, carbon and financial exposure. Scenario tests need to simulate Red Sea-closing at the same time, electronics shortages and commodity shocks in Taiwan. </w:t>
      </w:r>
      <w:r w:rsidRPr="00550BD4">
        <w:rPr>
          <w:rFonts w:ascii="Times New Roman" w:eastAsia="MS Mincho" w:hAnsi="Times New Roman" w:cs="Times New Roman"/>
          <w:color w:val="000000"/>
          <w:sz w:val="24"/>
          <w:szCs w:val="24"/>
        </w:rPr>
        <w:t>The network should leverage qualified suppliers in each region as key inputs, backed by regional production capacity and selectively positioned safety stocks</w:t>
      </w:r>
      <w:r>
        <w:rPr>
          <w:rFonts w:ascii="Times New Roman" w:eastAsia="MS Mincho" w:hAnsi="Times New Roman" w:cs="Times New Roman"/>
          <w:color w:val="000000"/>
          <w:sz w:val="24"/>
          <w:szCs w:val="24"/>
        </w:rPr>
        <w:t xml:space="preserve">, </w:t>
      </w:r>
      <w:r w:rsidRPr="00550BD4">
        <w:rPr>
          <w:rFonts w:ascii="Times New Roman" w:eastAsia="MS Mincho" w:hAnsi="Times New Roman" w:cs="Times New Roman"/>
          <w:color w:val="000000"/>
          <w:sz w:val="24"/>
          <w:szCs w:val="24"/>
        </w:rPr>
        <w:t>all tuned to optimize service against risk</w:t>
      </w:r>
      <w:r w:rsidRPr="0025089E">
        <w:rPr>
          <w:rFonts w:ascii="Times New Roman" w:eastAsia="MS Mincho" w:hAnsi="Times New Roman" w:cs="Times New Roman"/>
          <w:color w:val="000000"/>
          <w:sz w:val="24"/>
          <w:szCs w:val="24"/>
        </w:rPr>
        <w:t>. Options should be triggered by AI forecasting, and the decisions of the routes must consider both carbon and freight cost.</w:t>
      </w:r>
    </w:p>
    <w:p w14:paraId="35656CB4" w14:textId="77777777" w:rsidR="008C6243" w:rsidRPr="0025089E" w:rsidRDefault="008C6243" w:rsidP="008C6243">
      <w:pPr>
        <w:spacing w:after="80" w:line="360" w:lineRule="auto"/>
        <w:jc w:val="both"/>
        <w:rPr>
          <w:rFonts w:ascii="Times New Roman" w:eastAsia="MS Mincho" w:hAnsi="Times New Roman" w:cs="Times New Roman"/>
          <w:color w:val="000000"/>
          <w:sz w:val="24"/>
          <w:szCs w:val="24"/>
        </w:rPr>
      </w:pPr>
      <w:r w:rsidRPr="0025089E">
        <w:rPr>
          <w:rFonts w:ascii="Times New Roman" w:eastAsia="MS Mincho" w:hAnsi="Times New Roman" w:cs="Times New Roman"/>
          <w:color w:val="000000"/>
          <w:sz w:val="24"/>
          <w:szCs w:val="24"/>
        </w:rPr>
        <w:t xml:space="preserve">Second, AI must be managed by Unilever as a portfolio. Every use case must have an owner, provenance of data must be documented, human override, bias and cybersecurity testing, and </w:t>
      </w:r>
      <w:r>
        <w:rPr>
          <w:rFonts w:ascii="Times New Roman" w:eastAsia="MS Mincho" w:hAnsi="Times New Roman" w:cs="Times New Roman"/>
          <w:color w:val="000000"/>
          <w:sz w:val="24"/>
          <w:szCs w:val="24"/>
        </w:rPr>
        <w:t>post-deployment</w:t>
      </w:r>
      <w:r w:rsidRPr="0025089E">
        <w:rPr>
          <w:rFonts w:ascii="Times New Roman" w:eastAsia="MS Mincho" w:hAnsi="Times New Roman" w:cs="Times New Roman"/>
          <w:color w:val="000000"/>
          <w:sz w:val="24"/>
          <w:szCs w:val="24"/>
        </w:rPr>
        <w:t xml:space="preserve"> monitoring must be in line with the NIST AI Risk Management Framework (NIST, 2023). Scale must be based on measured results -forecast error, waste, service level, energy use and incremental sales- but not on impressive demonstrations. Redesign should involve employees and workers representatives; reskilling and redeployment goals must be reported</w:t>
      </w:r>
      <w:r>
        <w:rPr>
          <w:rFonts w:ascii="Times New Roman" w:eastAsia="MS Mincho" w:hAnsi="Times New Roman" w:cs="Times New Roman"/>
          <w:color w:val="000000"/>
          <w:sz w:val="24"/>
          <w:szCs w:val="24"/>
        </w:rPr>
        <w:t>, as well as savings and</w:t>
      </w:r>
      <w:r w:rsidRPr="0025089E">
        <w:rPr>
          <w:rFonts w:ascii="Times New Roman" w:eastAsia="MS Mincho" w:hAnsi="Times New Roman" w:cs="Times New Roman"/>
          <w:color w:val="000000"/>
          <w:sz w:val="24"/>
          <w:szCs w:val="24"/>
        </w:rPr>
        <w:t xml:space="preserve"> job losses.</w:t>
      </w:r>
    </w:p>
    <w:p w14:paraId="0F08159A" w14:textId="77777777" w:rsidR="008C6243" w:rsidRPr="0025089E" w:rsidRDefault="008C6243" w:rsidP="008C6243">
      <w:pPr>
        <w:spacing w:after="80" w:line="360" w:lineRule="auto"/>
        <w:jc w:val="both"/>
        <w:rPr>
          <w:rFonts w:ascii="Times New Roman" w:eastAsia="MS Mincho" w:hAnsi="Times New Roman" w:cs="Times New Roman"/>
          <w:color w:val="000000"/>
          <w:sz w:val="24"/>
          <w:szCs w:val="24"/>
        </w:rPr>
      </w:pPr>
      <w:r w:rsidRPr="0025089E">
        <w:rPr>
          <w:rFonts w:ascii="Times New Roman" w:eastAsia="MS Mincho" w:hAnsi="Times New Roman" w:cs="Times New Roman"/>
          <w:color w:val="000000"/>
          <w:sz w:val="24"/>
          <w:szCs w:val="24"/>
        </w:rPr>
        <w:t xml:space="preserve">Third, CSRD infrastructure must transform into a system of management. Unilever ought to increase </w:t>
      </w:r>
      <w:r>
        <w:rPr>
          <w:rFonts w:ascii="Times New Roman" w:eastAsia="MS Mincho" w:hAnsi="Times New Roman" w:cs="Times New Roman"/>
          <w:color w:val="000000"/>
          <w:sz w:val="24"/>
          <w:szCs w:val="24"/>
        </w:rPr>
        <w:t>supplier-specific</w:t>
      </w:r>
      <w:r w:rsidRPr="0025089E">
        <w:rPr>
          <w:rFonts w:ascii="Times New Roman" w:eastAsia="MS Mincho" w:hAnsi="Times New Roman" w:cs="Times New Roman"/>
          <w:color w:val="000000"/>
          <w:sz w:val="24"/>
          <w:szCs w:val="24"/>
        </w:rPr>
        <w:t xml:space="preserve"> product carbon footprints, provide technical assistance and </w:t>
      </w:r>
      <w:r>
        <w:rPr>
          <w:rFonts w:ascii="Times New Roman" w:eastAsia="MS Mincho" w:hAnsi="Times New Roman" w:cs="Times New Roman"/>
          <w:color w:val="000000"/>
          <w:sz w:val="24"/>
          <w:szCs w:val="24"/>
        </w:rPr>
        <w:t>favourable</w:t>
      </w:r>
      <w:r w:rsidRPr="0025089E">
        <w:rPr>
          <w:rFonts w:ascii="Times New Roman" w:eastAsia="MS Mincho" w:hAnsi="Times New Roman" w:cs="Times New Roman"/>
          <w:color w:val="000000"/>
          <w:sz w:val="24"/>
          <w:szCs w:val="24"/>
        </w:rPr>
        <w:t xml:space="preserve"> financing to suppliers who decarbonise, and receive third-party assurance of material measurements. The connection between executive incentives and guaranteed Scope 3 progress, resilience and product availability would decrease the time lag between disclosure and action. CSRD, procurement and innovation can then share a common data architecture to convert compliance expenditure into more effective decisions.</w:t>
      </w:r>
    </w:p>
    <w:p w14:paraId="4431711D" w14:textId="77777777" w:rsidR="008C6243" w:rsidRPr="0025089E" w:rsidRDefault="008C6243" w:rsidP="008C6243">
      <w:pPr>
        <w:keepNext/>
        <w:keepLines/>
        <w:spacing w:before="280" w:line="360" w:lineRule="auto"/>
        <w:jc w:val="both"/>
        <w:outlineLvl w:val="0"/>
        <w:rPr>
          <w:rFonts w:ascii="Times New Roman" w:eastAsia="MS Gothic" w:hAnsi="Times New Roman" w:cs="Times New Roman"/>
          <w:b/>
          <w:bCs/>
          <w:sz w:val="32"/>
          <w:szCs w:val="32"/>
        </w:rPr>
      </w:pPr>
      <w:bookmarkStart w:id="5" w:name="_Toc237454908"/>
      <w:r w:rsidRPr="0025089E">
        <w:rPr>
          <w:rFonts w:ascii="Times New Roman" w:eastAsia="MS Gothic" w:hAnsi="Times New Roman" w:cs="Times New Roman"/>
          <w:b/>
          <w:bCs/>
          <w:sz w:val="32"/>
          <w:szCs w:val="32"/>
        </w:rPr>
        <w:lastRenderedPageBreak/>
        <w:t>Conclusion</w:t>
      </w:r>
      <w:bookmarkEnd w:id="5"/>
    </w:p>
    <w:p w14:paraId="37CD39E8" w14:textId="77777777" w:rsidR="008C6243" w:rsidRDefault="008C6243" w:rsidP="008C6243">
      <w:pPr>
        <w:spacing w:after="80" w:line="360" w:lineRule="auto"/>
        <w:jc w:val="both"/>
        <w:rPr>
          <w:rFonts w:ascii="Times New Roman" w:eastAsia="MS Mincho" w:hAnsi="Times New Roman" w:cs="Times New Roman"/>
          <w:color w:val="000000"/>
          <w:sz w:val="24"/>
          <w:szCs w:val="24"/>
        </w:rPr>
      </w:pPr>
      <w:r w:rsidRPr="0025089E">
        <w:rPr>
          <w:rFonts w:ascii="Times New Roman" w:eastAsia="MS Mincho" w:hAnsi="Times New Roman" w:cs="Times New Roman"/>
          <w:color w:val="000000"/>
          <w:sz w:val="24"/>
          <w:szCs w:val="24"/>
        </w:rPr>
        <w:t xml:space="preserve">The external issues of AI, geopolitical </w:t>
      </w:r>
      <w:r>
        <w:rPr>
          <w:rFonts w:ascii="Times New Roman" w:eastAsia="MS Mincho" w:hAnsi="Times New Roman" w:cs="Times New Roman"/>
          <w:color w:val="000000"/>
          <w:sz w:val="24"/>
          <w:szCs w:val="24"/>
        </w:rPr>
        <w:t>instability</w:t>
      </w:r>
      <w:r w:rsidRPr="0025089E">
        <w:rPr>
          <w:rFonts w:ascii="Times New Roman" w:eastAsia="MS Mincho" w:hAnsi="Times New Roman" w:cs="Times New Roman"/>
          <w:color w:val="000000"/>
          <w:sz w:val="24"/>
          <w:szCs w:val="24"/>
        </w:rPr>
        <w:t xml:space="preserve"> and sustainability control are not autonomous; they interplay across the global value chain of Unilever. AI has the potential to enhance forecasting, availability and knowledge work, and CSRD can enhance trust and reveal inefficiency. However, interfered shipping, concentrated technology supply, unreliable data, workforce anxiety and compliance costs may counter those benefits. The success of Unilever internationally thus does not require implementation of all new devices but rather incorporation of responsible AI, robust network development, reliable sustainability reporting and equitable transition of workforce. It is these tensions that enable globalisation to be seen as a portfolio of interdependencies, as opposed to the presumption that it is a constant source of efficiency.</w:t>
      </w:r>
    </w:p>
    <w:p w14:paraId="573340FD" w14:textId="77777777" w:rsidR="008C6243" w:rsidRDefault="008C6243" w:rsidP="008C6243">
      <w:pPr>
        <w:rPr>
          <w:rFonts w:ascii="Times New Roman" w:eastAsia="MS Mincho" w:hAnsi="Times New Roman" w:cs="Times New Roman"/>
          <w:color w:val="000000"/>
          <w:sz w:val="24"/>
          <w:szCs w:val="24"/>
        </w:rPr>
      </w:pPr>
      <w:r>
        <w:rPr>
          <w:rFonts w:ascii="Times New Roman" w:eastAsia="MS Mincho" w:hAnsi="Times New Roman" w:cs="Times New Roman"/>
          <w:color w:val="000000"/>
          <w:sz w:val="24"/>
          <w:szCs w:val="24"/>
        </w:rPr>
        <w:br w:type="page"/>
      </w:r>
    </w:p>
    <w:p w14:paraId="6450FD3B" w14:textId="77777777" w:rsidR="008C6243" w:rsidRPr="0025089E" w:rsidRDefault="008C6243" w:rsidP="008C6243">
      <w:pPr>
        <w:pStyle w:val="Heading1"/>
        <w:spacing w:after="240"/>
        <w:rPr>
          <w:rFonts w:ascii="Times New Roman" w:eastAsia="MS Mincho" w:hAnsi="Times New Roman" w:cs="Times New Roman"/>
          <w:b/>
          <w:bCs/>
          <w:color w:val="auto"/>
        </w:rPr>
      </w:pPr>
      <w:bookmarkStart w:id="6" w:name="_Toc237454909"/>
      <w:r w:rsidRPr="0025089E">
        <w:rPr>
          <w:rFonts w:ascii="Times New Roman" w:eastAsia="MS Mincho" w:hAnsi="Times New Roman" w:cs="Times New Roman"/>
          <w:b/>
          <w:bCs/>
          <w:color w:val="auto"/>
        </w:rPr>
        <w:lastRenderedPageBreak/>
        <w:t>References</w:t>
      </w:r>
      <w:bookmarkEnd w:id="6"/>
    </w:p>
    <w:p w14:paraId="120F99AD" w14:textId="77777777" w:rsidR="008C6243" w:rsidRPr="0025089E" w:rsidRDefault="008C6243" w:rsidP="008C6243">
      <w:pPr>
        <w:spacing w:after="80" w:line="360" w:lineRule="auto"/>
        <w:ind w:left="720" w:hanging="720"/>
        <w:jc w:val="both"/>
        <w:rPr>
          <w:rFonts w:ascii="Times New Roman" w:eastAsia="MS Mincho" w:hAnsi="Times New Roman" w:cs="Times New Roman"/>
          <w:color w:val="000000"/>
          <w:sz w:val="24"/>
          <w:szCs w:val="24"/>
        </w:rPr>
      </w:pPr>
      <w:r w:rsidRPr="0025089E">
        <w:rPr>
          <w:rFonts w:ascii="Times New Roman" w:eastAsia="MS Mincho" w:hAnsi="Times New Roman" w:cs="Times New Roman"/>
          <w:color w:val="000000"/>
          <w:sz w:val="24"/>
          <w:szCs w:val="24"/>
        </w:rPr>
        <w:t>Accenture (2024) ‘Unilever and Accenture join forces to establish a new industry standard in generative AI-powered productivity’, 5 September. Available at: https://newsroom.accenture.com/news/2024/unilever-and-accenture-join-forces-to-establish-a-new-industry-standard-in-generative-ai-powered-productivity (Accessed: 10 August 2026).</w:t>
      </w:r>
    </w:p>
    <w:p w14:paraId="7B874222" w14:textId="77777777" w:rsidR="008C6243" w:rsidRPr="0025089E" w:rsidRDefault="008C6243" w:rsidP="008C6243">
      <w:pPr>
        <w:spacing w:after="80" w:line="360" w:lineRule="auto"/>
        <w:ind w:left="720" w:hanging="720"/>
        <w:jc w:val="both"/>
        <w:rPr>
          <w:rFonts w:ascii="Times New Roman" w:eastAsia="MS Mincho" w:hAnsi="Times New Roman" w:cs="Times New Roman"/>
          <w:color w:val="000000"/>
          <w:sz w:val="24"/>
          <w:szCs w:val="24"/>
        </w:rPr>
      </w:pPr>
      <w:r w:rsidRPr="0025089E">
        <w:rPr>
          <w:rFonts w:ascii="Times New Roman" w:eastAsia="MS Mincho" w:hAnsi="Times New Roman" w:cs="Times New Roman"/>
          <w:color w:val="000000"/>
          <w:sz w:val="24"/>
          <w:szCs w:val="24"/>
        </w:rPr>
        <w:t>Asia Pacific Foundation of Canada (2025) ‘Taiwan, Canada, and the global semiconductor race’, 10 February. Available at: https://www.asiapacific.ca/publication/taiwan-canada-and-global-semiconductor-race (Accessed: 10 August 2026).</w:t>
      </w:r>
    </w:p>
    <w:p w14:paraId="0F010CB6" w14:textId="77777777" w:rsidR="008C6243" w:rsidRPr="0025089E" w:rsidRDefault="008C6243" w:rsidP="008C6243">
      <w:pPr>
        <w:spacing w:after="80" w:line="360" w:lineRule="auto"/>
        <w:ind w:left="720" w:hanging="720"/>
        <w:jc w:val="both"/>
        <w:rPr>
          <w:rFonts w:ascii="Times New Roman" w:eastAsia="MS Mincho" w:hAnsi="Times New Roman" w:cs="Times New Roman"/>
          <w:color w:val="000000"/>
          <w:sz w:val="24"/>
          <w:szCs w:val="24"/>
        </w:rPr>
      </w:pPr>
      <w:r w:rsidRPr="0025089E">
        <w:rPr>
          <w:rFonts w:ascii="Times New Roman" w:eastAsia="MS Mincho" w:hAnsi="Times New Roman" w:cs="Times New Roman"/>
          <w:color w:val="000000"/>
          <w:sz w:val="24"/>
          <w:szCs w:val="24"/>
        </w:rPr>
        <w:t xml:space="preserve">Bartlett, C.A. and Ghoshal, S. (1989) </w:t>
      </w:r>
      <w:r w:rsidRPr="0025089E">
        <w:rPr>
          <w:rFonts w:ascii="Times New Roman" w:eastAsia="MS Mincho" w:hAnsi="Times New Roman" w:cs="Times New Roman"/>
          <w:i/>
          <w:color w:val="000000"/>
          <w:sz w:val="24"/>
          <w:szCs w:val="24"/>
        </w:rPr>
        <w:t>Managing Across Borders: The Transnational Solution</w:t>
      </w:r>
      <w:r w:rsidRPr="0025089E">
        <w:rPr>
          <w:rFonts w:ascii="Times New Roman" w:eastAsia="MS Mincho" w:hAnsi="Times New Roman" w:cs="Times New Roman"/>
          <w:color w:val="000000"/>
          <w:sz w:val="24"/>
          <w:szCs w:val="24"/>
        </w:rPr>
        <w:t>. Boston, MA: Harvard Business School Press.</w:t>
      </w:r>
    </w:p>
    <w:p w14:paraId="36516D6C" w14:textId="77777777" w:rsidR="008C6243" w:rsidRPr="0025089E" w:rsidRDefault="008C6243" w:rsidP="008C6243">
      <w:pPr>
        <w:spacing w:after="80" w:line="360" w:lineRule="auto"/>
        <w:ind w:left="720" w:hanging="720"/>
        <w:jc w:val="both"/>
        <w:rPr>
          <w:rFonts w:ascii="Times New Roman" w:eastAsia="MS Mincho" w:hAnsi="Times New Roman" w:cs="Times New Roman"/>
          <w:color w:val="000000"/>
          <w:sz w:val="24"/>
          <w:szCs w:val="24"/>
        </w:rPr>
      </w:pPr>
      <w:r w:rsidRPr="0025089E">
        <w:rPr>
          <w:rFonts w:ascii="Times New Roman" w:eastAsia="MS Mincho" w:hAnsi="Times New Roman" w:cs="Times New Roman"/>
          <w:color w:val="000000"/>
          <w:sz w:val="24"/>
          <w:szCs w:val="24"/>
        </w:rPr>
        <w:t xml:space="preserve">Brynjolfsson, E., Li, D. and Raymond, L.R. (2025) ‘Generative AI at work’, </w:t>
      </w:r>
      <w:r w:rsidRPr="0025089E">
        <w:rPr>
          <w:rFonts w:ascii="Times New Roman" w:eastAsia="MS Mincho" w:hAnsi="Times New Roman" w:cs="Times New Roman"/>
          <w:i/>
          <w:color w:val="000000"/>
          <w:sz w:val="24"/>
          <w:szCs w:val="24"/>
        </w:rPr>
        <w:t>The Quarterly Journal of Economics</w:t>
      </w:r>
      <w:r w:rsidRPr="0025089E">
        <w:rPr>
          <w:rFonts w:ascii="Times New Roman" w:eastAsia="MS Mincho" w:hAnsi="Times New Roman" w:cs="Times New Roman"/>
          <w:color w:val="000000"/>
          <w:sz w:val="24"/>
          <w:szCs w:val="24"/>
        </w:rPr>
        <w:t>, 140(2), pp. 889–942. https://doi.org/10.1093/qje/qjae044.</w:t>
      </w:r>
    </w:p>
    <w:p w14:paraId="6CDF90C3" w14:textId="77777777" w:rsidR="008C6243" w:rsidRPr="0025089E" w:rsidRDefault="008C6243" w:rsidP="008C6243">
      <w:pPr>
        <w:spacing w:after="80" w:line="360" w:lineRule="auto"/>
        <w:ind w:left="720" w:hanging="720"/>
        <w:jc w:val="both"/>
        <w:rPr>
          <w:rFonts w:ascii="Times New Roman" w:eastAsia="MS Mincho" w:hAnsi="Times New Roman" w:cs="Times New Roman"/>
          <w:color w:val="000000"/>
          <w:sz w:val="24"/>
          <w:szCs w:val="24"/>
        </w:rPr>
      </w:pPr>
      <w:r w:rsidRPr="0025089E">
        <w:rPr>
          <w:rFonts w:ascii="Times New Roman" w:eastAsia="MS Mincho" w:hAnsi="Times New Roman" w:cs="Times New Roman"/>
          <w:color w:val="000000"/>
          <w:sz w:val="24"/>
          <w:szCs w:val="24"/>
        </w:rPr>
        <w:t xml:space="preserve">Christensen, H.B., Hail, L. and </w:t>
      </w:r>
      <w:proofErr w:type="spellStart"/>
      <w:r w:rsidRPr="0025089E">
        <w:rPr>
          <w:rFonts w:ascii="Times New Roman" w:eastAsia="MS Mincho" w:hAnsi="Times New Roman" w:cs="Times New Roman"/>
          <w:color w:val="000000"/>
          <w:sz w:val="24"/>
          <w:szCs w:val="24"/>
        </w:rPr>
        <w:t>Leuz</w:t>
      </w:r>
      <w:proofErr w:type="spellEnd"/>
      <w:r w:rsidRPr="0025089E">
        <w:rPr>
          <w:rFonts w:ascii="Times New Roman" w:eastAsia="MS Mincho" w:hAnsi="Times New Roman" w:cs="Times New Roman"/>
          <w:color w:val="000000"/>
          <w:sz w:val="24"/>
          <w:szCs w:val="24"/>
        </w:rPr>
        <w:t xml:space="preserve">, C. (2021) ‘Mandatory CSR and sustainability reporting: economic analysis and literature review’, </w:t>
      </w:r>
      <w:r w:rsidRPr="0025089E">
        <w:rPr>
          <w:rFonts w:ascii="Times New Roman" w:eastAsia="MS Mincho" w:hAnsi="Times New Roman" w:cs="Times New Roman"/>
          <w:i/>
          <w:color w:val="000000"/>
          <w:sz w:val="24"/>
          <w:szCs w:val="24"/>
        </w:rPr>
        <w:t>Review of Accounting Studies</w:t>
      </w:r>
      <w:r w:rsidRPr="0025089E">
        <w:rPr>
          <w:rFonts w:ascii="Times New Roman" w:eastAsia="MS Mincho" w:hAnsi="Times New Roman" w:cs="Times New Roman"/>
          <w:color w:val="000000"/>
          <w:sz w:val="24"/>
          <w:szCs w:val="24"/>
        </w:rPr>
        <w:t>, 26(3), pp. 1176–1248. https://doi.org/10.1007/s11142-021-09609-5.</w:t>
      </w:r>
    </w:p>
    <w:p w14:paraId="57C18273" w14:textId="77777777" w:rsidR="008C6243" w:rsidRPr="0025089E" w:rsidRDefault="008C6243" w:rsidP="008C6243">
      <w:pPr>
        <w:spacing w:after="80" w:line="360" w:lineRule="auto"/>
        <w:ind w:left="720" w:hanging="720"/>
        <w:jc w:val="both"/>
        <w:rPr>
          <w:rFonts w:ascii="Times New Roman" w:eastAsia="MS Mincho" w:hAnsi="Times New Roman" w:cs="Times New Roman"/>
          <w:color w:val="000000"/>
          <w:sz w:val="24"/>
          <w:szCs w:val="24"/>
        </w:rPr>
      </w:pPr>
      <w:r w:rsidRPr="0025089E">
        <w:rPr>
          <w:rFonts w:ascii="Times New Roman" w:eastAsia="MS Mincho" w:hAnsi="Times New Roman" w:cs="Times New Roman"/>
          <w:color w:val="000000"/>
          <w:sz w:val="24"/>
          <w:szCs w:val="24"/>
        </w:rPr>
        <w:t xml:space="preserve">Christopher, M. and Peck, H. (2004) ‘Building the resilient supply chain’, </w:t>
      </w:r>
      <w:r w:rsidRPr="0025089E">
        <w:rPr>
          <w:rFonts w:ascii="Times New Roman" w:eastAsia="MS Mincho" w:hAnsi="Times New Roman" w:cs="Times New Roman"/>
          <w:i/>
          <w:color w:val="000000"/>
          <w:sz w:val="24"/>
          <w:szCs w:val="24"/>
        </w:rPr>
        <w:t>The International Journal of Logistics Management</w:t>
      </w:r>
      <w:r w:rsidRPr="0025089E">
        <w:rPr>
          <w:rFonts w:ascii="Times New Roman" w:eastAsia="MS Mincho" w:hAnsi="Times New Roman" w:cs="Times New Roman"/>
          <w:color w:val="000000"/>
          <w:sz w:val="24"/>
          <w:szCs w:val="24"/>
        </w:rPr>
        <w:t>, 15(2), pp. 1–14. https://doi.org/10.1108/09574090410700275.</w:t>
      </w:r>
    </w:p>
    <w:p w14:paraId="35B64820" w14:textId="77777777" w:rsidR="008C6243" w:rsidRPr="0025089E" w:rsidRDefault="008C6243" w:rsidP="008C6243">
      <w:pPr>
        <w:spacing w:after="80" w:line="360" w:lineRule="auto"/>
        <w:ind w:left="720" w:hanging="720"/>
        <w:jc w:val="both"/>
        <w:rPr>
          <w:rFonts w:ascii="Times New Roman" w:eastAsia="MS Mincho" w:hAnsi="Times New Roman" w:cs="Times New Roman"/>
          <w:color w:val="000000"/>
          <w:sz w:val="24"/>
          <w:szCs w:val="24"/>
        </w:rPr>
      </w:pPr>
      <w:r w:rsidRPr="0025089E">
        <w:rPr>
          <w:rFonts w:ascii="Times New Roman" w:eastAsia="MS Mincho" w:hAnsi="Times New Roman" w:cs="Times New Roman"/>
          <w:color w:val="000000"/>
          <w:sz w:val="24"/>
          <w:szCs w:val="24"/>
        </w:rPr>
        <w:t xml:space="preserve">European Commission (2023) </w:t>
      </w:r>
      <w:r w:rsidRPr="0025089E">
        <w:rPr>
          <w:rFonts w:ascii="Times New Roman" w:eastAsia="MS Mincho" w:hAnsi="Times New Roman" w:cs="Times New Roman"/>
          <w:i/>
          <w:color w:val="000000"/>
          <w:sz w:val="24"/>
          <w:szCs w:val="24"/>
        </w:rPr>
        <w:t>Commission Delegated Regulation (EU) 2023/2772 as regards sustainability reporting standards</w:t>
      </w:r>
      <w:r w:rsidRPr="0025089E">
        <w:rPr>
          <w:rFonts w:ascii="Times New Roman" w:eastAsia="MS Mincho" w:hAnsi="Times New Roman" w:cs="Times New Roman"/>
          <w:color w:val="000000"/>
          <w:sz w:val="24"/>
          <w:szCs w:val="24"/>
        </w:rPr>
        <w:t>. Official Journal of the European Union, L series, 22 December.</w:t>
      </w:r>
    </w:p>
    <w:p w14:paraId="2CF9BF01" w14:textId="77777777" w:rsidR="008C6243" w:rsidRPr="0025089E" w:rsidRDefault="008C6243" w:rsidP="008C6243">
      <w:pPr>
        <w:spacing w:after="80" w:line="360" w:lineRule="auto"/>
        <w:ind w:left="720" w:hanging="720"/>
        <w:jc w:val="both"/>
        <w:rPr>
          <w:rFonts w:ascii="Times New Roman" w:eastAsia="MS Mincho" w:hAnsi="Times New Roman" w:cs="Times New Roman"/>
          <w:color w:val="000000"/>
          <w:sz w:val="24"/>
          <w:szCs w:val="24"/>
        </w:rPr>
      </w:pPr>
      <w:r w:rsidRPr="0025089E">
        <w:rPr>
          <w:rFonts w:ascii="Times New Roman" w:eastAsia="MS Mincho" w:hAnsi="Times New Roman" w:cs="Times New Roman"/>
          <w:color w:val="000000"/>
          <w:sz w:val="24"/>
          <w:szCs w:val="24"/>
        </w:rPr>
        <w:t xml:space="preserve">European Parliament and Council (2022) </w:t>
      </w:r>
      <w:r w:rsidRPr="0025089E">
        <w:rPr>
          <w:rFonts w:ascii="Times New Roman" w:eastAsia="MS Mincho" w:hAnsi="Times New Roman" w:cs="Times New Roman"/>
          <w:i/>
          <w:color w:val="000000"/>
          <w:sz w:val="24"/>
          <w:szCs w:val="24"/>
        </w:rPr>
        <w:t>Directive (EU) 2022/2464 as regards corporate sustainability reporting</w:t>
      </w:r>
      <w:r w:rsidRPr="0025089E">
        <w:rPr>
          <w:rFonts w:ascii="Times New Roman" w:eastAsia="MS Mincho" w:hAnsi="Times New Roman" w:cs="Times New Roman"/>
          <w:color w:val="000000"/>
          <w:sz w:val="24"/>
          <w:szCs w:val="24"/>
        </w:rPr>
        <w:t>. Official Journal of the European Union, L322, pp. 15–80.</w:t>
      </w:r>
    </w:p>
    <w:p w14:paraId="042158DE" w14:textId="77777777" w:rsidR="008C6243" w:rsidRPr="0025089E" w:rsidRDefault="008C6243" w:rsidP="008C6243">
      <w:pPr>
        <w:spacing w:after="80" w:line="360" w:lineRule="auto"/>
        <w:ind w:left="720" w:hanging="720"/>
        <w:jc w:val="both"/>
        <w:rPr>
          <w:rFonts w:ascii="Times New Roman" w:eastAsia="MS Mincho" w:hAnsi="Times New Roman" w:cs="Times New Roman"/>
          <w:color w:val="000000"/>
          <w:sz w:val="24"/>
          <w:szCs w:val="24"/>
        </w:rPr>
      </w:pPr>
      <w:r w:rsidRPr="0025089E">
        <w:rPr>
          <w:rFonts w:ascii="Times New Roman" w:eastAsia="MS Mincho" w:hAnsi="Times New Roman" w:cs="Times New Roman"/>
          <w:color w:val="000000"/>
          <w:sz w:val="24"/>
          <w:szCs w:val="24"/>
        </w:rPr>
        <w:t xml:space="preserve">European Parliament and Council (2024) </w:t>
      </w:r>
      <w:r w:rsidRPr="0025089E">
        <w:rPr>
          <w:rFonts w:ascii="Times New Roman" w:eastAsia="MS Mincho" w:hAnsi="Times New Roman" w:cs="Times New Roman"/>
          <w:i/>
          <w:color w:val="000000"/>
          <w:sz w:val="24"/>
          <w:szCs w:val="24"/>
        </w:rPr>
        <w:t>Regulation (EU) 2024/1689 laying down harmonised rules on artificial intelligence</w:t>
      </w:r>
      <w:r w:rsidRPr="0025089E">
        <w:rPr>
          <w:rFonts w:ascii="Times New Roman" w:eastAsia="MS Mincho" w:hAnsi="Times New Roman" w:cs="Times New Roman"/>
          <w:color w:val="000000"/>
          <w:sz w:val="24"/>
          <w:szCs w:val="24"/>
        </w:rPr>
        <w:t>. Official Journal of the European Union, L series, 12 July.</w:t>
      </w:r>
    </w:p>
    <w:p w14:paraId="0E5AE56A" w14:textId="77777777" w:rsidR="008C6243" w:rsidRPr="0025089E" w:rsidRDefault="008C6243" w:rsidP="008C6243">
      <w:pPr>
        <w:spacing w:after="80" w:line="360" w:lineRule="auto"/>
        <w:ind w:left="720" w:hanging="720"/>
        <w:jc w:val="both"/>
        <w:rPr>
          <w:rFonts w:ascii="Times New Roman" w:eastAsia="MS Mincho" w:hAnsi="Times New Roman" w:cs="Times New Roman"/>
          <w:color w:val="000000"/>
          <w:sz w:val="24"/>
          <w:szCs w:val="24"/>
        </w:rPr>
      </w:pPr>
      <w:proofErr w:type="spellStart"/>
      <w:r w:rsidRPr="0025089E">
        <w:rPr>
          <w:rFonts w:ascii="Times New Roman" w:eastAsia="MS Mincho" w:hAnsi="Times New Roman" w:cs="Times New Roman"/>
          <w:color w:val="000000"/>
          <w:sz w:val="24"/>
          <w:szCs w:val="24"/>
        </w:rPr>
        <w:t>Gereffi</w:t>
      </w:r>
      <w:proofErr w:type="spellEnd"/>
      <w:r w:rsidRPr="0025089E">
        <w:rPr>
          <w:rFonts w:ascii="Times New Roman" w:eastAsia="MS Mincho" w:hAnsi="Times New Roman" w:cs="Times New Roman"/>
          <w:color w:val="000000"/>
          <w:sz w:val="24"/>
          <w:szCs w:val="24"/>
        </w:rPr>
        <w:t xml:space="preserve">, G., Humphrey, J. and Sturgeon, T. (2005) ‘The governance of global value chains’, </w:t>
      </w:r>
      <w:r w:rsidRPr="0025089E">
        <w:rPr>
          <w:rFonts w:ascii="Times New Roman" w:eastAsia="MS Mincho" w:hAnsi="Times New Roman" w:cs="Times New Roman"/>
          <w:i/>
          <w:color w:val="000000"/>
          <w:sz w:val="24"/>
          <w:szCs w:val="24"/>
        </w:rPr>
        <w:t>Review of International Political Economy</w:t>
      </w:r>
      <w:r w:rsidRPr="0025089E">
        <w:rPr>
          <w:rFonts w:ascii="Times New Roman" w:eastAsia="MS Mincho" w:hAnsi="Times New Roman" w:cs="Times New Roman"/>
          <w:color w:val="000000"/>
          <w:sz w:val="24"/>
          <w:szCs w:val="24"/>
        </w:rPr>
        <w:t>, 12(1), pp. 78–104. https://doi.org/10.1080/09692290500049805.</w:t>
      </w:r>
    </w:p>
    <w:p w14:paraId="501FBFCA" w14:textId="77777777" w:rsidR="008C6243" w:rsidRPr="0025089E" w:rsidRDefault="008C6243" w:rsidP="008C6243">
      <w:pPr>
        <w:spacing w:after="80" w:line="360" w:lineRule="auto"/>
        <w:ind w:left="720" w:hanging="720"/>
        <w:jc w:val="both"/>
        <w:rPr>
          <w:rFonts w:ascii="Times New Roman" w:eastAsia="MS Mincho" w:hAnsi="Times New Roman" w:cs="Times New Roman"/>
          <w:color w:val="000000"/>
          <w:sz w:val="24"/>
          <w:szCs w:val="24"/>
        </w:rPr>
      </w:pPr>
      <w:r w:rsidRPr="0025089E">
        <w:rPr>
          <w:rFonts w:ascii="Times New Roman" w:eastAsia="MS Mincho" w:hAnsi="Times New Roman" w:cs="Times New Roman"/>
          <w:color w:val="000000"/>
          <w:sz w:val="24"/>
          <w:szCs w:val="24"/>
        </w:rPr>
        <w:lastRenderedPageBreak/>
        <w:t xml:space="preserve">Grewal, J., Riedl, E.J. and Serafeim, G. (2019) ‘Market reaction to mandatory nonfinancial disclosure’, </w:t>
      </w:r>
      <w:r w:rsidRPr="0025089E">
        <w:rPr>
          <w:rFonts w:ascii="Times New Roman" w:eastAsia="MS Mincho" w:hAnsi="Times New Roman" w:cs="Times New Roman"/>
          <w:i/>
          <w:color w:val="000000"/>
          <w:sz w:val="24"/>
          <w:szCs w:val="24"/>
        </w:rPr>
        <w:t>Management Science</w:t>
      </w:r>
      <w:r w:rsidRPr="0025089E">
        <w:rPr>
          <w:rFonts w:ascii="Times New Roman" w:eastAsia="MS Mincho" w:hAnsi="Times New Roman" w:cs="Times New Roman"/>
          <w:color w:val="000000"/>
          <w:sz w:val="24"/>
          <w:szCs w:val="24"/>
        </w:rPr>
        <w:t>, 65(7), pp. 3061–3084. https://doi.org/10.1287/mnsc.2018.3099.</w:t>
      </w:r>
    </w:p>
    <w:p w14:paraId="6D0D8FA2" w14:textId="77777777" w:rsidR="008C6243" w:rsidRPr="0025089E" w:rsidRDefault="008C6243" w:rsidP="008C6243">
      <w:pPr>
        <w:spacing w:after="80" w:line="360" w:lineRule="auto"/>
        <w:ind w:left="720" w:hanging="720"/>
        <w:jc w:val="both"/>
        <w:rPr>
          <w:rFonts w:ascii="Times New Roman" w:eastAsia="MS Mincho" w:hAnsi="Times New Roman" w:cs="Times New Roman"/>
          <w:color w:val="000000"/>
          <w:sz w:val="24"/>
          <w:szCs w:val="24"/>
        </w:rPr>
      </w:pPr>
      <w:r w:rsidRPr="0025089E">
        <w:rPr>
          <w:rFonts w:ascii="Times New Roman" w:eastAsia="MS Mincho" w:hAnsi="Times New Roman" w:cs="Times New Roman"/>
          <w:color w:val="000000"/>
          <w:sz w:val="24"/>
          <w:szCs w:val="24"/>
        </w:rPr>
        <w:t xml:space="preserve">Held, D., McGrew, A., Goldblatt, D. and </w:t>
      </w:r>
      <w:proofErr w:type="spellStart"/>
      <w:r w:rsidRPr="0025089E">
        <w:rPr>
          <w:rFonts w:ascii="Times New Roman" w:eastAsia="MS Mincho" w:hAnsi="Times New Roman" w:cs="Times New Roman"/>
          <w:color w:val="000000"/>
          <w:sz w:val="24"/>
          <w:szCs w:val="24"/>
        </w:rPr>
        <w:t>Perraton</w:t>
      </w:r>
      <w:proofErr w:type="spellEnd"/>
      <w:r w:rsidRPr="0025089E">
        <w:rPr>
          <w:rFonts w:ascii="Times New Roman" w:eastAsia="MS Mincho" w:hAnsi="Times New Roman" w:cs="Times New Roman"/>
          <w:color w:val="000000"/>
          <w:sz w:val="24"/>
          <w:szCs w:val="24"/>
        </w:rPr>
        <w:t xml:space="preserve">, J. (1999) </w:t>
      </w:r>
      <w:r w:rsidRPr="0025089E">
        <w:rPr>
          <w:rFonts w:ascii="Times New Roman" w:eastAsia="MS Mincho" w:hAnsi="Times New Roman" w:cs="Times New Roman"/>
          <w:i/>
          <w:color w:val="000000"/>
          <w:sz w:val="24"/>
          <w:szCs w:val="24"/>
        </w:rPr>
        <w:t>Global Transformations: Politics, Economics and Culture</w:t>
      </w:r>
      <w:r w:rsidRPr="0025089E">
        <w:rPr>
          <w:rFonts w:ascii="Times New Roman" w:eastAsia="MS Mincho" w:hAnsi="Times New Roman" w:cs="Times New Roman"/>
          <w:color w:val="000000"/>
          <w:sz w:val="24"/>
          <w:szCs w:val="24"/>
        </w:rPr>
        <w:t>. Cambridge: Polity Press.</w:t>
      </w:r>
    </w:p>
    <w:p w14:paraId="3C4C1F3B" w14:textId="77777777" w:rsidR="008C6243" w:rsidRPr="0025089E" w:rsidRDefault="008C6243" w:rsidP="008C6243">
      <w:pPr>
        <w:spacing w:after="80" w:line="360" w:lineRule="auto"/>
        <w:ind w:left="720" w:hanging="720"/>
        <w:jc w:val="both"/>
        <w:rPr>
          <w:rFonts w:ascii="Times New Roman" w:eastAsia="MS Mincho" w:hAnsi="Times New Roman" w:cs="Times New Roman"/>
          <w:color w:val="000000"/>
          <w:sz w:val="24"/>
          <w:szCs w:val="24"/>
        </w:rPr>
      </w:pPr>
      <w:r w:rsidRPr="0025089E">
        <w:rPr>
          <w:rFonts w:ascii="Times New Roman" w:eastAsia="MS Mincho" w:hAnsi="Times New Roman" w:cs="Times New Roman"/>
          <w:color w:val="000000"/>
          <w:sz w:val="24"/>
          <w:szCs w:val="24"/>
        </w:rPr>
        <w:t xml:space="preserve">Ivanov, D. and </w:t>
      </w:r>
      <w:proofErr w:type="spellStart"/>
      <w:r w:rsidRPr="0025089E">
        <w:rPr>
          <w:rFonts w:ascii="Times New Roman" w:eastAsia="MS Mincho" w:hAnsi="Times New Roman" w:cs="Times New Roman"/>
          <w:color w:val="000000"/>
          <w:sz w:val="24"/>
          <w:szCs w:val="24"/>
        </w:rPr>
        <w:t>Dolgui</w:t>
      </w:r>
      <w:proofErr w:type="spellEnd"/>
      <w:r w:rsidRPr="0025089E">
        <w:rPr>
          <w:rFonts w:ascii="Times New Roman" w:eastAsia="MS Mincho" w:hAnsi="Times New Roman" w:cs="Times New Roman"/>
          <w:color w:val="000000"/>
          <w:sz w:val="24"/>
          <w:szCs w:val="24"/>
        </w:rPr>
        <w:t xml:space="preserve">, A. (2020) ‘Viability of intertwined supply networks: extending the supply chain resilience angles towards survivability’, </w:t>
      </w:r>
      <w:r w:rsidRPr="0025089E">
        <w:rPr>
          <w:rFonts w:ascii="Times New Roman" w:eastAsia="MS Mincho" w:hAnsi="Times New Roman" w:cs="Times New Roman"/>
          <w:i/>
          <w:color w:val="000000"/>
          <w:sz w:val="24"/>
          <w:szCs w:val="24"/>
        </w:rPr>
        <w:t>International Journal of Production Research</w:t>
      </w:r>
      <w:r w:rsidRPr="0025089E">
        <w:rPr>
          <w:rFonts w:ascii="Times New Roman" w:eastAsia="MS Mincho" w:hAnsi="Times New Roman" w:cs="Times New Roman"/>
          <w:color w:val="000000"/>
          <w:sz w:val="24"/>
          <w:szCs w:val="24"/>
        </w:rPr>
        <w:t>, 58(10), pp. 2904–2915. https://doi.org/10.1080/00207543.2020.1750727.</w:t>
      </w:r>
    </w:p>
    <w:p w14:paraId="4F56EB21" w14:textId="77777777" w:rsidR="008C6243" w:rsidRPr="0025089E" w:rsidRDefault="008C6243" w:rsidP="008C6243">
      <w:pPr>
        <w:spacing w:after="80" w:line="360" w:lineRule="auto"/>
        <w:ind w:left="720" w:hanging="720"/>
        <w:jc w:val="both"/>
        <w:rPr>
          <w:rFonts w:ascii="Times New Roman" w:eastAsia="MS Mincho" w:hAnsi="Times New Roman" w:cs="Times New Roman"/>
          <w:color w:val="000000"/>
          <w:sz w:val="24"/>
          <w:szCs w:val="24"/>
        </w:rPr>
      </w:pPr>
      <w:r w:rsidRPr="0025089E">
        <w:rPr>
          <w:rFonts w:ascii="Times New Roman" w:eastAsia="MS Mincho" w:hAnsi="Times New Roman" w:cs="Times New Roman"/>
          <w:color w:val="000000"/>
          <w:sz w:val="24"/>
          <w:szCs w:val="24"/>
        </w:rPr>
        <w:t xml:space="preserve">Mezzanotte, F.E. (2023) ‘Corporate sustainability reporting: double materiality, impacts, and legal risk’, </w:t>
      </w:r>
      <w:r w:rsidRPr="0025089E">
        <w:rPr>
          <w:rFonts w:ascii="Times New Roman" w:eastAsia="MS Mincho" w:hAnsi="Times New Roman" w:cs="Times New Roman"/>
          <w:i/>
          <w:color w:val="000000"/>
          <w:sz w:val="24"/>
          <w:szCs w:val="24"/>
        </w:rPr>
        <w:t>Journal of Corporate Law Studies</w:t>
      </w:r>
      <w:r w:rsidRPr="0025089E">
        <w:rPr>
          <w:rFonts w:ascii="Times New Roman" w:eastAsia="MS Mincho" w:hAnsi="Times New Roman" w:cs="Times New Roman"/>
          <w:color w:val="000000"/>
          <w:sz w:val="24"/>
          <w:szCs w:val="24"/>
        </w:rPr>
        <w:t>, 23(2), pp. 633–663. https://doi.org/10.1080/14735970.2024.2319058.</w:t>
      </w:r>
    </w:p>
    <w:p w14:paraId="548742E1" w14:textId="77777777" w:rsidR="008C6243" w:rsidRPr="0025089E" w:rsidRDefault="008C6243" w:rsidP="008C6243">
      <w:pPr>
        <w:spacing w:after="80" w:line="360" w:lineRule="auto"/>
        <w:ind w:left="720" w:hanging="720"/>
        <w:jc w:val="both"/>
        <w:rPr>
          <w:rFonts w:ascii="Times New Roman" w:eastAsia="MS Mincho" w:hAnsi="Times New Roman" w:cs="Times New Roman"/>
          <w:color w:val="000000"/>
          <w:sz w:val="24"/>
          <w:szCs w:val="24"/>
        </w:rPr>
      </w:pPr>
      <w:r w:rsidRPr="0025089E">
        <w:rPr>
          <w:rFonts w:ascii="Times New Roman" w:eastAsia="MS Mincho" w:hAnsi="Times New Roman" w:cs="Times New Roman"/>
          <w:color w:val="000000"/>
          <w:sz w:val="24"/>
          <w:szCs w:val="24"/>
        </w:rPr>
        <w:t xml:space="preserve">National Institute of Standards and Technology (NIST) (2023) </w:t>
      </w:r>
      <w:r w:rsidRPr="0025089E">
        <w:rPr>
          <w:rFonts w:ascii="Times New Roman" w:eastAsia="MS Mincho" w:hAnsi="Times New Roman" w:cs="Times New Roman"/>
          <w:i/>
          <w:color w:val="000000"/>
          <w:sz w:val="24"/>
          <w:szCs w:val="24"/>
        </w:rPr>
        <w:t>Artificial Intelligence Risk Management Framework (AI RMF 1.0)</w:t>
      </w:r>
      <w:r w:rsidRPr="0025089E">
        <w:rPr>
          <w:rFonts w:ascii="Times New Roman" w:eastAsia="MS Mincho" w:hAnsi="Times New Roman" w:cs="Times New Roman"/>
          <w:color w:val="000000"/>
          <w:sz w:val="24"/>
          <w:szCs w:val="24"/>
        </w:rPr>
        <w:t>. Gaithersburg, MD: U.S. Department of Commerce. https://doi.org/10.6028/NIST.AI.100-1.</w:t>
      </w:r>
    </w:p>
    <w:p w14:paraId="641D8F2C" w14:textId="77777777" w:rsidR="008C6243" w:rsidRPr="0025089E" w:rsidRDefault="008C6243" w:rsidP="008C6243">
      <w:pPr>
        <w:spacing w:after="80" w:line="360" w:lineRule="auto"/>
        <w:ind w:left="720" w:hanging="720"/>
        <w:jc w:val="both"/>
        <w:rPr>
          <w:rFonts w:ascii="Times New Roman" w:eastAsia="MS Mincho" w:hAnsi="Times New Roman" w:cs="Times New Roman"/>
          <w:color w:val="000000"/>
          <w:sz w:val="24"/>
          <w:szCs w:val="24"/>
        </w:rPr>
      </w:pPr>
      <w:r w:rsidRPr="0025089E">
        <w:rPr>
          <w:rFonts w:ascii="Times New Roman" w:eastAsia="MS Mincho" w:hAnsi="Times New Roman" w:cs="Times New Roman"/>
          <w:color w:val="000000"/>
          <w:sz w:val="24"/>
          <w:szCs w:val="24"/>
        </w:rPr>
        <w:t xml:space="preserve">Noy, S. and Zhang, W. (2023) ‘Experimental evidence on the productivity effects of generative artificial intelligence’, </w:t>
      </w:r>
      <w:r w:rsidRPr="0025089E">
        <w:rPr>
          <w:rFonts w:ascii="Times New Roman" w:eastAsia="MS Mincho" w:hAnsi="Times New Roman" w:cs="Times New Roman"/>
          <w:i/>
          <w:color w:val="000000"/>
          <w:sz w:val="24"/>
          <w:szCs w:val="24"/>
        </w:rPr>
        <w:t>Science</w:t>
      </w:r>
      <w:r w:rsidRPr="0025089E">
        <w:rPr>
          <w:rFonts w:ascii="Times New Roman" w:eastAsia="MS Mincho" w:hAnsi="Times New Roman" w:cs="Times New Roman"/>
          <w:color w:val="000000"/>
          <w:sz w:val="24"/>
          <w:szCs w:val="24"/>
        </w:rPr>
        <w:t>, 381(6654), pp. 187–192. https://doi.org/10.1126/science.adh2586.</w:t>
      </w:r>
    </w:p>
    <w:p w14:paraId="5D0A783A" w14:textId="77777777" w:rsidR="008C6243" w:rsidRPr="0025089E" w:rsidRDefault="008C6243" w:rsidP="008C6243">
      <w:pPr>
        <w:spacing w:after="80" w:line="360" w:lineRule="auto"/>
        <w:ind w:left="720" w:hanging="720"/>
        <w:jc w:val="both"/>
        <w:rPr>
          <w:rFonts w:ascii="Times New Roman" w:eastAsia="MS Mincho" w:hAnsi="Times New Roman" w:cs="Times New Roman"/>
          <w:color w:val="000000"/>
          <w:sz w:val="24"/>
          <w:szCs w:val="24"/>
        </w:rPr>
      </w:pPr>
      <w:r w:rsidRPr="0025089E">
        <w:rPr>
          <w:rFonts w:ascii="Times New Roman" w:eastAsia="MS Mincho" w:hAnsi="Times New Roman" w:cs="Times New Roman"/>
          <w:color w:val="000000"/>
          <w:sz w:val="24"/>
          <w:szCs w:val="24"/>
        </w:rPr>
        <w:t xml:space="preserve">Raghavan, M., Barocas, S., Kleinberg, J. and Levy, K. (2020) ‘Mitigating bias in algorithmic hiring: evaluating claims and practices’, in </w:t>
      </w:r>
      <w:r w:rsidRPr="0025089E">
        <w:rPr>
          <w:rFonts w:ascii="Times New Roman" w:eastAsia="MS Mincho" w:hAnsi="Times New Roman" w:cs="Times New Roman"/>
          <w:i/>
          <w:color w:val="000000"/>
          <w:sz w:val="24"/>
          <w:szCs w:val="24"/>
        </w:rPr>
        <w:t>Proceedings of the 2020 Conference on Fairness, Accountability, and Transparency</w:t>
      </w:r>
      <w:r w:rsidRPr="0025089E">
        <w:rPr>
          <w:rFonts w:ascii="Times New Roman" w:eastAsia="MS Mincho" w:hAnsi="Times New Roman" w:cs="Times New Roman"/>
          <w:color w:val="000000"/>
          <w:sz w:val="24"/>
          <w:szCs w:val="24"/>
        </w:rPr>
        <w:t>. New York: ACM, pp. 469–481. https://doi.org/10.1145/3351095.3372828.</w:t>
      </w:r>
    </w:p>
    <w:p w14:paraId="75B342D3" w14:textId="77777777" w:rsidR="008C6243" w:rsidRPr="0025089E" w:rsidRDefault="008C6243" w:rsidP="008C6243">
      <w:pPr>
        <w:spacing w:after="80" w:line="360" w:lineRule="auto"/>
        <w:ind w:left="720" w:hanging="720"/>
        <w:jc w:val="both"/>
        <w:rPr>
          <w:rFonts w:ascii="Times New Roman" w:eastAsia="MS Mincho" w:hAnsi="Times New Roman" w:cs="Times New Roman"/>
          <w:color w:val="000000"/>
          <w:sz w:val="24"/>
          <w:szCs w:val="24"/>
        </w:rPr>
      </w:pPr>
      <w:r w:rsidRPr="0025089E">
        <w:rPr>
          <w:rFonts w:ascii="Times New Roman" w:eastAsia="MS Mincho" w:hAnsi="Times New Roman" w:cs="Times New Roman"/>
          <w:color w:val="000000"/>
          <w:sz w:val="24"/>
          <w:szCs w:val="24"/>
        </w:rPr>
        <w:t xml:space="preserve">Raisch, S. and Krakowski, S. (2021) ‘Artificial intelligence and management: the automation–augmentation paradox’, </w:t>
      </w:r>
      <w:r w:rsidRPr="0025089E">
        <w:rPr>
          <w:rFonts w:ascii="Times New Roman" w:eastAsia="MS Mincho" w:hAnsi="Times New Roman" w:cs="Times New Roman"/>
          <w:i/>
          <w:color w:val="000000"/>
          <w:sz w:val="24"/>
          <w:szCs w:val="24"/>
        </w:rPr>
        <w:t>Academy of Management Review</w:t>
      </w:r>
      <w:r w:rsidRPr="0025089E">
        <w:rPr>
          <w:rFonts w:ascii="Times New Roman" w:eastAsia="MS Mincho" w:hAnsi="Times New Roman" w:cs="Times New Roman"/>
          <w:color w:val="000000"/>
          <w:sz w:val="24"/>
          <w:szCs w:val="24"/>
        </w:rPr>
        <w:t>, 46(1), pp. 192–210. https://doi.org/10.5465/amr.2018.0072.</w:t>
      </w:r>
    </w:p>
    <w:p w14:paraId="79179F38" w14:textId="77777777" w:rsidR="008C6243" w:rsidRPr="0025089E" w:rsidRDefault="008C6243" w:rsidP="008C6243">
      <w:pPr>
        <w:spacing w:after="80" w:line="360" w:lineRule="auto"/>
        <w:ind w:left="720" w:hanging="720"/>
        <w:jc w:val="both"/>
        <w:rPr>
          <w:rFonts w:ascii="Times New Roman" w:eastAsia="MS Mincho" w:hAnsi="Times New Roman" w:cs="Times New Roman"/>
          <w:color w:val="000000"/>
          <w:sz w:val="24"/>
          <w:szCs w:val="24"/>
        </w:rPr>
      </w:pPr>
      <w:r w:rsidRPr="0025089E">
        <w:rPr>
          <w:rFonts w:ascii="Times New Roman" w:eastAsia="MS Mincho" w:hAnsi="Times New Roman" w:cs="Times New Roman"/>
          <w:color w:val="000000"/>
          <w:sz w:val="24"/>
          <w:szCs w:val="24"/>
        </w:rPr>
        <w:t xml:space="preserve">Tang, C.S. (2006) ‘Perspectives in supply chain risk management’, </w:t>
      </w:r>
      <w:r w:rsidRPr="0025089E">
        <w:rPr>
          <w:rFonts w:ascii="Times New Roman" w:eastAsia="MS Mincho" w:hAnsi="Times New Roman" w:cs="Times New Roman"/>
          <w:i/>
          <w:color w:val="000000"/>
          <w:sz w:val="24"/>
          <w:szCs w:val="24"/>
        </w:rPr>
        <w:t>International Journal of Production Economics</w:t>
      </w:r>
      <w:r w:rsidRPr="0025089E">
        <w:rPr>
          <w:rFonts w:ascii="Times New Roman" w:eastAsia="MS Mincho" w:hAnsi="Times New Roman" w:cs="Times New Roman"/>
          <w:color w:val="000000"/>
          <w:sz w:val="24"/>
          <w:szCs w:val="24"/>
        </w:rPr>
        <w:t>, 103(2), pp. 451–488. https://doi.org/10.1016/j.ijpe.2005.12.006.</w:t>
      </w:r>
    </w:p>
    <w:p w14:paraId="1A44303E" w14:textId="77777777" w:rsidR="008C6243" w:rsidRPr="0025089E" w:rsidRDefault="008C6243" w:rsidP="008C6243">
      <w:pPr>
        <w:spacing w:after="80" w:line="360" w:lineRule="auto"/>
        <w:ind w:left="720" w:hanging="720"/>
        <w:jc w:val="both"/>
        <w:rPr>
          <w:rFonts w:ascii="Times New Roman" w:eastAsia="MS Mincho" w:hAnsi="Times New Roman" w:cs="Times New Roman"/>
          <w:color w:val="000000"/>
          <w:sz w:val="24"/>
          <w:szCs w:val="24"/>
        </w:rPr>
      </w:pPr>
      <w:r w:rsidRPr="0025089E">
        <w:rPr>
          <w:rFonts w:ascii="Times New Roman" w:eastAsia="MS Mincho" w:hAnsi="Times New Roman" w:cs="Times New Roman"/>
          <w:color w:val="000000"/>
          <w:sz w:val="24"/>
          <w:szCs w:val="24"/>
        </w:rPr>
        <w:t>UNCTAD (2024a) ‘Unprecedented shipping disruptions raise risk to global trade, UNCTAD warns’, 22 February. Available at: https://unctad.org/news/unprecedented-shipping-disruptions-raise-risk-global-trade-unctad-warns (Accessed: 10 August 2026).</w:t>
      </w:r>
    </w:p>
    <w:p w14:paraId="44FB689B" w14:textId="77777777" w:rsidR="008C6243" w:rsidRPr="0025089E" w:rsidRDefault="008C6243" w:rsidP="008C6243">
      <w:pPr>
        <w:spacing w:after="80" w:line="360" w:lineRule="auto"/>
        <w:ind w:left="720" w:hanging="720"/>
        <w:jc w:val="both"/>
        <w:rPr>
          <w:rFonts w:ascii="Times New Roman" w:eastAsia="MS Mincho" w:hAnsi="Times New Roman" w:cs="Times New Roman"/>
          <w:color w:val="000000"/>
          <w:sz w:val="24"/>
          <w:szCs w:val="24"/>
        </w:rPr>
      </w:pPr>
      <w:r w:rsidRPr="0025089E">
        <w:rPr>
          <w:rFonts w:ascii="Times New Roman" w:eastAsia="MS Mincho" w:hAnsi="Times New Roman" w:cs="Times New Roman"/>
          <w:color w:val="000000"/>
          <w:sz w:val="24"/>
          <w:szCs w:val="24"/>
        </w:rPr>
        <w:lastRenderedPageBreak/>
        <w:t xml:space="preserve">UNCTAD (2024b) </w:t>
      </w:r>
      <w:r w:rsidRPr="0025089E">
        <w:rPr>
          <w:rFonts w:ascii="Times New Roman" w:eastAsia="MS Mincho" w:hAnsi="Times New Roman" w:cs="Times New Roman"/>
          <w:i/>
          <w:color w:val="000000"/>
          <w:sz w:val="24"/>
          <w:szCs w:val="24"/>
        </w:rPr>
        <w:t>Review of Maritime Transport 2024: Navigating Maritime Chokepoints</w:t>
      </w:r>
      <w:r w:rsidRPr="0025089E">
        <w:rPr>
          <w:rFonts w:ascii="Times New Roman" w:eastAsia="MS Mincho" w:hAnsi="Times New Roman" w:cs="Times New Roman"/>
          <w:color w:val="000000"/>
          <w:sz w:val="24"/>
          <w:szCs w:val="24"/>
        </w:rPr>
        <w:t>. Geneva: United Nations.</w:t>
      </w:r>
    </w:p>
    <w:p w14:paraId="7BE8D0FB" w14:textId="77777777" w:rsidR="008C6243" w:rsidRPr="0025089E" w:rsidRDefault="008C6243" w:rsidP="008C6243">
      <w:pPr>
        <w:spacing w:after="80" w:line="360" w:lineRule="auto"/>
        <w:ind w:left="720" w:hanging="720"/>
        <w:jc w:val="both"/>
        <w:rPr>
          <w:rFonts w:ascii="Times New Roman" w:eastAsia="MS Mincho" w:hAnsi="Times New Roman" w:cs="Times New Roman"/>
          <w:color w:val="000000"/>
          <w:sz w:val="24"/>
          <w:szCs w:val="24"/>
        </w:rPr>
      </w:pPr>
      <w:r w:rsidRPr="0025089E">
        <w:rPr>
          <w:rFonts w:ascii="Times New Roman" w:eastAsia="MS Mincho" w:hAnsi="Times New Roman" w:cs="Times New Roman"/>
          <w:color w:val="000000"/>
          <w:sz w:val="24"/>
          <w:szCs w:val="24"/>
        </w:rPr>
        <w:t>Unilever (2024a) ‘Utilising AI to redefine the future of customer connectivity’, 31 July. Available at: https://www.unilever.com/news/news-search/2024/utilising-ai-to-redefine-the-future-of-customer-connectivity/ (Accessed: 10 August 2026).</w:t>
      </w:r>
    </w:p>
    <w:p w14:paraId="2DA622BF" w14:textId="77777777" w:rsidR="008C6243" w:rsidRPr="0025089E" w:rsidRDefault="008C6243" w:rsidP="008C6243">
      <w:pPr>
        <w:spacing w:after="80" w:line="360" w:lineRule="auto"/>
        <w:ind w:left="720" w:hanging="720"/>
        <w:jc w:val="both"/>
        <w:rPr>
          <w:rFonts w:ascii="Times New Roman" w:eastAsia="MS Mincho" w:hAnsi="Times New Roman" w:cs="Times New Roman"/>
          <w:color w:val="000000"/>
          <w:sz w:val="24"/>
          <w:szCs w:val="24"/>
        </w:rPr>
      </w:pPr>
      <w:r w:rsidRPr="0025089E">
        <w:rPr>
          <w:rFonts w:ascii="Times New Roman" w:eastAsia="MS Mincho" w:hAnsi="Times New Roman" w:cs="Times New Roman"/>
          <w:color w:val="000000"/>
          <w:sz w:val="24"/>
          <w:szCs w:val="24"/>
        </w:rPr>
        <w:t>Unilever (2024b) ‘Our AI-enabled freezers are revolutionising ice cream sales’, 22 August. Available at: https://www.unilever.com/news/news-search/2024/how-our-aienabled-freezers-are-revolutionising-ice-cream-sales/ (Accessed: 10 August 2026).</w:t>
      </w:r>
    </w:p>
    <w:p w14:paraId="598FD313" w14:textId="77777777" w:rsidR="008C6243" w:rsidRPr="0025089E" w:rsidRDefault="008C6243" w:rsidP="008C6243">
      <w:pPr>
        <w:spacing w:after="80" w:line="360" w:lineRule="auto"/>
        <w:ind w:left="720" w:hanging="720"/>
        <w:jc w:val="both"/>
        <w:rPr>
          <w:rFonts w:ascii="Times New Roman" w:eastAsia="MS Mincho" w:hAnsi="Times New Roman" w:cs="Times New Roman"/>
          <w:color w:val="000000"/>
          <w:sz w:val="24"/>
          <w:szCs w:val="24"/>
        </w:rPr>
      </w:pPr>
      <w:r w:rsidRPr="0025089E">
        <w:rPr>
          <w:rFonts w:ascii="Times New Roman" w:eastAsia="MS Mincho" w:hAnsi="Times New Roman" w:cs="Times New Roman"/>
          <w:color w:val="000000"/>
          <w:sz w:val="24"/>
          <w:szCs w:val="24"/>
        </w:rPr>
        <w:t>Unilever (2024c) ‘The EU AI Act has arrived: how Unilever is preparing’, 30 July. Available at: https://www.unilever.com/news/news-search/2024/the-eu-ai-act-has-arrived-how-unilever-is-preparing/ (Accessed: 10 August 2026).</w:t>
      </w:r>
    </w:p>
    <w:p w14:paraId="7DA169FF" w14:textId="77777777" w:rsidR="008C6243" w:rsidRPr="0025089E" w:rsidRDefault="008C6243" w:rsidP="008C6243">
      <w:pPr>
        <w:spacing w:after="80" w:line="360" w:lineRule="auto"/>
        <w:ind w:left="720" w:hanging="720"/>
        <w:jc w:val="both"/>
        <w:rPr>
          <w:rFonts w:ascii="Times New Roman" w:eastAsia="MS Mincho" w:hAnsi="Times New Roman" w:cs="Times New Roman"/>
          <w:color w:val="000000"/>
          <w:sz w:val="24"/>
          <w:szCs w:val="24"/>
        </w:rPr>
      </w:pPr>
      <w:r w:rsidRPr="0025089E">
        <w:rPr>
          <w:rFonts w:ascii="Times New Roman" w:eastAsia="MS Mincho" w:hAnsi="Times New Roman" w:cs="Times New Roman"/>
          <w:color w:val="000000"/>
          <w:sz w:val="24"/>
          <w:szCs w:val="24"/>
        </w:rPr>
        <w:t>Unilever (2024d) ‘Unilever to accelerate Growth Action Plan through separation of Ice Cream and launch of productivity programme’, 19 March. Available at: https://www.unilever.com/news/press-and-media/press-releases/2024/unilever-to-accelerate-growth-action-plan-through-separation-of-ice-cream-and-launch-of-productivity-programme/ (Accessed: 10 August 2026).</w:t>
      </w:r>
    </w:p>
    <w:p w14:paraId="346C63A2" w14:textId="77777777" w:rsidR="008C6243" w:rsidRPr="0025089E" w:rsidRDefault="008C6243" w:rsidP="008C6243">
      <w:pPr>
        <w:spacing w:after="80" w:line="360" w:lineRule="auto"/>
        <w:ind w:left="720" w:hanging="720"/>
        <w:jc w:val="both"/>
        <w:rPr>
          <w:rFonts w:ascii="Times New Roman" w:eastAsia="MS Mincho" w:hAnsi="Times New Roman" w:cs="Times New Roman"/>
          <w:color w:val="000000"/>
          <w:sz w:val="24"/>
          <w:szCs w:val="24"/>
        </w:rPr>
      </w:pPr>
      <w:r w:rsidRPr="0025089E">
        <w:rPr>
          <w:rFonts w:ascii="Times New Roman" w:eastAsia="MS Mincho" w:hAnsi="Times New Roman" w:cs="Times New Roman"/>
          <w:color w:val="000000"/>
          <w:sz w:val="24"/>
          <w:szCs w:val="24"/>
        </w:rPr>
        <w:t xml:space="preserve">Unilever (2025a) </w:t>
      </w:r>
      <w:r w:rsidRPr="0025089E">
        <w:rPr>
          <w:rFonts w:ascii="Times New Roman" w:eastAsia="MS Mincho" w:hAnsi="Times New Roman" w:cs="Times New Roman"/>
          <w:i/>
          <w:color w:val="000000"/>
          <w:sz w:val="24"/>
          <w:szCs w:val="24"/>
        </w:rPr>
        <w:t>Annual Report and Accounts 2024</w:t>
      </w:r>
      <w:r w:rsidRPr="0025089E">
        <w:rPr>
          <w:rFonts w:ascii="Times New Roman" w:eastAsia="MS Mincho" w:hAnsi="Times New Roman" w:cs="Times New Roman"/>
          <w:color w:val="000000"/>
          <w:sz w:val="24"/>
          <w:szCs w:val="24"/>
        </w:rPr>
        <w:t>. London: Unilever plc. Available at: https://www.unilever.com/files/unilever-annual-report-and-accounts-2024.pdf (Accessed: 10 August 2026).</w:t>
      </w:r>
    </w:p>
    <w:p w14:paraId="3D370B67" w14:textId="77777777" w:rsidR="008C6243" w:rsidRPr="0025089E" w:rsidRDefault="008C6243" w:rsidP="008C6243">
      <w:pPr>
        <w:spacing w:after="80" w:line="360" w:lineRule="auto"/>
        <w:ind w:left="720" w:hanging="720"/>
        <w:jc w:val="both"/>
        <w:rPr>
          <w:rFonts w:ascii="Times New Roman" w:eastAsia="MS Mincho" w:hAnsi="Times New Roman" w:cs="Times New Roman"/>
          <w:color w:val="000000"/>
          <w:sz w:val="24"/>
          <w:szCs w:val="24"/>
        </w:rPr>
      </w:pPr>
      <w:r w:rsidRPr="0025089E">
        <w:rPr>
          <w:rFonts w:ascii="Times New Roman" w:eastAsia="MS Mincho" w:hAnsi="Times New Roman" w:cs="Times New Roman"/>
          <w:color w:val="000000"/>
          <w:sz w:val="24"/>
          <w:szCs w:val="24"/>
        </w:rPr>
        <w:t>Unilever (2025b) ‘How AI is transforming Unilever Ice Cream’s end-to-end supply chain’, 22 January. Available at: https://www.unilever.com/news/news-search/2025/how-ai-is-transforming-unilever-ice-creams-end-to-end-supply-chain/ (Accessed: 10 August 2026).</w:t>
      </w:r>
    </w:p>
    <w:p w14:paraId="03BD4830" w14:textId="77777777" w:rsidR="008C6243" w:rsidRPr="0025089E" w:rsidRDefault="008C6243" w:rsidP="008C6243">
      <w:pPr>
        <w:spacing w:after="80" w:line="360" w:lineRule="auto"/>
        <w:ind w:left="720" w:hanging="720"/>
        <w:jc w:val="both"/>
        <w:rPr>
          <w:rFonts w:ascii="Times New Roman" w:eastAsia="MS Mincho" w:hAnsi="Times New Roman" w:cs="Times New Roman"/>
          <w:color w:val="000000"/>
          <w:sz w:val="24"/>
          <w:szCs w:val="24"/>
        </w:rPr>
      </w:pPr>
      <w:r w:rsidRPr="0025089E">
        <w:rPr>
          <w:rFonts w:ascii="Times New Roman" w:eastAsia="MS Mincho" w:hAnsi="Times New Roman" w:cs="Times New Roman"/>
          <w:color w:val="000000"/>
          <w:sz w:val="24"/>
          <w:szCs w:val="24"/>
        </w:rPr>
        <w:t>Unilever (2025c) ‘Unilever sees early signs of progress on sustainability goals’, 24 March. Available at: https://www.unilever.com/news/news-search/2025/unilever-sees-early-signs-of-progress-on-sustainability-goals/ (Accessed: 10 August 2026).</w:t>
      </w:r>
    </w:p>
    <w:p w14:paraId="0F86FDC8" w14:textId="77777777" w:rsidR="008C6243" w:rsidRPr="0025089E" w:rsidRDefault="008C6243" w:rsidP="008C6243">
      <w:pPr>
        <w:spacing w:after="80" w:line="360" w:lineRule="auto"/>
        <w:ind w:left="720" w:hanging="720"/>
        <w:jc w:val="both"/>
        <w:rPr>
          <w:rFonts w:ascii="Times New Roman" w:eastAsia="MS Mincho" w:hAnsi="Times New Roman" w:cs="Times New Roman"/>
          <w:color w:val="000000"/>
          <w:sz w:val="24"/>
          <w:szCs w:val="24"/>
        </w:rPr>
      </w:pPr>
      <w:r w:rsidRPr="0025089E">
        <w:rPr>
          <w:rFonts w:ascii="Times New Roman" w:eastAsia="MS Mincho" w:hAnsi="Times New Roman" w:cs="Times New Roman"/>
          <w:color w:val="000000"/>
          <w:sz w:val="24"/>
          <w:szCs w:val="24"/>
        </w:rPr>
        <w:t xml:space="preserve">Wamba-Taguimdje, S.-L., Wamba, S.F., </w:t>
      </w:r>
      <w:proofErr w:type="spellStart"/>
      <w:r w:rsidRPr="0025089E">
        <w:rPr>
          <w:rFonts w:ascii="Times New Roman" w:eastAsia="MS Mincho" w:hAnsi="Times New Roman" w:cs="Times New Roman"/>
          <w:color w:val="000000"/>
          <w:sz w:val="24"/>
          <w:szCs w:val="24"/>
        </w:rPr>
        <w:t>Kamdjoug</w:t>
      </w:r>
      <w:proofErr w:type="spellEnd"/>
      <w:r w:rsidRPr="0025089E">
        <w:rPr>
          <w:rFonts w:ascii="Times New Roman" w:eastAsia="MS Mincho" w:hAnsi="Times New Roman" w:cs="Times New Roman"/>
          <w:color w:val="000000"/>
          <w:sz w:val="24"/>
          <w:szCs w:val="24"/>
        </w:rPr>
        <w:t xml:space="preserve">, J.R.K. and Wanko, C.E.T. (2020) ‘Influence of artificial intelligence (AI) on firm performance: the business value of AI-based transformation projects’, </w:t>
      </w:r>
      <w:r w:rsidRPr="0025089E">
        <w:rPr>
          <w:rFonts w:ascii="Times New Roman" w:eastAsia="MS Mincho" w:hAnsi="Times New Roman" w:cs="Times New Roman"/>
          <w:i/>
          <w:color w:val="000000"/>
          <w:sz w:val="24"/>
          <w:szCs w:val="24"/>
        </w:rPr>
        <w:t>Business Process Management Journal</w:t>
      </w:r>
      <w:r w:rsidRPr="0025089E">
        <w:rPr>
          <w:rFonts w:ascii="Times New Roman" w:eastAsia="MS Mincho" w:hAnsi="Times New Roman" w:cs="Times New Roman"/>
          <w:color w:val="000000"/>
          <w:sz w:val="24"/>
          <w:szCs w:val="24"/>
        </w:rPr>
        <w:t>, 26(7), pp. 1893–1924. https://doi.org/10.1108/BPMJ-10-2019-0411.</w:t>
      </w:r>
    </w:p>
    <w:p w14:paraId="48C298CE" w14:textId="77777777" w:rsidR="008C6243" w:rsidRPr="0025089E" w:rsidRDefault="008C6243" w:rsidP="008C6243">
      <w:pPr>
        <w:spacing w:after="80" w:line="360" w:lineRule="auto"/>
        <w:ind w:left="720" w:hanging="720"/>
        <w:jc w:val="both"/>
        <w:rPr>
          <w:rFonts w:ascii="Times New Roman" w:eastAsia="MS Mincho" w:hAnsi="Times New Roman" w:cs="Times New Roman"/>
          <w:color w:val="000000"/>
          <w:sz w:val="24"/>
          <w:szCs w:val="24"/>
        </w:rPr>
      </w:pPr>
      <w:r w:rsidRPr="0025089E">
        <w:rPr>
          <w:rFonts w:ascii="Times New Roman" w:eastAsia="MS Mincho" w:hAnsi="Times New Roman" w:cs="Times New Roman"/>
          <w:color w:val="000000"/>
          <w:sz w:val="24"/>
          <w:szCs w:val="24"/>
        </w:rPr>
        <w:t xml:space="preserve">World Trade </w:t>
      </w:r>
      <w:r>
        <w:rPr>
          <w:rFonts w:ascii="Times New Roman" w:eastAsia="MS Mincho" w:hAnsi="Times New Roman" w:cs="Times New Roman"/>
          <w:color w:val="000000"/>
          <w:sz w:val="24"/>
          <w:szCs w:val="24"/>
        </w:rPr>
        <w:t>Organisation</w:t>
      </w:r>
      <w:r w:rsidRPr="0025089E">
        <w:rPr>
          <w:rFonts w:ascii="Times New Roman" w:eastAsia="MS Mincho" w:hAnsi="Times New Roman" w:cs="Times New Roman"/>
          <w:color w:val="000000"/>
          <w:sz w:val="24"/>
          <w:szCs w:val="24"/>
        </w:rPr>
        <w:t xml:space="preserve"> (2024) </w:t>
      </w:r>
      <w:r w:rsidRPr="0025089E">
        <w:rPr>
          <w:rFonts w:ascii="Times New Roman" w:eastAsia="MS Mincho" w:hAnsi="Times New Roman" w:cs="Times New Roman"/>
          <w:i/>
          <w:color w:val="000000"/>
          <w:sz w:val="24"/>
          <w:szCs w:val="24"/>
        </w:rPr>
        <w:t>Global Trade Outlook and Statistics</w:t>
      </w:r>
      <w:r w:rsidRPr="0025089E">
        <w:rPr>
          <w:rFonts w:ascii="Times New Roman" w:eastAsia="MS Mincho" w:hAnsi="Times New Roman" w:cs="Times New Roman"/>
          <w:color w:val="000000"/>
          <w:sz w:val="24"/>
          <w:szCs w:val="24"/>
        </w:rPr>
        <w:t>. Geneva: WTO.</w:t>
      </w:r>
    </w:p>
    <w:p w14:paraId="6C6CE4AF" w14:textId="77777777" w:rsidR="008C6243" w:rsidRPr="0025089E" w:rsidRDefault="008C6243" w:rsidP="008C6243">
      <w:pPr>
        <w:spacing w:after="80" w:line="360" w:lineRule="auto"/>
        <w:jc w:val="both"/>
        <w:rPr>
          <w:rFonts w:ascii="Times New Roman" w:eastAsia="MS Mincho" w:hAnsi="Times New Roman" w:cs="Times New Roman"/>
          <w:color w:val="000000"/>
          <w:sz w:val="24"/>
          <w:szCs w:val="24"/>
        </w:rPr>
      </w:pPr>
    </w:p>
    <w:p w14:paraId="288E0337" w14:textId="77777777" w:rsidR="008C6243" w:rsidRPr="0025089E" w:rsidRDefault="008C6243" w:rsidP="008C6243">
      <w:pPr>
        <w:spacing w:line="360" w:lineRule="auto"/>
        <w:jc w:val="both"/>
        <w:rPr>
          <w:rFonts w:ascii="Times New Roman" w:hAnsi="Times New Roman" w:cs="Times New Roman"/>
          <w:sz w:val="24"/>
          <w:szCs w:val="24"/>
        </w:rPr>
      </w:pPr>
    </w:p>
    <w:p w14:paraId="7622BCE1" w14:textId="77777777" w:rsidR="006F3984" w:rsidRDefault="006F3984"/>
    <w:sectPr w:rsidR="006F3984" w:rsidSect="009A13F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50F5"/>
    <w:rsid w:val="001D33CF"/>
    <w:rsid w:val="0024068A"/>
    <w:rsid w:val="00254D67"/>
    <w:rsid w:val="003F25B5"/>
    <w:rsid w:val="00491587"/>
    <w:rsid w:val="005A50F5"/>
    <w:rsid w:val="005B21F2"/>
    <w:rsid w:val="006F3984"/>
    <w:rsid w:val="00715DDE"/>
    <w:rsid w:val="0072152D"/>
    <w:rsid w:val="008544F7"/>
    <w:rsid w:val="00881EE7"/>
    <w:rsid w:val="008C6243"/>
    <w:rsid w:val="00993AC7"/>
    <w:rsid w:val="009A13F0"/>
    <w:rsid w:val="009B4633"/>
    <w:rsid w:val="009C700F"/>
    <w:rsid w:val="00A007AC"/>
    <w:rsid w:val="00A00A05"/>
    <w:rsid w:val="00AB1DE7"/>
    <w:rsid w:val="00AF71B4"/>
    <w:rsid w:val="00D73E95"/>
    <w:rsid w:val="00F35DAE"/>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014B1E"/>
  <w15:chartTrackingRefBased/>
  <w15:docId w15:val="{D59A036E-03EF-402A-BB20-FB95D0218F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8"/>
        <w:lang w:val="en-GB" w:eastAsia="en-US" w:bidi="bn-BD"/>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50F5"/>
    <w:pPr>
      <w:keepNext/>
      <w:keepLines/>
      <w:spacing w:before="360" w:after="80"/>
      <w:outlineLvl w:val="0"/>
    </w:pPr>
    <w:rPr>
      <w:rFonts w:asciiTheme="majorHAnsi" w:eastAsiaTheme="majorEastAsia" w:hAnsiTheme="majorHAnsi" w:cstheme="majorBidi"/>
      <w:color w:val="0F4761" w:themeColor="accent1" w:themeShade="BF"/>
      <w:sz w:val="40"/>
      <w:szCs w:val="50"/>
    </w:rPr>
  </w:style>
  <w:style w:type="paragraph" w:styleId="Heading2">
    <w:name w:val="heading 2"/>
    <w:basedOn w:val="Normal"/>
    <w:next w:val="Normal"/>
    <w:link w:val="Heading2Char"/>
    <w:uiPriority w:val="9"/>
    <w:semiHidden/>
    <w:unhideWhenUsed/>
    <w:qFormat/>
    <w:rsid w:val="005A50F5"/>
    <w:pPr>
      <w:keepNext/>
      <w:keepLines/>
      <w:spacing w:before="160" w:after="80"/>
      <w:outlineLvl w:val="1"/>
    </w:pPr>
    <w:rPr>
      <w:rFonts w:asciiTheme="majorHAnsi" w:eastAsiaTheme="majorEastAsia" w:hAnsiTheme="majorHAnsi" w:cstheme="majorBidi"/>
      <w:color w:val="0F4761" w:themeColor="accent1" w:themeShade="BF"/>
      <w:sz w:val="32"/>
      <w:szCs w:val="40"/>
    </w:rPr>
  </w:style>
  <w:style w:type="paragraph" w:styleId="Heading3">
    <w:name w:val="heading 3"/>
    <w:basedOn w:val="Normal"/>
    <w:next w:val="Normal"/>
    <w:link w:val="Heading3Char"/>
    <w:uiPriority w:val="9"/>
    <w:semiHidden/>
    <w:unhideWhenUsed/>
    <w:qFormat/>
    <w:rsid w:val="005A50F5"/>
    <w:pPr>
      <w:keepNext/>
      <w:keepLines/>
      <w:spacing w:before="160" w:after="80"/>
      <w:outlineLvl w:val="2"/>
    </w:pPr>
    <w:rPr>
      <w:rFonts w:eastAsiaTheme="majorEastAsia" w:cstheme="majorBidi"/>
      <w:color w:val="0F4761" w:themeColor="accent1" w:themeShade="BF"/>
      <w:sz w:val="28"/>
      <w:szCs w:val="35"/>
    </w:rPr>
  </w:style>
  <w:style w:type="paragraph" w:styleId="Heading4">
    <w:name w:val="heading 4"/>
    <w:basedOn w:val="Normal"/>
    <w:next w:val="Normal"/>
    <w:link w:val="Heading4Char"/>
    <w:uiPriority w:val="9"/>
    <w:semiHidden/>
    <w:unhideWhenUsed/>
    <w:qFormat/>
    <w:rsid w:val="005A50F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A50F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A50F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A50F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A50F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A50F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50F5"/>
    <w:rPr>
      <w:rFonts w:asciiTheme="majorHAnsi" w:eastAsiaTheme="majorEastAsia" w:hAnsiTheme="majorHAnsi" w:cstheme="majorBidi"/>
      <w:color w:val="0F4761" w:themeColor="accent1" w:themeShade="BF"/>
      <w:sz w:val="40"/>
      <w:szCs w:val="50"/>
    </w:rPr>
  </w:style>
  <w:style w:type="character" w:customStyle="1" w:styleId="Heading2Char">
    <w:name w:val="Heading 2 Char"/>
    <w:basedOn w:val="DefaultParagraphFont"/>
    <w:link w:val="Heading2"/>
    <w:uiPriority w:val="9"/>
    <w:semiHidden/>
    <w:rsid w:val="005A50F5"/>
    <w:rPr>
      <w:rFonts w:asciiTheme="majorHAnsi" w:eastAsiaTheme="majorEastAsia" w:hAnsiTheme="majorHAnsi" w:cstheme="majorBidi"/>
      <w:color w:val="0F4761" w:themeColor="accent1" w:themeShade="BF"/>
      <w:sz w:val="32"/>
      <w:szCs w:val="40"/>
    </w:rPr>
  </w:style>
  <w:style w:type="character" w:customStyle="1" w:styleId="Heading3Char">
    <w:name w:val="Heading 3 Char"/>
    <w:basedOn w:val="DefaultParagraphFont"/>
    <w:link w:val="Heading3"/>
    <w:uiPriority w:val="9"/>
    <w:semiHidden/>
    <w:rsid w:val="005A50F5"/>
    <w:rPr>
      <w:rFonts w:eastAsiaTheme="majorEastAsia" w:cstheme="majorBidi"/>
      <w:color w:val="0F4761" w:themeColor="accent1" w:themeShade="BF"/>
      <w:sz w:val="28"/>
      <w:szCs w:val="35"/>
    </w:rPr>
  </w:style>
  <w:style w:type="character" w:customStyle="1" w:styleId="Heading4Char">
    <w:name w:val="Heading 4 Char"/>
    <w:basedOn w:val="DefaultParagraphFont"/>
    <w:link w:val="Heading4"/>
    <w:uiPriority w:val="9"/>
    <w:semiHidden/>
    <w:rsid w:val="005A50F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A50F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A50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A50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A50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A50F5"/>
    <w:rPr>
      <w:rFonts w:eastAsiaTheme="majorEastAsia" w:cstheme="majorBidi"/>
      <w:color w:val="272727" w:themeColor="text1" w:themeTint="D8"/>
    </w:rPr>
  </w:style>
  <w:style w:type="paragraph" w:styleId="Title">
    <w:name w:val="Title"/>
    <w:basedOn w:val="Normal"/>
    <w:next w:val="Normal"/>
    <w:link w:val="TitleChar"/>
    <w:uiPriority w:val="10"/>
    <w:qFormat/>
    <w:rsid w:val="005A50F5"/>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5A50F5"/>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5A50F5"/>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5A50F5"/>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5A50F5"/>
    <w:pPr>
      <w:spacing w:before="160"/>
      <w:jc w:val="center"/>
    </w:pPr>
    <w:rPr>
      <w:i/>
      <w:iCs/>
      <w:color w:val="404040" w:themeColor="text1" w:themeTint="BF"/>
    </w:rPr>
  </w:style>
  <w:style w:type="character" w:customStyle="1" w:styleId="QuoteChar">
    <w:name w:val="Quote Char"/>
    <w:basedOn w:val="DefaultParagraphFont"/>
    <w:link w:val="Quote"/>
    <w:uiPriority w:val="29"/>
    <w:rsid w:val="005A50F5"/>
    <w:rPr>
      <w:i/>
      <w:iCs/>
      <w:color w:val="404040" w:themeColor="text1" w:themeTint="BF"/>
    </w:rPr>
  </w:style>
  <w:style w:type="paragraph" w:styleId="ListParagraph">
    <w:name w:val="List Paragraph"/>
    <w:basedOn w:val="Normal"/>
    <w:uiPriority w:val="34"/>
    <w:qFormat/>
    <w:rsid w:val="005A50F5"/>
    <w:pPr>
      <w:ind w:left="720"/>
      <w:contextualSpacing/>
    </w:pPr>
  </w:style>
  <w:style w:type="character" w:styleId="IntenseEmphasis">
    <w:name w:val="Intense Emphasis"/>
    <w:basedOn w:val="DefaultParagraphFont"/>
    <w:uiPriority w:val="21"/>
    <w:qFormat/>
    <w:rsid w:val="005A50F5"/>
    <w:rPr>
      <w:i/>
      <w:iCs/>
      <w:color w:val="0F4761" w:themeColor="accent1" w:themeShade="BF"/>
    </w:rPr>
  </w:style>
  <w:style w:type="paragraph" w:styleId="IntenseQuote">
    <w:name w:val="Intense Quote"/>
    <w:basedOn w:val="Normal"/>
    <w:next w:val="Normal"/>
    <w:link w:val="IntenseQuoteChar"/>
    <w:uiPriority w:val="30"/>
    <w:qFormat/>
    <w:rsid w:val="005A50F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A50F5"/>
    <w:rPr>
      <w:i/>
      <w:iCs/>
      <w:color w:val="0F4761" w:themeColor="accent1" w:themeShade="BF"/>
    </w:rPr>
  </w:style>
  <w:style w:type="character" w:styleId="IntenseReference">
    <w:name w:val="Intense Reference"/>
    <w:basedOn w:val="DefaultParagraphFont"/>
    <w:uiPriority w:val="32"/>
    <w:qFormat/>
    <w:rsid w:val="005A50F5"/>
    <w:rPr>
      <w:b/>
      <w:bCs/>
      <w:smallCaps/>
      <w:color w:val="0F4761" w:themeColor="accent1" w:themeShade="BF"/>
      <w:spacing w:val="5"/>
    </w:rPr>
  </w:style>
  <w:style w:type="paragraph" w:styleId="TOCHeading">
    <w:name w:val="TOC Heading"/>
    <w:basedOn w:val="Heading1"/>
    <w:next w:val="Normal"/>
    <w:uiPriority w:val="39"/>
    <w:unhideWhenUsed/>
    <w:qFormat/>
    <w:rsid w:val="008C6243"/>
    <w:pPr>
      <w:spacing w:before="240" w:after="0"/>
      <w:outlineLvl w:val="9"/>
    </w:pPr>
    <w:rPr>
      <w:kern w:val="0"/>
      <w:sz w:val="32"/>
      <w:szCs w:val="32"/>
      <w:lang w:val="en-US" w:bidi="ar-SA"/>
      <w14:ligatures w14:val="none"/>
    </w:rPr>
  </w:style>
  <w:style w:type="paragraph" w:styleId="TOC1">
    <w:name w:val="toc 1"/>
    <w:basedOn w:val="Normal"/>
    <w:next w:val="Normal"/>
    <w:autoRedefine/>
    <w:uiPriority w:val="39"/>
    <w:unhideWhenUsed/>
    <w:rsid w:val="008C6243"/>
    <w:pPr>
      <w:spacing w:after="100"/>
    </w:pPr>
    <w:rPr>
      <w:kern w:val="0"/>
      <w:szCs w:val="22"/>
      <w:lang w:val="en-US" w:bidi="ar-SA"/>
      <w14:ligatures w14:val="none"/>
    </w:rPr>
  </w:style>
  <w:style w:type="character" w:styleId="Hyperlink">
    <w:name w:val="Hyperlink"/>
    <w:basedOn w:val="DefaultParagraphFont"/>
    <w:uiPriority w:val="99"/>
    <w:unhideWhenUsed/>
    <w:rsid w:val="008C6243"/>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2013 - 2022">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Lecturer ; Dr. Said Usman</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12</Pages>
  <Words>2809</Words>
  <Characters>16017</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 (Hons) Business Management</dc:title>
  <dc:subject>Global Business Environment</dc:subject>
  <dc:creator>Apu Babu Chanda</dc:creator>
  <cp:keywords/>
  <dc:description/>
  <cp:lastModifiedBy>Apu Babu Chanda</cp:lastModifiedBy>
  <cp:revision>16</cp:revision>
  <dcterms:created xsi:type="dcterms:W3CDTF">2026-08-12T18:07:00Z</dcterms:created>
  <dcterms:modified xsi:type="dcterms:W3CDTF">2026-08-12T18:36:00Z</dcterms:modified>
</cp:coreProperties>
</file>