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2428" w:rsidRDefault="002B2428" w:rsidP="00F52970"/>
    <w:p w:rsidR="002B2428" w:rsidRDefault="002B2428" w:rsidP="00F52970"/>
    <w:p w:rsidR="002B2428" w:rsidRDefault="002B2428" w:rsidP="00F52970"/>
    <w:p w:rsidR="002B2428" w:rsidRDefault="002B2428" w:rsidP="00F52970"/>
    <w:p w:rsidR="002B2428" w:rsidRPr="008B49CC" w:rsidRDefault="002B2428" w:rsidP="002B2428">
      <w:pPr>
        <w:jc w:val="center"/>
        <w:rPr>
          <w:b/>
        </w:rPr>
      </w:pPr>
      <w:r w:rsidRPr="008B49CC">
        <w:rPr>
          <w:b/>
        </w:rPr>
        <w:t xml:space="preserve">Name: </w:t>
      </w:r>
      <w:proofErr w:type="spellStart"/>
      <w:r w:rsidRPr="008B49CC">
        <w:rPr>
          <w:b/>
        </w:rPr>
        <w:t>Eugen</w:t>
      </w:r>
      <w:proofErr w:type="spellEnd"/>
      <w:r w:rsidRPr="008B49CC">
        <w:rPr>
          <w:b/>
        </w:rPr>
        <w:t xml:space="preserve">-Adrian </w:t>
      </w:r>
      <w:proofErr w:type="spellStart"/>
      <w:r w:rsidRPr="008B49CC">
        <w:rPr>
          <w:b/>
        </w:rPr>
        <w:t>Morie</w:t>
      </w:r>
      <w:proofErr w:type="spellEnd"/>
    </w:p>
    <w:p w:rsidR="002B2428" w:rsidRPr="008B49CC" w:rsidRDefault="002B2428" w:rsidP="002B2428">
      <w:pPr>
        <w:jc w:val="center"/>
        <w:rPr>
          <w:b/>
        </w:rPr>
      </w:pPr>
      <w:r w:rsidRPr="008B49CC">
        <w:rPr>
          <w:b/>
        </w:rPr>
        <w:t xml:space="preserve">Student id: 2114303 </w:t>
      </w:r>
    </w:p>
    <w:p w:rsidR="002B2428" w:rsidRPr="008B49CC" w:rsidRDefault="002B2428" w:rsidP="002B2428">
      <w:pPr>
        <w:jc w:val="center"/>
        <w:rPr>
          <w:b/>
        </w:rPr>
      </w:pPr>
      <w:r>
        <w:rPr>
          <w:b/>
        </w:rPr>
        <w:t>Module code: LCBB4002</w:t>
      </w:r>
    </w:p>
    <w:p w:rsidR="002B2428" w:rsidRDefault="002B2428" w:rsidP="002B2428">
      <w:pPr>
        <w:jc w:val="center"/>
        <w:rPr>
          <w:b/>
        </w:rPr>
      </w:pPr>
      <w:r w:rsidRPr="00423C13">
        <w:rPr>
          <w:b/>
        </w:rPr>
        <w:t>Community Engagement</w:t>
      </w:r>
    </w:p>
    <w:p w:rsidR="002B2428" w:rsidRPr="00423C13" w:rsidRDefault="002B2428" w:rsidP="002B2428">
      <w:pPr>
        <w:jc w:val="center"/>
        <w:rPr>
          <w:b/>
        </w:rPr>
      </w:pPr>
      <w:r>
        <w:rPr>
          <w:b/>
        </w:rPr>
        <w:t xml:space="preserve">Assignment 2 </w:t>
      </w:r>
      <w:r w:rsidRPr="00423C13">
        <w:rPr>
          <w:b/>
        </w:rPr>
        <w:t xml:space="preserve"> </w:t>
      </w:r>
    </w:p>
    <w:p w:rsidR="002B2428" w:rsidRDefault="002B2428" w:rsidP="002B2428">
      <w:pPr>
        <w:jc w:val="center"/>
      </w:pPr>
      <w:r w:rsidRPr="008B49CC">
        <w:rPr>
          <w:b/>
        </w:rPr>
        <w:t xml:space="preserve">Lecturer: </w:t>
      </w:r>
      <w:r w:rsidRPr="00423C13">
        <w:rPr>
          <w:b/>
        </w:rPr>
        <w:t>Dr Molly Jack</w:t>
      </w:r>
    </w:p>
    <w:p w:rsidR="002B2428" w:rsidRDefault="002B2428" w:rsidP="002B2428">
      <w:pPr>
        <w:jc w:val="center"/>
        <w:rPr>
          <w:b/>
        </w:rPr>
      </w:pPr>
      <w:proofErr w:type="gramStart"/>
      <w:r w:rsidRPr="008B49CC">
        <w:rPr>
          <w:b/>
        </w:rPr>
        <w:t>Date :</w:t>
      </w:r>
      <w:proofErr w:type="gramEnd"/>
      <w:r w:rsidRPr="008B49CC">
        <w:rPr>
          <w:b/>
        </w:rPr>
        <w:t xml:space="preserve"> 01/05/2022</w:t>
      </w:r>
    </w:p>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2B2428" w:rsidRDefault="002B2428" w:rsidP="00F52970"/>
    <w:p w:rsidR="00F52970" w:rsidRDefault="00F52970" w:rsidP="00F52970">
      <w:r>
        <w:t>Participation of the local community has grown to be critical in policy development and implementation, project management and delivery, and the monitoring and evaluation of numerous initiatives in the previous two decades. Participation by the community is a prerequisite in many different sectors, such as the delivery of social services such as health care and education and the construction of dwellings and businesses in the area (</w:t>
      </w:r>
      <w:r>
        <w:rPr>
          <w:rFonts w:ascii="Arial" w:hAnsi="Arial" w:cs="Arial"/>
          <w:color w:val="000000"/>
          <w:sz w:val="20"/>
          <w:szCs w:val="20"/>
          <w:shd w:val="clear" w:color="auto" w:fill="FFFFFF"/>
        </w:rPr>
        <w:t>Haldane et al., 2019)</w:t>
      </w:r>
      <w:r>
        <w:t>.</w:t>
      </w:r>
    </w:p>
    <w:p w:rsidR="00F52970" w:rsidRDefault="00F52970" w:rsidP="00F52970">
      <w:r>
        <w:t xml:space="preserve">It is logical to assume that members of a community would be involved in activities that affect that community. However, decisions are frequently taken on behalf of a community without consulting that community or soliciting its input. Innovative leaders actively involve all stakeholders in the planning and decision-making process rather than practising exclusion. First, a visionary leader identifies the community and initiates a dialogue with that community. The project leader defines the community as "who is included and who is excluded from membership" based on the current situation </w:t>
      </w:r>
      <w:r w:rsidR="00BB0F26" w:rsidRPr="00BB0F26">
        <w:t>(</w:t>
      </w:r>
      <w:proofErr w:type="spellStart"/>
      <w:r w:rsidR="00BB0F26" w:rsidRPr="00BB0F26">
        <w:t>Glanz</w:t>
      </w:r>
      <w:proofErr w:type="spellEnd"/>
      <w:r w:rsidR="00BB0F26" w:rsidRPr="00BB0F26">
        <w:t xml:space="preserve">, </w:t>
      </w:r>
      <w:proofErr w:type="spellStart"/>
      <w:r w:rsidR="00BB0F26" w:rsidRPr="00BB0F26">
        <w:t>Rimer</w:t>
      </w:r>
      <w:proofErr w:type="spellEnd"/>
      <w:r w:rsidR="00BB0F26" w:rsidRPr="00BB0F26">
        <w:t xml:space="preserve"> and </w:t>
      </w:r>
      <w:proofErr w:type="spellStart"/>
      <w:r w:rsidR="00BB0F26" w:rsidRPr="00BB0F26">
        <w:t>Viswanath</w:t>
      </w:r>
      <w:proofErr w:type="spellEnd"/>
      <w:r w:rsidR="00BB0F26" w:rsidRPr="00BB0F26">
        <w:t>, 2008)</w:t>
      </w:r>
      <w:r w:rsidR="00BB0F26">
        <w:t xml:space="preserve">. </w:t>
      </w:r>
      <w:r>
        <w:t xml:space="preserve">Other definitions of the community include "a collection of individuals bonded by at least one common attribute such as location, similar interests, values, experiences, or customs. A relationship, a place, or an organisation can all be considered forms of community </w:t>
      </w:r>
      <w:r w:rsidR="00BB0F26" w:rsidRPr="00BB0F26">
        <w:t>(</w:t>
      </w:r>
      <w:proofErr w:type="spellStart"/>
      <w:r w:rsidR="00BB0F26" w:rsidRPr="00BB0F26">
        <w:t>Glanz</w:t>
      </w:r>
      <w:proofErr w:type="spellEnd"/>
      <w:r w:rsidR="00BB0F26" w:rsidRPr="00BB0F26">
        <w:t xml:space="preserve">, </w:t>
      </w:r>
      <w:proofErr w:type="spellStart"/>
      <w:r w:rsidR="00BB0F26" w:rsidRPr="00BB0F26">
        <w:t>Rimer</w:t>
      </w:r>
      <w:proofErr w:type="spellEnd"/>
      <w:r w:rsidR="00BB0F26" w:rsidRPr="00BB0F26">
        <w:t xml:space="preserve"> and </w:t>
      </w:r>
      <w:proofErr w:type="spellStart"/>
      <w:r w:rsidR="00BB0F26" w:rsidRPr="00BB0F26">
        <w:t>Viswanath</w:t>
      </w:r>
      <w:proofErr w:type="spellEnd"/>
      <w:r w:rsidR="00BB0F26" w:rsidRPr="00BB0F26">
        <w:t>, 2008</w:t>
      </w:r>
      <w:r w:rsidR="00BB0F26">
        <w:t xml:space="preserve">). </w:t>
      </w:r>
      <w:r>
        <w:t>Defining and measuring community involvement can be challenging at times. Engagement in most projects requires that the individual understands the initiative's aim, develops a sense of ownership, commits to the process and outcome, and works to achieve success. Community participation is most effective where relationships and trust can be built and strengthened over time. As such, individual engagement activities should be organised and tailored to support the broader goals of the engagement process. Involvement by non-profit organisations might range from offering guidance to co-designing the strategy and implementing some of the engagement to completing initiatives to achieve some of the results</w:t>
      </w:r>
      <w:r w:rsidR="00BB0F26">
        <w:t xml:space="preserve"> </w:t>
      </w:r>
      <w:r w:rsidR="00BB0F26" w:rsidRPr="00BB0F26">
        <w:t>(Fitzgerald and Primavera, 2013)</w:t>
      </w:r>
      <w:r w:rsidR="009A2BCB">
        <w:t>.</w:t>
      </w:r>
    </w:p>
    <w:p w:rsidR="00BB0F26" w:rsidRDefault="008841D3" w:rsidP="00F52970">
      <w:r w:rsidRPr="008841D3">
        <w:t xml:space="preserve">The school-community relationship is shared respect that allows the school and the society to collaborate to achieve the common goals of the community and the school. The education system is a social organisation that functions well when there is a compelling interplay between its members </w:t>
      </w:r>
      <w:proofErr w:type="gramStart"/>
      <w:r w:rsidRPr="008841D3">
        <w:t>and</w:t>
      </w:r>
      <w:proofErr w:type="gramEnd"/>
      <w:r w:rsidRPr="008841D3">
        <w:t xml:space="preserve"> the communities with which they are associated.</w:t>
      </w:r>
      <w:r>
        <w:t xml:space="preserve"> </w:t>
      </w:r>
      <w:r w:rsidR="00F52970">
        <w:t xml:space="preserve">Two examples of academic and school-based community interaction are shown below. Take a look at them. </w:t>
      </w:r>
    </w:p>
    <w:p w:rsidR="00F52970" w:rsidRPr="008841D3" w:rsidRDefault="00F52970" w:rsidP="00F52970">
      <w:pPr>
        <w:rPr>
          <w:b/>
        </w:rPr>
      </w:pPr>
      <w:r w:rsidRPr="008841D3">
        <w:rPr>
          <w:b/>
        </w:rPr>
        <w:t>The Work of a College Organization: The Urban Poor Community's Computer Literacy</w:t>
      </w:r>
    </w:p>
    <w:p w:rsidR="00F52970" w:rsidRDefault="00F52970" w:rsidP="00F52970">
      <w:r>
        <w:t xml:space="preserve">Unfair access to goods and services in the country can be attributed to the country's digital divide. The term "digital gap" refers to the disparity in access to information and communication between </w:t>
      </w:r>
      <w:r>
        <w:lastRenderedPageBreak/>
        <w:t xml:space="preserve">different populations. It's a picture of a world divided between those who have and those who don't, between those who have and those who don't. Rural and urban poor areas in Romania are affected by this problem. It's right around the corner from us. To close the digital divide, we require access to physical, economic, </w:t>
      </w:r>
      <w:proofErr w:type="spellStart"/>
      <w:r>
        <w:t>sociodemographic</w:t>
      </w:r>
      <w:proofErr w:type="spellEnd"/>
      <w:r>
        <w:t>, and cognitive resources (information literacy). Despite the lack of computers, the community cannot purchase or rent computers. As a result of their lack of computer access, many children lack basic computer literacy. As a result, locals are well-versed in computer usage. As a result, a student organisation in the neighbourhood worked on a project known as CLUPC. Community computer literacy is a significant focus of the organisation's activities. Farmer beneficiaries are the focus of their project.</w:t>
      </w:r>
    </w:p>
    <w:p w:rsidR="00F52970" w:rsidRDefault="00F52970" w:rsidP="00F52970">
      <w:r>
        <w:t>Basic Computer Literacy and Advanced Computer Training on Multimedia Applications make up the two sections of the computer literacy course. Students who have never used a computer before should enrol in the Basic Computer Literacy Program. Because of this, students are introduced to Microsoft Word, Excel, and PowerPoint in computer tutorials. Final exams were given to students on the last day of training to determine whether or not they had met the learning objectives. On the other hand, Advanced Computer Literacy focuses on multimedia applications that necessitate knowledge of any or all of the following topics: It could be a combination of PowerPoint, Photoshop, and Moviemaker. Participant hands-on experience with using computers for creating instructional media for schools was the goal of the course content.</w:t>
      </w:r>
    </w:p>
    <w:p w:rsidR="00F52970" w:rsidRDefault="00F52970" w:rsidP="00F52970">
      <w:r>
        <w:t>The trainees were also given tasks and exams to gauge their progress and performance in the classroom. Participation and completion certificates were given out on an appreciation day organised by the sponsoring organisations. Both in-school and out-of-school learning methods were utilised in this programme.</w:t>
      </w:r>
    </w:p>
    <w:p w:rsidR="00F52970" w:rsidRDefault="00F52970" w:rsidP="00F52970">
      <w:r>
        <w:t xml:space="preserve">Farmer-targeted recipients are the program's greatest strength. If the programme encourages this behaviour, it will also be the program's main drawback or flaw. Some argue that more people don't have access to technology, such as farmers and families with an income that lasts only one day, but this isn't necessarily the case. They have </w:t>
      </w:r>
      <w:proofErr w:type="gramStart"/>
      <w:r>
        <w:t>many strengths</w:t>
      </w:r>
      <w:proofErr w:type="gramEnd"/>
      <w:r>
        <w:t>, such as their desire to teach youngsters the fundamentals of computing and computer apps, such as Microsoft apps. Since the COVID-19 situation is ongoing, the programme serves a valuable purpose. With more sponsors and volunteers, they can hold more individuals to train, which is suitable for the program's fantastic goals.</w:t>
      </w:r>
    </w:p>
    <w:p w:rsidR="00F52970" w:rsidRDefault="00F52970" w:rsidP="00F52970">
      <w:r>
        <w:t>When asked for advice, I'd merely propose that they focus on their target audience and raise money. I believe this programme has a long way to go, but it will help many individuals.</w:t>
      </w:r>
    </w:p>
    <w:p w:rsidR="00F52970" w:rsidRDefault="00F52970" w:rsidP="00F52970"/>
    <w:p w:rsidR="00F52970" w:rsidRPr="008841D3" w:rsidRDefault="00F52970" w:rsidP="00F52970">
      <w:pPr>
        <w:rPr>
          <w:b/>
        </w:rPr>
      </w:pPr>
      <w:r w:rsidRPr="008841D3">
        <w:rPr>
          <w:b/>
        </w:rPr>
        <w:t>Student-Faculty Project: Bringing Light to a Remote Community through Community Engagement</w:t>
      </w:r>
    </w:p>
    <w:p w:rsidR="00F52970" w:rsidRDefault="00F52970" w:rsidP="00F52970">
      <w:r>
        <w:t xml:space="preserve">Rural communities, particularly distant and hilly ones, are plagued by a lack of energy. Rural people have traditionally relied on kerosene or wood to light their homes and cook. Residential and agricultural use of traditional rural electrification methods like grid connection or diesel generators remains extremely expensive. In the wake of rising oil prices in the global market and environmental concerns, there is a growing interest in developing renewable energy sources that are economical, environmentally friendly, and long-term sustainable. This was the situation in a Romanian community that had been without electricity for a long time. A university from Bucharest was invited </w:t>
      </w:r>
      <w:r>
        <w:lastRenderedPageBreak/>
        <w:t xml:space="preserve">by the Diocese of </w:t>
      </w:r>
      <w:proofErr w:type="spellStart"/>
      <w:r>
        <w:t>Gorj</w:t>
      </w:r>
      <w:proofErr w:type="spellEnd"/>
      <w:r>
        <w:t xml:space="preserve"> in 2006 to assist in building a micro-hydro power plant in </w:t>
      </w:r>
      <w:proofErr w:type="spellStart"/>
      <w:r>
        <w:t>Gorj</w:t>
      </w:r>
      <w:proofErr w:type="spellEnd"/>
      <w:r>
        <w:t>. A community-based environmental development and management programme for the diocese guided the work. The institution and its teachers, students, and staff collaborated with the diocese, the Department of Science and Technology (DOST), and the Local Government Unit (LGU) to respond to the call of service (LGU). The fundamental objective of the initiative for the university is to supply the electricity in rural areas. University representatives, assisted by parish workers from the diocese, completed social preparations, including community consultations and engagement with the local population.</w:t>
      </w:r>
    </w:p>
    <w:p w:rsidR="00F52970" w:rsidRDefault="00F52970" w:rsidP="00F52970">
      <w:r>
        <w:t xml:space="preserve">Site inspections were also carried out. They were required to make courtesy calls to provincial and local officials as part of the etiquette. The next step was to conduct a community profile to learn more about the economic, political, and </w:t>
      </w:r>
      <w:proofErr w:type="spellStart"/>
      <w:r>
        <w:t>sociodemographic</w:t>
      </w:r>
      <w:proofErr w:type="spellEnd"/>
      <w:r>
        <w:t xml:space="preserve"> characteristics of the people. Likewise, a site selection was carried out to locate a proper water flow and strength location. Rivers and streams with a good slope are ideal for a micro-hydropower plant because of their rapid flow. Many gatherings were conducted to discuss the project's conceptualisation. Diocese-led efforts included participation from the university, municipal and state science and technology departments, and the Department of Science and Technology (DOST). Diverse stakeholders contributed their time, money, and expertise to the micro-hydro project's success or failure.</w:t>
      </w:r>
    </w:p>
    <w:p w:rsidR="00F52970" w:rsidRDefault="00F52970" w:rsidP="00F52970">
      <w:r>
        <w:t>On the other hand, community members contributed their time and resources to the project. Support for the project came from a variety of places. The community now has access to electricity thanks to the micro-hydro projects.</w:t>
      </w:r>
    </w:p>
    <w:p w:rsidR="008841D3" w:rsidRDefault="009A2BCB" w:rsidP="00F52970">
      <w:r w:rsidRPr="009A2BCB">
        <w:t>This project faced various issues, including social acceptance of micro-hydro technology, the technical viability, selection and acquisition of land-based on community needs, and slash and burn practices. This could result in forest destruction and the loss of natural habitat.</w:t>
      </w:r>
    </w:p>
    <w:p w:rsidR="00F52970" w:rsidRDefault="00F52970" w:rsidP="00F52970">
      <w:r>
        <w:t>I would do differently in this project to avoid the destruction of habitat and deforestation.</w:t>
      </w:r>
    </w:p>
    <w:p w:rsidR="00F52970" w:rsidRDefault="00F52970" w:rsidP="00F52970"/>
    <w:p w:rsidR="008841D3" w:rsidRPr="008841D3" w:rsidRDefault="008841D3" w:rsidP="00F52970">
      <w:pPr>
        <w:rPr>
          <w:b/>
        </w:rPr>
      </w:pPr>
      <w:r w:rsidRPr="008841D3">
        <w:rPr>
          <w:b/>
        </w:rPr>
        <w:t xml:space="preserve">The importance of stakeholders in community programs </w:t>
      </w:r>
    </w:p>
    <w:p w:rsidR="00F52970" w:rsidRDefault="00F52970" w:rsidP="00F52970">
      <w:r>
        <w:t>Engagement works best between parties with an established relationship based on trust and mutual respect. Involvement and consultation are more effective when there are fewer misconceptions because of the importance of cultivating and sustaining positive connections.</w:t>
      </w:r>
    </w:p>
    <w:p w:rsidR="00F52970" w:rsidRDefault="00F52970" w:rsidP="00F52970">
      <w:r>
        <w:t>Securing long-term, positive change in project-affected regions can be made more accessible by sensible and comprehensive social investment and community development programmes. These programmes are known as "Social License to Operate" (SLO).</w:t>
      </w:r>
    </w:p>
    <w:p w:rsidR="00F52970" w:rsidRDefault="00F52970" w:rsidP="00F52970">
      <w:r>
        <w:t>Programs for social and community development that employ an approach based on stakeholders include:</w:t>
      </w:r>
    </w:p>
    <w:p w:rsidR="00F52970" w:rsidRDefault="00F52970" w:rsidP="00F52970">
      <w:pPr>
        <w:pStyle w:val="ListParagraph"/>
        <w:numPr>
          <w:ilvl w:val="0"/>
          <w:numId w:val="4"/>
        </w:numPr>
      </w:pPr>
      <w:r>
        <w:t>includes stakeholder mapping and analysis to understand the local context</w:t>
      </w:r>
    </w:p>
    <w:p w:rsidR="00F52970" w:rsidRDefault="00F52970" w:rsidP="00F52970">
      <w:pPr>
        <w:pStyle w:val="ListParagraph"/>
        <w:numPr>
          <w:ilvl w:val="0"/>
          <w:numId w:val="4"/>
        </w:numPr>
      </w:pPr>
      <w:r>
        <w:t>fostering trust and openness in one's relationships</w:t>
      </w:r>
    </w:p>
    <w:p w:rsidR="00F52970" w:rsidRDefault="00F52970" w:rsidP="00F52970">
      <w:pPr>
        <w:pStyle w:val="ListParagraph"/>
        <w:numPr>
          <w:ilvl w:val="0"/>
          <w:numId w:val="4"/>
        </w:numPr>
      </w:pPr>
      <w:r>
        <w:t>engaging and communicating with all stakeholders in a consistent manner</w:t>
      </w:r>
    </w:p>
    <w:p w:rsidR="00F52970" w:rsidRDefault="00F52970" w:rsidP="00F52970">
      <w:pPr>
        <w:pStyle w:val="ListParagraph"/>
        <w:numPr>
          <w:ilvl w:val="0"/>
          <w:numId w:val="4"/>
        </w:numPr>
      </w:pPr>
      <w:r>
        <w:t>engagement with stakeholders in a staged way that manages expectations</w:t>
      </w:r>
    </w:p>
    <w:p w:rsidR="00F52970" w:rsidRDefault="00F52970" w:rsidP="00F52970">
      <w:pPr>
        <w:pStyle w:val="ListParagraph"/>
        <w:numPr>
          <w:ilvl w:val="0"/>
          <w:numId w:val="4"/>
        </w:numPr>
      </w:pPr>
      <w:r>
        <w:lastRenderedPageBreak/>
        <w:t>managing conflict by providing an early, easily accessible, and responsive grievance procedure</w:t>
      </w:r>
    </w:p>
    <w:p w:rsidR="00F52970" w:rsidRDefault="00F52970" w:rsidP="00F52970">
      <w:pPr>
        <w:pStyle w:val="ListParagraph"/>
        <w:numPr>
          <w:ilvl w:val="0"/>
          <w:numId w:val="4"/>
        </w:numPr>
      </w:pPr>
      <w:r>
        <w:t>The corporation and its stakeholders are looking for "win-win" solutions.</w:t>
      </w:r>
    </w:p>
    <w:p w:rsidR="00F52970" w:rsidRDefault="00F52970" w:rsidP="00F52970">
      <w:pPr>
        <w:pStyle w:val="ListParagraph"/>
        <w:numPr>
          <w:ilvl w:val="0"/>
          <w:numId w:val="4"/>
        </w:numPr>
      </w:pPr>
      <w:r>
        <w:t>Reducing and preventing social dangers</w:t>
      </w:r>
    </w:p>
    <w:p w:rsidR="00F52970" w:rsidRDefault="00F52970" w:rsidP="00F52970">
      <w:pPr>
        <w:pStyle w:val="ListParagraph"/>
        <w:numPr>
          <w:ilvl w:val="0"/>
          <w:numId w:val="4"/>
        </w:numPr>
      </w:pPr>
      <w:proofErr w:type="gramStart"/>
      <w:r>
        <w:t>mitigating</w:t>
      </w:r>
      <w:proofErr w:type="gramEnd"/>
      <w:r>
        <w:t xml:space="preserve"> risks, and maximising opportunities to maximise project and community benefit while minimising hazards.</w:t>
      </w:r>
    </w:p>
    <w:p w:rsidR="00F52970" w:rsidRDefault="00F52970" w:rsidP="00F52970">
      <w:r>
        <w:t>A community project can benefit from involving community members at the outset and throughout the project. As a result, community members can contribute valuable comments on initiatives that firms may be unable to deliver independently. It's also important to show interest in stakeholders and ask them for feedback on your programme's design, execution, management, and evaluation. Inviting stakeholders to share their thoughts and ideas can positively impact relationships since it makes them feel valued and appreciated.</w:t>
      </w:r>
    </w:p>
    <w:p w:rsidR="000C6AA9" w:rsidRDefault="00F52970" w:rsidP="00F52970">
      <w:r>
        <w:t>If a company wants to succeed in the long run, it needs to embrace collaboration and the voices of its constituents. To maximise effect and return on investment, the partnership brings together a diverse group of stakeholders. To have a beneficial impact on the world, firms must recognise all stakeholder groups that can help by adopting external stakeholders' perspectives. In addition, stakeholder insights help to reduce risk and promote long-term viability.</w:t>
      </w:r>
    </w:p>
    <w:p w:rsidR="008841D3" w:rsidRDefault="002B2428" w:rsidP="00F52970">
      <w:r>
        <w:t>Conclusion:</w:t>
      </w:r>
    </w:p>
    <w:p w:rsidR="00867DB0" w:rsidRDefault="00867DB0" w:rsidP="00867DB0">
      <w:r>
        <w:t>Learning environments that are highly integrated provide various benefits for students, instructors, parents, and the entire school community. Students will benefit from improving the collaborative digital learning environment at their school because they will have more opportunities to access and interact with learning materials, collaborate with others, and receive constructive feedback. Schools frequently provide employment opportunities for individuals of the surrounding community and community services in some circumstances. Most importantly, schools can produce well-educated people prepared to assume duties as contributing members of their communities. To prepare students to "accept responsibility as open-minded, moral citizens in a global world," volunteering is a vital component of their education. Students get the opportunity to witness firsthand how much their efforts may make a difference in the lives of others when participating in community service projects. As an illustration, consider the micro-hydroelectric power plant described in this essay.</w:t>
      </w:r>
    </w:p>
    <w:p w:rsidR="000C6AA9" w:rsidRDefault="00867DB0" w:rsidP="00867DB0">
      <w:r>
        <w:t>Engaging with community stakeholders can be beneficial to a company's operations. Engagement benefits communities and may also help a company's decision-making, legitimacy, and competitiveness by tapping into local knowledge, minimising conflict, increasing recruiting, and avoiding costly delays</w:t>
      </w:r>
      <w:r w:rsidR="004F6855">
        <w:t xml:space="preserve"> </w:t>
      </w:r>
      <w:r w:rsidR="00B33A47" w:rsidRPr="00B33A47">
        <w:t>(</w:t>
      </w:r>
      <w:proofErr w:type="spellStart"/>
      <w:r w:rsidR="00B33A47" w:rsidRPr="00B33A47">
        <w:t>Larner</w:t>
      </w:r>
      <w:proofErr w:type="spellEnd"/>
      <w:r w:rsidR="00B33A47" w:rsidRPr="00B33A47">
        <w:t xml:space="preserve"> and Mason, 2014)</w:t>
      </w:r>
      <w:r>
        <w:t>. Engagement can benefit both communities and companies.</w:t>
      </w:r>
    </w:p>
    <w:p w:rsidR="00467F33" w:rsidRDefault="00B33A47" w:rsidP="009119FE">
      <w:proofErr w:type="gramStart"/>
      <w:r>
        <w:t>Reference :</w:t>
      </w:r>
      <w:proofErr w:type="gramEnd"/>
    </w:p>
    <w:p w:rsidR="00BB0F26" w:rsidRPr="00B33A47" w:rsidRDefault="00BB0F26" w:rsidP="00B33A47">
      <w:proofErr w:type="gramStart"/>
      <w:r w:rsidRPr="00B33A47">
        <w:t xml:space="preserve">Haldane, V., </w:t>
      </w:r>
      <w:proofErr w:type="spellStart"/>
      <w:r w:rsidRPr="00B33A47">
        <w:t>Chuah</w:t>
      </w:r>
      <w:proofErr w:type="spellEnd"/>
      <w:r w:rsidRPr="00B33A47">
        <w:t xml:space="preserve">, F., </w:t>
      </w:r>
      <w:proofErr w:type="spellStart"/>
      <w:r w:rsidRPr="00B33A47">
        <w:t>Srivastava</w:t>
      </w:r>
      <w:proofErr w:type="spellEnd"/>
      <w:r w:rsidRPr="00B33A47">
        <w:t xml:space="preserve">, A., Singh, S., </w:t>
      </w:r>
      <w:proofErr w:type="spellStart"/>
      <w:r w:rsidRPr="00B33A47">
        <w:t>Koh</w:t>
      </w:r>
      <w:proofErr w:type="spellEnd"/>
      <w:r w:rsidRPr="00B33A47">
        <w:t xml:space="preserve">, G., </w:t>
      </w:r>
      <w:proofErr w:type="spellStart"/>
      <w:r w:rsidRPr="00B33A47">
        <w:t>Seng</w:t>
      </w:r>
      <w:proofErr w:type="spellEnd"/>
      <w:r w:rsidRPr="00B33A47">
        <w:t xml:space="preserve">, C. and </w:t>
      </w:r>
      <w:proofErr w:type="spellStart"/>
      <w:r w:rsidRPr="00B33A47">
        <w:t>Legido</w:t>
      </w:r>
      <w:proofErr w:type="spellEnd"/>
      <w:r w:rsidRPr="00B33A47">
        <w:t>-Quigley, H., 2019.</w:t>
      </w:r>
      <w:proofErr w:type="gramEnd"/>
      <w:r w:rsidRPr="00B33A47">
        <w:t xml:space="preserve"> Community participation in health services development, implementation, and evaluation: A systematic review of empowerment, health, community, and process outcomes. PLOS ONE, 14(5), p.e0216112.</w:t>
      </w:r>
    </w:p>
    <w:p w:rsidR="00BB0F26" w:rsidRPr="00B33A47" w:rsidRDefault="00BB0F26" w:rsidP="00B33A47">
      <w:proofErr w:type="spellStart"/>
      <w:proofErr w:type="gramStart"/>
      <w:r w:rsidRPr="00B33A47">
        <w:lastRenderedPageBreak/>
        <w:t>Glanz</w:t>
      </w:r>
      <w:proofErr w:type="spellEnd"/>
      <w:r w:rsidRPr="00B33A47">
        <w:t xml:space="preserve">, K., </w:t>
      </w:r>
      <w:proofErr w:type="spellStart"/>
      <w:r w:rsidRPr="00B33A47">
        <w:t>Rimer</w:t>
      </w:r>
      <w:proofErr w:type="spellEnd"/>
      <w:r w:rsidRPr="00B33A47">
        <w:t xml:space="preserve">, B.K. and </w:t>
      </w:r>
      <w:proofErr w:type="spellStart"/>
      <w:r w:rsidRPr="00B33A47">
        <w:t>Viswanath</w:t>
      </w:r>
      <w:proofErr w:type="spellEnd"/>
      <w:r w:rsidRPr="00B33A47">
        <w:t>, K. (2008).</w:t>
      </w:r>
      <w:proofErr w:type="gramEnd"/>
      <w:r w:rsidRPr="00B33A47">
        <w:t xml:space="preserve"> Health </w:t>
      </w:r>
      <w:proofErr w:type="spellStart"/>
      <w:r w:rsidRPr="00B33A47">
        <w:t>behavior</w:t>
      </w:r>
      <w:proofErr w:type="spellEnd"/>
      <w:r w:rsidRPr="00B33A47">
        <w:t xml:space="preserve"> and health </w:t>
      </w:r>
      <w:proofErr w:type="gramStart"/>
      <w:r w:rsidRPr="00B33A47">
        <w:t>education :</w:t>
      </w:r>
      <w:proofErr w:type="gramEnd"/>
      <w:r w:rsidRPr="00B33A47">
        <w:t xml:space="preserve"> theory, research, and practice. 4th ed. San Francisco, Ca: </w:t>
      </w:r>
      <w:proofErr w:type="spellStart"/>
      <w:r w:rsidRPr="00B33A47">
        <w:t>Jossey</w:t>
      </w:r>
      <w:proofErr w:type="spellEnd"/>
      <w:r w:rsidRPr="00B33A47">
        <w:t>-Bass.</w:t>
      </w:r>
    </w:p>
    <w:p w:rsidR="00B33A47" w:rsidRPr="00B33A47" w:rsidRDefault="00BB0F26" w:rsidP="00B33A47">
      <w:proofErr w:type="gramStart"/>
      <w:r w:rsidRPr="00B33A47">
        <w:t>‌ Fitzgerald, H.E. and Primavera, J. (2013).</w:t>
      </w:r>
      <w:proofErr w:type="gramEnd"/>
      <w:r w:rsidRPr="00B33A47">
        <w:t xml:space="preserve"> Going </w:t>
      </w:r>
      <w:proofErr w:type="gramStart"/>
      <w:r w:rsidRPr="00B33A47">
        <w:t>public :</w:t>
      </w:r>
      <w:proofErr w:type="gramEnd"/>
      <w:r w:rsidRPr="00B33A47">
        <w:t xml:space="preserve"> civic and community engagement. East Lansing: Michigan State University Press.</w:t>
      </w:r>
    </w:p>
    <w:p w:rsidR="00B33A47" w:rsidRPr="00B33A47" w:rsidRDefault="00B33A47" w:rsidP="00B33A47">
      <w:proofErr w:type="spellStart"/>
      <w:proofErr w:type="gramStart"/>
      <w:r w:rsidRPr="00B33A47">
        <w:t>Larner</w:t>
      </w:r>
      <w:proofErr w:type="spellEnd"/>
      <w:r w:rsidRPr="00B33A47">
        <w:t>, J. and Mason, C. (2014).</w:t>
      </w:r>
      <w:proofErr w:type="gramEnd"/>
      <w:r w:rsidRPr="00B33A47">
        <w:t xml:space="preserve"> Beyond box-ticking: a study of stakeholder involvement in social enterprise governance. Corporate Governance: The international journal of business in society, 14(2), pp.181–196. </w:t>
      </w:r>
      <w:proofErr w:type="gramStart"/>
      <w:r w:rsidRPr="00B33A47">
        <w:t>doi:</w:t>
      </w:r>
      <w:proofErr w:type="gramEnd"/>
      <w:r w:rsidRPr="00B33A47">
        <w:t>10.1108/cg-06-2011-0050.</w:t>
      </w:r>
    </w:p>
    <w:p w:rsidR="00B33A47" w:rsidRDefault="00B33A47" w:rsidP="00B33A47">
      <w:pPr>
        <w:pStyle w:val="NormalWeb"/>
        <w:rPr>
          <w:rFonts w:ascii="Calibri" w:hAnsi="Calibri" w:cs="Calibri"/>
          <w:color w:val="000000"/>
          <w:sz w:val="27"/>
          <w:szCs w:val="27"/>
        </w:rPr>
      </w:pPr>
      <w:r>
        <w:rPr>
          <w:rFonts w:ascii="Calibri" w:hAnsi="Calibri" w:cs="Calibri"/>
          <w:color w:val="000000"/>
          <w:sz w:val="27"/>
          <w:szCs w:val="27"/>
        </w:rPr>
        <w:t>‌</w:t>
      </w:r>
    </w:p>
    <w:p w:rsidR="00BB0F26" w:rsidRDefault="00BB0F26" w:rsidP="00B33A4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rsidR="00BB0F26" w:rsidRDefault="00BB0F26" w:rsidP="00BB0F26">
      <w:pPr>
        <w:pStyle w:val="NormalWeb"/>
        <w:rPr>
          <w:rFonts w:ascii="Calibri" w:hAnsi="Calibri" w:cs="Calibri"/>
          <w:color w:val="000000"/>
          <w:sz w:val="27"/>
          <w:szCs w:val="27"/>
        </w:rPr>
      </w:pPr>
    </w:p>
    <w:p w:rsidR="00BB0F26" w:rsidRPr="009119FE" w:rsidRDefault="00BB0F26" w:rsidP="009119FE"/>
    <w:sectPr w:rsidR="00BB0F26" w:rsidRPr="009119FE" w:rsidSect="002E738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4F5804"/>
    <w:multiLevelType w:val="multilevel"/>
    <w:tmpl w:val="AD200EE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94E07AA"/>
    <w:multiLevelType w:val="hybridMultilevel"/>
    <w:tmpl w:val="4F34D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80F11F1"/>
    <w:multiLevelType w:val="hybridMultilevel"/>
    <w:tmpl w:val="D714D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7820071"/>
    <w:multiLevelType w:val="multilevel"/>
    <w:tmpl w:val="33524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963BED"/>
    <w:rsid w:val="000C6AA9"/>
    <w:rsid w:val="000E2257"/>
    <w:rsid w:val="002B2428"/>
    <w:rsid w:val="002E7388"/>
    <w:rsid w:val="00467F33"/>
    <w:rsid w:val="00495D4F"/>
    <w:rsid w:val="004F6855"/>
    <w:rsid w:val="00553D77"/>
    <w:rsid w:val="005C539F"/>
    <w:rsid w:val="00800C5E"/>
    <w:rsid w:val="00867DB0"/>
    <w:rsid w:val="008841D3"/>
    <w:rsid w:val="009119FE"/>
    <w:rsid w:val="00963BED"/>
    <w:rsid w:val="009A2BCB"/>
    <w:rsid w:val="009C0652"/>
    <w:rsid w:val="00A272B7"/>
    <w:rsid w:val="00B33A47"/>
    <w:rsid w:val="00BB0F26"/>
    <w:rsid w:val="00DE0E7F"/>
    <w:rsid w:val="00F5297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7388"/>
  </w:style>
  <w:style w:type="paragraph" w:styleId="Heading2">
    <w:name w:val="heading 2"/>
    <w:basedOn w:val="Normal"/>
    <w:link w:val="Heading2Char"/>
    <w:uiPriority w:val="9"/>
    <w:qFormat/>
    <w:rsid w:val="009119F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119F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2257"/>
    <w:rPr>
      <w:color w:val="0000FF"/>
      <w:u w:val="single"/>
    </w:rPr>
  </w:style>
  <w:style w:type="paragraph" w:styleId="NormalWeb">
    <w:name w:val="Normal (Web)"/>
    <w:basedOn w:val="Normal"/>
    <w:uiPriority w:val="99"/>
    <w:semiHidden/>
    <w:unhideWhenUsed/>
    <w:rsid w:val="000E22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119F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119FE"/>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9119FE"/>
    <w:rPr>
      <w:i/>
      <w:iCs/>
    </w:rPr>
  </w:style>
  <w:style w:type="paragraph" w:styleId="BalloonText">
    <w:name w:val="Balloon Text"/>
    <w:basedOn w:val="Normal"/>
    <w:link w:val="BalloonTextChar"/>
    <w:uiPriority w:val="99"/>
    <w:semiHidden/>
    <w:unhideWhenUsed/>
    <w:rsid w:val="009119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19FE"/>
    <w:rPr>
      <w:rFonts w:ascii="Tahoma" w:hAnsi="Tahoma" w:cs="Tahoma"/>
      <w:sz w:val="16"/>
      <w:szCs w:val="16"/>
    </w:rPr>
  </w:style>
  <w:style w:type="paragraph" w:styleId="ListParagraph">
    <w:name w:val="List Paragraph"/>
    <w:basedOn w:val="Normal"/>
    <w:uiPriority w:val="34"/>
    <w:qFormat/>
    <w:rsid w:val="000C6AA9"/>
    <w:pPr>
      <w:ind w:left="720"/>
      <w:contextualSpacing/>
    </w:pPr>
  </w:style>
</w:styles>
</file>

<file path=word/webSettings.xml><?xml version="1.0" encoding="utf-8"?>
<w:webSettings xmlns:r="http://schemas.openxmlformats.org/officeDocument/2006/relationships" xmlns:w="http://schemas.openxmlformats.org/wordprocessingml/2006/main">
  <w:divs>
    <w:div w:id="272322043">
      <w:bodyDiv w:val="1"/>
      <w:marLeft w:val="0"/>
      <w:marRight w:val="0"/>
      <w:marTop w:val="0"/>
      <w:marBottom w:val="0"/>
      <w:divBdr>
        <w:top w:val="none" w:sz="0" w:space="0" w:color="auto"/>
        <w:left w:val="none" w:sz="0" w:space="0" w:color="auto"/>
        <w:bottom w:val="none" w:sz="0" w:space="0" w:color="auto"/>
        <w:right w:val="none" w:sz="0" w:space="0" w:color="auto"/>
      </w:divBdr>
    </w:div>
    <w:div w:id="591398760">
      <w:bodyDiv w:val="1"/>
      <w:marLeft w:val="0"/>
      <w:marRight w:val="0"/>
      <w:marTop w:val="0"/>
      <w:marBottom w:val="0"/>
      <w:divBdr>
        <w:top w:val="none" w:sz="0" w:space="0" w:color="auto"/>
        <w:left w:val="none" w:sz="0" w:space="0" w:color="auto"/>
        <w:bottom w:val="none" w:sz="0" w:space="0" w:color="auto"/>
        <w:right w:val="none" w:sz="0" w:space="0" w:color="auto"/>
      </w:divBdr>
    </w:div>
    <w:div w:id="771045743">
      <w:bodyDiv w:val="1"/>
      <w:marLeft w:val="0"/>
      <w:marRight w:val="0"/>
      <w:marTop w:val="0"/>
      <w:marBottom w:val="0"/>
      <w:divBdr>
        <w:top w:val="none" w:sz="0" w:space="0" w:color="auto"/>
        <w:left w:val="none" w:sz="0" w:space="0" w:color="auto"/>
        <w:bottom w:val="none" w:sz="0" w:space="0" w:color="auto"/>
        <w:right w:val="none" w:sz="0" w:space="0" w:color="auto"/>
      </w:divBdr>
    </w:div>
    <w:div w:id="773015492">
      <w:bodyDiv w:val="1"/>
      <w:marLeft w:val="0"/>
      <w:marRight w:val="0"/>
      <w:marTop w:val="0"/>
      <w:marBottom w:val="0"/>
      <w:divBdr>
        <w:top w:val="none" w:sz="0" w:space="0" w:color="auto"/>
        <w:left w:val="none" w:sz="0" w:space="0" w:color="auto"/>
        <w:bottom w:val="none" w:sz="0" w:space="0" w:color="auto"/>
        <w:right w:val="none" w:sz="0" w:space="0" w:color="auto"/>
      </w:divBdr>
    </w:div>
    <w:div w:id="1227454379">
      <w:bodyDiv w:val="1"/>
      <w:marLeft w:val="0"/>
      <w:marRight w:val="0"/>
      <w:marTop w:val="0"/>
      <w:marBottom w:val="0"/>
      <w:divBdr>
        <w:top w:val="none" w:sz="0" w:space="0" w:color="auto"/>
        <w:left w:val="none" w:sz="0" w:space="0" w:color="auto"/>
        <w:bottom w:val="none" w:sz="0" w:space="0" w:color="auto"/>
        <w:right w:val="none" w:sz="0" w:space="0" w:color="auto"/>
      </w:divBdr>
      <w:divsChild>
        <w:div w:id="319039848">
          <w:marLeft w:val="0"/>
          <w:marRight w:val="0"/>
          <w:marTop w:val="0"/>
          <w:marBottom w:val="480"/>
          <w:divBdr>
            <w:top w:val="none" w:sz="0" w:space="0" w:color="auto"/>
            <w:left w:val="none" w:sz="0" w:space="0" w:color="auto"/>
            <w:bottom w:val="none" w:sz="0" w:space="0" w:color="auto"/>
            <w:right w:val="none" w:sz="0" w:space="0" w:color="auto"/>
          </w:divBdr>
        </w:div>
        <w:div w:id="1397555862">
          <w:marLeft w:val="0"/>
          <w:marRight w:val="0"/>
          <w:marTop w:val="0"/>
          <w:marBottom w:val="312"/>
          <w:divBdr>
            <w:top w:val="none" w:sz="0" w:space="0" w:color="auto"/>
            <w:left w:val="none" w:sz="0" w:space="0" w:color="auto"/>
            <w:bottom w:val="none" w:sz="0" w:space="0" w:color="auto"/>
            <w:right w:val="none" w:sz="0" w:space="0" w:color="auto"/>
          </w:divBdr>
          <w:divsChild>
            <w:div w:id="1862357767">
              <w:marLeft w:val="0"/>
              <w:marRight w:val="0"/>
              <w:marTop w:val="0"/>
              <w:marBottom w:val="0"/>
              <w:divBdr>
                <w:top w:val="none" w:sz="0" w:space="0" w:color="auto"/>
                <w:left w:val="none" w:sz="0" w:space="0" w:color="auto"/>
                <w:bottom w:val="none" w:sz="0" w:space="0" w:color="auto"/>
                <w:right w:val="none" w:sz="0" w:space="0" w:color="auto"/>
              </w:divBdr>
              <w:divsChild>
                <w:div w:id="9760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771379">
      <w:bodyDiv w:val="1"/>
      <w:marLeft w:val="0"/>
      <w:marRight w:val="0"/>
      <w:marTop w:val="0"/>
      <w:marBottom w:val="0"/>
      <w:divBdr>
        <w:top w:val="none" w:sz="0" w:space="0" w:color="auto"/>
        <w:left w:val="none" w:sz="0" w:space="0" w:color="auto"/>
        <w:bottom w:val="none" w:sz="0" w:space="0" w:color="auto"/>
        <w:right w:val="none" w:sz="0" w:space="0" w:color="auto"/>
      </w:divBdr>
    </w:div>
    <w:div w:id="1707481779">
      <w:bodyDiv w:val="1"/>
      <w:marLeft w:val="0"/>
      <w:marRight w:val="0"/>
      <w:marTop w:val="0"/>
      <w:marBottom w:val="0"/>
      <w:divBdr>
        <w:top w:val="none" w:sz="0" w:space="0" w:color="auto"/>
        <w:left w:val="none" w:sz="0" w:space="0" w:color="auto"/>
        <w:bottom w:val="none" w:sz="0" w:space="0" w:color="auto"/>
        <w:right w:val="none" w:sz="0" w:space="0" w:color="auto"/>
      </w:divBdr>
    </w:div>
    <w:div w:id="1938252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1992</Words>
  <Characters>11357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me</cp:lastModifiedBy>
  <cp:revision>2</cp:revision>
  <dcterms:created xsi:type="dcterms:W3CDTF">2022-05-08T17:49:00Z</dcterms:created>
  <dcterms:modified xsi:type="dcterms:W3CDTF">2022-05-08T17:49:00Z</dcterms:modified>
</cp:coreProperties>
</file>