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2D62E" w14:textId="0E412034" w:rsidR="005E5936" w:rsidRPr="009B0793" w:rsidRDefault="009A1D46">
      <w:pPr>
        <w:rPr>
          <w:i/>
          <w:iCs/>
        </w:rPr>
      </w:pPr>
      <w:r>
        <w:t xml:space="preserve">Two opposing theories of the development of the human species existed in eighteenth century Europe. The first theory was the polygenist, with </w:t>
      </w:r>
      <w:r w:rsidR="003D58E9">
        <w:t>proponents of Lord Kames</w:t>
      </w:r>
      <w:r w:rsidR="00773D4B">
        <w:rPr>
          <w:rStyle w:val="FootnoteReference"/>
        </w:rPr>
        <w:footnoteReference w:id="1"/>
      </w:r>
      <w:r w:rsidR="003D58E9">
        <w:t xml:space="preserve"> and</w:t>
      </w:r>
      <w:r w:rsidR="008322EF">
        <w:t xml:space="preserve"> </w:t>
      </w:r>
      <w:r w:rsidRPr="005A1FC8">
        <w:t>Charles White</w:t>
      </w:r>
      <w:r w:rsidR="00773D4B" w:rsidRPr="005A1FC8">
        <w:rPr>
          <w:rStyle w:val="FootnoteReference"/>
        </w:rPr>
        <w:footnoteReference w:id="2"/>
      </w:r>
      <w:r w:rsidRPr="005A1FC8">
        <w:t>.</w:t>
      </w:r>
      <w:r>
        <w:t xml:space="preserve"> This theory argued that humans had originated in separate tribes</w:t>
      </w:r>
      <w:r w:rsidR="002270AB">
        <w:t>,</w:t>
      </w:r>
      <w:r>
        <w:t xml:space="preserve"> and different races were effectively distinct species from one another</w:t>
      </w:r>
      <w:r w:rsidR="00172B8D">
        <w:t xml:space="preserve"> but were still collectively human</w:t>
      </w:r>
      <w:r>
        <w:t>.</w:t>
      </w:r>
      <w:r w:rsidR="00034E35">
        <w:t xml:space="preserve"> The second theory consisted primarily of </w:t>
      </w:r>
      <w:r w:rsidR="00034E35" w:rsidRPr="005A1FC8">
        <w:t>Christian doctrine</w:t>
      </w:r>
      <w:r w:rsidR="00773D4B" w:rsidRPr="005A1FC8">
        <w:rPr>
          <w:rStyle w:val="FootnoteReference"/>
        </w:rPr>
        <w:footnoteReference w:id="3"/>
      </w:r>
      <w:r w:rsidR="00034E35">
        <w:t xml:space="preserve"> supported by the teachings of </w:t>
      </w:r>
      <w:r w:rsidR="00034E35" w:rsidRPr="005A1FC8">
        <w:t>Aristotle</w:t>
      </w:r>
      <w:r w:rsidR="00C20B6C">
        <w:t xml:space="preserve"> and his </w:t>
      </w:r>
      <w:r w:rsidR="00C20B6C">
        <w:rPr>
          <w:i/>
          <w:iCs/>
        </w:rPr>
        <w:t>Great chain of Being and Cosmos</w:t>
      </w:r>
      <w:r w:rsidR="00C20B6C">
        <w:rPr>
          <w:rStyle w:val="FootnoteReference"/>
          <w:i/>
          <w:iCs/>
        </w:rPr>
        <w:footnoteReference w:id="4"/>
      </w:r>
      <w:r w:rsidR="00034E35">
        <w:t xml:space="preserve">; it argued a monogenist approach </w:t>
      </w:r>
      <w:r w:rsidR="002B30B7">
        <w:t>claiming</w:t>
      </w:r>
      <w:r w:rsidR="00034E35">
        <w:t xml:space="preserve"> that all humans were descended from Adam. Supporters of this theory</w:t>
      </w:r>
      <w:r w:rsidR="00034E35" w:rsidRPr="005A1FC8">
        <w:t>, Erasmus Darwin</w:t>
      </w:r>
      <w:r w:rsidR="007206F2" w:rsidRPr="005A1FC8">
        <w:rPr>
          <w:rStyle w:val="FootnoteReference"/>
        </w:rPr>
        <w:footnoteReference w:id="5"/>
      </w:r>
      <w:r w:rsidR="00034E35" w:rsidRPr="005A1FC8">
        <w:t xml:space="preserve"> </w:t>
      </w:r>
      <w:r w:rsidR="0094770E" w:rsidRPr="005A1FC8">
        <w:t>and Lord Mondobbo</w:t>
      </w:r>
      <w:r w:rsidR="0094770E" w:rsidRPr="005A1FC8">
        <w:rPr>
          <w:vertAlign w:val="superscript"/>
        </w:rPr>
        <w:footnoteReference w:id="6"/>
      </w:r>
      <w:r w:rsidR="0094770E" w:rsidRPr="005A1FC8">
        <w:t xml:space="preserve"> </w:t>
      </w:r>
      <w:r w:rsidR="00034E35" w:rsidRPr="005A1FC8">
        <w:t xml:space="preserve"> argued that physical differences between the races could be explained as adaptations resulting from environmental factors</w:t>
      </w:r>
      <w:r w:rsidR="00172B8D" w:rsidRPr="005A1FC8">
        <w:t>;</w:t>
      </w:r>
      <w:r w:rsidR="00034E35" w:rsidRPr="005A1FC8">
        <w:t xml:space="preserve"> the theory of evolution in its infancy.</w:t>
      </w:r>
      <w:r w:rsidR="007D7A8D" w:rsidRPr="005A1FC8">
        <w:rPr>
          <w:rStyle w:val="FootnoteReference"/>
        </w:rPr>
        <w:footnoteReference w:id="7"/>
      </w:r>
      <w:r w:rsidR="00073867" w:rsidRPr="005A1FC8">
        <w:t xml:space="preserve"> Overlapping</w:t>
      </w:r>
      <w:r w:rsidR="004C1B3A" w:rsidRPr="005A1FC8">
        <w:t xml:space="preserve"> and twisting</w:t>
      </w:r>
      <w:r w:rsidR="001D7BCA" w:rsidRPr="005A1FC8">
        <w:t xml:space="preserve"> of these theories occurred in the work</w:t>
      </w:r>
      <w:r w:rsidR="004C1B3A" w:rsidRPr="005A1FC8">
        <w:t>s</w:t>
      </w:r>
      <w:r w:rsidR="001D7BCA" w:rsidRPr="005A1FC8">
        <w:t xml:space="preserve"> of</w:t>
      </w:r>
      <w:r w:rsidR="00791D96" w:rsidRPr="005A1FC8">
        <w:t xml:space="preserve"> Immanuel Kant,</w:t>
      </w:r>
      <w:r w:rsidR="00791D96" w:rsidRPr="005A1FC8">
        <w:rPr>
          <w:rStyle w:val="FootnoteReference"/>
        </w:rPr>
        <w:footnoteReference w:id="8"/>
      </w:r>
      <w:r w:rsidR="001D7BCA" w:rsidRPr="005A1FC8">
        <w:t xml:space="preserve"> </w:t>
      </w:r>
      <w:r w:rsidR="0094770E" w:rsidRPr="005A1FC8">
        <w:t>While Lord Mondobbo argued</w:t>
      </w:r>
      <w:r w:rsidR="004C1B3A" w:rsidRPr="005A1FC8">
        <w:t xml:space="preserve"> that orangutans were a human </w:t>
      </w:r>
      <w:r w:rsidR="00172B8D" w:rsidRPr="005A1FC8">
        <w:t>species</w:t>
      </w:r>
      <w:r w:rsidR="004C1B3A" w:rsidRPr="005A1FC8">
        <w:t>.</w:t>
      </w:r>
      <w:r w:rsidR="002B30B7" w:rsidRPr="005A1FC8">
        <w:rPr>
          <w:rStyle w:val="FootnoteReference"/>
        </w:rPr>
        <w:footnoteReference w:id="9"/>
      </w:r>
      <w:r w:rsidR="004C1B3A" w:rsidRPr="005A1FC8">
        <w:t xml:space="preserve"> </w:t>
      </w:r>
      <w:r w:rsidR="0094770E" w:rsidRPr="005A1FC8">
        <w:t>Comte de Buffon stated</w:t>
      </w:r>
      <w:r w:rsidR="00C20B6C" w:rsidRPr="005A1FC8">
        <w:t xml:space="preserve"> that</w:t>
      </w:r>
      <w:r w:rsidR="0094770E" w:rsidRPr="005A1FC8">
        <w:t>, ‘If man belonged to the class of animals, there would be a certain number of beings in nature less perfect than man, and more perfect than beast, in order to complete the gradation from a man to the monkey. But this is not the case’.</w:t>
      </w:r>
      <w:r w:rsidR="0094770E" w:rsidRPr="005A1FC8">
        <w:rPr>
          <w:vertAlign w:val="superscript"/>
        </w:rPr>
        <w:footnoteReference w:id="10"/>
      </w:r>
      <w:r w:rsidR="0094770E" w:rsidRPr="005A1FC8">
        <w:t xml:space="preserve"> </w:t>
      </w:r>
      <w:r w:rsidR="004C1B3A" w:rsidRPr="005A1FC8">
        <w:t xml:space="preserve">Blumenbach </w:t>
      </w:r>
      <w:r w:rsidR="0037787B" w:rsidRPr="005A1FC8">
        <w:t>argued that all races were of the same species</w:t>
      </w:r>
      <w:r w:rsidR="002270AB" w:rsidRPr="005A1FC8">
        <w:t>,</w:t>
      </w:r>
      <w:r w:rsidR="0037787B" w:rsidRPr="005A1FC8">
        <w:t xml:space="preserve"> </w:t>
      </w:r>
      <w:r w:rsidR="00E55725" w:rsidRPr="005A1FC8">
        <w:t>European caucasians were the oldest race with all other</w:t>
      </w:r>
      <w:r w:rsidR="00E55725">
        <w:t xml:space="preserve"> races being de-generated later variants. It is important to state that Blumenbach did not intend the word de-generate to be an indication of inferiority, in his own studies of </w:t>
      </w:r>
      <w:r w:rsidR="005A3BF3">
        <w:t>Africans</w:t>
      </w:r>
      <w:r w:rsidR="00E55725">
        <w:t>, who were widely regarded at the time to be the most sub-human of the races or not human at all,</w:t>
      </w:r>
      <w:r w:rsidR="00E55725">
        <w:rPr>
          <w:rStyle w:val="FootnoteReference"/>
        </w:rPr>
        <w:footnoteReference w:id="11"/>
      </w:r>
      <w:r w:rsidR="00E55725">
        <w:t xml:space="preserve"> he stated, ‘they can scarcely be considered inferior to any other race of mankind taken all together</w:t>
      </w:r>
      <w:r w:rsidR="002B30B7">
        <w:t>.</w:t>
      </w:r>
      <w:r w:rsidR="004C1B3A">
        <w:rPr>
          <w:rStyle w:val="FootnoteReference"/>
        </w:rPr>
        <w:footnoteReference w:id="12"/>
      </w:r>
      <w:r w:rsidR="009B2D56">
        <w:t xml:space="preserve"> Blumenbach’s work is important as it was widely published and disseminated</w:t>
      </w:r>
      <w:r w:rsidR="00E87150">
        <w:t xml:space="preserve">; </w:t>
      </w:r>
      <w:r w:rsidR="00172B8D">
        <w:t>and he</w:t>
      </w:r>
      <w:r w:rsidR="009B2D56">
        <w:t xml:space="preserve"> had many members of the </w:t>
      </w:r>
      <w:r w:rsidR="00FC6A02">
        <w:t>B</w:t>
      </w:r>
      <w:r w:rsidR="009B2D56">
        <w:t>ritish aristocracy attend his lectures</w:t>
      </w:r>
      <w:r w:rsidR="00FC6A02">
        <w:t xml:space="preserve"> including three English princes.</w:t>
      </w:r>
      <w:r w:rsidR="00FC6A02">
        <w:rPr>
          <w:rStyle w:val="FootnoteReference"/>
        </w:rPr>
        <w:footnoteReference w:id="13"/>
      </w:r>
      <w:r w:rsidR="009B2D56">
        <w:t xml:space="preserve"> </w:t>
      </w:r>
      <w:r w:rsidR="00E87150">
        <w:t xml:space="preserve">Such </w:t>
      </w:r>
      <w:r w:rsidR="00A77CCE">
        <w:t xml:space="preserve">a </w:t>
      </w:r>
      <w:r w:rsidR="00E87150">
        <w:t xml:space="preserve">variation of </w:t>
      </w:r>
      <w:r w:rsidR="00A77CCE">
        <w:t xml:space="preserve">theories can be explained by the development of what could loosely be termed as anthropology up to the eighteenth century. Ancient studies of </w:t>
      </w:r>
      <w:r w:rsidR="005B1CB4">
        <w:t xml:space="preserve">‘other’ peoples were conducted by the likes of Herodotus in </w:t>
      </w:r>
      <w:r w:rsidR="005B1CB4">
        <w:lastRenderedPageBreak/>
        <w:t xml:space="preserve">his </w:t>
      </w:r>
      <w:r w:rsidR="005B1CB4" w:rsidRPr="005B1CB4">
        <w:rPr>
          <w:i/>
          <w:iCs/>
        </w:rPr>
        <w:t>Histories</w:t>
      </w:r>
      <w:r w:rsidR="003865F0">
        <w:rPr>
          <w:i/>
          <w:iCs/>
        </w:rPr>
        <w:t>,</w:t>
      </w:r>
      <w:r w:rsidR="000925AA">
        <w:rPr>
          <w:rStyle w:val="FootnoteReference"/>
          <w:i/>
          <w:iCs/>
        </w:rPr>
        <w:footnoteReference w:id="14"/>
      </w:r>
      <w:r w:rsidR="005B1CB4">
        <w:t xml:space="preserve"> and Pliny</w:t>
      </w:r>
      <w:r w:rsidR="009B0793">
        <w:t xml:space="preserve"> in his </w:t>
      </w:r>
      <w:r w:rsidR="009B0793" w:rsidRPr="009B0793">
        <w:rPr>
          <w:i/>
          <w:iCs/>
        </w:rPr>
        <w:t>Historia naturalis</w:t>
      </w:r>
      <w:r w:rsidR="00B75629">
        <w:rPr>
          <w:i/>
          <w:iCs/>
        </w:rPr>
        <w:t>.</w:t>
      </w:r>
      <w:r w:rsidR="000925AA">
        <w:rPr>
          <w:rStyle w:val="FootnoteReference"/>
          <w:i/>
          <w:iCs/>
        </w:rPr>
        <w:footnoteReference w:id="15"/>
      </w:r>
      <w:r w:rsidR="009B0793">
        <w:rPr>
          <w:i/>
          <w:iCs/>
        </w:rPr>
        <w:t xml:space="preserve"> </w:t>
      </w:r>
      <w:r w:rsidR="005D76D0">
        <w:t xml:space="preserve">Adulterated versions of these works were to be published and read from the fifteenth century onwards. </w:t>
      </w:r>
      <w:r w:rsidR="00177AA4">
        <w:t>Despite these, and other surveyors of different cultures, Margaret T Hodgson states, ‘</w:t>
      </w:r>
      <w:r w:rsidR="00177AA4" w:rsidRPr="00177AA4">
        <w:t>until the sixteenth century little effort was ever made by anybody to take a long, fresh look at the way of life of any people, or to report results free of the misapprehensions attending an unswerving fidelity to tradition.</w:t>
      </w:r>
      <w:r w:rsidR="00177AA4">
        <w:t>’</w:t>
      </w:r>
      <w:r w:rsidR="00504DB0">
        <w:rPr>
          <w:rStyle w:val="FootnoteReference"/>
        </w:rPr>
        <w:footnoteReference w:id="16"/>
      </w:r>
      <w:r w:rsidR="00177AA4">
        <w:t xml:space="preserve"> Even with the emer</w:t>
      </w:r>
      <w:r w:rsidR="00504DB0">
        <w:t>ging interest in other cultures, the testimonies could scarcely be relied upon</w:t>
      </w:r>
      <w:r w:rsidR="00E4710D">
        <w:t>. The new trend of writing travelogues was gaining popularity due to the invention of printing but were full of factual errors and Christian piety.</w:t>
      </w:r>
      <w:r w:rsidR="00172B8D">
        <w:t xml:space="preserve"> The growing appetite for adventure stories also served to create a warped and fantastical idea of new peoples and places in the European imagination.</w:t>
      </w:r>
      <w:r w:rsidR="00597ABD">
        <w:rPr>
          <w:rStyle w:val="FootnoteReference"/>
        </w:rPr>
        <w:footnoteReference w:id="17"/>
      </w:r>
      <w:r w:rsidR="00E4710D">
        <w:t xml:space="preserve"> </w:t>
      </w:r>
      <w:r w:rsidR="0030301F">
        <w:t xml:space="preserve">Michel de Montaigne, French sixteenth century polymath developed a skilful approach to </w:t>
      </w:r>
      <w:r w:rsidR="00B75629">
        <w:t xml:space="preserve">collecting </w:t>
      </w:r>
      <w:r w:rsidR="0030301F">
        <w:t>ethnographi</w:t>
      </w:r>
      <w:r w:rsidR="00B75629">
        <w:t>es</w:t>
      </w:r>
      <w:r w:rsidR="00027DC1">
        <w:t>. Montaigne identified two main problems with ethnographic study, the first being the biased a</w:t>
      </w:r>
      <w:r w:rsidR="00097053">
        <w:t xml:space="preserve">ttitude Europeans had towards people of other cultures which prohibited them from being seen as they really were. The second was a </w:t>
      </w:r>
      <w:r w:rsidR="002270AB">
        <w:t>communicative</w:t>
      </w:r>
      <w:r w:rsidR="00097053">
        <w:t xml:space="preserve"> issue, identifying individuals with sufficient education to be literate but not so educated that they would already have preconceived notions of native peoples and record their own biases. Montaigne described the ideal ethnographic investigator as, </w:t>
      </w:r>
      <w:r w:rsidR="008278CD">
        <w:t>‘</w:t>
      </w:r>
      <w:r w:rsidR="00097053" w:rsidRPr="00097053">
        <w:t>either a most sincere Reporter, or a man so simple that he ... had no invention to builde-upon. The good informant wrote what he knew and no more.</w:t>
      </w:r>
      <w:r w:rsidR="002270AB">
        <w:t>’</w:t>
      </w:r>
      <w:r w:rsidR="0030301F">
        <w:rPr>
          <w:rStyle w:val="FootnoteReference"/>
        </w:rPr>
        <w:footnoteReference w:id="18"/>
      </w:r>
      <w:r w:rsidR="0030301F">
        <w:t xml:space="preserve"> </w:t>
      </w:r>
      <w:r w:rsidR="00791480">
        <w:t>Despite the work of Montaigne</w:t>
      </w:r>
      <w:r w:rsidR="002270AB">
        <w:t>,</w:t>
      </w:r>
      <w:r w:rsidR="00791480">
        <w:t xml:space="preserve"> the study of </w:t>
      </w:r>
      <w:r w:rsidR="007D6DCD">
        <w:t>exotic cultures was in its infancy</w:t>
      </w:r>
      <w:r w:rsidR="002270AB">
        <w:t>.</w:t>
      </w:r>
      <w:r w:rsidR="007D6DCD">
        <w:t xml:space="preserve"> </w:t>
      </w:r>
      <w:r w:rsidR="00FC7475">
        <w:t>T</w:t>
      </w:r>
      <w:r w:rsidR="007D6DCD">
        <w:t xml:space="preserve">he founding of the Royal Society in 1660 saw few members who were students of manners or culture and, as Hodgens’ states ‘ </w:t>
      </w:r>
      <w:r w:rsidR="007D6DCD" w:rsidRPr="007D6DCD">
        <w:t>Learned and unlearned alike chose to steep their minds in a stale decoction of cultural observations made long before by the ancients</w:t>
      </w:r>
      <w:r w:rsidR="005B38D6">
        <w:t>’.</w:t>
      </w:r>
      <w:r w:rsidR="005B38D6">
        <w:rPr>
          <w:rStyle w:val="FootnoteReference"/>
        </w:rPr>
        <w:footnoteReference w:id="19"/>
      </w:r>
      <w:r w:rsidR="007D6DCD" w:rsidRPr="007D6DCD">
        <w:t xml:space="preserve"> </w:t>
      </w:r>
      <w:r w:rsidR="00376DB7">
        <w:t>By the time Mai arrived in England, this attitude had given way to the confusing and controversial, with so many new armchair anthropologists, ethnographers, explorers and d</w:t>
      </w:r>
      <w:r w:rsidR="002400B5">
        <w:t>o</w:t>
      </w:r>
      <w:r w:rsidR="00376DB7">
        <w:t>wnright</w:t>
      </w:r>
      <w:r w:rsidR="002400B5">
        <w:t xml:space="preserve"> fantasists vying for their share of the growing interest in the new world and beyond, it is easy to see how so many scientific and pseudo-scientific theories were being argued.</w:t>
      </w:r>
      <w:r w:rsidR="00376DB7">
        <w:t xml:space="preserve">  </w:t>
      </w:r>
      <w:r w:rsidR="00027DC1">
        <w:t xml:space="preserve"> </w:t>
      </w:r>
    </w:p>
    <w:p w14:paraId="48107D9D" w14:textId="4458EE87" w:rsidR="00B3539D" w:rsidRPr="00E4498B" w:rsidRDefault="00660D16">
      <w:r>
        <w:t xml:space="preserve">It is into this cacophony of opposing theories that Mai was thrust in </w:t>
      </w:r>
      <w:r w:rsidR="004931C5">
        <w:t>July 1774</w:t>
      </w:r>
      <w:r w:rsidR="004F517A">
        <w:t xml:space="preserve">, when he arrived in London with the Captain of the </w:t>
      </w:r>
      <w:r w:rsidR="004F517A" w:rsidRPr="004F517A">
        <w:rPr>
          <w:i/>
          <w:iCs/>
        </w:rPr>
        <w:t>Adventure</w:t>
      </w:r>
      <w:r w:rsidR="004F517A">
        <w:t xml:space="preserve">, Tobias Furneaux. </w:t>
      </w:r>
      <w:r w:rsidR="00AA606A">
        <w:t>As first Lord of the Admiralty, Sandwich established himself as Mai’s agent, any contact with Mai would be made through him. It was natural, as they had already been acquainted in Tahiti, that Mai was to reside with Banks and Solander</w:t>
      </w:r>
      <w:r w:rsidR="008803C4">
        <w:t>.</w:t>
      </w:r>
      <w:r w:rsidR="00AA606A">
        <w:t xml:space="preserve"> </w:t>
      </w:r>
      <w:r w:rsidR="00677CC6">
        <w:t>W</w:t>
      </w:r>
      <w:r w:rsidR="00AA606A">
        <w:t>ithin days they had dressed him in finery and on the seventeenth of July, Mai was introduced</w:t>
      </w:r>
      <w:r w:rsidR="00C81CC3">
        <w:t xml:space="preserve"> as a Tahitian prince</w:t>
      </w:r>
      <w:r w:rsidR="00AA606A">
        <w:t xml:space="preserve"> to king George III and queen Charlotte at Kew.</w:t>
      </w:r>
      <w:r w:rsidR="00AA606A">
        <w:rPr>
          <w:rStyle w:val="FootnoteReference"/>
        </w:rPr>
        <w:footnoteReference w:id="20"/>
      </w:r>
      <w:r w:rsidR="00AA606A">
        <w:t xml:space="preserve"> </w:t>
      </w:r>
      <w:r w:rsidR="005A3BF3">
        <w:t xml:space="preserve">It is unclear why Mai was presented as a </w:t>
      </w:r>
      <w:r w:rsidR="004317B3">
        <w:t>prince;</w:t>
      </w:r>
      <w:r w:rsidR="005A3BF3">
        <w:t xml:space="preserve"> the obvious theory would be so th</w:t>
      </w:r>
      <w:r w:rsidR="004317B3">
        <w:t>a</w:t>
      </w:r>
      <w:r w:rsidR="005A3BF3">
        <w:t xml:space="preserve">t he would be accepted by the aristocracy </w:t>
      </w:r>
      <w:r w:rsidR="004317B3">
        <w:t xml:space="preserve">he was mingling with. This does not seem likely as natives from the new world had been frequenting England since Tudor times with their social status having </w:t>
      </w:r>
      <w:r w:rsidR="00E233F7">
        <w:t xml:space="preserve">little or </w:t>
      </w:r>
      <w:r w:rsidR="004317B3">
        <w:t xml:space="preserve">no impact upon their reception. The closest visitors to Mai’s time were a family group of </w:t>
      </w:r>
      <w:r w:rsidR="006F2347">
        <w:t xml:space="preserve">Labrador </w:t>
      </w:r>
      <w:r w:rsidR="004317B3">
        <w:t>Eskimos</w:t>
      </w:r>
      <w:r w:rsidR="00E233F7">
        <w:t>, who arrived in England</w:t>
      </w:r>
      <w:r w:rsidR="004317B3">
        <w:t xml:space="preserve"> in 1772; they were not represented as anything greater than priests</w:t>
      </w:r>
      <w:r w:rsidR="006F2347">
        <w:t>.</w:t>
      </w:r>
      <w:r w:rsidR="004317B3">
        <w:t xml:space="preserve"> </w:t>
      </w:r>
      <w:r w:rsidR="006F2347">
        <w:t xml:space="preserve">Despite this they were still welcomed into high society and experienced a great deal of fame. Banks and Solander frequently visited the family of Eskimo’s; after Banks’ disappointing trip to Labrador where he failed to meet any native </w:t>
      </w:r>
      <w:r w:rsidR="0002510D">
        <w:t>inhabitants, he was grateful for the opportunity to meet and converse with the family. Completely</w:t>
      </w:r>
      <w:r w:rsidR="006F2347">
        <w:t xml:space="preserve"> </w:t>
      </w:r>
      <w:r w:rsidR="0002510D">
        <w:t xml:space="preserve">disinterested in British culture and the crowded streets of London, the </w:t>
      </w:r>
      <w:r w:rsidR="00E233F7">
        <w:t>Eskimo’s</w:t>
      </w:r>
      <w:r w:rsidR="0002510D">
        <w:t xml:space="preserve"> retired </w:t>
      </w:r>
      <w:r w:rsidR="0002510D">
        <w:lastRenderedPageBreak/>
        <w:t xml:space="preserve">to the country where they engaged in hunting, the only aspect of their time in England they seemed to enjoy. </w:t>
      </w:r>
      <w:r w:rsidR="00E233F7">
        <w:t>Underwhelmed by their time in England, t</w:t>
      </w:r>
      <w:r w:rsidR="006F2347">
        <w:t>hey were glad to be return</w:t>
      </w:r>
      <w:r w:rsidR="0002510D">
        <w:t>ing</w:t>
      </w:r>
      <w:r w:rsidR="006F2347">
        <w:t xml:space="preserve"> home</w:t>
      </w:r>
      <w:r w:rsidR="0002510D">
        <w:t>, however; just before embarking from Plymouth one of the group was struck down with smallpox</w:t>
      </w:r>
      <w:r w:rsidR="00DC2601">
        <w:t>, it soon spread and all but one of the Eskimos perished.</w:t>
      </w:r>
      <w:r w:rsidR="00DC2601">
        <w:rPr>
          <w:rStyle w:val="FootnoteReference"/>
        </w:rPr>
        <w:footnoteReference w:id="21"/>
      </w:r>
      <w:r w:rsidR="006F2347">
        <w:t xml:space="preserve"> </w:t>
      </w:r>
      <w:r w:rsidR="00E233F7">
        <w:t>Although indifferent to the welcoming reception they received from all classes</w:t>
      </w:r>
      <w:r w:rsidR="0080568D">
        <w:t xml:space="preserve"> of English society, the fact that they were so well received proves that Mai did not need to pretend to be a prince to receive attention from high society. </w:t>
      </w:r>
      <w:r w:rsidR="00DC2601">
        <w:t xml:space="preserve">In a paper by </w:t>
      </w:r>
      <w:r w:rsidR="00D52A82">
        <w:t>Gavan Daws he describes the concept of Freuds ‘Family Romance’ theory;</w:t>
      </w:r>
      <w:r w:rsidR="009D70EB" w:rsidRPr="009D70EB">
        <w:t xml:space="preserve"> </w:t>
      </w:r>
      <w:r w:rsidR="009D70EB">
        <w:t>t</w:t>
      </w:r>
      <w:r w:rsidR="009D70EB" w:rsidRPr="009D70EB">
        <w:t xml:space="preserve">he theory describes a </w:t>
      </w:r>
      <w:r w:rsidR="00DA61D6" w:rsidRPr="009D70EB">
        <w:t>child’s</w:t>
      </w:r>
      <w:r w:rsidR="009D70EB" w:rsidRPr="009D70EB">
        <w:t xml:space="preserve"> fantasies of belonging to different more interesting parents, usually of high status</w:t>
      </w:r>
      <w:r w:rsidR="00DA61D6">
        <w:t>. A completely normal fantasy for a child becomes a disorder if</w:t>
      </w:r>
      <w:r w:rsidR="009D70EB" w:rsidRPr="009D70EB">
        <w:t xml:space="preserve"> continu</w:t>
      </w:r>
      <w:r w:rsidR="00DA61D6">
        <w:t>ed</w:t>
      </w:r>
      <w:r w:rsidR="009D70EB" w:rsidRPr="009D70EB">
        <w:t xml:space="preserve"> into adulthood. </w:t>
      </w:r>
      <w:r w:rsidR="009D70EB">
        <w:t>This disorder usually manifests itself with the sufferer claiming to be of aristocratic or royal birth and obsessively pursuing a birth right which has been denied to them.</w:t>
      </w:r>
      <w:r w:rsidR="00891FC2">
        <w:rPr>
          <w:rStyle w:val="FootnoteReference"/>
        </w:rPr>
        <w:footnoteReference w:id="22"/>
      </w:r>
      <w:r w:rsidR="009D70EB">
        <w:t xml:space="preserve"> </w:t>
      </w:r>
      <w:r w:rsidR="00D037C9" w:rsidRPr="00D037C9">
        <w:t>Daws stipulates that the emerging empire building culture</w:t>
      </w:r>
      <w:r w:rsidR="00DA61D6">
        <w:t xml:space="preserve"> of the eighteenth century</w:t>
      </w:r>
      <w:r w:rsidR="00D037C9" w:rsidRPr="00D037C9">
        <w:t xml:space="preserve"> provided the perfect environment for young</w:t>
      </w:r>
      <w:r w:rsidR="00D037C9">
        <w:t xml:space="preserve"> </w:t>
      </w:r>
      <w:r w:rsidR="002862D4">
        <w:t>British</w:t>
      </w:r>
      <w:r w:rsidR="00D037C9" w:rsidRPr="00D037C9">
        <w:t xml:space="preserve"> men with delusions of grandeur to reinvent themselves in a different place amongst different people</w:t>
      </w:r>
      <w:r w:rsidR="00D037C9">
        <w:t>.</w:t>
      </w:r>
      <w:r w:rsidR="005F2041">
        <w:rPr>
          <w:rStyle w:val="FootnoteReference"/>
        </w:rPr>
        <w:footnoteReference w:id="23"/>
      </w:r>
      <w:r w:rsidR="002862D4">
        <w:t xml:space="preserve"> Was Mai’s re-invention of himself as a Tahitian prince a role reversal of</w:t>
      </w:r>
      <w:r w:rsidR="00DA61D6">
        <w:t xml:space="preserve"> the men described</w:t>
      </w:r>
      <w:r w:rsidR="002862D4">
        <w:t xml:space="preserve"> </w:t>
      </w:r>
      <w:r w:rsidR="00E05A34">
        <w:t xml:space="preserve">in </w:t>
      </w:r>
      <w:r w:rsidR="002862D4">
        <w:t>Daws’ work?</w:t>
      </w:r>
      <w:r w:rsidR="00D037C9">
        <w:t xml:space="preserve"> </w:t>
      </w:r>
      <w:r w:rsidR="00D037C9" w:rsidRPr="00D037C9">
        <w:t xml:space="preserve"> </w:t>
      </w:r>
      <w:r w:rsidR="009D70EB">
        <w:t xml:space="preserve">Although </w:t>
      </w:r>
      <w:r w:rsidR="002862D4">
        <w:t>Freuds theory</w:t>
      </w:r>
      <w:r w:rsidR="009D70EB">
        <w:t xml:space="preserve"> at first appears to describe Mai’s behaviour</w:t>
      </w:r>
      <w:r w:rsidR="002862D4">
        <w:t>,</w:t>
      </w:r>
      <w:r w:rsidR="009D70EB">
        <w:t xml:space="preserve"> further interpretation suggests otherwise. Mai, although he pretended to be a prince, never </w:t>
      </w:r>
      <w:r w:rsidR="000B63FD">
        <w:t>made the outright claim</w:t>
      </w:r>
      <w:r w:rsidR="009D70EB">
        <w:t xml:space="preserve"> to be from different parents</w:t>
      </w:r>
      <w:r w:rsidR="000B63FD">
        <w:t xml:space="preserve">. In fact, as Mai had lost his father in </w:t>
      </w:r>
      <w:r w:rsidR="00D037C9">
        <w:t>childhood,</w:t>
      </w:r>
      <w:r w:rsidR="000B63FD">
        <w:t xml:space="preserve"> </w:t>
      </w:r>
      <w:r w:rsidR="00FC7475">
        <w:t>it</w:t>
      </w:r>
      <w:r w:rsidR="000B63FD">
        <w:t xml:space="preserve"> would have been more likely t</w:t>
      </w:r>
      <w:r w:rsidR="00FC7475">
        <w:t>hat his father would have become</w:t>
      </w:r>
      <w:r w:rsidR="000B63FD">
        <w:t xml:space="preserve"> an object of intense veneration in Mai’s mind.</w:t>
      </w:r>
      <w:r w:rsidR="000C617C">
        <w:rPr>
          <w:rStyle w:val="FootnoteReference"/>
        </w:rPr>
        <w:footnoteReference w:id="24"/>
      </w:r>
      <w:r w:rsidR="000B63FD">
        <w:t xml:space="preserve"> Mai’s o</w:t>
      </w:r>
      <w:r w:rsidR="00D037C9">
        <w:t>b</w:t>
      </w:r>
      <w:r w:rsidR="000B63FD">
        <w:t>sessi</w:t>
      </w:r>
      <w:r w:rsidR="00D037C9">
        <w:t>v</w:t>
      </w:r>
      <w:r w:rsidR="000B63FD">
        <w:t xml:space="preserve">e pursuit of his birth right was arguably justified, he was not deluded into believing a mysterious treasure was his to rightfully claim, he was trying to regain possession of land which had </w:t>
      </w:r>
      <w:r w:rsidR="00FC7475">
        <w:t>legally</w:t>
      </w:r>
      <w:r w:rsidR="000B63FD">
        <w:t xml:space="preserve"> belonged to his father and should have been </w:t>
      </w:r>
      <w:r w:rsidR="00D037C9">
        <w:t>inherited by him and his brothers.</w:t>
      </w:r>
      <w:r w:rsidR="000C617C">
        <w:rPr>
          <w:rStyle w:val="FootnoteReference"/>
        </w:rPr>
        <w:footnoteReference w:id="25"/>
      </w:r>
      <w:r w:rsidR="00D037C9">
        <w:t xml:space="preserve"> Although discounting the idea that Mai may have exhibited symptoms of ‘family romance’ </w:t>
      </w:r>
      <w:r w:rsidR="00A568D0">
        <w:t>disorder</w:t>
      </w:r>
      <w:r w:rsidR="00685F5E">
        <w:t>,</w:t>
      </w:r>
      <w:r w:rsidR="00D037C9">
        <w:t xml:space="preserve"> interesting questions into the state of his psychological condition have been raised and will be discussed </w:t>
      </w:r>
      <w:r w:rsidR="002862D4">
        <w:t>further.</w:t>
      </w:r>
      <w:r w:rsidR="009D70EB" w:rsidRPr="009D70EB">
        <w:t xml:space="preserve"> </w:t>
      </w:r>
      <w:r w:rsidR="00CD2298">
        <w:t xml:space="preserve">Connaughton argues that Banks’ coerced Mai into his pretence, in his analysis of Nathaniel Dances </w:t>
      </w:r>
      <w:r w:rsidR="00CD2298" w:rsidRPr="00CD2298">
        <w:rPr>
          <w:i/>
          <w:iCs/>
        </w:rPr>
        <w:t>Omai, a Native of Ulaietea</w:t>
      </w:r>
      <w:r w:rsidR="009D70EB" w:rsidRPr="009D70EB">
        <w:t xml:space="preserve"> </w:t>
      </w:r>
      <w:r w:rsidR="00CD2298">
        <w:t>portrait.</w:t>
      </w:r>
      <w:r w:rsidR="00CD2298">
        <w:rPr>
          <w:rStyle w:val="FootnoteReference"/>
        </w:rPr>
        <w:footnoteReference w:id="26"/>
      </w:r>
      <w:r w:rsidR="00CD2298">
        <w:t xml:space="preserve"> </w:t>
      </w:r>
      <w:r w:rsidR="00F56FBE">
        <w:t xml:space="preserve">Mai is clearly depicted holding a Tahitian headrest, which would have been reserved for use by the </w:t>
      </w:r>
      <w:r w:rsidR="00F56FBE" w:rsidRPr="00F56FBE">
        <w:rPr>
          <w:i/>
          <w:iCs/>
        </w:rPr>
        <w:t>Arii</w:t>
      </w:r>
      <w:r w:rsidR="00F56FBE">
        <w:rPr>
          <w:i/>
          <w:iCs/>
        </w:rPr>
        <w:t xml:space="preserve">, </w:t>
      </w:r>
      <w:r w:rsidR="00F56FBE">
        <w:t>Mai certainly would never have legitimately owned such an object. Connaughton states that the headrest must have been presented to Cook or Banks as a gift and Banks then gave it to Mai as a prop</w:t>
      </w:r>
      <w:r w:rsidR="00F01186">
        <w:t>; Connaughton speculates that Banks sought to use Mai to rehabilitate his image as he had fallen out of favour with the tabloids.</w:t>
      </w:r>
      <w:r w:rsidR="00F56FBE">
        <w:rPr>
          <w:rStyle w:val="FootnoteReference"/>
        </w:rPr>
        <w:footnoteReference w:id="27"/>
      </w:r>
      <w:r w:rsidR="00F56FBE">
        <w:t xml:space="preserve"> In </w:t>
      </w:r>
      <w:r w:rsidR="00F56FBE" w:rsidRPr="00F56FBE">
        <w:rPr>
          <w:i/>
          <w:iCs/>
        </w:rPr>
        <w:t>A Voyage to the South Pole</w:t>
      </w:r>
      <w:r w:rsidR="00F56FBE">
        <w:rPr>
          <w:i/>
          <w:iCs/>
        </w:rPr>
        <w:t xml:space="preserve">, </w:t>
      </w:r>
      <w:r w:rsidR="00F56FBE" w:rsidRPr="00E4498B">
        <w:t xml:space="preserve">published in </w:t>
      </w:r>
      <w:r w:rsidR="00E4498B" w:rsidRPr="00E4498B">
        <w:t>1777,</w:t>
      </w:r>
      <w:r w:rsidR="00E4498B">
        <w:t xml:space="preserve"> it is recorded that Mai was seen using the headrest on board the </w:t>
      </w:r>
      <w:r w:rsidR="00E4498B" w:rsidRPr="00E4498B">
        <w:rPr>
          <w:i/>
          <w:iCs/>
        </w:rPr>
        <w:t>Adventure</w:t>
      </w:r>
      <w:r w:rsidR="00E4498B">
        <w:rPr>
          <w:i/>
          <w:iCs/>
        </w:rPr>
        <w:t>.</w:t>
      </w:r>
      <w:r w:rsidR="00E4498B">
        <w:rPr>
          <w:rStyle w:val="FootnoteReference"/>
          <w:i/>
          <w:iCs/>
        </w:rPr>
        <w:footnoteReference w:id="28"/>
      </w:r>
      <w:r w:rsidR="00E4498B">
        <w:rPr>
          <w:i/>
          <w:iCs/>
        </w:rPr>
        <w:t xml:space="preserve"> </w:t>
      </w:r>
      <w:r w:rsidR="00F5510B">
        <w:t xml:space="preserve">Further evidence that Mai would not allow himself to be </w:t>
      </w:r>
      <w:r w:rsidR="00B56465">
        <w:t>used is illustrated by Fara</w:t>
      </w:r>
      <w:r w:rsidR="00EA0A05">
        <w:t xml:space="preserve"> with her claim that</w:t>
      </w:r>
      <w:r w:rsidR="00B56465">
        <w:t>,</w:t>
      </w:r>
      <w:r w:rsidR="00B56465" w:rsidRPr="00B56465">
        <w:t xml:space="preserve"> ‘As Omai visited different country estates with Banks, he was forced to participate in impromptu botanical expeditions’.</w:t>
      </w:r>
      <w:r w:rsidR="00B56465" w:rsidRPr="00B56465">
        <w:rPr>
          <w:vertAlign w:val="superscript"/>
        </w:rPr>
        <w:footnoteReference w:id="29"/>
      </w:r>
      <w:r w:rsidR="00B56465" w:rsidRPr="00B56465">
        <w:t xml:space="preserve"> The word ‘forced’ is an extreme </w:t>
      </w:r>
      <w:r w:rsidR="00EA0A05">
        <w:t>word choice</w:t>
      </w:r>
      <w:ins w:id="5" w:author="Home" w:date="2020-04-03T17:46:00Z">
        <w:r w:rsidR="00685F5E">
          <w:t xml:space="preserve"> </w:t>
        </w:r>
      </w:ins>
      <w:ins w:id="6" w:author="Home" w:date="2020-04-03T17:49:00Z">
        <w:r w:rsidR="00077341">
          <w:t>(</w:t>
        </w:r>
      </w:ins>
      <w:ins w:id="7" w:author="Home" w:date="2020-04-03T17:47:00Z">
        <w:r w:rsidR="00685F5E">
          <w:t>?</w:t>
        </w:r>
      </w:ins>
      <w:ins w:id="8" w:author="Home" w:date="2020-04-03T17:49:00Z">
        <w:r w:rsidR="00077341">
          <w:t>)</w:t>
        </w:r>
      </w:ins>
      <w:r w:rsidR="00B56465" w:rsidRPr="00B56465">
        <w:t>, another anecdote from Mai’s stay in England describes a practical joke played seemingly</w:t>
      </w:r>
      <w:del w:id="9" w:author="Home" w:date="2020-04-03T17:48:00Z">
        <w:r w:rsidR="00B56465" w:rsidRPr="00B56465" w:rsidDel="00685F5E">
          <w:delText>,</w:delText>
        </w:r>
      </w:del>
      <w:r w:rsidR="00B56465" w:rsidRPr="00B56465">
        <w:t xml:space="preserve"> in good humour</w:t>
      </w:r>
      <w:r w:rsidR="00E70010">
        <w:t>. W</w:t>
      </w:r>
      <w:r w:rsidR="00B56465" w:rsidRPr="00B56465">
        <w:t>hile visiting Lord Manchester</w:t>
      </w:r>
      <w:ins w:id="10" w:author="Home" w:date="2020-04-03T17:49:00Z">
        <w:r w:rsidR="00077341">
          <w:t>;</w:t>
        </w:r>
      </w:ins>
      <w:r w:rsidR="00B56465" w:rsidRPr="00B56465">
        <w:t xml:space="preserve"> a device which used spinning discs to give a mild electric shock to any unsuspecting victim</w:t>
      </w:r>
      <w:r w:rsidR="00EA0A05">
        <w:t xml:space="preserve"> and</w:t>
      </w:r>
      <w:r w:rsidR="00B56465" w:rsidRPr="00B56465">
        <w:t xml:space="preserve"> was used on Mai. Far from reacting in good humour, he left the party and refused to return until his friend, James Burney promised that no more tricks </w:t>
      </w:r>
      <w:r w:rsidR="00B56465" w:rsidRPr="00B56465">
        <w:lastRenderedPageBreak/>
        <w:t>would be played on him.</w:t>
      </w:r>
      <w:r w:rsidR="00B56465" w:rsidRPr="00B56465">
        <w:rPr>
          <w:vertAlign w:val="superscript"/>
        </w:rPr>
        <w:footnoteReference w:id="30"/>
      </w:r>
      <w:r w:rsidR="00B56465" w:rsidRPr="00B56465">
        <w:t xml:space="preserve"> This is not the behaviour of a man who was intimidated by the status of those around him and would allow himself to be forced into a situation with which he was not comfortable.</w:t>
      </w:r>
      <w:r w:rsidR="00B56465">
        <w:t xml:space="preserve"> </w:t>
      </w:r>
      <w:r w:rsidR="00E4498B">
        <w:t xml:space="preserve">As Mai’s primary intention for visiting England was the procurement of firearms and a possible military alliance with the English Navy, it is likely that </w:t>
      </w:r>
      <w:r w:rsidR="006D3E9C">
        <w:t>the pretence was of his own doing, a higher social status would have given validity to his ambitions. How convincing the ruse was in the long term is uncertain, Banks’ sister, Sophia was informed of Mai’s true social status by one of her brothers’ servants.</w:t>
      </w:r>
      <w:r w:rsidR="006D3E9C">
        <w:rPr>
          <w:rStyle w:val="FootnoteReference"/>
        </w:rPr>
        <w:footnoteReference w:id="31"/>
      </w:r>
      <w:r w:rsidR="006D3E9C">
        <w:t xml:space="preserve"> If servants were aware of Mai’s true identity it would</w:t>
      </w:r>
      <w:r w:rsidR="005037EF">
        <w:t xml:space="preserve"> stand to reason that, rumours would soon start to spread. Mai’s false persona was likely one of the worst kept secrets in Georgian high society.</w:t>
      </w:r>
      <w:r w:rsidR="00E4498B">
        <w:t xml:space="preserve"> </w:t>
      </w:r>
    </w:p>
    <w:p w14:paraId="1F76288E" w14:textId="5CBE050B" w:rsidR="0046468E" w:rsidRPr="0046468E" w:rsidRDefault="00C06DB5" w:rsidP="0046468E">
      <w:r>
        <w:t>As has already been established</w:t>
      </w:r>
      <w:r w:rsidR="005A1FC8">
        <w:t>,</w:t>
      </w:r>
      <w:r>
        <w:t xml:space="preserve"> Banks did not refuse to teach Mai to read, this raises the question of what sort of person was Banks, that this account of him has been allowed to develop?</w:t>
      </w:r>
      <w:r w:rsidR="00447945">
        <w:t xml:space="preserve"> </w:t>
      </w:r>
      <w:r w:rsidR="001D442A">
        <w:t xml:space="preserve">In Henry Broughams, </w:t>
      </w:r>
      <w:r w:rsidR="001D442A">
        <w:rPr>
          <w:i/>
          <w:iCs/>
        </w:rPr>
        <w:t xml:space="preserve">lives of men of letters, </w:t>
      </w:r>
      <w:r w:rsidR="001D442A">
        <w:t xml:space="preserve">he describes Banks, a schoolfriend of his father, in an altogether favourable light. </w:t>
      </w:r>
      <w:r w:rsidR="003153F8">
        <w:t xml:space="preserve">Early in his account </w:t>
      </w:r>
      <w:r w:rsidR="001D442A">
        <w:t xml:space="preserve">Brougham </w:t>
      </w:r>
      <w:r w:rsidR="003153F8">
        <w:t>betrays his bias for Banks saying, ‘in his old age he never ceased to show me every kindness in his power.’ Brougham also falsely claims that Banks was from an ancient family;</w:t>
      </w:r>
      <w:r w:rsidR="003153F8">
        <w:rPr>
          <w:rStyle w:val="FootnoteReference"/>
        </w:rPr>
        <w:footnoteReference w:id="32"/>
      </w:r>
      <w:r w:rsidR="003153F8">
        <w:t xml:space="preserve"> whereas the family wealth had been made by his grandfather.</w:t>
      </w:r>
      <w:r w:rsidR="003153F8">
        <w:rPr>
          <w:rStyle w:val="FootnoteReference"/>
        </w:rPr>
        <w:footnoteReference w:id="33"/>
      </w:r>
      <w:r w:rsidR="003153F8">
        <w:t xml:space="preserve"> </w:t>
      </w:r>
      <w:r w:rsidR="006C2A65">
        <w:t>Despite these obvious loyalties to Banks, Brougham’s work affords a valuable insight into Banks’ personality.</w:t>
      </w:r>
      <w:r w:rsidR="008D44FF">
        <w:t xml:space="preserve"> </w:t>
      </w:r>
      <w:r w:rsidR="008D44FF" w:rsidRPr="008D44FF">
        <w:t>Fara states ‘as British gentlemen, Boswell, Johnson and Banks believed that they were superior to the foreigners they met.’</w:t>
      </w:r>
      <w:r w:rsidR="008D44FF" w:rsidRPr="008D44FF">
        <w:rPr>
          <w:vertAlign w:val="superscript"/>
        </w:rPr>
        <w:footnoteReference w:id="34"/>
      </w:r>
      <w:r w:rsidR="008D44FF" w:rsidRPr="008D44FF">
        <w:t xml:space="preserve"> Did Banks consider himself to be superior to the foreigners he met? It is easy to understand why such a generalisation would be applied to an eighteenth-century aristocrat, but in the case of Banks it is arguable that it has been unfairly applied. </w:t>
      </w:r>
      <w:r w:rsidR="008D44FF">
        <w:t xml:space="preserve">It is well documented of Banks’ childhood that he spurned his classical education, preferring instead to engage in sports. This was true until </w:t>
      </w:r>
      <w:r w:rsidR="00401B13">
        <w:t>at age</w:t>
      </w:r>
      <w:r w:rsidR="008D44FF">
        <w:t xml:space="preserve"> fourteen</w:t>
      </w:r>
      <w:r w:rsidR="00401B13">
        <w:t xml:space="preserve"> whilst a student at Eton</w:t>
      </w:r>
      <w:r w:rsidR="008D44FF">
        <w:t>,</w:t>
      </w:r>
      <w:r w:rsidR="00375B9D">
        <w:t xml:space="preserve"> he</w:t>
      </w:r>
      <w:r w:rsidR="008D44FF">
        <w:t xml:space="preserve"> discovered botany</w:t>
      </w:r>
      <w:r w:rsidR="00375B9D">
        <w:t xml:space="preserve">. Now with a passion for a subject </w:t>
      </w:r>
      <w:r w:rsidR="00401B13">
        <w:t>that</w:t>
      </w:r>
      <w:r w:rsidR="00375B9D">
        <w:t xml:space="preserve"> almost consumed his life, he</w:t>
      </w:r>
      <w:r w:rsidR="00401B13">
        <w:t xml:space="preserve"> endeavoured to</w:t>
      </w:r>
      <w:r w:rsidR="00375B9D">
        <w:t xml:space="preserve"> educated himself in the discipline by paying local women sixpence for every piece of information they taught him</w:t>
      </w:r>
      <w:r w:rsidR="00401B13">
        <w:t>.</w:t>
      </w:r>
      <w:r w:rsidR="001F73EA" w:rsidRPr="001F73EA">
        <w:t xml:space="preserve"> This is not the behaviour of a boy with a superiority complex, although the women were not foreigners as in Fara’s statement they were working class and female, they would have been much lower down the social scale than the young Banks. This did not deter him from gaining their expertise, at a young age Banks already demonstrated an appreciation for the knowledge and intelligence of people who were ‘beneath’ him. Later in life, when set up in his London home Brougham states, ‘Foreigners as well as natives were his ever welcome guests, and it was his delight to be surrounded by the cultivators and promoters of science in all its branches.’</w:t>
      </w:r>
      <w:r w:rsidR="00375B9D">
        <w:rPr>
          <w:rStyle w:val="FootnoteReference"/>
        </w:rPr>
        <w:footnoteReference w:id="35"/>
      </w:r>
      <w:r w:rsidR="0046468E">
        <w:t xml:space="preserve"> </w:t>
      </w:r>
      <w:r>
        <w:t xml:space="preserve">As </w:t>
      </w:r>
      <w:r w:rsidR="007960B7">
        <w:t>a teenager Banks lost his father, with only one sister and no brothers he inherited his family estate in 1764, at the age of twenty-one. Already used to a privileged life Banks was now one of the wealthiest men in England, with an annual income of six thousand pounds.</w:t>
      </w:r>
      <w:r w:rsidR="007960B7">
        <w:rPr>
          <w:rStyle w:val="FootnoteReference"/>
        </w:rPr>
        <w:footnoteReference w:id="36"/>
      </w:r>
      <w:r w:rsidR="007960B7">
        <w:t xml:space="preserve"> Brougham gives an account of Banks’ attitude upon gaining his inheritance, ‘</w:t>
      </w:r>
      <w:r w:rsidR="00A47B1B" w:rsidRPr="00A47B1B">
        <w:t>And now it was that the great merit of this distinguished person shone forth. With all the incitements which his age, his figure, and his station naturally presented to leading a life of idleness, varied only by the more vulgar gratifications of sense or of ordinary ambition and with a fortune which placed these gratifications in ample measure within his reach, he continued steadily devoted to scientific pursuits, and only lived for the studies of the naturalist.’</w:t>
      </w:r>
      <w:r w:rsidR="00A47B1B">
        <w:rPr>
          <w:rStyle w:val="FootnoteReference"/>
        </w:rPr>
        <w:footnoteReference w:id="37"/>
      </w:r>
      <w:r w:rsidR="00A47B1B">
        <w:t xml:space="preserve"> At age twenty-six Banks joined </w:t>
      </w:r>
      <w:r w:rsidR="00E9677F">
        <w:t xml:space="preserve">Cooks first </w:t>
      </w:r>
      <w:r w:rsidR="00E9677F">
        <w:lastRenderedPageBreak/>
        <w:t>voyage to the south seas</w:t>
      </w:r>
      <w:r w:rsidR="006C65E5">
        <w:t xml:space="preserve"> as official botanist</w:t>
      </w:r>
      <w:r w:rsidR="00E9677F">
        <w:t xml:space="preserve"> aboard the Endeavour. On April 13</w:t>
      </w:r>
      <w:r w:rsidR="00E9677F" w:rsidRPr="00E9677F">
        <w:rPr>
          <w:vertAlign w:val="superscript"/>
        </w:rPr>
        <w:t>th</w:t>
      </w:r>
      <w:r w:rsidR="00E9677F">
        <w:t xml:space="preserve"> 1769, the ship landed on the Island of Tahiti</w:t>
      </w:r>
      <w:r w:rsidR="006C65E5">
        <w:t>.</w:t>
      </w:r>
      <w:r w:rsidR="006C65E5">
        <w:rPr>
          <w:rStyle w:val="FootnoteReference"/>
        </w:rPr>
        <w:footnoteReference w:id="38"/>
      </w:r>
      <w:r w:rsidR="006C65E5">
        <w:t xml:space="preserve"> Cook had been given secret instructions for forging relationships with any natives encountered,</w:t>
      </w:r>
      <w:r w:rsidR="006C65E5">
        <w:rPr>
          <w:rStyle w:val="FootnoteReference"/>
        </w:rPr>
        <w:footnoteReference w:id="39"/>
      </w:r>
      <w:r w:rsidR="006C65E5">
        <w:t xml:space="preserve"> and he gave his crew strict rules about how to behave.</w:t>
      </w:r>
      <w:r w:rsidR="006C65E5">
        <w:rPr>
          <w:rStyle w:val="FootnoteReference"/>
        </w:rPr>
        <w:footnoteReference w:id="40"/>
      </w:r>
      <w:r w:rsidR="006C65E5">
        <w:t xml:space="preserve"> </w:t>
      </w:r>
      <w:r w:rsidR="00704BA7">
        <w:t xml:space="preserve">Banks immediately struck up a rapport with the </w:t>
      </w:r>
      <w:r w:rsidR="00750CC4">
        <w:t>Tahitian’s</w:t>
      </w:r>
      <w:r w:rsidR="00704BA7">
        <w:t xml:space="preserve">, </w:t>
      </w:r>
      <w:r w:rsidR="00793EEC">
        <w:t xml:space="preserve">but his journal betrays </w:t>
      </w:r>
      <w:r w:rsidR="00484F4F">
        <w:t>a</w:t>
      </w:r>
      <w:r w:rsidR="00793EEC">
        <w:t xml:space="preserve"> condescending attitude towards the islanders</w:t>
      </w:r>
      <w:r w:rsidR="00484F4F">
        <w:t xml:space="preserve"> after a disagreement over stolen property</w:t>
      </w:r>
      <w:r w:rsidR="00793EEC">
        <w:t>, ‘</w:t>
      </w:r>
      <w:r w:rsidR="00793EEC" w:rsidRPr="00793EEC">
        <w:t>we returnd to the ship admiring a policy at least equal to any we had seen in civilizd countries, excercisd by people who have never had any advantage but mee</w:t>
      </w:r>
      <w:r w:rsidR="001C0732">
        <w:t>r</w:t>
      </w:r>
      <w:r w:rsidR="00793EEC" w:rsidRPr="00793EEC">
        <w:t xml:space="preserve"> natural instinct uninstructed by the example of any civilizd countrey.</w:t>
      </w:r>
      <w:r w:rsidR="00793EEC">
        <w:t>’</w:t>
      </w:r>
      <w:r w:rsidR="00793EEC">
        <w:rPr>
          <w:rStyle w:val="FootnoteReference"/>
        </w:rPr>
        <w:footnoteReference w:id="41"/>
      </w:r>
      <w:r w:rsidR="00484F4F">
        <w:t xml:space="preserve"> Although</w:t>
      </w:r>
      <w:r w:rsidR="00750CC4">
        <w:t>,</w:t>
      </w:r>
      <w:r w:rsidR="00484F4F">
        <w:t xml:space="preserve"> Banks could have intended this to be a compliment, </w:t>
      </w:r>
      <w:r w:rsidR="00484F4F" w:rsidRPr="00484F4F">
        <w:t>Michelle Hetherington argues the noble savage concept was far more likely to have been accepted by the educated upper classes.</w:t>
      </w:r>
      <w:r w:rsidR="00484F4F" w:rsidRPr="00484F4F">
        <w:rPr>
          <w:vertAlign w:val="superscript"/>
        </w:rPr>
        <w:footnoteReference w:id="42"/>
      </w:r>
      <w:r w:rsidR="00484F4F" w:rsidRPr="00484F4F">
        <w:t xml:space="preserve"> </w:t>
      </w:r>
      <w:r w:rsidR="00484F4F">
        <w:t xml:space="preserve">Being of the upper classes it is likely that Banks was attempting to illustrate Rousseau’s theory. </w:t>
      </w:r>
      <w:r w:rsidR="00750CC4">
        <w:t>In response</w:t>
      </w:r>
      <w:r w:rsidR="00484F4F">
        <w:t xml:space="preserve"> to the shooting dead of an islander due to petty theft </w:t>
      </w:r>
      <w:r w:rsidR="00750CC4">
        <w:t>he recorded his and many of the crews feelings</w:t>
      </w:r>
      <w:r w:rsidR="00C14F3A">
        <w:t>, ‘</w:t>
      </w:r>
      <w:r w:rsidR="00C14F3A" w:rsidRPr="00C14F3A">
        <w:t>guilty no doubt in some measure of the death of a man who the most severe laws of equity would not have condemnd to so severe a punishment.</w:t>
      </w:r>
      <w:r w:rsidR="00C14F3A">
        <w:t>’</w:t>
      </w:r>
      <w:r w:rsidR="00C14F3A">
        <w:rPr>
          <w:rStyle w:val="FootnoteReference"/>
        </w:rPr>
        <w:footnoteReference w:id="43"/>
      </w:r>
      <w:r w:rsidR="0065528D">
        <w:t xml:space="preserve"> One of the longest entries Banks made in his journal was a description of a forty-four foot high pyramid on the island. Clearly amazed that the islanders could have built such a monumental construction without metal tools he states several times tha</w:t>
      </w:r>
      <w:r w:rsidR="00211503">
        <w:t>t</w:t>
      </w:r>
      <w:r w:rsidR="0065528D">
        <w:t xml:space="preserve"> it was comparable to the craftsmanship </w:t>
      </w:r>
      <w:r w:rsidR="00211503">
        <w:t>found in Europe.</w:t>
      </w:r>
      <w:r w:rsidR="00211503">
        <w:rPr>
          <w:rStyle w:val="FootnoteReference"/>
        </w:rPr>
        <w:footnoteReference w:id="44"/>
      </w:r>
      <w:r w:rsidR="00443829">
        <w:t xml:space="preserve"> This is not a condescending attitude to take and Banks’ scientific mind was intrigued by what he saw. </w:t>
      </w:r>
      <w:r w:rsidR="00DD06CC">
        <w:t>A complete departure from Banks’ usual demeanour is his journal entry concerning the priest Tupia, as he prepares to join the Endeavour crew and visit England, ‘</w:t>
      </w:r>
      <w:r w:rsidR="00DD06CC" w:rsidRPr="00DD06CC">
        <w:t>Thank heaven I have a sufficiency and I do not know why I may not keep him as a curiosity, as well as some of my neighbours do lions and tygers at a larger expence than he will probably ever put me to; the amusement I shall have in his future conversation and the benefit he will be of to this ship, as well as what he may be if another should be sent into these seas, will I think fully repay me</w:t>
      </w:r>
      <w:r w:rsidR="00DD06CC">
        <w:t>.’</w:t>
      </w:r>
      <w:r w:rsidR="00DD06CC">
        <w:rPr>
          <w:rStyle w:val="FootnoteReference"/>
        </w:rPr>
        <w:footnoteReference w:id="45"/>
      </w:r>
      <w:r w:rsidR="00DD06CC" w:rsidRPr="00DD06CC">
        <w:t> </w:t>
      </w:r>
      <w:r w:rsidR="00DD06CC">
        <w:t>Unfortunately Tupia and his young son Tupeto died before reaching England.</w:t>
      </w:r>
      <w:r w:rsidR="00EC07EE">
        <w:rPr>
          <w:rStyle w:val="FootnoteReference"/>
        </w:rPr>
        <w:footnoteReference w:id="46"/>
      </w:r>
      <w:r w:rsidR="00EC07EE">
        <w:t xml:space="preserve"> </w:t>
      </w:r>
      <w:r w:rsidR="00E82850">
        <w:t>At age thirty-five</w:t>
      </w:r>
      <w:r w:rsidR="00750CC4">
        <w:t xml:space="preserve"> Banks became </w:t>
      </w:r>
      <w:r w:rsidR="00E82850">
        <w:t xml:space="preserve">president of the Royal Society, a position he held for forty-one years. During this </w:t>
      </w:r>
      <w:r w:rsidR="00BB18BF">
        <w:t>time,</w:t>
      </w:r>
      <w:r w:rsidR="00E82850">
        <w:t xml:space="preserve"> he supported the careers of many young scientists such as; William Herschel, </w:t>
      </w:r>
      <w:r w:rsidR="00BB18BF">
        <w:t xml:space="preserve">Mungo Park and Astley Cooper. For these and many others he organised expeditions, allowed access to his personal library promoted their work, and had them elected to the Royal Society. Banks never would have allowed a woman to join the Royal Society but he certainly admired intelligent females and </w:t>
      </w:r>
      <w:r w:rsidR="00360026">
        <w:t>endeavoured to secure Caroline Herschel a salary, for her massive contributions to her brothers work.</w:t>
      </w:r>
      <w:r w:rsidR="00BB18BF">
        <w:rPr>
          <w:rStyle w:val="FootnoteReference"/>
        </w:rPr>
        <w:footnoteReference w:id="47"/>
      </w:r>
      <w:r w:rsidR="00E82850">
        <w:t xml:space="preserve"> </w:t>
      </w:r>
      <w:r w:rsidR="00360026">
        <w:t xml:space="preserve">This is maybe </w:t>
      </w:r>
      <w:ins w:id="19" w:author="Home" w:date="2020-04-03T18:27:00Z">
        <w:r w:rsidR="00B36AB1">
          <w:t xml:space="preserve">is </w:t>
        </w:r>
      </w:ins>
      <w:r w:rsidR="00360026">
        <w:t>the best representation of Banks’ personality, he was a facilitator. He strove for greatness in others and for the advancement of science</w:t>
      </w:r>
      <w:r w:rsidR="00E82850">
        <w:t xml:space="preserve"> </w:t>
      </w:r>
      <w:r w:rsidR="00360026">
        <w:t xml:space="preserve">in all its forms. This would explain why he supported Mai’s pretence, he was aware of his ambitions and characteristically </w:t>
      </w:r>
      <w:r w:rsidR="00F5510B">
        <w:t>facilitated Mai in any way he could. It is likely that Banks did consider himself to be superior and expected people to remain in their place but, t</w:t>
      </w:r>
      <w:r w:rsidR="00EC07EE">
        <w:t>o be the type of person who would actively forbid the education of an</w:t>
      </w:r>
      <w:r w:rsidR="006B6301">
        <w:t>o</w:t>
      </w:r>
      <w:r w:rsidR="00EC07EE">
        <w:t>ther</w:t>
      </w:r>
      <w:r w:rsidR="006B6301">
        <w:t xml:space="preserve"> he would have to be cruel and controlling. Banks was anything but these two things, as a product of his age he displayed attitudes </w:t>
      </w:r>
      <w:r w:rsidR="006B6301">
        <w:lastRenderedPageBreak/>
        <w:t>that today would be viewed as bigoted but placing Banks firmly in the right context, he was a fair</w:t>
      </w:r>
      <w:r w:rsidR="00F5510B">
        <w:t>,</w:t>
      </w:r>
      <w:r w:rsidR="006B6301">
        <w:t xml:space="preserve"> kind</w:t>
      </w:r>
      <w:r w:rsidR="00F5510B">
        <w:t>,</w:t>
      </w:r>
      <w:r w:rsidR="006B6301">
        <w:t xml:space="preserve"> and </w:t>
      </w:r>
      <w:r w:rsidR="00F5510B">
        <w:t>intelligent individual.</w:t>
      </w:r>
      <w:r w:rsidR="006B6301">
        <w:t xml:space="preserve"> </w:t>
      </w:r>
    </w:p>
    <w:p w14:paraId="7D921CF4" w14:textId="12FE81DE" w:rsidR="00343738" w:rsidRPr="001D442A" w:rsidRDefault="00375B9D">
      <w:r>
        <w:t xml:space="preserve"> </w:t>
      </w:r>
    </w:p>
    <w:p w14:paraId="393A03FC" w14:textId="4792923D" w:rsidR="00660D16" w:rsidRDefault="00660D16"/>
    <w:sectPr w:rsidR="00660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066C7" w14:textId="77777777" w:rsidR="006C6CB5" w:rsidRDefault="006C6CB5" w:rsidP="007D7A8D">
      <w:pPr>
        <w:spacing w:after="0" w:line="240" w:lineRule="auto"/>
      </w:pPr>
      <w:r>
        <w:separator/>
      </w:r>
    </w:p>
  </w:endnote>
  <w:endnote w:type="continuationSeparator" w:id="0">
    <w:p w14:paraId="22F157B4" w14:textId="77777777" w:rsidR="006C6CB5" w:rsidRDefault="006C6CB5" w:rsidP="007D7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524CE" w14:textId="77777777" w:rsidR="006C6CB5" w:rsidRDefault="006C6CB5" w:rsidP="007D7A8D">
      <w:pPr>
        <w:spacing w:after="0" w:line="240" w:lineRule="auto"/>
      </w:pPr>
      <w:r>
        <w:separator/>
      </w:r>
    </w:p>
  </w:footnote>
  <w:footnote w:type="continuationSeparator" w:id="0">
    <w:p w14:paraId="1DBF57EF" w14:textId="77777777" w:rsidR="006C6CB5" w:rsidRDefault="006C6CB5" w:rsidP="007D7A8D">
      <w:pPr>
        <w:spacing w:after="0" w:line="240" w:lineRule="auto"/>
      </w:pPr>
      <w:r>
        <w:continuationSeparator/>
      </w:r>
    </w:p>
  </w:footnote>
  <w:footnote w:id="1">
    <w:p w14:paraId="46B61932" w14:textId="6DC1AF35" w:rsidR="00773D4B" w:rsidRDefault="00773D4B">
      <w:pPr>
        <w:pStyle w:val="FootnoteText"/>
      </w:pPr>
      <w:r>
        <w:rPr>
          <w:rStyle w:val="FootnoteReference"/>
        </w:rPr>
        <w:footnoteRef/>
      </w:r>
      <w:r>
        <w:t xml:space="preserve"> </w:t>
      </w:r>
      <w:r w:rsidRPr="00773D4B">
        <w:t>Lord Kames, </w:t>
      </w:r>
      <w:r w:rsidRPr="00773D4B">
        <w:rPr>
          <w:i/>
          <w:iCs/>
        </w:rPr>
        <w:t>Sketches of the History of Man</w:t>
      </w:r>
      <w:r w:rsidRPr="00773D4B">
        <w:t> (Edinburgh: W. Creech, 1774)</w:t>
      </w:r>
      <w:r>
        <w:t>.</w:t>
      </w:r>
    </w:p>
  </w:footnote>
  <w:footnote w:id="2">
    <w:p w14:paraId="400FAF18" w14:textId="43E401F8" w:rsidR="00773D4B" w:rsidRDefault="00773D4B">
      <w:pPr>
        <w:pStyle w:val="FootnoteText"/>
      </w:pPr>
      <w:r>
        <w:rPr>
          <w:rStyle w:val="FootnoteReference"/>
        </w:rPr>
        <w:footnoteRef/>
      </w:r>
      <w:r>
        <w:t xml:space="preserve"> </w:t>
      </w:r>
      <w:r w:rsidRPr="00773D4B">
        <w:t>White Charles, </w:t>
      </w:r>
      <w:r w:rsidRPr="00773D4B">
        <w:rPr>
          <w:i/>
          <w:iCs/>
        </w:rPr>
        <w:t>An Account of the Regular Gradation of Man and in Different Animals and Vegetables from the Former to the Latter</w:t>
      </w:r>
      <w:r w:rsidRPr="00773D4B">
        <w:t> (London: Literary and Philosophical Society of Manchester, 1799)</w:t>
      </w:r>
      <w:r>
        <w:t>.</w:t>
      </w:r>
    </w:p>
  </w:footnote>
  <w:footnote w:id="3">
    <w:p w14:paraId="73B78D68" w14:textId="49CE4DA2" w:rsidR="00773D4B" w:rsidRDefault="00773D4B">
      <w:pPr>
        <w:pStyle w:val="FootnoteText"/>
      </w:pPr>
      <w:r>
        <w:rPr>
          <w:rStyle w:val="FootnoteReference"/>
        </w:rPr>
        <w:footnoteRef/>
      </w:r>
      <w:r>
        <w:t xml:space="preserve"> </w:t>
      </w:r>
      <w:r w:rsidRPr="00773D4B">
        <w:rPr>
          <w:i/>
          <w:iCs/>
        </w:rPr>
        <w:t>King James Bible</w:t>
      </w:r>
      <w:r w:rsidRPr="00773D4B">
        <w:t> (Oxford: Oxford University Press)</w:t>
      </w:r>
      <w:r>
        <w:t xml:space="preserve">, </w:t>
      </w:r>
      <w:r w:rsidR="0094770E" w:rsidRPr="0094770E">
        <w:t>Genesis 1:27 </w:t>
      </w:r>
      <w:r w:rsidR="0094770E">
        <w:t>‘</w:t>
      </w:r>
      <w:r w:rsidR="0094770E" w:rsidRPr="0094770E">
        <w:t>So God created man in his own image, in the image of God created he him; male and female created he them.</w:t>
      </w:r>
      <w:r w:rsidR="0094770E">
        <w:t>’</w:t>
      </w:r>
    </w:p>
  </w:footnote>
  <w:footnote w:id="4">
    <w:p w14:paraId="23FE97D5" w14:textId="22C614A6" w:rsidR="00C20B6C" w:rsidRDefault="00C20B6C">
      <w:pPr>
        <w:pStyle w:val="FootnoteText"/>
      </w:pPr>
      <w:r>
        <w:rPr>
          <w:rStyle w:val="FootnoteReference"/>
        </w:rPr>
        <w:footnoteRef/>
      </w:r>
      <w:r>
        <w:t xml:space="preserve"> See figure 1. </w:t>
      </w:r>
    </w:p>
  </w:footnote>
  <w:footnote w:id="5">
    <w:p w14:paraId="4D192E41" w14:textId="08807D17" w:rsidR="007206F2" w:rsidRDefault="007206F2">
      <w:pPr>
        <w:pStyle w:val="FootnoteText"/>
      </w:pPr>
      <w:r>
        <w:rPr>
          <w:rStyle w:val="FootnoteReference"/>
        </w:rPr>
        <w:footnoteRef/>
      </w:r>
      <w:r w:rsidR="002D3D21">
        <w:t xml:space="preserve"> </w:t>
      </w:r>
      <w:r w:rsidR="002D3D21" w:rsidRPr="002D3D21">
        <w:t>Darwin Erasmus, </w:t>
      </w:r>
      <w:r w:rsidR="002D3D21" w:rsidRPr="002D3D21">
        <w:rPr>
          <w:i/>
          <w:iCs/>
        </w:rPr>
        <w:t>Zoonomia Or the Laws of Organic Life Volume 1</w:t>
      </w:r>
      <w:r w:rsidR="002D3D21" w:rsidRPr="002D3D21">
        <w:t> (London: J. Johnson, 1794)</w:t>
      </w:r>
      <w:r w:rsidR="002D3D21">
        <w:t>, p. 501.</w:t>
      </w:r>
      <w:r>
        <w:t xml:space="preserve"> </w:t>
      </w:r>
      <w:r w:rsidR="00827DF0">
        <w:t>‘</w:t>
      </w:r>
      <w:r w:rsidRPr="007206F2">
        <w:t>Add</w:t>
      </w:r>
      <w:r>
        <w:t xml:space="preserve"> </w:t>
      </w:r>
      <w:r w:rsidRPr="007206F2">
        <w:t>to</w:t>
      </w:r>
      <w:r>
        <w:t xml:space="preserve"> </w:t>
      </w:r>
      <w:r w:rsidRPr="007206F2">
        <w:t>the</w:t>
      </w:r>
      <w:r>
        <w:t>s</w:t>
      </w:r>
      <w:r w:rsidRPr="007206F2">
        <w:t>e</w:t>
      </w:r>
      <w:r>
        <w:t xml:space="preserve"> </w:t>
      </w:r>
      <w:r w:rsidRPr="007206F2">
        <w:t>the</w:t>
      </w:r>
      <w:r>
        <w:t xml:space="preserve"> </w:t>
      </w:r>
      <w:r w:rsidRPr="007206F2">
        <w:t>great</w:t>
      </w:r>
      <w:r>
        <w:t xml:space="preserve"> </w:t>
      </w:r>
      <w:r w:rsidRPr="007206F2">
        <w:t>changes</w:t>
      </w:r>
      <w:r>
        <w:t xml:space="preserve"> </w:t>
      </w:r>
      <w:r w:rsidRPr="007206F2">
        <w:t>of</w:t>
      </w:r>
      <w:r>
        <w:t xml:space="preserve"> s</w:t>
      </w:r>
      <w:r w:rsidRPr="007206F2">
        <w:t>hape</w:t>
      </w:r>
      <w:r>
        <w:t xml:space="preserve"> </w:t>
      </w:r>
      <w:r w:rsidRPr="007206F2">
        <w:t>and</w:t>
      </w:r>
      <w:r>
        <w:t xml:space="preserve"> </w:t>
      </w:r>
      <w:r w:rsidRPr="007206F2">
        <w:t>colour,</w:t>
      </w:r>
      <w:r>
        <w:t xml:space="preserve"> </w:t>
      </w:r>
      <w:r w:rsidRPr="007206F2">
        <w:t>which</w:t>
      </w:r>
      <w:r>
        <w:t xml:space="preserve"> </w:t>
      </w:r>
      <w:r w:rsidRPr="007206F2">
        <w:t>we</w:t>
      </w:r>
      <w:r>
        <w:t xml:space="preserve"> </w:t>
      </w:r>
      <w:r w:rsidRPr="007206F2">
        <w:t>daily</w:t>
      </w:r>
      <w:r>
        <w:t xml:space="preserve"> s</w:t>
      </w:r>
      <w:r w:rsidRPr="007206F2">
        <w:t>ee</w:t>
      </w:r>
      <w:r>
        <w:t xml:space="preserve"> </w:t>
      </w:r>
      <w:r w:rsidRPr="007206F2">
        <w:t>produced</w:t>
      </w:r>
      <w:r>
        <w:t xml:space="preserve"> </w:t>
      </w:r>
      <w:r w:rsidRPr="007206F2">
        <w:t>in</w:t>
      </w:r>
      <w:r>
        <w:t xml:space="preserve"> s</w:t>
      </w:r>
      <w:r w:rsidRPr="007206F2">
        <w:t>maller</w:t>
      </w:r>
      <w:r>
        <w:t xml:space="preserve"> </w:t>
      </w:r>
      <w:r w:rsidRPr="007206F2">
        <w:t>animals</w:t>
      </w:r>
      <w:r>
        <w:t xml:space="preserve"> </w:t>
      </w:r>
      <w:r w:rsidRPr="007206F2">
        <w:t>from</w:t>
      </w:r>
      <w:r>
        <w:t xml:space="preserve"> </w:t>
      </w:r>
      <w:r w:rsidRPr="007206F2">
        <w:t>our</w:t>
      </w:r>
      <w:r>
        <w:t xml:space="preserve"> </w:t>
      </w:r>
      <w:r w:rsidRPr="007206F2">
        <w:t>dome</w:t>
      </w:r>
      <w:r>
        <w:t>s</w:t>
      </w:r>
      <w:r w:rsidRPr="007206F2">
        <w:t>tication</w:t>
      </w:r>
      <w:r>
        <w:t xml:space="preserve"> </w:t>
      </w:r>
      <w:r w:rsidRPr="007206F2">
        <w:t>of</w:t>
      </w:r>
      <w:r>
        <w:t xml:space="preserve"> </w:t>
      </w:r>
      <w:r w:rsidRPr="007206F2">
        <w:t>them;</w:t>
      </w:r>
      <w:r>
        <w:t xml:space="preserve"> </w:t>
      </w:r>
      <w:r w:rsidRPr="007206F2">
        <w:t>add</w:t>
      </w:r>
      <w:r>
        <w:t xml:space="preserve"> </w:t>
      </w:r>
      <w:r w:rsidRPr="007206F2">
        <w:t>to</w:t>
      </w:r>
      <w:r>
        <w:t xml:space="preserve"> </w:t>
      </w:r>
      <w:r w:rsidRPr="007206F2">
        <w:t>the</w:t>
      </w:r>
      <w:r>
        <w:t>s</w:t>
      </w:r>
      <w:r w:rsidRPr="007206F2">
        <w:t>e</w:t>
      </w:r>
      <w:r>
        <w:t xml:space="preserve"> </w:t>
      </w:r>
      <w:r w:rsidRPr="007206F2">
        <w:t>the</w:t>
      </w:r>
      <w:r>
        <w:t xml:space="preserve"> </w:t>
      </w:r>
      <w:r w:rsidRPr="007206F2">
        <w:t>various</w:t>
      </w:r>
      <w:r>
        <w:t xml:space="preserve"> </w:t>
      </w:r>
      <w:r w:rsidRPr="007206F2">
        <w:t>changes</w:t>
      </w:r>
      <w:r>
        <w:t xml:space="preserve"> </w:t>
      </w:r>
      <w:r w:rsidRPr="007206F2">
        <w:t>produced</w:t>
      </w:r>
      <w:r>
        <w:t xml:space="preserve"> </w:t>
      </w:r>
      <w:r w:rsidRPr="007206F2">
        <w:t>in</w:t>
      </w:r>
      <w:r>
        <w:t xml:space="preserve"> </w:t>
      </w:r>
      <w:r w:rsidRPr="007206F2">
        <w:t>the</w:t>
      </w:r>
      <w:r>
        <w:t xml:space="preserve"> </w:t>
      </w:r>
      <w:r w:rsidRPr="007206F2">
        <w:t>forms</w:t>
      </w:r>
      <w:r>
        <w:t xml:space="preserve"> </w:t>
      </w:r>
      <w:r w:rsidRPr="007206F2">
        <w:t>of</w:t>
      </w:r>
      <w:r>
        <w:t xml:space="preserve"> </w:t>
      </w:r>
      <w:r w:rsidRPr="007206F2">
        <w:t>mankind,</w:t>
      </w:r>
      <w:r>
        <w:t xml:space="preserve"> </w:t>
      </w:r>
      <w:r w:rsidRPr="007206F2">
        <w:t>by</w:t>
      </w:r>
      <w:r>
        <w:t xml:space="preserve"> </w:t>
      </w:r>
      <w:r w:rsidRPr="007206F2">
        <w:t>their</w:t>
      </w:r>
      <w:r>
        <w:t xml:space="preserve"> </w:t>
      </w:r>
      <w:r w:rsidRPr="007206F2">
        <w:t>early</w:t>
      </w:r>
      <w:r>
        <w:t xml:space="preserve"> </w:t>
      </w:r>
      <w:r w:rsidRPr="007206F2">
        <w:t>modes</w:t>
      </w:r>
      <w:r>
        <w:t xml:space="preserve"> </w:t>
      </w:r>
      <w:r w:rsidRPr="007206F2">
        <w:t>of</w:t>
      </w:r>
      <w:r>
        <w:t xml:space="preserve"> </w:t>
      </w:r>
      <w:r w:rsidRPr="007206F2">
        <w:t>exertion;</w:t>
      </w:r>
      <w:r>
        <w:t xml:space="preserve"> </w:t>
      </w:r>
      <w:r w:rsidRPr="007206F2">
        <w:t>or</w:t>
      </w:r>
      <w:r>
        <w:t xml:space="preserve"> </w:t>
      </w:r>
      <w:r w:rsidRPr="007206F2">
        <w:t>by</w:t>
      </w:r>
      <w:r>
        <w:t xml:space="preserve"> </w:t>
      </w:r>
      <w:r w:rsidRPr="007206F2">
        <w:t>the</w:t>
      </w:r>
      <w:r>
        <w:t xml:space="preserve"> </w:t>
      </w:r>
      <w:r w:rsidRPr="007206F2">
        <w:t>di</w:t>
      </w:r>
      <w:r>
        <w:t>s</w:t>
      </w:r>
      <w:r w:rsidRPr="007206F2">
        <w:t>ea</w:t>
      </w:r>
      <w:r>
        <w:t>s</w:t>
      </w:r>
      <w:r w:rsidRPr="007206F2">
        <w:t>es</w:t>
      </w:r>
      <w:r>
        <w:t xml:space="preserve"> </w:t>
      </w:r>
      <w:r w:rsidRPr="007206F2">
        <w:t>occa</w:t>
      </w:r>
      <w:r>
        <w:t>s</w:t>
      </w:r>
      <w:r w:rsidRPr="007206F2">
        <w:t>ioned</w:t>
      </w:r>
      <w:r>
        <w:t xml:space="preserve"> </w:t>
      </w:r>
      <w:r w:rsidRPr="007206F2">
        <w:t>by</w:t>
      </w:r>
      <w:r>
        <w:t xml:space="preserve"> </w:t>
      </w:r>
      <w:r w:rsidRPr="007206F2">
        <w:t>their</w:t>
      </w:r>
      <w:r>
        <w:t xml:space="preserve"> </w:t>
      </w:r>
      <w:r w:rsidRPr="007206F2">
        <w:t>habits</w:t>
      </w:r>
      <w:r>
        <w:t xml:space="preserve"> </w:t>
      </w:r>
      <w:r w:rsidRPr="007206F2">
        <w:t>of</w:t>
      </w:r>
      <w:r>
        <w:t xml:space="preserve"> </w:t>
      </w:r>
      <w:r w:rsidRPr="007206F2">
        <w:t>life;</w:t>
      </w:r>
      <w:r>
        <w:t xml:space="preserve"> </w:t>
      </w:r>
      <w:r w:rsidRPr="007206F2">
        <w:t>both</w:t>
      </w:r>
      <w:r>
        <w:t xml:space="preserve"> </w:t>
      </w:r>
      <w:r w:rsidRPr="007206F2">
        <w:t>of</w:t>
      </w:r>
      <w:r>
        <w:t xml:space="preserve"> </w:t>
      </w:r>
      <w:r w:rsidRPr="007206F2">
        <w:t>which</w:t>
      </w:r>
      <w:r>
        <w:t xml:space="preserve"> </w:t>
      </w:r>
      <w:r w:rsidRPr="007206F2">
        <w:t>became</w:t>
      </w:r>
      <w:r>
        <w:t xml:space="preserve"> </w:t>
      </w:r>
      <w:r w:rsidRPr="007206F2">
        <w:t>hereditary,</w:t>
      </w:r>
      <w:r>
        <w:t xml:space="preserve"> </w:t>
      </w:r>
      <w:r w:rsidRPr="007206F2">
        <w:t>and</w:t>
      </w:r>
      <w:r>
        <w:t xml:space="preserve"> </w:t>
      </w:r>
      <w:r w:rsidRPr="007206F2">
        <w:t>that</w:t>
      </w:r>
      <w:r>
        <w:t xml:space="preserve"> </w:t>
      </w:r>
      <w:r w:rsidRPr="007206F2">
        <w:t>through</w:t>
      </w:r>
      <w:r>
        <w:t xml:space="preserve"> </w:t>
      </w:r>
      <w:r w:rsidRPr="007206F2">
        <w:t>many</w:t>
      </w:r>
      <w:r>
        <w:t xml:space="preserve"> </w:t>
      </w:r>
      <w:r w:rsidRPr="007206F2">
        <w:t>generations</w:t>
      </w:r>
      <w:r w:rsidR="00F40F29">
        <w:t>’</w:t>
      </w:r>
      <w:r w:rsidR="001E54DC">
        <w:t>.</w:t>
      </w:r>
    </w:p>
  </w:footnote>
  <w:footnote w:id="6">
    <w:p w14:paraId="09F9991D" w14:textId="5FF75291" w:rsidR="0094770E" w:rsidRDefault="0094770E" w:rsidP="0094770E">
      <w:pPr>
        <w:pStyle w:val="FootnoteText"/>
      </w:pPr>
      <w:r>
        <w:rPr>
          <w:rStyle w:val="FootnoteReference"/>
        </w:rPr>
        <w:footnoteRef/>
      </w:r>
      <w:r>
        <w:t xml:space="preserve"> </w:t>
      </w:r>
      <w:r w:rsidRPr="003D58E9">
        <w:t>Lord Mondobbo, </w:t>
      </w:r>
      <w:r w:rsidRPr="003D58E9">
        <w:rPr>
          <w:i/>
          <w:iCs/>
        </w:rPr>
        <w:t>Of the Origin and Progress of Language</w:t>
      </w:r>
      <w:r w:rsidRPr="003D58E9">
        <w:t> (Edinburgh: J. Balfour, 1774)</w:t>
      </w:r>
      <w:r>
        <w:t>, p. i</w:t>
      </w:r>
      <w:r w:rsidR="0095593E">
        <w:t>. ‘For man in his natural state, is the work of God; but as we now see him, he may be said, properly enough, to be the work of man’.</w:t>
      </w:r>
    </w:p>
  </w:footnote>
  <w:footnote w:id="7">
    <w:p w14:paraId="29FC9845" w14:textId="4902AB71" w:rsidR="007D7A8D" w:rsidRDefault="007D7A8D">
      <w:pPr>
        <w:pStyle w:val="FootnoteText"/>
      </w:pPr>
      <w:r>
        <w:rPr>
          <w:rStyle w:val="FootnoteReference"/>
        </w:rPr>
        <w:footnoteRef/>
      </w:r>
      <w:r>
        <w:t xml:space="preserve"> </w:t>
      </w:r>
      <w:r w:rsidRPr="007D7A8D">
        <w:t>Mellor Ann K, 'Frankenstein, Racial Science, and the Yellow Peril', </w:t>
      </w:r>
      <w:r w:rsidRPr="007D7A8D">
        <w:rPr>
          <w:i/>
          <w:iCs/>
        </w:rPr>
        <w:t>Nineteenth-Century Contexts, </w:t>
      </w:r>
      <w:r w:rsidRPr="007D7A8D">
        <w:t>23 (2001), 1-28</w:t>
      </w:r>
      <w:r>
        <w:t xml:space="preserve">, p. 3. </w:t>
      </w:r>
    </w:p>
  </w:footnote>
  <w:footnote w:id="8">
    <w:p w14:paraId="064628DC" w14:textId="438054D6" w:rsidR="00791D96" w:rsidRDefault="00791D96">
      <w:pPr>
        <w:pStyle w:val="FootnoteText"/>
      </w:pPr>
      <w:r>
        <w:rPr>
          <w:rStyle w:val="FootnoteReference"/>
        </w:rPr>
        <w:footnoteRef/>
      </w:r>
      <w:r w:rsidRPr="00791D96">
        <w:t>Kant Immanuel, </w:t>
      </w:r>
      <w:r w:rsidRPr="00791D96">
        <w:rPr>
          <w:i/>
          <w:iCs/>
        </w:rPr>
        <w:t>Kant's C</w:t>
      </w:r>
      <w:r>
        <w:rPr>
          <w:i/>
          <w:iCs/>
        </w:rPr>
        <w:t>r</w:t>
      </w:r>
      <w:r w:rsidRPr="00791D96">
        <w:rPr>
          <w:i/>
          <w:iCs/>
        </w:rPr>
        <w:t>itique of Judgement</w:t>
      </w:r>
      <w:r w:rsidRPr="00791D96">
        <w:t> (London: MacMillan and Co, 1914)</w:t>
      </w:r>
      <w:r w:rsidR="009D5D39">
        <w:t>, p. 279.</w:t>
      </w:r>
      <w:r>
        <w:t xml:space="preserve"> </w:t>
      </w:r>
      <w:r w:rsidR="00725FEF">
        <w:t>‘</w:t>
      </w:r>
      <w:r w:rsidRPr="00791D96">
        <w:t>Much rather does it</w:t>
      </w:r>
      <w:r w:rsidR="009D5D39">
        <w:t xml:space="preserve"> [nature]</w:t>
      </w:r>
      <w:r w:rsidRPr="00791D96">
        <w:t xml:space="preserve"> organise itself and its organised products in every species, no doubt after one general pattern but yet with suitable deviations, which self-preservation demands according to circumstances</w:t>
      </w:r>
      <w:r w:rsidR="00725FEF">
        <w:t>’</w:t>
      </w:r>
      <w:r w:rsidRPr="00791D96">
        <w:t>.</w:t>
      </w:r>
    </w:p>
  </w:footnote>
  <w:footnote w:id="9">
    <w:p w14:paraId="1BB2BF2E" w14:textId="51319CCE" w:rsidR="002B30B7" w:rsidRDefault="002B30B7">
      <w:pPr>
        <w:pStyle w:val="FootnoteText"/>
      </w:pPr>
      <w:r>
        <w:rPr>
          <w:rStyle w:val="FootnoteReference"/>
        </w:rPr>
        <w:footnoteRef/>
      </w:r>
      <w:r>
        <w:t xml:space="preserve"> </w:t>
      </w:r>
      <w:r w:rsidRPr="002B30B7">
        <w:t>Blumenbach Johann Friedrich, </w:t>
      </w:r>
      <w:r w:rsidRPr="002B30B7">
        <w:rPr>
          <w:i/>
          <w:iCs/>
        </w:rPr>
        <w:t>The Anthropological Treatise of Johann Friedrich Blumenbach, Late Professor at Gottingen and Court Physician to the King of Great Britain</w:t>
      </w:r>
      <w:r w:rsidRPr="002B30B7">
        <w:t> (Gottingen: Forgotten Books, 2017)</w:t>
      </w:r>
      <w:r>
        <w:t>, pp. 296, 297.</w:t>
      </w:r>
    </w:p>
  </w:footnote>
  <w:footnote w:id="10">
    <w:p w14:paraId="5A02810A" w14:textId="76BB93C0" w:rsidR="0094770E" w:rsidRDefault="0094770E" w:rsidP="0094770E">
      <w:pPr>
        <w:pStyle w:val="FootnoteText"/>
      </w:pPr>
      <w:r>
        <w:rPr>
          <w:rStyle w:val="FootnoteReference"/>
        </w:rPr>
        <w:footnoteRef/>
      </w:r>
      <w:r>
        <w:t xml:space="preserve"> </w:t>
      </w:r>
      <w:r w:rsidRPr="00275FAB">
        <w:t>Comte de Buffon, </w:t>
      </w:r>
      <w:r w:rsidRPr="00275FAB">
        <w:rPr>
          <w:i/>
          <w:iCs/>
        </w:rPr>
        <w:t>Buffons Natural History</w:t>
      </w:r>
      <w:r>
        <w:rPr>
          <w:i/>
          <w:iCs/>
        </w:rPr>
        <w:t>, volume</w:t>
      </w:r>
      <w:r w:rsidRPr="00275FAB">
        <w:t> (London: J. S Barr, 1792)</w:t>
      </w:r>
      <w:r>
        <w:t>, p. 333</w:t>
      </w:r>
      <w:bookmarkStart w:id="0" w:name="_Hlk36820014"/>
      <w:r>
        <w:t xml:space="preserve"> </w:t>
      </w:r>
      <w:bookmarkEnd w:id="0"/>
    </w:p>
  </w:footnote>
  <w:footnote w:id="11">
    <w:p w14:paraId="6349B5A8" w14:textId="7743C1C6" w:rsidR="00E55725" w:rsidRDefault="00E55725">
      <w:pPr>
        <w:pStyle w:val="FootnoteText"/>
      </w:pPr>
      <w:r>
        <w:rPr>
          <w:rStyle w:val="FootnoteReference"/>
        </w:rPr>
        <w:footnoteRef/>
      </w:r>
      <w:r>
        <w:t xml:space="preserve"> </w:t>
      </w:r>
      <w:r w:rsidR="00121072" w:rsidRPr="00121072">
        <w:t>White</w:t>
      </w:r>
      <w:r w:rsidR="00725FEF">
        <w:t>,</w:t>
      </w:r>
      <w:r w:rsidR="00121072" w:rsidRPr="00121072">
        <w:rPr>
          <w:i/>
          <w:iCs/>
        </w:rPr>
        <w:t xml:space="preserve"> Regular Gradation of Man</w:t>
      </w:r>
      <w:r w:rsidR="00121072">
        <w:t>, p. 42. White speculates on his investigation into differences between the races ‘the European, on the one hand, and, on the other, to the African, who seems to approach nearer to the brute creation than any other of the human species.’</w:t>
      </w:r>
    </w:p>
  </w:footnote>
  <w:footnote w:id="12">
    <w:p w14:paraId="329D5D17" w14:textId="157C2795" w:rsidR="004C1B3A" w:rsidRDefault="004C1B3A">
      <w:pPr>
        <w:pStyle w:val="FootnoteText"/>
      </w:pPr>
      <w:r>
        <w:rPr>
          <w:rStyle w:val="FootnoteReference"/>
        </w:rPr>
        <w:footnoteRef/>
      </w:r>
      <w:r>
        <w:t xml:space="preserve"> </w:t>
      </w:r>
      <w:r w:rsidRPr="004C1B3A">
        <w:t>Blumenbach,</w:t>
      </w:r>
      <w:r w:rsidRPr="004C1B3A">
        <w:rPr>
          <w:i/>
          <w:iCs/>
        </w:rPr>
        <w:t xml:space="preserve"> Anthropological Treatise</w:t>
      </w:r>
      <w:r w:rsidR="0037787B">
        <w:t>, pp. 303,</w:t>
      </w:r>
      <w:r w:rsidR="002B30B7">
        <w:t xml:space="preserve"> 307.</w:t>
      </w:r>
    </w:p>
  </w:footnote>
  <w:footnote w:id="13">
    <w:p w14:paraId="6B40FB6E" w14:textId="2DF5FEFF" w:rsidR="00FC6A02" w:rsidRDefault="00FC6A02">
      <w:pPr>
        <w:pStyle w:val="FootnoteText"/>
      </w:pPr>
      <w:r>
        <w:rPr>
          <w:rStyle w:val="FootnoteReference"/>
        </w:rPr>
        <w:footnoteRef/>
      </w:r>
      <w:r>
        <w:t xml:space="preserve"> </w:t>
      </w:r>
      <w:r w:rsidRPr="00FC6A02">
        <w:t>Mello</w:t>
      </w:r>
      <w:r w:rsidR="00725FEF">
        <w:t>r</w:t>
      </w:r>
      <w:r w:rsidRPr="00FC6A02">
        <w:t>, 'Frankenstein', p</w:t>
      </w:r>
      <w:r>
        <w:t>p</w:t>
      </w:r>
      <w:r w:rsidRPr="00FC6A02">
        <w:t xml:space="preserve">. </w:t>
      </w:r>
      <w:r>
        <w:t>5</w:t>
      </w:r>
      <w:r w:rsidRPr="00FC6A02">
        <w:t>.</w:t>
      </w:r>
      <w:r>
        <w:t xml:space="preserve"> Blumenbach’s studies were on the physical characteristics of the races, it was one of his disciples, </w:t>
      </w:r>
      <w:r w:rsidR="00660D16">
        <w:t xml:space="preserve">Professor William Lawrence who attached personality traits to race. </w:t>
      </w:r>
      <w:r w:rsidRPr="00FC6A02">
        <w:t xml:space="preserve"> </w:t>
      </w:r>
    </w:p>
  </w:footnote>
  <w:footnote w:id="14">
    <w:p w14:paraId="396CBC33" w14:textId="38AD3C22" w:rsidR="000925AA" w:rsidRDefault="000925AA">
      <w:pPr>
        <w:pStyle w:val="FootnoteText"/>
      </w:pPr>
      <w:r>
        <w:rPr>
          <w:rStyle w:val="FootnoteReference"/>
        </w:rPr>
        <w:footnoteRef/>
      </w:r>
      <w:r>
        <w:t xml:space="preserve"> </w:t>
      </w:r>
      <w:r w:rsidRPr="00303B43">
        <w:t>Herodotus, </w:t>
      </w:r>
      <w:r w:rsidRPr="00303B43">
        <w:rPr>
          <w:i/>
          <w:iCs/>
        </w:rPr>
        <w:t>The History of Herodotus</w:t>
      </w:r>
      <w:r w:rsidRPr="000925AA">
        <w:rPr>
          <w:i/>
          <w:iCs/>
        </w:rPr>
        <w:t>,</w:t>
      </w:r>
      <w:r w:rsidRPr="00303B43">
        <w:t> </w:t>
      </w:r>
      <w:r w:rsidRPr="000925AA">
        <w:t xml:space="preserve">Trans </w:t>
      </w:r>
      <w:r w:rsidRPr="00303B43">
        <w:t xml:space="preserve">Macauly G. C: </w:t>
      </w:r>
      <w:r w:rsidRPr="000925AA">
        <w:t>(</w:t>
      </w:r>
      <w:r w:rsidRPr="00303B43">
        <w:t>The Guttenberg Project, 2008)</w:t>
      </w:r>
    </w:p>
  </w:footnote>
  <w:footnote w:id="15">
    <w:p w14:paraId="6588754A" w14:textId="68E8BE57" w:rsidR="000925AA" w:rsidRDefault="000925AA">
      <w:pPr>
        <w:pStyle w:val="FootnoteText"/>
      </w:pPr>
      <w:r>
        <w:rPr>
          <w:rStyle w:val="FootnoteReference"/>
        </w:rPr>
        <w:footnoteRef/>
      </w:r>
      <w:r>
        <w:t xml:space="preserve"> </w:t>
      </w:r>
      <w:r w:rsidRPr="00303B43">
        <w:t>Pliny, </w:t>
      </w:r>
      <w:r w:rsidRPr="00303B43">
        <w:rPr>
          <w:i/>
          <w:iCs/>
        </w:rPr>
        <w:t>The Natural Hist</w:t>
      </w:r>
      <w:r w:rsidRPr="000925AA">
        <w:rPr>
          <w:i/>
          <w:iCs/>
        </w:rPr>
        <w:t>or</w:t>
      </w:r>
      <w:r w:rsidRPr="00303B43">
        <w:rPr>
          <w:i/>
          <w:iCs/>
        </w:rPr>
        <w:t>y of Pliny, Volume 1.</w:t>
      </w:r>
      <w:r w:rsidRPr="00303B43">
        <w:t xml:space="preserve"> ed. Bostock John; Riley H. T: </w:t>
      </w:r>
      <w:r w:rsidRPr="000925AA">
        <w:t>(</w:t>
      </w:r>
      <w:r w:rsidRPr="00303B43">
        <w:t>The Guttenberg Project)</w:t>
      </w:r>
    </w:p>
  </w:footnote>
  <w:footnote w:id="16">
    <w:p w14:paraId="773B0050" w14:textId="36F4D858" w:rsidR="00504DB0" w:rsidRDefault="00504DB0">
      <w:pPr>
        <w:pStyle w:val="FootnoteText"/>
      </w:pPr>
      <w:r>
        <w:rPr>
          <w:rStyle w:val="FootnoteReference"/>
        </w:rPr>
        <w:footnoteRef/>
      </w:r>
      <w:r>
        <w:t xml:space="preserve"> </w:t>
      </w:r>
      <w:r w:rsidRPr="00B06FDC">
        <w:t>Hodgen Margaret, </w:t>
      </w:r>
      <w:r w:rsidRPr="00B06FDC">
        <w:rPr>
          <w:i/>
          <w:iCs/>
        </w:rPr>
        <w:t>Early Anthropology in the Sixteenth and Seventeenth Centuries</w:t>
      </w:r>
      <w:r w:rsidRPr="00B06FDC">
        <w:t> (Philadelphia: University of Pennsylvania Press, 1964)</w:t>
      </w:r>
      <w:r>
        <w:t>, pp. 28, 33, 34, 36, 95</w:t>
      </w:r>
      <w:r w:rsidR="00A12DBF">
        <w:t>.</w:t>
      </w:r>
    </w:p>
  </w:footnote>
  <w:footnote w:id="17">
    <w:p w14:paraId="6E46ACC5" w14:textId="52DC5B86" w:rsidR="00597ABD" w:rsidRDefault="00597ABD">
      <w:pPr>
        <w:pStyle w:val="FootnoteText"/>
      </w:pPr>
      <w:r>
        <w:rPr>
          <w:rStyle w:val="FootnoteReference"/>
        </w:rPr>
        <w:footnoteRef/>
      </w:r>
      <w:r>
        <w:t xml:space="preserve"> </w:t>
      </w:r>
      <w:r w:rsidRPr="00B06FDC">
        <w:t>Erikson Hylland Thomas and Nielsen Sivert Finn, 'Proto-Anthropology', in </w:t>
      </w:r>
      <w:r w:rsidRPr="00B06FDC">
        <w:rPr>
          <w:i/>
          <w:iCs/>
        </w:rPr>
        <w:t>A History of Anthropology</w:t>
      </w:r>
      <w:r w:rsidRPr="00597ABD">
        <w:rPr>
          <w:i/>
          <w:iCs/>
        </w:rPr>
        <w:t xml:space="preserve"> </w:t>
      </w:r>
      <w:r w:rsidRPr="00B06FDC">
        <w:t>(London: Pluto Press, 2013), pp. 1-19</w:t>
      </w:r>
      <w:r>
        <w:t xml:space="preserve">, p. 6. </w:t>
      </w:r>
    </w:p>
  </w:footnote>
  <w:footnote w:id="18">
    <w:p w14:paraId="59CA1CAC" w14:textId="79D8AD3E" w:rsidR="0030301F" w:rsidRDefault="0030301F">
      <w:pPr>
        <w:pStyle w:val="FootnoteText"/>
      </w:pPr>
      <w:r>
        <w:rPr>
          <w:rStyle w:val="FootnoteReference"/>
        </w:rPr>
        <w:footnoteRef/>
      </w:r>
      <w:r>
        <w:t xml:space="preserve"> </w:t>
      </w:r>
      <w:bookmarkStart w:id="1" w:name="_Hlk36419762"/>
      <w:r w:rsidRPr="00803A10">
        <w:t>Hodgen</w:t>
      </w:r>
      <w:r w:rsidR="00725FEF">
        <w:t xml:space="preserve"> </w:t>
      </w:r>
      <w:r w:rsidRPr="00803A10">
        <w:rPr>
          <w:i/>
          <w:iCs/>
        </w:rPr>
        <w:t>Anthropology in the Sixteenth and Seventeenth Centuries</w:t>
      </w:r>
      <w:r w:rsidR="00725FEF">
        <w:t>,</w:t>
      </w:r>
      <w:r>
        <w:t xml:space="preserve"> p</w:t>
      </w:r>
      <w:r w:rsidR="008278CD">
        <w:t>p</w:t>
      </w:r>
      <w:r>
        <w:t xml:space="preserve">. </w:t>
      </w:r>
      <w:r w:rsidR="00027DC1">
        <w:t>191</w:t>
      </w:r>
      <w:r w:rsidR="005B38D6">
        <w:t>,</w:t>
      </w:r>
      <w:r w:rsidR="008278CD">
        <w:t xml:space="preserve"> 192</w:t>
      </w:r>
      <w:r w:rsidR="005B38D6">
        <w:t>.</w:t>
      </w:r>
    </w:p>
    <w:bookmarkEnd w:id="1"/>
  </w:footnote>
  <w:footnote w:id="19">
    <w:p w14:paraId="1833BDE9" w14:textId="382F968E" w:rsidR="005B38D6" w:rsidRDefault="005B38D6">
      <w:pPr>
        <w:pStyle w:val="FootnoteText"/>
      </w:pPr>
      <w:r>
        <w:rPr>
          <w:rStyle w:val="FootnoteReference"/>
        </w:rPr>
        <w:footnoteRef/>
      </w:r>
      <w:r>
        <w:t xml:space="preserve"> </w:t>
      </w:r>
      <w:r w:rsidRPr="00803A10">
        <w:t>Hodgen</w:t>
      </w:r>
      <w:r w:rsidR="00725FEF">
        <w:t xml:space="preserve"> </w:t>
      </w:r>
      <w:r w:rsidRPr="00803A10">
        <w:rPr>
          <w:i/>
          <w:iCs/>
        </w:rPr>
        <w:t>Anthropology in the Sixteenth and Seventeenth Centuries</w:t>
      </w:r>
      <w:r w:rsidRPr="005B38D6">
        <w:t>, pp.</w:t>
      </w:r>
      <w:r>
        <w:t xml:space="preserve"> 33, 34, 188.</w:t>
      </w:r>
      <w:r w:rsidRPr="005B38D6">
        <w:t xml:space="preserve"> </w:t>
      </w:r>
    </w:p>
  </w:footnote>
  <w:footnote w:id="20">
    <w:p w14:paraId="4C2D927D" w14:textId="54EC5D8D" w:rsidR="00AA606A" w:rsidRDefault="00AA606A">
      <w:pPr>
        <w:pStyle w:val="FootnoteText"/>
      </w:pPr>
      <w:r>
        <w:rPr>
          <w:rStyle w:val="FootnoteReference"/>
        </w:rPr>
        <w:footnoteRef/>
      </w:r>
      <w:r>
        <w:t xml:space="preserve"> </w:t>
      </w:r>
      <w:r w:rsidRPr="00AA606A">
        <w:t>Connaughton Richard, </w:t>
      </w:r>
      <w:r w:rsidRPr="00AA606A">
        <w:rPr>
          <w:i/>
          <w:iCs/>
        </w:rPr>
        <w:t>Omai: The Prince Who Never was</w:t>
      </w:r>
      <w:r w:rsidRPr="00AA606A">
        <w:t> (London: Timewell Press, 2005) pp.</w:t>
      </w:r>
      <w:r>
        <w:t xml:space="preserve"> 115, 116.</w:t>
      </w:r>
    </w:p>
  </w:footnote>
  <w:footnote w:id="21">
    <w:p w14:paraId="541EF6A0" w14:textId="5C008F59" w:rsidR="00DC2601" w:rsidRDefault="00DC2601">
      <w:pPr>
        <w:pStyle w:val="FootnoteText"/>
      </w:pPr>
      <w:r>
        <w:rPr>
          <w:rStyle w:val="FootnoteReference"/>
        </w:rPr>
        <w:footnoteRef/>
      </w:r>
      <w:r>
        <w:t xml:space="preserve"> </w:t>
      </w:r>
      <w:bookmarkStart w:id="2" w:name="_Hlk36823766"/>
      <w:bookmarkStart w:id="3" w:name="_Hlk36728848"/>
      <w:bookmarkStart w:id="4" w:name="_Hlk35867061"/>
      <w:r w:rsidRPr="00DC2601">
        <w:t>Connaughton, </w:t>
      </w:r>
      <w:r w:rsidRPr="00DC2601">
        <w:rPr>
          <w:i/>
          <w:iCs/>
        </w:rPr>
        <w:t>Omai</w:t>
      </w:r>
      <w:r w:rsidR="00725FEF">
        <w:rPr>
          <w:i/>
          <w:iCs/>
        </w:rPr>
        <w:t>,</w:t>
      </w:r>
      <w:r>
        <w:t xml:space="preserve"> pp</w:t>
      </w:r>
      <w:bookmarkEnd w:id="2"/>
      <w:r>
        <w:t xml:space="preserve">. </w:t>
      </w:r>
      <w:bookmarkEnd w:id="3"/>
      <w:r>
        <w:t>110</w:t>
      </w:r>
      <w:r w:rsidR="007D5D54">
        <w:t>,</w:t>
      </w:r>
      <w:r>
        <w:t xml:space="preserve"> 111.</w:t>
      </w:r>
      <w:bookmarkEnd w:id="4"/>
    </w:p>
  </w:footnote>
  <w:footnote w:id="22">
    <w:p w14:paraId="6423AFED" w14:textId="68D0CF69" w:rsidR="00891FC2" w:rsidRDefault="00891FC2">
      <w:pPr>
        <w:pStyle w:val="FootnoteText"/>
      </w:pPr>
      <w:r>
        <w:rPr>
          <w:rStyle w:val="FootnoteReference"/>
        </w:rPr>
        <w:footnoteRef/>
      </w:r>
      <w:r>
        <w:t xml:space="preserve"> </w:t>
      </w:r>
      <w:r w:rsidRPr="001C688D">
        <w:t>Freud Sigmund, 'Family Romances: The Standard Edition of the Complete Psychological Works of Sigmund Freud', </w:t>
      </w:r>
      <w:r w:rsidRPr="001C688D">
        <w:rPr>
          <w:i/>
          <w:iCs/>
        </w:rPr>
        <w:t>Jensen's ‘Gradiva’ and Other Works, </w:t>
      </w:r>
      <w:r w:rsidRPr="001C688D">
        <w:t>IX (1906-1908), 235-242</w:t>
      </w:r>
      <w:r>
        <w:t>, pp. 238-239.</w:t>
      </w:r>
    </w:p>
  </w:footnote>
  <w:footnote w:id="23">
    <w:p w14:paraId="1D0D8E51" w14:textId="7C0F8521" w:rsidR="005F2041" w:rsidRDefault="005F2041">
      <w:pPr>
        <w:pStyle w:val="FootnoteText"/>
      </w:pPr>
      <w:r>
        <w:rPr>
          <w:rStyle w:val="FootnoteReference"/>
        </w:rPr>
        <w:footnoteRef/>
      </w:r>
      <w:r>
        <w:t xml:space="preserve"> </w:t>
      </w:r>
      <w:r w:rsidRPr="001C688D">
        <w:t>Daws Gavan, 'All the Horrors of the Half</w:t>
      </w:r>
      <w:r w:rsidRPr="005F2041">
        <w:t>-</w:t>
      </w:r>
      <w:r w:rsidRPr="001C688D">
        <w:t>Known Life. some Notes on the Writing of Biography in the Pacific', in </w:t>
      </w:r>
      <w:r w:rsidRPr="001C688D">
        <w:rPr>
          <w:i/>
          <w:iCs/>
        </w:rPr>
        <w:t>The Changing Pacific</w:t>
      </w:r>
      <w:r w:rsidRPr="001C688D">
        <w:t xml:space="preserve">, ed. by Niel </w:t>
      </w:r>
      <w:r w:rsidRPr="005F2041">
        <w:t>Walter (</w:t>
      </w:r>
      <w:r w:rsidRPr="001C688D">
        <w:t>Oxford: Oxford University Press, 1978), pp. 297-308</w:t>
      </w:r>
      <w:r>
        <w:t xml:space="preserve"> p. 300.</w:t>
      </w:r>
    </w:p>
  </w:footnote>
  <w:footnote w:id="24">
    <w:p w14:paraId="38DC21F3" w14:textId="00F60F38" w:rsidR="000C617C" w:rsidRDefault="000C617C">
      <w:pPr>
        <w:pStyle w:val="FootnoteText"/>
      </w:pPr>
      <w:r>
        <w:rPr>
          <w:rStyle w:val="FootnoteReference"/>
        </w:rPr>
        <w:footnoteRef/>
      </w:r>
      <w:r>
        <w:t xml:space="preserve"> </w:t>
      </w:r>
      <w:r w:rsidRPr="000C617C">
        <w:t>Jones Kim A., 'Assessing the Impact of Father-Absence from a Psychoanalytic</w:t>
      </w:r>
      <w:r>
        <w:t xml:space="preserve"> </w:t>
      </w:r>
      <w:r w:rsidRPr="000C617C">
        <w:t>Perspective', </w:t>
      </w:r>
      <w:r w:rsidRPr="000C617C">
        <w:rPr>
          <w:i/>
          <w:iCs/>
        </w:rPr>
        <w:t>Psychoanalytic Social Work, </w:t>
      </w:r>
      <w:r w:rsidRPr="000C617C">
        <w:t>14 (2008), 43-58</w:t>
      </w:r>
      <w:r>
        <w:t xml:space="preserve">, p. 47. </w:t>
      </w:r>
    </w:p>
  </w:footnote>
  <w:footnote w:id="25">
    <w:p w14:paraId="2D0ED3C6" w14:textId="0A592F95" w:rsidR="000C617C" w:rsidRDefault="000C617C">
      <w:pPr>
        <w:pStyle w:val="FootnoteText"/>
      </w:pPr>
      <w:r>
        <w:rPr>
          <w:rStyle w:val="FootnoteReference"/>
        </w:rPr>
        <w:footnoteRef/>
      </w:r>
      <w:r>
        <w:t xml:space="preserve"> Ref archival source</w:t>
      </w:r>
    </w:p>
  </w:footnote>
  <w:footnote w:id="26">
    <w:p w14:paraId="7E491F66" w14:textId="39EE3A80" w:rsidR="00CD2298" w:rsidRDefault="00CD2298">
      <w:pPr>
        <w:pStyle w:val="FootnoteText"/>
      </w:pPr>
      <w:r>
        <w:rPr>
          <w:rStyle w:val="FootnoteReference"/>
        </w:rPr>
        <w:footnoteRef/>
      </w:r>
      <w:r>
        <w:t xml:space="preserve"> See figure 2.</w:t>
      </w:r>
    </w:p>
  </w:footnote>
  <w:footnote w:id="27">
    <w:p w14:paraId="40ECA1A3" w14:textId="334FEA5E" w:rsidR="00F56FBE" w:rsidRDefault="00F56FBE">
      <w:pPr>
        <w:pStyle w:val="FootnoteText"/>
      </w:pPr>
      <w:r>
        <w:rPr>
          <w:rStyle w:val="FootnoteReference"/>
        </w:rPr>
        <w:footnoteRef/>
      </w:r>
      <w:r>
        <w:t xml:space="preserve"> </w:t>
      </w:r>
      <w:r w:rsidRPr="00F56FBE">
        <w:t>Connaughton, </w:t>
      </w:r>
      <w:r w:rsidRPr="00F56FBE">
        <w:rPr>
          <w:i/>
          <w:iCs/>
        </w:rPr>
        <w:t>Omai</w:t>
      </w:r>
      <w:r>
        <w:t>,</w:t>
      </w:r>
      <w:r w:rsidRPr="00F56FBE">
        <w:t xml:space="preserve"> p</w:t>
      </w:r>
      <w:r>
        <w:t>. 138.</w:t>
      </w:r>
    </w:p>
  </w:footnote>
  <w:footnote w:id="28">
    <w:p w14:paraId="414000C7" w14:textId="3400EDA9" w:rsidR="00E4498B" w:rsidRDefault="00E4498B">
      <w:pPr>
        <w:pStyle w:val="FootnoteText"/>
      </w:pPr>
      <w:r>
        <w:rPr>
          <w:rStyle w:val="FootnoteReference"/>
        </w:rPr>
        <w:footnoteRef/>
      </w:r>
      <w:r>
        <w:t xml:space="preserve"> A Voyage Towards the South Pole 1772, 1773, 1774, 1775, pp. 169, 170.</w:t>
      </w:r>
    </w:p>
  </w:footnote>
  <w:footnote w:id="29">
    <w:p w14:paraId="0092A0A4" w14:textId="2A32B478" w:rsidR="00B56465" w:rsidRDefault="00B56465" w:rsidP="00B56465">
      <w:pPr>
        <w:pStyle w:val="FootnoteText"/>
      </w:pPr>
      <w:r>
        <w:rPr>
          <w:rStyle w:val="FootnoteReference"/>
        </w:rPr>
        <w:footnoteRef/>
      </w:r>
      <w:r>
        <w:t xml:space="preserve"> </w:t>
      </w:r>
      <w:r w:rsidRPr="00750EBD">
        <w:t>Fara, </w:t>
      </w:r>
      <w:r w:rsidRPr="00750EBD">
        <w:rPr>
          <w:i/>
          <w:iCs/>
        </w:rPr>
        <w:t>Sex, Botany &amp; Empire</w:t>
      </w:r>
      <w:r w:rsidRPr="00750EBD">
        <w:t>,</w:t>
      </w:r>
      <w:r w:rsidR="00725FEF" w:rsidRPr="00725FEF">
        <w:rPr>
          <w:sz w:val="22"/>
          <w:szCs w:val="22"/>
        </w:rPr>
        <w:t xml:space="preserve"> </w:t>
      </w:r>
      <w:r w:rsidR="00725FEF" w:rsidRPr="00725FEF">
        <w:t>(Crows Nest NSW: Icon books, 2003),</w:t>
      </w:r>
      <w:r w:rsidRPr="00750EBD">
        <w:t xml:space="preserve"> p</w:t>
      </w:r>
      <w:r>
        <w:t>. 121.</w:t>
      </w:r>
    </w:p>
  </w:footnote>
  <w:footnote w:id="30">
    <w:p w14:paraId="14295393" w14:textId="01912421" w:rsidR="00B56465" w:rsidRDefault="00B56465" w:rsidP="00B56465">
      <w:pPr>
        <w:pStyle w:val="FootnoteText"/>
      </w:pPr>
      <w:r>
        <w:rPr>
          <w:rStyle w:val="FootnoteReference"/>
        </w:rPr>
        <w:footnoteRef/>
      </w:r>
      <w:r>
        <w:t xml:space="preserve"> </w:t>
      </w:r>
      <w:r w:rsidRPr="00FA4641">
        <w:t>Connaughton, </w:t>
      </w:r>
      <w:r w:rsidRPr="00FA4641">
        <w:rPr>
          <w:i/>
          <w:iCs/>
        </w:rPr>
        <w:t>Omai</w:t>
      </w:r>
      <w:r>
        <w:t>, p. 126.</w:t>
      </w:r>
    </w:p>
  </w:footnote>
  <w:footnote w:id="31">
    <w:p w14:paraId="0AEEACC0" w14:textId="791D0997" w:rsidR="006D3E9C" w:rsidRDefault="006D3E9C">
      <w:pPr>
        <w:pStyle w:val="FootnoteText"/>
      </w:pPr>
      <w:r>
        <w:rPr>
          <w:rStyle w:val="FootnoteReference"/>
        </w:rPr>
        <w:footnoteRef/>
      </w:r>
      <w:r>
        <w:t xml:space="preserve"> </w:t>
      </w:r>
      <w:r w:rsidRPr="006D3E9C">
        <w:t>Connaughton, </w:t>
      </w:r>
      <w:r w:rsidRPr="006D3E9C">
        <w:rPr>
          <w:i/>
          <w:iCs/>
        </w:rPr>
        <w:t>Omai</w:t>
      </w:r>
      <w:r>
        <w:t>, p. 122.</w:t>
      </w:r>
    </w:p>
  </w:footnote>
  <w:footnote w:id="32">
    <w:p w14:paraId="630B6193" w14:textId="414632F0" w:rsidR="003153F8" w:rsidRDefault="003153F8">
      <w:pPr>
        <w:pStyle w:val="FootnoteText"/>
      </w:pPr>
      <w:r>
        <w:rPr>
          <w:rStyle w:val="FootnoteReference"/>
        </w:rPr>
        <w:footnoteRef/>
      </w:r>
      <w:r>
        <w:t xml:space="preserve"> </w:t>
      </w:r>
      <w:r w:rsidRPr="003153F8">
        <w:t>Brougham, Henry, </w:t>
      </w:r>
      <w:r w:rsidRPr="003153F8">
        <w:rPr>
          <w:i/>
          <w:iCs/>
        </w:rPr>
        <w:t>Lives of Men of Letters and Science Who Flourished in the Time of King George III</w:t>
      </w:r>
      <w:r w:rsidRPr="003153F8">
        <w:t> (London: Charles Knight, 1846)</w:t>
      </w:r>
      <w:r>
        <w:t>, pp. 222, 223.</w:t>
      </w:r>
    </w:p>
  </w:footnote>
  <w:footnote w:id="33">
    <w:p w14:paraId="2FE98013" w14:textId="6F206594" w:rsidR="003153F8" w:rsidRDefault="003153F8">
      <w:pPr>
        <w:pStyle w:val="FootnoteText"/>
      </w:pPr>
      <w:r>
        <w:rPr>
          <w:rStyle w:val="FootnoteReference"/>
        </w:rPr>
        <w:footnoteRef/>
      </w:r>
      <w:r>
        <w:t xml:space="preserve"> FR</w:t>
      </w:r>
    </w:p>
  </w:footnote>
  <w:footnote w:id="34">
    <w:p w14:paraId="22BD9C3A" w14:textId="136F5B8B" w:rsidR="008D44FF" w:rsidRDefault="008D44FF" w:rsidP="008D44FF">
      <w:pPr>
        <w:pStyle w:val="FootnoteText"/>
      </w:pPr>
      <w:r>
        <w:rPr>
          <w:rStyle w:val="FootnoteReference"/>
        </w:rPr>
        <w:footnoteRef/>
      </w:r>
      <w:r>
        <w:t xml:space="preserve"> </w:t>
      </w:r>
      <w:bookmarkStart w:id="11" w:name="_Hlk36158577"/>
      <w:r w:rsidRPr="00B3539D">
        <w:t>Fara, </w:t>
      </w:r>
      <w:r w:rsidRPr="00B3539D">
        <w:rPr>
          <w:i/>
          <w:iCs/>
        </w:rPr>
        <w:t>Sex, Botany &amp; Empire</w:t>
      </w:r>
      <w:r w:rsidRPr="00B3539D">
        <w:t> </w:t>
      </w:r>
      <w:r>
        <w:t xml:space="preserve">p. </w:t>
      </w:r>
      <w:bookmarkEnd w:id="11"/>
      <w:r>
        <w:t>97.</w:t>
      </w:r>
    </w:p>
  </w:footnote>
  <w:footnote w:id="35">
    <w:p w14:paraId="169B295F" w14:textId="10565B48" w:rsidR="00375B9D" w:rsidRDefault="00375B9D">
      <w:pPr>
        <w:pStyle w:val="FootnoteText"/>
      </w:pPr>
      <w:r>
        <w:rPr>
          <w:rStyle w:val="FootnoteReference"/>
        </w:rPr>
        <w:footnoteRef/>
      </w:r>
      <w:r>
        <w:t xml:space="preserve"> </w:t>
      </w:r>
      <w:bookmarkStart w:id="12" w:name="_Hlk36638145"/>
      <w:r w:rsidRPr="00375B9D">
        <w:t>Brougham, </w:t>
      </w:r>
      <w:r w:rsidRPr="00375B9D">
        <w:rPr>
          <w:i/>
          <w:iCs/>
        </w:rPr>
        <w:t>Lives of Men of Letters and Science</w:t>
      </w:r>
      <w:r>
        <w:t xml:space="preserve">, </w:t>
      </w:r>
      <w:bookmarkEnd w:id="12"/>
      <w:r>
        <w:t>p</w:t>
      </w:r>
      <w:r w:rsidR="001F73EA">
        <w:t>p</w:t>
      </w:r>
      <w:r>
        <w:t>. 223</w:t>
      </w:r>
      <w:r w:rsidR="001F73EA">
        <w:t>, 238</w:t>
      </w:r>
      <w:r>
        <w:t>.</w:t>
      </w:r>
    </w:p>
  </w:footnote>
  <w:footnote w:id="36">
    <w:p w14:paraId="3C83AAD1" w14:textId="368FCC20" w:rsidR="007960B7" w:rsidRDefault="007960B7">
      <w:pPr>
        <w:pStyle w:val="FootnoteText"/>
      </w:pPr>
      <w:r>
        <w:rPr>
          <w:rStyle w:val="FootnoteReference"/>
        </w:rPr>
        <w:footnoteRef/>
      </w:r>
      <w:r>
        <w:t xml:space="preserve"> </w:t>
      </w:r>
      <w:r w:rsidRPr="007960B7">
        <w:t>O'Brien, Patrick, </w:t>
      </w:r>
      <w:r w:rsidRPr="007960B7">
        <w:rPr>
          <w:i/>
          <w:iCs/>
        </w:rPr>
        <w:t>Joseph Banks a Life</w:t>
      </w:r>
      <w:r w:rsidRPr="007960B7">
        <w:t> (London: the Harvill press, 1987)</w:t>
      </w:r>
      <w:r>
        <w:t>, pp. 28, 29, 30.</w:t>
      </w:r>
    </w:p>
  </w:footnote>
  <w:footnote w:id="37">
    <w:p w14:paraId="1F40C4BC" w14:textId="122D29F8" w:rsidR="00A47B1B" w:rsidRDefault="00A47B1B">
      <w:pPr>
        <w:pStyle w:val="FootnoteText"/>
      </w:pPr>
      <w:r>
        <w:rPr>
          <w:rStyle w:val="FootnoteReference"/>
        </w:rPr>
        <w:footnoteRef/>
      </w:r>
      <w:r>
        <w:t xml:space="preserve"> </w:t>
      </w:r>
      <w:r w:rsidRPr="00A47B1B">
        <w:t>Brougham, </w:t>
      </w:r>
      <w:r w:rsidRPr="00A47B1B">
        <w:rPr>
          <w:i/>
          <w:iCs/>
        </w:rPr>
        <w:t>Lives of Men of Letters and Science</w:t>
      </w:r>
      <w:r w:rsidRPr="00A47B1B">
        <w:t>,</w:t>
      </w:r>
      <w:r>
        <w:t xml:space="preserve"> p. 225.</w:t>
      </w:r>
    </w:p>
  </w:footnote>
  <w:footnote w:id="38">
    <w:p w14:paraId="183C6F7C" w14:textId="63CFFDEB" w:rsidR="006C65E5" w:rsidRDefault="006C65E5">
      <w:pPr>
        <w:pStyle w:val="FootnoteText"/>
      </w:pPr>
      <w:r>
        <w:rPr>
          <w:rStyle w:val="FootnoteReference"/>
        </w:rPr>
        <w:footnoteRef/>
      </w:r>
      <w:r>
        <w:t xml:space="preserve"> </w:t>
      </w:r>
      <w:r w:rsidRPr="006C65E5">
        <w:t>Holmes, Richard, 'Joseph Banks in Paradise', in </w:t>
      </w:r>
      <w:r w:rsidRPr="006C65E5">
        <w:rPr>
          <w:i/>
          <w:iCs/>
        </w:rPr>
        <w:t xml:space="preserve">The Age of Wonder </w:t>
      </w:r>
      <w:r w:rsidRPr="006C65E5">
        <w:t>(London: Harperpress, 2009), p</w:t>
      </w:r>
      <w:r>
        <w:t>. 1.</w:t>
      </w:r>
    </w:p>
  </w:footnote>
  <w:footnote w:id="39">
    <w:p w14:paraId="6229CBCB" w14:textId="6C5E1420" w:rsidR="006C65E5" w:rsidRDefault="006C65E5">
      <w:pPr>
        <w:pStyle w:val="FootnoteText"/>
      </w:pPr>
      <w:r>
        <w:rPr>
          <w:rStyle w:val="FootnoteReference"/>
        </w:rPr>
        <w:footnoteRef/>
      </w:r>
      <w:r>
        <w:t xml:space="preserve"> Empire and identity (SPEC REF 942.8 EMP), p. 147 (ref properly)</w:t>
      </w:r>
    </w:p>
  </w:footnote>
  <w:footnote w:id="40">
    <w:p w14:paraId="5E3FF933" w14:textId="1AF569FE" w:rsidR="006C65E5" w:rsidRDefault="006C65E5">
      <w:pPr>
        <w:pStyle w:val="FootnoteText"/>
      </w:pPr>
      <w:r>
        <w:rPr>
          <w:rStyle w:val="FootnoteReference"/>
        </w:rPr>
        <w:footnoteRef/>
      </w:r>
      <w:r>
        <w:t xml:space="preserve"> </w:t>
      </w:r>
      <w:r w:rsidR="00704BA7">
        <w:t>Capt Cook voyages (R910.941 COO) pp. 21-22. (ref properly)</w:t>
      </w:r>
    </w:p>
  </w:footnote>
  <w:footnote w:id="41">
    <w:p w14:paraId="320A0262" w14:textId="079061C1" w:rsidR="00793EEC" w:rsidRDefault="00793EEC">
      <w:pPr>
        <w:pStyle w:val="FootnoteText"/>
      </w:pPr>
      <w:r>
        <w:rPr>
          <w:rStyle w:val="FootnoteReference"/>
        </w:rPr>
        <w:footnoteRef/>
      </w:r>
      <w:r>
        <w:t xml:space="preserve"> </w:t>
      </w:r>
      <w:r w:rsidRPr="00793EEC">
        <w:t xml:space="preserve">Joseph Banks Endeavour Journal </w:t>
      </w:r>
      <w:hyperlink r:id="rId1" w:history="1">
        <w:r w:rsidR="00C14F3A" w:rsidRPr="00C14F3A">
          <w:rPr>
            <w:rStyle w:val="Hyperlink"/>
          </w:rPr>
          <w:t>http://gutenberg.net.au/ebooks05/0501141h.html</w:t>
        </w:r>
      </w:hyperlink>
      <w:r w:rsidR="00C14F3A" w:rsidRPr="00C14F3A">
        <w:t xml:space="preserve"> accessed 01-04-2</w:t>
      </w:r>
      <w:r w:rsidR="00C14F3A">
        <w:t>0</w:t>
      </w:r>
      <w:r>
        <w:t xml:space="preserve">, p. 1769 </w:t>
      </w:r>
      <w:r w:rsidR="00C14F3A">
        <w:t>A</w:t>
      </w:r>
      <w:r>
        <w:t>pril 14</w:t>
      </w:r>
      <w:r w:rsidRPr="00793EEC">
        <w:rPr>
          <w:vertAlign w:val="superscript"/>
        </w:rPr>
        <w:t>th</w:t>
      </w:r>
      <w:r>
        <w:t xml:space="preserve">. </w:t>
      </w:r>
    </w:p>
  </w:footnote>
  <w:footnote w:id="42">
    <w:p w14:paraId="345BA3CF" w14:textId="21D8CFF3" w:rsidR="00484F4F" w:rsidRDefault="00484F4F" w:rsidP="00484F4F">
      <w:pPr>
        <w:pStyle w:val="FootnoteText"/>
      </w:pPr>
      <w:r>
        <w:rPr>
          <w:rStyle w:val="FootnoteReference"/>
        </w:rPr>
        <w:footnoteRef/>
      </w:r>
      <w:r w:rsidR="00766CEB" w:rsidRPr="00766CEB">
        <w:t>Hetherington Michelle, 'The Cult of the South Seas', in </w:t>
      </w:r>
      <w:r w:rsidR="00766CEB" w:rsidRPr="00766CEB">
        <w:rPr>
          <w:i/>
          <w:iCs/>
        </w:rPr>
        <w:t>Cook and Omai</w:t>
      </w:r>
      <w:r w:rsidR="00766CEB" w:rsidRPr="00766CEB">
        <w:t>, ed. by Rendle-Short</w:t>
      </w:r>
      <w:r>
        <w:t>, p. 4.</w:t>
      </w:r>
    </w:p>
  </w:footnote>
  <w:footnote w:id="43">
    <w:p w14:paraId="3B114966" w14:textId="4902E714" w:rsidR="00C14F3A" w:rsidRDefault="00C14F3A">
      <w:pPr>
        <w:pStyle w:val="FootnoteText"/>
      </w:pPr>
      <w:bookmarkStart w:id="13" w:name="_Hlk36643719"/>
      <w:r>
        <w:rPr>
          <w:rStyle w:val="FootnoteReference"/>
        </w:rPr>
        <w:footnoteRef/>
      </w:r>
      <w:r>
        <w:t xml:space="preserve"> </w:t>
      </w:r>
      <w:bookmarkStart w:id="14" w:name="_Hlk36829096"/>
      <w:bookmarkStart w:id="15" w:name="_Hlk36640160"/>
      <w:r w:rsidRPr="00C14F3A">
        <w:t xml:space="preserve">Joseph Banks Endeavour Journal  </w:t>
      </w:r>
      <w:bookmarkStart w:id="16" w:name="_Hlk36640727"/>
      <w:bookmarkEnd w:id="14"/>
      <w:r>
        <w:fldChar w:fldCharType="begin"/>
      </w:r>
      <w:r>
        <w:instrText xml:space="preserve"> HYPERLINK "</w:instrText>
      </w:r>
      <w:r w:rsidRPr="00C14F3A">
        <w:instrText>http://gutenberg.net.au/ebooks05/0501141h.html accessed 01-04-20</w:instrText>
      </w:r>
      <w:r>
        <w:instrText xml:space="preserve">" </w:instrText>
      </w:r>
      <w:r>
        <w:fldChar w:fldCharType="separate"/>
      </w:r>
      <w:r w:rsidRPr="004D52C3">
        <w:rPr>
          <w:rStyle w:val="Hyperlink"/>
        </w:rPr>
        <w:t>http://gutenberg.net.au/ebooks05/0501141h.html accessed 01-04-20</w:t>
      </w:r>
      <w:r>
        <w:fldChar w:fldCharType="end"/>
      </w:r>
      <w:r>
        <w:t>, p. 1769 April 15</w:t>
      </w:r>
      <w:r w:rsidRPr="00C14F3A">
        <w:rPr>
          <w:vertAlign w:val="superscript"/>
        </w:rPr>
        <w:t>th</w:t>
      </w:r>
      <w:r>
        <w:t xml:space="preserve">. </w:t>
      </w:r>
      <w:bookmarkEnd w:id="13"/>
      <w:bookmarkEnd w:id="15"/>
    </w:p>
    <w:bookmarkEnd w:id="16"/>
  </w:footnote>
  <w:footnote w:id="44">
    <w:p w14:paraId="0CB74EDD" w14:textId="5F963E17" w:rsidR="00211503" w:rsidRDefault="00211503">
      <w:pPr>
        <w:pStyle w:val="FootnoteText"/>
      </w:pPr>
      <w:r>
        <w:rPr>
          <w:rStyle w:val="FootnoteReference"/>
        </w:rPr>
        <w:footnoteRef/>
      </w:r>
      <w:r>
        <w:t xml:space="preserve"> </w:t>
      </w:r>
      <w:r w:rsidR="00766CEB" w:rsidRPr="00766CEB">
        <w:t>Joseph Banks Endeavour Journal</w:t>
      </w:r>
      <w:r w:rsidR="00766CEB">
        <w:t xml:space="preserve">, </w:t>
      </w:r>
      <w:r>
        <w:t>p. 1769 June 29</w:t>
      </w:r>
      <w:r w:rsidRPr="00211503">
        <w:rPr>
          <w:vertAlign w:val="superscript"/>
        </w:rPr>
        <w:t>th</w:t>
      </w:r>
      <w:r>
        <w:t>.</w:t>
      </w:r>
      <w:r w:rsidRPr="00211503">
        <w:t xml:space="preserve"> </w:t>
      </w:r>
    </w:p>
  </w:footnote>
  <w:footnote w:id="45">
    <w:p w14:paraId="0D8F651E" w14:textId="50DB6243" w:rsidR="00DD06CC" w:rsidRDefault="00DD06CC">
      <w:pPr>
        <w:pStyle w:val="FootnoteText"/>
      </w:pPr>
      <w:r>
        <w:rPr>
          <w:rStyle w:val="FootnoteReference"/>
        </w:rPr>
        <w:footnoteRef/>
      </w:r>
      <w:r>
        <w:t xml:space="preserve"> </w:t>
      </w:r>
      <w:bookmarkStart w:id="17" w:name="_GoBack"/>
      <w:bookmarkEnd w:id="17"/>
      <w:r w:rsidRPr="00DD06CC">
        <w:t xml:space="preserve">Joseph Banks Endeavour Journal, p. </w:t>
      </w:r>
      <w:r>
        <w:t xml:space="preserve">1769 </w:t>
      </w:r>
      <w:r w:rsidR="00C82B07">
        <w:t>J</w:t>
      </w:r>
      <w:r>
        <w:t>uly 12</w:t>
      </w:r>
      <w:r w:rsidRPr="00DD06CC">
        <w:rPr>
          <w:vertAlign w:val="superscript"/>
        </w:rPr>
        <w:t>th</w:t>
      </w:r>
      <w:r>
        <w:t xml:space="preserve">. </w:t>
      </w:r>
    </w:p>
  </w:footnote>
  <w:footnote w:id="46">
    <w:p w14:paraId="1ABE86FF" w14:textId="6E6C9D75" w:rsidR="00EC07EE" w:rsidRDefault="00EC07EE">
      <w:pPr>
        <w:pStyle w:val="FootnoteText"/>
      </w:pPr>
      <w:r>
        <w:rPr>
          <w:rStyle w:val="FootnoteReference"/>
        </w:rPr>
        <w:footnoteRef/>
      </w:r>
      <w:r>
        <w:t xml:space="preserve"> </w:t>
      </w:r>
      <w:bookmarkStart w:id="18" w:name="_Hlk36825581"/>
      <w:r w:rsidRPr="00EC07EE">
        <w:t>Holmes, 'Joseph Banks in Paradise', p.</w:t>
      </w:r>
      <w:bookmarkEnd w:id="18"/>
      <w:r>
        <w:t xml:space="preserve"> 40.</w:t>
      </w:r>
    </w:p>
  </w:footnote>
  <w:footnote w:id="47">
    <w:p w14:paraId="74582610" w14:textId="57E18E1C" w:rsidR="00BB18BF" w:rsidRDefault="00BB18BF">
      <w:pPr>
        <w:pStyle w:val="FootnoteText"/>
      </w:pPr>
      <w:r>
        <w:rPr>
          <w:rStyle w:val="FootnoteReference"/>
        </w:rPr>
        <w:footnoteRef/>
      </w:r>
      <w:r>
        <w:t xml:space="preserve"> </w:t>
      </w:r>
      <w:r w:rsidRPr="00BB18BF">
        <w:t>Holmes, 'Joseph Banks in Paradise', p</w:t>
      </w:r>
      <w:r>
        <w:t>p</w:t>
      </w:r>
      <w:r w:rsidRPr="00BB18BF">
        <w:t>.</w:t>
      </w:r>
      <w:r>
        <w:t xml:space="preserve"> 54, 105, 213, 214,307</w:t>
      </w:r>
      <w:r w:rsidR="00360026">
        <w:t>,384.</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ome">
    <w15:presenceInfo w15:providerId="None" w15:userId="Hom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D03"/>
    <w:rsid w:val="00003F71"/>
    <w:rsid w:val="000100CE"/>
    <w:rsid w:val="00022B10"/>
    <w:rsid w:val="0002510D"/>
    <w:rsid w:val="00027DC1"/>
    <w:rsid w:val="00033ACA"/>
    <w:rsid w:val="00034E35"/>
    <w:rsid w:val="00050219"/>
    <w:rsid w:val="000639A9"/>
    <w:rsid w:val="00073867"/>
    <w:rsid w:val="00075A46"/>
    <w:rsid w:val="00075BC7"/>
    <w:rsid w:val="00077341"/>
    <w:rsid w:val="000827CA"/>
    <w:rsid w:val="000925AA"/>
    <w:rsid w:val="00097053"/>
    <w:rsid w:val="000B63FD"/>
    <w:rsid w:val="000C617C"/>
    <w:rsid w:val="00121072"/>
    <w:rsid w:val="00172B8D"/>
    <w:rsid w:val="00177AA4"/>
    <w:rsid w:val="001C0732"/>
    <w:rsid w:val="001D442A"/>
    <w:rsid w:val="001D7BCA"/>
    <w:rsid w:val="001E54DC"/>
    <w:rsid w:val="001F73EA"/>
    <w:rsid w:val="00211503"/>
    <w:rsid w:val="00211DE0"/>
    <w:rsid w:val="002270AB"/>
    <w:rsid w:val="0023311A"/>
    <w:rsid w:val="002400B5"/>
    <w:rsid w:val="00267C1D"/>
    <w:rsid w:val="00275FAB"/>
    <w:rsid w:val="002862D4"/>
    <w:rsid w:val="002B2B42"/>
    <w:rsid w:val="002B30B7"/>
    <w:rsid w:val="002D3D21"/>
    <w:rsid w:val="0030301F"/>
    <w:rsid w:val="003153F8"/>
    <w:rsid w:val="00330601"/>
    <w:rsid w:val="00343738"/>
    <w:rsid w:val="00360026"/>
    <w:rsid w:val="00375B9D"/>
    <w:rsid w:val="00376DB7"/>
    <w:rsid w:val="0037787B"/>
    <w:rsid w:val="003865F0"/>
    <w:rsid w:val="003B5B51"/>
    <w:rsid w:val="003D27C1"/>
    <w:rsid w:val="003D58E9"/>
    <w:rsid w:val="003E35A0"/>
    <w:rsid w:val="00401B13"/>
    <w:rsid w:val="004317B3"/>
    <w:rsid w:val="00443829"/>
    <w:rsid w:val="00447945"/>
    <w:rsid w:val="0046347B"/>
    <w:rsid w:val="0046468E"/>
    <w:rsid w:val="00484F4F"/>
    <w:rsid w:val="004931C5"/>
    <w:rsid w:val="004B6E1E"/>
    <w:rsid w:val="004C1B3A"/>
    <w:rsid w:val="004F517A"/>
    <w:rsid w:val="005037EF"/>
    <w:rsid w:val="00504DB0"/>
    <w:rsid w:val="00527800"/>
    <w:rsid w:val="00597ABD"/>
    <w:rsid w:val="005A1FC8"/>
    <w:rsid w:val="005A3BF3"/>
    <w:rsid w:val="005B1CB4"/>
    <w:rsid w:val="005B38D6"/>
    <w:rsid w:val="005D76D0"/>
    <w:rsid w:val="005F2041"/>
    <w:rsid w:val="005F2F6C"/>
    <w:rsid w:val="005F56EC"/>
    <w:rsid w:val="0065528D"/>
    <w:rsid w:val="00660D16"/>
    <w:rsid w:val="00672002"/>
    <w:rsid w:val="00677CC6"/>
    <w:rsid w:val="00685F5E"/>
    <w:rsid w:val="006B6301"/>
    <w:rsid w:val="006C2A65"/>
    <w:rsid w:val="006C65E5"/>
    <w:rsid w:val="006C6CB5"/>
    <w:rsid w:val="006D3E9C"/>
    <w:rsid w:val="006F2347"/>
    <w:rsid w:val="00704BA7"/>
    <w:rsid w:val="00710626"/>
    <w:rsid w:val="007206F2"/>
    <w:rsid w:val="00725FEF"/>
    <w:rsid w:val="00750CC4"/>
    <w:rsid w:val="00750EBD"/>
    <w:rsid w:val="00766CEB"/>
    <w:rsid w:val="00773D4B"/>
    <w:rsid w:val="00791480"/>
    <w:rsid w:val="00791D96"/>
    <w:rsid w:val="00793EEC"/>
    <w:rsid w:val="007960B7"/>
    <w:rsid w:val="007B06C7"/>
    <w:rsid w:val="007D5D54"/>
    <w:rsid w:val="007D6DCD"/>
    <w:rsid w:val="007D7A8D"/>
    <w:rsid w:val="00803A1F"/>
    <w:rsid w:val="0080568D"/>
    <w:rsid w:val="008278CD"/>
    <w:rsid w:val="00827DF0"/>
    <w:rsid w:val="008322EF"/>
    <w:rsid w:val="00842022"/>
    <w:rsid w:val="008803C4"/>
    <w:rsid w:val="00891FC2"/>
    <w:rsid w:val="008A00DB"/>
    <w:rsid w:val="008D44FF"/>
    <w:rsid w:val="008D4CA9"/>
    <w:rsid w:val="0093241A"/>
    <w:rsid w:val="00940F6A"/>
    <w:rsid w:val="0094770E"/>
    <w:rsid w:val="0095593E"/>
    <w:rsid w:val="009A1D46"/>
    <w:rsid w:val="009B0793"/>
    <w:rsid w:val="009B2D56"/>
    <w:rsid w:val="009C42DF"/>
    <w:rsid w:val="009D1D03"/>
    <w:rsid w:val="009D5D39"/>
    <w:rsid w:val="009D70EB"/>
    <w:rsid w:val="009E6FFF"/>
    <w:rsid w:val="00A12DBF"/>
    <w:rsid w:val="00A1508D"/>
    <w:rsid w:val="00A15ADB"/>
    <w:rsid w:val="00A47B1B"/>
    <w:rsid w:val="00A568D0"/>
    <w:rsid w:val="00A77CCE"/>
    <w:rsid w:val="00AA606A"/>
    <w:rsid w:val="00B3539D"/>
    <w:rsid w:val="00B36AB1"/>
    <w:rsid w:val="00B56465"/>
    <w:rsid w:val="00B65750"/>
    <w:rsid w:val="00B75629"/>
    <w:rsid w:val="00B94F39"/>
    <w:rsid w:val="00BB18BF"/>
    <w:rsid w:val="00BE5628"/>
    <w:rsid w:val="00C06DB5"/>
    <w:rsid w:val="00C14F3A"/>
    <w:rsid w:val="00C20B6C"/>
    <w:rsid w:val="00C47301"/>
    <w:rsid w:val="00C81CC3"/>
    <w:rsid w:val="00C82B07"/>
    <w:rsid w:val="00C87DF5"/>
    <w:rsid w:val="00CD2298"/>
    <w:rsid w:val="00CE588E"/>
    <w:rsid w:val="00D037C9"/>
    <w:rsid w:val="00D105EC"/>
    <w:rsid w:val="00D52A82"/>
    <w:rsid w:val="00D7401D"/>
    <w:rsid w:val="00D92259"/>
    <w:rsid w:val="00DA61D6"/>
    <w:rsid w:val="00DC2601"/>
    <w:rsid w:val="00DD06CC"/>
    <w:rsid w:val="00E0239C"/>
    <w:rsid w:val="00E03FA2"/>
    <w:rsid w:val="00E05A34"/>
    <w:rsid w:val="00E233F7"/>
    <w:rsid w:val="00E4498B"/>
    <w:rsid w:val="00E4710D"/>
    <w:rsid w:val="00E53C0F"/>
    <w:rsid w:val="00E55725"/>
    <w:rsid w:val="00E70010"/>
    <w:rsid w:val="00E82850"/>
    <w:rsid w:val="00E87150"/>
    <w:rsid w:val="00E9677F"/>
    <w:rsid w:val="00EA0A05"/>
    <w:rsid w:val="00EC07EE"/>
    <w:rsid w:val="00EC176C"/>
    <w:rsid w:val="00EE734B"/>
    <w:rsid w:val="00F01186"/>
    <w:rsid w:val="00F40F29"/>
    <w:rsid w:val="00F5510B"/>
    <w:rsid w:val="00F56FBE"/>
    <w:rsid w:val="00F844F2"/>
    <w:rsid w:val="00FA4641"/>
    <w:rsid w:val="00FC6A02"/>
    <w:rsid w:val="00FC7475"/>
    <w:rsid w:val="00FF57C8"/>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29FAA5"/>
  <w15:chartTrackingRefBased/>
  <w15:docId w15:val="{2B0E5CF8-7EC4-4F8A-A920-2A519FADD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477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7A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7A8D"/>
    <w:rPr>
      <w:sz w:val="20"/>
      <w:szCs w:val="20"/>
      <w:lang w:val="en-GB"/>
    </w:rPr>
  </w:style>
  <w:style w:type="character" w:styleId="FootnoteReference">
    <w:name w:val="footnote reference"/>
    <w:basedOn w:val="DefaultParagraphFont"/>
    <w:uiPriority w:val="99"/>
    <w:semiHidden/>
    <w:unhideWhenUsed/>
    <w:rsid w:val="007D7A8D"/>
    <w:rPr>
      <w:vertAlign w:val="superscript"/>
    </w:rPr>
  </w:style>
  <w:style w:type="character" w:styleId="Hyperlink">
    <w:name w:val="Hyperlink"/>
    <w:basedOn w:val="DefaultParagraphFont"/>
    <w:uiPriority w:val="99"/>
    <w:unhideWhenUsed/>
    <w:rsid w:val="00793EEC"/>
    <w:rPr>
      <w:color w:val="0563C1" w:themeColor="hyperlink"/>
      <w:u w:val="single"/>
    </w:rPr>
  </w:style>
  <w:style w:type="character" w:styleId="UnresolvedMention">
    <w:name w:val="Unresolved Mention"/>
    <w:basedOn w:val="DefaultParagraphFont"/>
    <w:uiPriority w:val="99"/>
    <w:semiHidden/>
    <w:unhideWhenUsed/>
    <w:rsid w:val="00793EEC"/>
    <w:rPr>
      <w:color w:val="605E5C"/>
      <w:shd w:val="clear" w:color="auto" w:fill="E1DFDD"/>
    </w:rPr>
  </w:style>
  <w:style w:type="character" w:customStyle="1" w:styleId="Heading1Char">
    <w:name w:val="Heading 1 Char"/>
    <w:basedOn w:val="DefaultParagraphFont"/>
    <w:link w:val="Heading1"/>
    <w:uiPriority w:val="9"/>
    <w:rsid w:val="0094770E"/>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896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gutenberg.net.au/ebooks05/0501141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23C0A-8259-4929-9E34-5196D25CA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1464</TotalTime>
  <Pages>6</Pages>
  <Words>2535</Words>
  <Characters>14454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50</cp:revision>
  <dcterms:created xsi:type="dcterms:W3CDTF">2020-03-22T21:06:00Z</dcterms:created>
  <dcterms:modified xsi:type="dcterms:W3CDTF">2020-04-03T17:41:00Z</dcterms:modified>
</cp:coreProperties>
</file>