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F273D9" w14:textId="48312B73" w:rsidR="000C7C08" w:rsidRDefault="000C7C08" w:rsidP="003347C2">
      <w:pPr>
        <w:spacing w:line="360" w:lineRule="auto"/>
        <w:rPr>
          <w:rFonts w:ascii="Arial" w:hAnsi="Arial" w:cs="Arial"/>
          <w:sz w:val="24"/>
          <w:szCs w:val="24"/>
        </w:rPr>
      </w:pPr>
    </w:p>
    <w:p w14:paraId="215CA974" w14:textId="4652C1B5" w:rsidR="00425B11" w:rsidRDefault="00425B11" w:rsidP="003347C2">
      <w:pPr>
        <w:spacing w:line="360" w:lineRule="auto"/>
        <w:rPr>
          <w:rFonts w:ascii="Arial" w:hAnsi="Arial" w:cs="Arial"/>
          <w:sz w:val="24"/>
          <w:szCs w:val="24"/>
        </w:rPr>
      </w:pPr>
      <w:r>
        <w:rPr>
          <w:noProof/>
        </w:rPr>
        <w:drawing>
          <wp:inline distT="0" distB="0" distL="0" distR="0" wp14:anchorId="1FFC7F28" wp14:editId="34A6F766">
            <wp:extent cx="1809524" cy="723810"/>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09524" cy="723810"/>
                    </a:xfrm>
                    <a:prstGeom prst="rect">
                      <a:avLst/>
                    </a:prstGeom>
                  </pic:spPr>
                </pic:pic>
              </a:graphicData>
            </a:graphic>
          </wp:inline>
        </w:drawing>
      </w:r>
    </w:p>
    <w:p w14:paraId="6FDE29B2" w14:textId="77777777" w:rsidR="00425B11" w:rsidRDefault="00425B11" w:rsidP="003347C2">
      <w:pPr>
        <w:spacing w:line="360" w:lineRule="auto"/>
        <w:rPr>
          <w:rFonts w:ascii="Arial" w:hAnsi="Arial" w:cs="Arial"/>
          <w:sz w:val="24"/>
          <w:szCs w:val="24"/>
        </w:rPr>
      </w:pPr>
    </w:p>
    <w:p w14:paraId="21DD6139" w14:textId="77777777" w:rsidR="00425B11" w:rsidRPr="006F00FD" w:rsidRDefault="00425B11" w:rsidP="003347C2">
      <w:pPr>
        <w:spacing w:line="360" w:lineRule="auto"/>
        <w:rPr>
          <w:rFonts w:ascii="Arial" w:hAnsi="Arial" w:cs="Arial"/>
          <w:sz w:val="24"/>
          <w:szCs w:val="24"/>
        </w:rPr>
      </w:pPr>
    </w:p>
    <w:p w14:paraId="46531F61" w14:textId="77777777" w:rsidR="000C7C08" w:rsidRPr="006F00FD" w:rsidRDefault="009822E0" w:rsidP="003347C2">
      <w:pPr>
        <w:spacing w:line="360" w:lineRule="auto"/>
        <w:jc w:val="center"/>
        <w:rPr>
          <w:rFonts w:ascii="Arial" w:eastAsia="Arial" w:hAnsi="Arial" w:cs="Arial"/>
          <w:b/>
          <w:bCs/>
          <w:caps/>
          <w:sz w:val="24"/>
          <w:szCs w:val="24"/>
        </w:rPr>
      </w:pPr>
      <w:r w:rsidRPr="006F00FD">
        <w:rPr>
          <w:rFonts w:ascii="Arial" w:eastAsia="Arial" w:hAnsi="Arial" w:cs="Arial"/>
          <w:b/>
          <w:bCs/>
          <w:caps/>
          <w:sz w:val="24"/>
          <w:szCs w:val="24"/>
        </w:rPr>
        <w:t>BMMB7006: GLOBAL BUSINESS CHALLENGES</w:t>
      </w:r>
    </w:p>
    <w:p w14:paraId="00198528" w14:textId="77777777" w:rsidR="000712E8" w:rsidRPr="006F00FD" w:rsidRDefault="000712E8" w:rsidP="003347C2">
      <w:pPr>
        <w:spacing w:line="360" w:lineRule="auto"/>
        <w:jc w:val="center"/>
        <w:rPr>
          <w:rFonts w:ascii="Arial" w:hAnsi="Arial" w:cs="Arial"/>
          <w:b/>
          <w:bCs/>
          <w:sz w:val="24"/>
          <w:szCs w:val="24"/>
        </w:rPr>
      </w:pPr>
    </w:p>
    <w:p w14:paraId="38265E1B" w14:textId="1B077512" w:rsidR="000C7C08" w:rsidRPr="006F00FD" w:rsidRDefault="009822E0" w:rsidP="003347C2">
      <w:pPr>
        <w:spacing w:line="360" w:lineRule="auto"/>
        <w:jc w:val="center"/>
        <w:rPr>
          <w:rFonts w:ascii="Arial" w:hAnsi="Arial" w:cs="Arial"/>
          <w:sz w:val="28"/>
          <w:szCs w:val="28"/>
        </w:rPr>
      </w:pPr>
      <w:r w:rsidRPr="006F00FD">
        <w:rPr>
          <w:rFonts w:ascii="Arial" w:eastAsia="Arial" w:hAnsi="Arial" w:cs="Arial"/>
          <w:b/>
          <w:bCs/>
          <w:sz w:val="28"/>
          <w:szCs w:val="28"/>
        </w:rPr>
        <w:t>Artificial Intelligence, Consumer Trust and Data Governance in Retail:</w:t>
      </w:r>
      <w:r w:rsidR="00425B11">
        <w:rPr>
          <w:rFonts w:ascii="Arial" w:eastAsia="Arial" w:hAnsi="Arial" w:cs="Arial"/>
          <w:b/>
          <w:bCs/>
          <w:sz w:val="28"/>
          <w:szCs w:val="28"/>
        </w:rPr>
        <w:t xml:space="preserve"> </w:t>
      </w:r>
      <w:r w:rsidRPr="006F00FD">
        <w:rPr>
          <w:rFonts w:ascii="Arial" w:eastAsia="Arial" w:hAnsi="Arial" w:cs="Arial"/>
          <w:b/>
          <w:bCs/>
          <w:sz w:val="28"/>
          <w:szCs w:val="28"/>
        </w:rPr>
        <w:t>Managing Ethical and Regulatory Risks in the UK and EU</w:t>
      </w:r>
    </w:p>
    <w:p w14:paraId="32F50701" w14:textId="77777777" w:rsidR="000C7C08" w:rsidRPr="00425B11" w:rsidRDefault="009822E0" w:rsidP="003347C2">
      <w:pPr>
        <w:spacing w:line="360" w:lineRule="auto"/>
        <w:jc w:val="center"/>
        <w:rPr>
          <w:rFonts w:ascii="Arial" w:hAnsi="Arial" w:cs="Arial"/>
          <w:i/>
          <w:iCs/>
          <w:sz w:val="24"/>
          <w:szCs w:val="24"/>
        </w:rPr>
      </w:pPr>
      <w:r w:rsidRPr="00425B11">
        <w:rPr>
          <w:rFonts w:ascii="Arial" w:hAnsi="Arial" w:cs="Arial"/>
          <w:i/>
          <w:iCs/>
          <w:sz w:val="24"/>
          <w:szCs w:val="24"/>
        </w:rPr>
        <w:t>Company: Tesco Plc</w:t>
      </w:r>
    </w:p>
    <w:p w14:paraId="5FC5C6A5" w14:textId="77777777" w:rsidR="000712E8" w:rsidRPr="00425B11" w:rsidRDefault="000712E8" w:rsidP="003347C2">
      <w:pPr>
        <w:spacing w:line="360" w:lineRule="auto"/>
        <w:jc w:val="center"/>
        <w:rPr>
          <w:rFonts w:ascii="Arial" w:hAnsi="Arial" w:cs="Arial"/>
          <w:sz w:val="24"/>
          <w:szCs w:val="24"/>
        </w:rPr>
      </w:pPr>
    </w:p>
    <w:p w14:paraId="7D1A78FE" w14:textId="7081F70B" w:rsidR="000C7C08" w:rsidRDefault="000C7C08" w:rsidP="003347C2">
      <w:pPr>
        <w:spacing w:line="360" w:lineRule="auto"/>
        <w:jc w:val="center"/>
        <w:rPr>
          <w:rFonts w:ascii="Arial" w:hAnsi="Arial" w:cs="Arial"/>
          <w:sz w:val="24"/>
          <w:szCs w:val="24"/>
        </w:rPr>
      </w:pPr>
    </w:p>
    <w:p w14:paraId="44EF658B" w14:textId="278997E8" w:rsidR="00425B11" w:rsidRDefault="00425B11" w:rsidP="003347C2">
      <w:pPr>
        <w:spacing w:line="360" w:lineRule="auto"/>
        <w:jc w:val="center"/>
        <w:rPr>
          <w:rFonts w:ascii="Arial" w:hAnsi="Arial" w:cs="Arial"/>
          <w:sz w:val="24"/>
          <w:szCs w:val="24"/>
        </w:rPr>
      </w:pPr>
      <w:r>
        <w:rPr>
          <w:rFonts w:ascii="Arial" w:hAnsi="Arial" w:cs="Arial"/>
          <w:sz w:val="24"/>
          <w:szCs w:val="24"/>
        </w:rPr>
        <w:t xml:space="preserve">Student Name: </w:t>
      </w:r>
      <w:proofErr w:type="spellStart"/>
      <w:r w:rsidR="00BB40E8">
        <w:rPr>
          <w:rFonts w:ascii="Arial" w:hAnsi="Arial" w:cs="Arial"/>
          <w:sz w:val="24"/>
          <w:szCs w:val="24"/>
        </w:rPr>
        <w:t>Md.</w:t>
      </w:r>
      <w:r w:rsidRPr="00425B11">
        <w:rPr>
          <w:rFonts w:ascii="Arial" w:hAnsi="Arial" w:cs="Arial"/>
          <w:sz w:val="24"/>
          <w:szCs w:val="24"/>
        </w:rPr>
        <w:t>Masud</w:t>
      </w:r>
      <w:proofErr w:type="spellEnd"/>
      <w:r w:rsidRPr="00425B11">
        <w:rPr>
          <w:rFonts w:ascii="Arial" w:hAnsi="Arial" w:cs="Arial"/>
          <w:sz w:val="24"/>
          <w:szCs w:val="24"/>
        </w:rPr>
        <w:t xml:space="preserve"> </w:t>
      </w:r>
      <w:proofErr w:type="spellStart"/>
      <w:r w:rsidRPr="00425B11">
        <w:rPr>
          <w:rFonts w:ascii="Arial" w:hAnsi="Arial" w:cs="Arial"/>
          <w:sz w:val="24"/>
          <w:szCs w:val="24"/>
        </w:rPr>
        <w:t>Rana</w:t>
      </w:r>
      <w:proofErr w:type="spellEnd"/>
    </w:p>
    <w:p w14:paraId="308E6272" w14:textId="47AEE724" w:rsidR="00425B11" w:rsidRDefault="00425B11" w:rsidP="003347C2">
      <w:pPr>
        <w:spacing w:line="360" w:lineRule="auto"/>
        <w:jc w:val="center"/>
        <w:rPr>
          <w:rFonts w:ascii="Arial" w:hAnsi="Arial" w:cs="Arial"/>
          <w:sz w:val="24"/>
          <w:szCs w:val="24"/>
        </w:rPr>
      </w:pPr>
      <w:r>
        <w:rPr>
          <w:rFonts w:ascii="Arial" w:hAnsi="Arial" w:cs="Arial"/>
          <w:sz w:val="24"/>
          <w:szCs w:val="24"/>
        </w:rPr>
        <w:t xml:space="preserve">Student </w:t>
      </w:r>
      <w:r w:rsidRPr="00425B11">
        <w:rPr>
          <w:rFonts w:ascii="Arial" w:hAnsi="Arial" w:cs="Arial"/>
          <w:sz w:val="24"/>
          <w:szCs w:val="24"/>
        </w:rPr>
        <w:t>ID: 2507015</w:t>
      </w:r>
    </w:p>
    <w:p w14:paraId="437B49F0" w14:textId="77777777" w:rsidR="00425B11" w:rsidRPr="00425B11" w:rsidRDefault="00425B11" w:rsidP="003347C2">
      <w:pPr>
        <w:spacing w:line="360" w:lineRule="auto"/>
        <w:jc w:val="center"/>
        <w:rPr>
          <w:rFonts w:ascii="Arial" w:hAnsi="Arial" w:cs="Arial"/>
          <w:sz w:val="24"/>
          <w:szCs w:val="24"/>
        </w:rPr>
      </w:pPr>
    </w:p>
    <w:p w14:paraId="7BA09AFC" w14:textId="77777777" w:rsidR="000C7C08" w:rsidRPr="00425B11" w:rsidRDefault="009822E0" w:rsidP="003347C2">
      <w:pPr>
        <w:spacing w:line="360" w:lineRule="auto"/>
        <w:jc w:val="center"/>
        <w:rPr>
          <w:rFonts w:ascii="Arial" w:hAnsi="Arial" w:cs="Arial"/>
          <w:sz w:val="24"/>
          <w:szCs w:val="24"/>
        </w:rPr>
      </w:pPr>
      <w:proofErr w:type="spellStart"/>
      <w:r w:rsidRPr="00425B11">
        <w:rPr>
          <w:rFonts w:ascii="Arial" w:hAnsi="Arial" w:cs="Arial"/>
          <w:sz w:val="24"/>
          <w:szCs w:val="24"/>
        </w:rPr>
        <w:t>Programme</w:t>
      </w:r>
      <w:proofErr w:type="spellEnd"/>
      <w:r w:rsidRPr="00425B11">
        <w:rPr>
          <w:rFonts w:ascii="Arial" w:hAnsi="Arial" w:cs="Arial"/>
          <w:sz w:val="24"/>
          <w:szCs w:val="24"/>
        </w:rPr>
        <w:t>: MBA</w:t>
      </w:r>
    </w:p>
    <w:p w14:paraId="5B66B958" w14:textId="77777777" w:rsidR="000C7C08" w:rsidRPr="00425B11" w:rsidRDefault="009822E0" w:rsidP="003347C2">
      <w:pPr>
        <w:spacing w:line="360" w:lineRule="auto"/>
        <w:jc w:val="center"/>
        <w:rPr>
          <w:rFonts w:ascii="Arial" w:hAnsi="Arial" w:cs="Arial"/>
          <w:sz w:val="24"/>
          <w:szCs w:val="24"/>
        </w:rPr>
      </w:pPr>
      <w:r w:rsidRPr="00425B11">
        <w:rPr>
          <w:rFonts w:ascii="Arial" w:hAnsi="Arial" w:cs="Arial"/>
          <w:sz w:val="24"/>
          <w:szCs w:val="24"/>
        </w:rPr>
        <w:t>Lecturer: Rebecca Francis-Davies</w:t>
      </w:r>
    </w:p>
    <w:p w14:paraId="0EE1524B" w14:textId="5490A9CB" w:rsidR="000C7C08" w:rsidRPr="00425B11" w:rsidRDefault="00BB40E8" w:rsidP="003347C2">
      <w:pPr>
        <w:spacing w:line="360" w:lineRule="auto"/>
        <w:jc w:val="center"/>
        <w:rPr>
          <w:rFonts w:ascii="Arial" w:hAnsi="Arial" w:cs="Arial"/>
          <w:sz w:val="24"/>
          <w:szCs w:val="24"/>
        </w:rPr>
      </w:pPr>
      <w:r>
        <w:rPr>
          <w:rFonts w:ascii="Arial" w:hAnsi="Arial" w:cs="Arial"/>
          <w:sz w:val="24"/>
          <w:szCs w:val="24"/>
        </w:rPr>
        <w:t>Submission Deadline: 27th April</w:t>
      </w:r>
      <w:bookmarkStart w:id="0" w:name="_GoBack"/>
      <w:bookmarkEnd w:id="0"/>
      <w:r w:rsidR="009822E0" w:rsidRPr="00425B11">
        <w:rPr>
          <w:rFonts w:ascii="Arial" w:hAnsi="Arial" w:cs="Arial"/>
          <w:sz w:val="24"/>
          <w:szCs w:val="24"/>
        </w:rPr>
        <w:t xml:space="preserve"> 2026</w:t>
      </w:r>
    </w:p>
    <w:p w14:paraId="751EBB3E" w14:textId="543C83A0" w:rsidR="000C7C08" w:rsidRPr="006F00FD" w:rsidRDefault="000C7C08" w:rsidP="00C4100E">
      <w:pPr>
        <w:spacing w:line="360" w:lineRule="auto"/>
        <w:rPr>
          <w:rFonts w:ascii="Arial" w:hAnsi="Arial" w:cs="Arial"/>
          <w:sz w:val="24"/>
          <w:szCs w:val="24"/>
        </w:rPr>
      </w:pPr>
    </w:p>
    <w:p w14:paraId="37023BF9" w14:textId="77777777" w:rsidR="000C7C08" w:rsidRPr="006F00FD" w:rsidRDefault="009822E0" w:rsidP="003347C2">
      <w:pPr>
        <w:spacing w:line="360" w:lineRule="auto"/>
        <w:rPr>
          <w:rFonts w:ascii="Arial" w:hAnsi="Arial" w:cs="Arial"/>
          <w:sz w:val="24"/>
          <w:szCs w:val="24"/>
        </w:rPr>
      </w:pPr>
      <w:r w:rsidRPr="006F00FD">
        <w:rPr>
          <w:rFonts w:ascii="Arial" w:hAnsi="Arial" w:cs="Arial"/>
          <w:sz w:val="24"/>
          <w:szCs w:val="24"/>
        </w:rPr>
        <w:br w:type="page"/>
      </w:r>
    </w:p>
    <w:p w14:paraId="4B3B7A81" w14:textId="121BF155" w:rsidR="000C7C08" w:rsidRPr="006F00FD" w:rsidRDefault="009822E0" w:rsidP="00CF755B">
      <w:pPr>
        <w:pStyle w:val="Heading1"/>
        <w:numPr>
          <w:ilvl w:val="0"/>
          <w:numId w:val="0"/>
        </w:numPr>
      </w:pPr>
      <w:bookmarkStart w:id="1" w:name="_Toc227973213"/>
      <w:r w:rsidRPr="006F00FD">
        <w:lastRenderedPageBreak/>
        <w:t>Executive Summary</w:t>
      </w:r>
      <w:bookmarkEnd w:id="1"/>
    </w:p>
    <w:p w14:paraId="360AD0ED" w14:textId="77777777" w:rsidR="00633D9E" w:rsidRPr="006F00FD" w:rsidRDefault="00633D9E" w:rsidP="003347C2">
      <w:pPr>
        <w:spacing w:line="360" w:lineRule="auto"/>
        <w:jc w:val="both"/>
        <w:rPr>
          <w:rFonts w:ascii="Arial" w:hAnsi="Arial" w:cs="Arial"/>
          <w:sz w:val="24"/>
          <w:szCs w:val="24"/>
        </w:rPr>
      </w:pPr>
      <w:r w:rsidRPr="006F00FD">
        <w:rPr>
          <w:rFonts w:ascii="Arial" w:hAnsi="Arial" w:cs="Arial"/>
          <w:sz w:val="24"/>
          <w:szCs w:val="24"/>
        </w:rPr>
        <w:t xml:space="preserve">This report recommends to Tesco Plc on the governance, ethical and regulatory aspects of its growing artificial intelligence (AI) infrastructure and specifically on consumer trust, data governance, and compliance within the United Kingdom and European Union regulatory frameworks. Being the biggest grocery retailer in the UK, Tesco has implemented AI in </w:t>
      </w:r>
      <w:proofErr w:type="spellStart"/>
      <w:r w:rsidRPr="006F00FD">
        <w:rPr>
          <w:rFonts w:ascii="Arial" w:hAnsi="Arial" w:cs="Arial"/>
          <w:sz w:val="24"/>
          <w:szCs w:val="24"/>
        </w:rPr>
        <w:t>personalised</w:t>
      </w:r>
      <w:proofErr w:type="spellEnd"/>
      <w:r w:rsidRPr="006F00FD">
        <w:rPr>
          <w:rFonts w:ascii="Arial" w:hAnsi="Arial" w:cs="Arial"/>
          <w:sz w:val="24"/>
          <w:szCs w:val="24"/>
        </w:rPr>
        <w:t xml:space="preserve"> marketing, dynamic pricing, and demand forecasting, as well as the Clubcard loyalty ecosystem. These systems are creating high commercial value and at the same time putting the </w:t>
      </w:r>
      <w:proofErr w:type="spellStart"/>
      <w:r w:rsidRPr="006F00FD">
        <w:rPr>
          <w:rFonts w:ascii="Arial" w:hAnsi="Arial" w:cs="Arial"/>
          <w:sz w:val="24"/>
          <w:szCs w:val="24"/>
        </w:rPr>
        <w:t>organisation</w:t>
      </w:r>
      <w:proofErr w:type="spellEnd"/>
      <w:r w:rsidRPr="006F00FD">
        <w:rPr>
          <w:rFonts w:ascii="Arial" w:hAnsi="Arial" w:cs="Arial"/>
          <w:sz w:val="24"/>
          <w:szCs w:val="24"/>
        </w:rPr>
        <w:t xml:space="preserve"> at risk of regulatory liability, reputational risk and loss of consumer trust unless they are managed with </w:t>
      </w:r>
      <w:proofErr w:type="spellStart"/>
      <w:r w:rsidRPr="006F00FD">
        <w:rPr>
          <w:rFonts w:ascii="Arial" w:hAnsi="Arial" w:cs="Arial"/>
          <w:sz w:val="24"/>
          <w:szCs w:val="24"/>
        </w:rPr>
        <w:t>rigour</w:t>
      </w:r>
      <w:proofErr w:type="spellEnd"/>
      <w:r w:rsidRPr="006F00FD">
        <w:rPr>
          <w:rFonts w:ascii="Arial" w:hAnsi="Arial" w:cs="Arial"/>
          <w:sz w:val="24"/>
          <w:szCs w:val="24"/>
        </w:rPr>
        <w:t xml:space="preserve"> and foresight.</w:t>
      </w:r>
    </w:p>
    <w:p w14:paraId="57FDD236" w14:textId="77777777" w:rsidR="00633D9E" w:rsidRPr="006F00FD" w:rsidRDefault="00633D9E" w:rsidP="003347C2">
      <w:pPr>
        <w:spacing w:line="360" w:lineRule="auto"/>
        <w:jc w:val="both"/>
        <w:rPr>
          <w:rFonts w:ascii="Arial" w:hAnsi="Arial" w:cs="Arial"/>
          <w:sz w:val="24"/>
          <w:szCs w:val="24"/>
        </w:rPr>
      </w:pPr>
      <w:r w:rsidRPr="006F00FD">
        <w:rPr>
          <w:rFonts w:ascii="Arial" w:hAnsi="Arial" w:cs="Arial"/>
          <w:sz w:val="24"/>
          <w:szCs w:val="24"/>
        </w:rPr>
        <w:t xml:space="preserve">The report uses a focused PESTLE analysis, which involves a risk weight based on the probability of occurrence and the extent of influence of each factor, to determine the macro-level forces that influence AI risk in the retail industry. It subsequently considers the models that can be used to manage AI risk, challenges of governance unique to the data practices of Tesco, and the divergent regulatory requirements that Tesco confronts in the UK and EU. Competitor benchmarking analysis puts Tesco in the governance posture against peers in the sector. The analysis of consumer trust will look at the interaction between AI-enabled </w:t>
      </w:r>
      <w:proofErr w:type="spellStart"/>
      <w:r w:rsidRPr="006F00FD">
        <w:rPr>
          <w:rFonts w:ascii="Arial" w:hAnsi="Arial" w:cs="Arial"/>
          <w:sz w:val="24"/>
          <w:szCs w:val="24"/>
        </w:rPr>
        <w:t>personalisation</w:t>
      </w:r>
      <w:proofErr w:type="spellEnd"/>
      <w:r w:rsidRPr="006F00FD">
        <w:rPr>
          <w:rFonts w:ascii="Arial" w:hAnsi="Arial" w:cs="Arial"/>
          <w:sz w:val="24"/>
          <w:szCs w:val="24"/>
        </w:rPr>
        <w:t>, the transparency shortcomings, and privacy trade-offs to determine the long-term loyalty and brand equity.</w:t>
      </w:r>
    </w:p>
    <w:p w14:paraId="3F7651B6" w14:textId="77777777" w:rsidR="00633D9E" w:rsidRPr="006F00FD" w:rsidRDefault="00633D9E" w:rsidP="003347C2">
      <w:pPr>
        <w:spacing w:line="360" w:lineRule="auto"/>
        <w:jc w:val="both"/>
        <w:rPr>
          <w:rFonts w:ascii="Arial" w:hAnsi="Arial" w:cs="Arial"/>
          <w:sz w:val="24"/>
          <w:szCs w:val="24"/>
        </w:rPr>
      </w:pPr>
      <w:r w:rsidRPr="006F00FD">
        <w:rPr>
          <w:rFonts w:ascii="Arial" w:hAnsi="Arial" w:cs="Arial"/>
          <w:sz w:val="24"/>
          <w:szCs w:val="24"/>
        </w:rPr>
        <w:t>An important regulatory clarification guides the analysis: standard grocery dynamic pricing is not a high-risk according to the EU AI Act Annex III. Some Clubcard applications that involve financial services scoring or access to vital services can invoke Annex III thresholds, although this limit is yet to be clarified when EU AI office enforcement guidance is implemented. The governance response by Tesco must be in line to this subtle categorization and not exaggerated.</w:t>
      </w:r>
    </w:p>
    <w:p w14:paraId="446892F3" w14:textId="392982C4" w:rsidR="002A5091" w:rsidRPr="006F00FD" w:rsidRDefault="00633D9E" w:rsidP="003347C2">
      <w:pPr>
        <w:spacing w:line="360" w:lineRule="auto"/>
        <w:jc w:val="both"/>
        <w:rPr>
          <w:rFonts w:ascii="Arial" w:hAnsi="Arial" w:cs="Arial"/>
          <w:sz w:val="24"/>
          <w:szCs w:val="24"/>
        </w:rPr>
      </w:pPr>
      <w:r w:rsidRPr="006F00FD">
        <w:rPr>
          <w:rFonts w:ascii="Arial" w:hAnsi="Arial" w:cs="Arial"/>
          <w:sz w:val="24"/>
          <w:szCs w:val="24"/>
        </w:rPr>
        <w:t>Implementation plan prescribes an eleven costed implementation plan consisting of three horizons governance strategy, establishing an AI Ethics and Governance Board and procuring AI liability insurance in short term, deploying explainability infrastructure and redesigning consent architecture in medium term, building AI assurance capabilities and pursuing external certification in long term. These suggestions are future-oriented, business-based and are commensurate with the regulatory and reputational risks established.</w:t>
      </w:r>
    </w:p>
    <w:p w14:paraId="0ABB19E0" w14:textId="77777777" w:rsidR="002A5091" w:rsidRPr="006F00FD" w:rsidRDefault="002A5091" w:rsidP="003347C2">
      <w:pPr>
        <w:spacing w:line="360" w:lineRule="auto"/>
        <w:rPr>
          <w:rFonts w:ascii="Arial" w:hAnsi="Arial" w:cs="Arial"/>
          <w:sz w:val="24"/>
          <w:szCs w:val="24"/>
        </w:rPr>
      </w:pPr>
      <w:r w:rsidRPr="006F00FD">
        <w:rPr>
          <w:rFonts w:ascii="Arial" w:hAnsi="Arial" w:cs="Arial"/>
          <w:sz w:val="24"/>
          <w:szCs w:val="24"/>
        </w:rPr>
        <w:br w:type="page"/>
      </w:r>
    </w:p>
    <w:sdt>
      <w:sdtPr>
        <w:rPr>
          <w:rFonts w:ascii="Arial" w:eastAsia="Georgia" w:hAnsi="Arial" w:cs="Arial"/>
          <w:color w:val="auto"/>
          <w:sz w:val="22"/>
          <w:szCs w:val="22"/>
        </w:rPr>
        <w:id w:val="94294216"/>
        <w:docPartObj>
          <w:docPartGallery w:val="Table of Contents"/>
          <w:docPartUnique/>
        </w:docPartObj>
      </w:sdtPr>
      <w:sdtEndPr>
        <w:rPr>
          <w:b/>
          <w:bCs/>
          <w:noProof/>
          <w:sz w:val="24"/>
          <w:szCs w:val="24"/>
        </w:rPr>
      </w:sdtEndPr>
      <w:sdtContent>
        <w:p w14:paraId="72277877" w14:textId="38A0CC61" w:rsidR="00702EBB" w:rsidRPr="006F00FD" w:rsidRDefault="00702EBB" w:rsidP="00425B11">
          <w:pPr>
            <w:pStyle w:val="TOCHeading"/>
            <w:spacing w:line="360" w:lineRule="auto"/>
            <w:jc w:val="center"/>
            <w:rPr>
              <w:rFonts w:ascii="Arial" w:hAnsi="Arial" w:cs="Arial"/>
            </w:rPr>
          </w:pPr>
          <w:r w:rsidRPr="006F00FD">
            <w:rPr>
              <w:rFonts w:ascii="Arial" w:hAnsi="Arial" w:cs="Arial"/>
            </w:rPr>
            <w:t>Table of Contents</w:t>
          </w:r>
        </w:p>
        <w:p w14:paraId="408D2320" w14:textId="3EC3D4C7" w:rsidR="002D30C9" w:rsidRPr="00425B11" w:rsidRDefault="00702EBB" w:rsidP="00425B11">
          <w:pPr>
            <w:pStyle w:val="TOC1"/>
            <w:tabs>
              <w:tab w:val="right" w:leader="dot" w:pos="9710"/>
            </w:tabs>
            <w:spacing w:line="360" w:lineRule="auto"/>
            <w:rPr>
              <w:rFonts w:asciiTheme="minorHAnsi" w:eastAsiaTheme="minorEastAsia" w:hAnsiTheme="minorHAnsi" w:cstheme="minorBidi"/>
              <w:noProof/>
              <w:kern w:val="2"/>
              <w:sz w:val="28"/>
              <w:szCs w:val="28"/>
              <w14:ligatures w14:val="standardContextual"/>
            </w:rPr>
          </w:pPr>
          <w:r w:rsidRPr="00425B11">
            <w:rPr>
              <w:rFonts w:ascii="Arial" w:hAnsi="Arial" w:cs="Arial"/>
              <w:sz w:val="24"/>
              <w:szCs w:val="24"/>
            </w:rPr>
            <w:fldChar w:fldCharType="begin"/>
          </w:r>
          <w:r w:rsidRPr="00425B11">
            <w:rPr>
              <w:rFonts w:ascii="Arial" w:hAnsi="Arial" w:cs="Arial"/>
              <w:sz w:val="24"/>
              <w:szCs w:val="24"/>
            </w:rPr>
            <w:instrText xml:space="preserve"> TOC \o "1-3" \h \z \u </w:instrText>
          </w:r>
          <w:r w:rsidRPr="00425B11">
            <w:rPr>
              <w:rFonts w:ascii="Arial" w:hAnsi="Arial" w:cs="Arial"/>
              <w:sz w:val="24"/>
              <w:szCs w:val="24"/>
            </w:rPr>
            <w:fldChar w:fldCharType="separate"/>
          </w:r>
          <w:hyperlink w:anchor="_Toc227973213" w:history="1">
            <w:r w:rsidR="002D30C9" w:rsidRPr="00425B11">
              <w:rPr>
                <w:rStyle w:val="Hyperlink"/>
                <w:noProof/>
                <w:sz w:val="24"/>
                <w:szCs w:val="24"/>
              </w:rPr>
              <w:t>Executive Summary</w:t>
            </w:r>
            <w:r w:rsidR="002D30C9" w:rsidRPr="00425B11">
              <w:rPr>
                <w:noProof/>
                <w:webHidden/>
                <w:sz w:val="24"/>
                <w:szCs w:val="24"/>
              </w:rPr>
              <w:tab/>
            </w:r>
            <w:r w:rsidR="002D30C9" w:rsidRPr="00425B11">
              <w:rPr>
                <w:noProof/>
                <w:webHidden/>
                <w:sz w:val="24"/>
                <w:szCs w:val="24"/>
              </w:rPr>
              <w:fldChar w:fldCharType="begin"/>
            </w:r>
            <w:r w:rsidR="002D30C9" w:rsidRPr="00425B11">
              <w:rPr>
                <w:noProof/>
                <w:webHidden/>
                <w:sz w:val="24"/>
                <w:szCs w:val="24"/>
              </w:rPr>
              <w:instrText xml:space="preserve"> PAGEREF _Toc227973213 \h </w:instrText>
            </w:r>
            <w:r w:rsidR="002D30C9" w:rsidRPr="00425B11">
              <w:rPr>
                <w:noProof/>
                <w:webHidden/>
                <w:sz w:val="24"/>
                <w:szCs w:val="24"/>
              </w:rPr>
            </w:r>
            <w:r w:rsidR="002D30C9" w:rsidRPr="00425B11">
              <w:rPr>
                <w:noProof/>
                <w:webHidden/>
                <w:sz w:val="24"/>
                <w:szCs w:val="24"/>
              </w:rPr>
              <w:fldChar w:fldCharType="separate"/>
            </w:r>
            <w:r w:rsidR="00425B11" w:rsidRPr="00425B11">
              <w:rPr>
                <w:noProof/>
                <w:webHidden/>
                <w:sz w:val="24"/>
                <w:szCs w:val="24"/>
              </w:rPr>
              <w:t>2</w:t>
            </w:r>
            <w:r w:rsidR="002D30C9" w:rsidRPr="00425B11">
              <w:rPr>
                <w:noProof/>
                <w:webHidden/>
                <w:sz w:val="24"/>
                <w:szCs w:val="24"/>
              </w:rPr>
              <w:fldChar w:fldCharType="end"/>
            </w:r>
          </w:hyperlink>
        </w:p>
        <w:p w14:paraId="01896037" w14:textId="5251C7E5" w:rsidR="002D30C9" w:rsidRPr="00425B11" w:rsidRDefault="00553D6D" w:rsidP="00425B11">
          <w:pPr>
            <w:pStyle w:val="TOC1"/>
            <w:tabs>
              <w:tab w:val="left" w:pos="480"/>
              <w:tab w:val="right" w:leader="dot" w:pos="9710"/>
            </w:tabs>
            <w:spacing w:line="360" w:lineRule="auto"/>
            <w:rPr>
              <w:rFonts w:asciiTheme="minorHAnsi" w:eastAsiaTheme="minorEastAsia" w:hAnsiTheme="minorHAnsi" w:cstheme="minorBidi"/>
              <w:noProof/>
              <w:kern w:val="2"/>
              <w:sz w:val="28"/>
              <w:szCs w:val="28"/>
              <w14:ligatures w14:val="standardContextual"/>
            </w:rPr>
          </w:pPr>
          <w:hyperlink w:anchor="_Toc227973214" w:history="1">
            <w:r w:rsidR="002D30C9" w:rsidRPr="00425B11">
              <w:rPr>
                <w:rStyle w:val="Hyperlink"/>
                <w:noProof/>
                <w:sz w:val="24"/>
                <w:szCs w:val="24"/>
              </w:rPr>
              <w:t>1.</w:t>
            </w:r>
            <w:r w:rsidR="002D30C9" w:rsidRPr="00425B11">
              <w:rPr>
                <w:rFonts w:asciiTheme="minorHAnsi" w:eastAsiaTheme="minorEastAsia" w:hAnsiTheme="minorHAnsi" w:cstheme="minorBidi"/>
                <w:noProof/>
                <w:kern w:val="2"/>
                <w:sz w:val="28"/>
                <w:szCs w:val="28"/>
                <w14:ligatures w14:val="standardContextual"/>
              </w:rPr>
              <w:tab/>
            </w:r>
            <w:r w:rsidR="002D30C9" w:rsidRPr="00425B11">
              <w:rPr>
                <w:rStyle w:val="Hyperlink"/>
                <w:noProof/>
                <w:sz w:val="24"/>
                <w:szCs w:val="24"/>
              </w:rPr>
              <w:t>Introduction</w:t>
            </w:r>
            <w:r w:rsidR="002D30C9" w:rsidRPr="00425B11">
              <w:rPr>
                <w:noProof/>
                <w:webHidden/>
                <w:sz w:val="24"/>
                <w:szCs w:val="24"/>
              </w:rPr>
              <w:tab/>
            </w:r>
            <w:r w:rsidR="002D30C9" w:rsidRPr="00425B11">
              <w:rPr>
                <w:noProof/>
                <w:webHidden/>
                <w:sz w:val="24"/>
                <w:szCs w:val="24"/>
              </w:rPr>
              <w:fldChar w:fldCharType="begin"/>
            </w:r>
            <w:r w:rsidR="002D30C9" w:rsidRPr="00425B11">
              <w:rPr>
                <w:noProof/>
                <w:webHidden/>
                <w:sz w:val="24"/>
                <w:szCs w:val="24"/>
              </w:rPr>
              <w:instrText xml:space="preserve"> PAGEREF _Toc227973214 \h </w:instrText>
            </w:r>
            <w:r w:rsidR="002D30C9" w:rsidRPr="00425B11">
              <w:rPr>
                <w:noProof/>
                <w:webHidden/>
                <w:sz w:val="24"/>
                <w:szCs w:val="24"/>
              </w:rPr>
            </w:r>
            <w:r w:rsidR="002D30C9" w:rsidRPr="00425B11">
              <w:rPr>
                <w:noProof/>
                <w:webHidden/>
                <w:sz w:val="24"/>
                <w:szCs w:val="24"/>
              </w:rPr>
              <w:fldChar w:fldCharType="separate"/>
            </w:r>
            <w:r w:rsidR="00425B11" w:rsidRPr="00425B11">
              <w:rPr>
                <w:noProof/>
                <w:webHidden/>
                <w:sz w:val="24"/>
                <w:szCs w:val="24"/>
              </w:rPr>
              <w:t>4</w:t>
            </w:r>
            <w:r w:rsidR="002D30C9" w:rsidRPr="00425B11">
              <w:rPr>
                <w:noProof/>
                <w:webHidden/>
                <w:sz w:val="24"/>
                <w:szCs w:val="24"/>
              </w:rPr>
              <w:fldChar w:fldCharType="end"/>
            </w:r>
          </w:hyperlink>
        </w:p>
        <w:p w14:paraId="0E3CCC70" w14:textId="551A7AB5" w:rsidR="002D30C9" w:rsidRPr="00425B11" w:rsidRDefault="00553D6D" w:rsidP="00425B11">
          <w:pPr>
            <w:pStyle w:val="TOC1"/>
            <w:tabs>
              <w:tab w:val="left" w:pos="480"/>
              <w:tab w:val="right" w:leader="dot" w:pos="9710"/>
            </w:tabs>
            <w:spacing w:line="360" w:lineRule="auto"/>
            <w:rPr>
              <w:rFonts w:asciiTheme="minorHAnsi" w:eastAsiaTheme="minorEastAsia" w:hAnsiTheme="minorHAnsi" w:cstheme="minorBidi"/>
              <w:noProof/>
              <w:kern w:val="2"/>
              <w:sz w:val="28"/>
              <w:szCs w:val="28"/>
              <w14:ligatures w14:val="standardContextual"/>
            </w:rPr>
          </w:pPr>
          <w:hyperlink w:anchor="_Toc227973215" w:history="1">
            <w:r w:rsidR="002D30C9" w:rsidRPr="00425B11">
              <w:rPr>
                <w:rStyle w:val="Hyperlink"/>
                <w:noProof/>
                <w:sz w:val="24"/>
                <w:szCs w:val="24"/>
              </w:rPr>
              <w:t>2.</w:t>
            </w:r>
            <w:r w:rsidR="002D30C9" w:rsidRPr="00425B11">
              <w:rPr>
                <w:rFonts w:asciiTheme="minorHAnsi" w:eastAsiaTheme="minorEastAsia" w:hAnsiTheme="minorHAnsi" w:cstheme="minorBidi"/>
                <w:noProof/>
                <w:kern w:val="2"/>
                <w:sz w:val="28"/>
                <w:szCs w:val="28"/>
                <w14:ligatures w14:val="standardContextual"/>
              </w:rPr>
              <w:tab/>
            </w:r>
            <w:r w:rsidR="002D30C9" w:rsidRPr="00425B11">
              <w:rPr>
                <w:rStyle w:val="Hyperlink"/>
                <w:noProof/>
                <w:sz w:val="24"/>
                <w:szCs w:val="24"/>
              </w:rPr>
              <w:t>Main Findings</w:t>
            </w:r>
            <w:r w:rsidR="002D30C9" w:rsidRPr="00425B11">
              <w:rPr>
                <w:noProof/>
                <w:webHidden/>
                <w:sz w:val="24"/>
                <w:szCs w:val="24"/>
              </w:rPr>
              <w:tab/>
            </w:r>
            <w:r w:rsidR="002D30C9" w:rsidRPr="00425B11">
              <w:rPr>
                <w:noProof/>
                <w:webHidden/>
                <w:sz w:val="24"/>
                <w:szCs w:val="24"/>
              </w:rPr>
              <w:fldChar w:fldCharType="begin"/>
            </w:r>
            <w:r w:rsidR="002D30C9" w:rsidRPr="00425B11">
              <w:rPr>
                <w:noProof/>
                <w:webHidden/>
                <w:sz w:val="24"/>
                <w:szCs w:val="24"/>
              </w:rPr>
              <w:instrText xml:space="preserve"> PAGEREF _Toc227973215 \h </w:instrText>
            </w:r>
            <w:r w:rsidR="002D30C9" w:rsidRPr="00425B11">
              <w:rPr>
                <w:noProof/>
                <w:webHidden/>
                <w:sz w:val="24"/>
                <w:szCs w:val="24"/>
              </w:rPr>
            </w:r>
            <w:r w:rsidR="002D30C9" w:rsidRPr="00425B11">
              <w:rPr>
                <w:noProof/>
                <w:webHidden/>
                <w:sz w:val="24"/>
                <w:szCs w:val="24"/>
              </w:rPr>
              <w:fldChar w:fldCharType="separate"/>
            </w:r>
            <w:r w:rsidR="00425B11" w:rsidRPr="00425B11">
              <w:rPr>
                <w:noProof/>
                <w:webHidden/>
                <w:sz w:val="24"/>
                <w:szCs w:val="24"/>
              </w:rPr>
              <w:t>5</w:t>
            </w:r>
            <w:r w:rsidR="002D30C9" w:rsidRPr="00425B11">
              <w:rPr>
                <w:noProof/>
                <w:webHidden/>
                <w:sz w:val="24"/>
                <w:szCs w:val="24"/>
              </w:rPr>
              <w:fldChar w:fldCharType="end"/>
            </w:r>
          </w:hyperlink>
        </w:p>
        <w:p w14:paraId="4D7BAFD7" w14:textId="346FFA11" w:rsidR="002D30C9" w:rsidRPr="00425B11" w:rsidRDefault="00553D6D" w:rsidP="00425B11">
          <w:pPr>
            <w:pStyle w:val="TOC2"/>
            <w:tabs>
              <w:tab w:val="left" w:pos="960"/>
              <w:tab w:val="right" w:leader="dot" w:pos="9710"/>
            </w:tabs>
            <w:spacing w:line="360" w:lineRule="auto"/>
            <w:rPr>
              <w:rFonts w:asciiTheme="minorHAnsi" w:eastAsiaTheme="minorEastAsia" w:hAnsiTheme="minorHAnsi" w:cstheme="minorBidi"/>
              <w:noProof/>
              <w:kern w:val="2"/>
              <w:sz w:val="28"/>
              <w:szCs w:val="28"/>
              <w14:ligatures w14:val="standardContextual"/>
            </w:rPr>
          </w:pPr>
          <w:hyperlink w:anchor="_Toc227973216" w:history="1">
            <w:r w:rsidR="002D30C9" w:rsidRPr="00425B11">
              <w:rPr>
                <w:rStyle w:val="Hyperlink"/>
                <w:noProof/>
                <w:sz w:val="24"/>
                <w:szCs w:val="24"/>
              </w:rPr>
              <w:t>2.1</w:t>
            </w:r>
            <w:r w:rsidR="002D30C9" w:rsidRPr="00425B11">
              <w:rPr>
                <w:rFonts w:asciiTheme="minorHAnsi" w:eastAsiaTheme="minorEastAsia" w:hAnsiTheme="minorHAnsi" w:cstheme="minorBidi"/>
                <w:noProof/>
                <w:kern w:val="2"/>
                <w:sz w:val="28"/>
                <w:szCs w:val="28"/>
                <w14:ligatures w14:val="standardContextual"/>
              </w:rPr>
              <w:tab/>
            </w:r>
            <w:r w:rsidR="002D30C9" w:rsidRPr="00425B11">
              <w:rPr>
                <w:rStyle w:val="Hyperlink"/>
                <w:noProof/>
                <w:sz w:val="24"/>
                <w:szCs w:val="24"/>
              </w:rPr>
              <w:t>PESTLE Analysis of AI in UK Retail</w:t>
            </w:r>
            <w:r w:rsidR="002D30C9" w:rsidRPr="00425B11">
              <w:rPr>
                <w:noProof/>
                <w:webHidden/>
                <w:sz w:val="24"/>
                <w:szCs w:val="24"/>
              </w:rPr>
              <w:tab/>
            </w:r>
            <w:r w:rsidR="002D30C9" w:rsidRPr="00425B11">
              <w:rPr>
                <w:noProof/>
                <w:webHidden/>
                <w:sz w:val="24"/>
                <w:szCs w:val="24"/>
              </w:rPr>
              <w:fldChar w:fldCharType="begin"/>
            </w:r>
            <w:r w:rsidR="002D30C9" w:rsidRPr="00425B11">
              <w:rPr>
                <w:noProof/>
                <w:webHidden/>
                <w:sz w:val="24"/>
                <w:szCs w:val="24"/>
              </w:rPr>
              <w:instrText xml:space="preserve"> PAGEREF _Toc227973216 \h </w:instrText>
            </w:r>
            <w:r w:rsidR="002D30C9" w:rsidRPr="00425B11">
              <w:rPr>
                <w:noProof/>
                <w:webHidden/>
                <w:sz w:val="24"/>
                <w:szCs w:val="24"/>
              </w:rPr>
            </w:r>
            <w:r w:rsidR="002D30C9" w:rsidRPr="00425B11">
              <w:rPr>
                <w:noProof/>
                <w:webHidden/>
                <w:sz w:val="24"/>
                <w:szCs w:val="24"/>
              </w:rPr>
              <w:fldChar w:fldCharType="separate"/>
            </w:r>
            <w:r w:rsidR="00425B11" w:rsidRPr="00425B11">
              <w:rPr>
                <w:noProof/>
                <w:webHidden/>
                <w:sz w:val="24"/>
                <w:szCs w:val="24"/>
              </w:rPr>
              <w:t>5</w:t>
            </w:r>
            <w:r w:rsidR="002D30C9" w:rsidRPr="00425B11">
              <w:rPr>
                <w:noProof/>
                <w:webHidden/>
                <w:sz w:val="24"/>
                <w:szCs w:val="24"/>
              </w:rPr>
              <w:fldChar w:fldCharType="end"/>
            </w:r>
          </w:hyperlink>
        </w:p>
        <w:p w14:paraId="1D15B791" w14:textId="20563C0F" w:rsidR="002D30C9" w:rsidRPr="00425B11" w:rsidRDefault="00553D6D" w:rsidP="00425B11">
          <w:pPr>
            <w:pStyle w:val="TOC2"/>
            <w:tabs>
              <w:tab w:val="left" w:pos="960"/>
              <w:tab w:val="right" w:leader="dot" w:pos="9710"/>
            </w:tabs>
            <w:spacing w:line="360" w:lineRule="auto"/>
            <w:rPr>
              <w:rFonts w:asciiTheme="minorHAnsi" w:eastAsiaTheme="minorEastAsia" w:hAnsiTheme="minorHAnsi" w:cstheme="minorBidi"/>
              <w:noProof/>
              <w:kern w:val="2"/>
              <w:sz w:val="28"/>
              <w:szCs w:val="28"/>
              <w14:ligatures w14:val="standardContextual"/>
            </w:rPr>
          </w:pPr>
          <w:hyperlink w:anchor="_Toc227973217" w:history="1">
            <w:r w:rsidR="002D30C9" w:rsidRPr="00425B11">
              <w:rPr>
                <w:rStyle w:val="Hyperlink"/>
                <w:noProof/>
                <w:sz w:val="24"/>
                <w:szCs w:val="24"/>
              </w:rPr>
              <w:t>2.2</w:t>
            </w:r>
            <w:r w:rsidR="002D30C9" w:rsidRPr="00425B11">
              <w:rPr>
                <w:rFonts w:asciiTheme="minorHAnsi" w:eastAsiaTheme="minorEastAsia" w:hAnsiTheme="minorHAnsi" w:cstheme="minorBidi"/>
                <w:noProof/>
                <w:kern w:val="2"/>
                <w:sz w:val="28"/>
                <w:szCs w:val="28"/>
                <w14:ligatures w14:val="standardContextual"/>
              </w:rPr>
              <w:tab/>
            </w:r>
            <w:r w:rsidR="002D30C9" w:rsidRPr="00425B11">
              <w:rPr>
                <w:rStyle w:val="Hyperlink"/>
                <w:noProof/>
                <w:sz w:val="24"/>
                <w:szCs w:val="24"/>
              </w:rPr>
              <w:t>AI Risk Management Frameworks</w:t>
            </w:r>
            <w:r w:rsidR="002D30C9" w:rsidRPr="00425B11">
              <w:rPr>
                <w:noProof/>
                <w:webHidden/>
                <w:sz w:val="24"/>
                <w:szCs w:val="24"/>
              </w:rPr>
              <w:tab/>
            </w:r>
            <w:r w:rsidR="002D30C9" w:rsidRPr="00425B11">
              <w:rPr>
                <w:noProof/>
                <w:webHidden/>
                <w:sz w:val="24"/>
                <w:szCs w:val="24"/>
              </w:rPr>
              <w:fldChar w:fldCharType="begin"/>
            </w:r>
            <w:r w:rsidR="002D30C9" w:rsidRPr="00425B11">
              <w:rPr>
                <w:noProof/>
                <w:webHidden/>
                <w:sz w:val="24"/>
                <w:szCs w:val="24"/>
              </w:rPr>
              <w:instrText xml:space="preserve"> PAGEREF _Toc227973217 \h </w:instrText>
            </w:r>
            <w:r w:rsidR="002D30C9" w:rsidRPr="00425B11">
              <w:rPr>
                <w:noProof/>
                <w:webHidden/>
                <w:sz w:val="24"/>
                <w:szCs w:val="24"/>
              </w:rPr>
            </w:r>
            <w:r w:rsidR="002D30C9" w:rsidRPr="00425B11">
              <w:rPr>
                <w:noProof/>
                <w:webHidden/>
                <w:sz w:val="24"/>
                <w:szCs w:val="24"/>
              </w:rPr>
              <w:fldChar w:fldCharType="separate"/>
            </w:r>
            <w:r w:rsidR="00425B11" w:rsidRPr="00425B11">
              <w:rPr>
                <w:noProof/>
                <w:webHidden/>
                <w:sz w:val="24"/>
                <w:szCs w:val="24"/>
              </w:rPr>
              <w:t>8</w:t>
            </w:r>
            <w:r w:rsidR="002D30C9" w:rsidRPr="00425B11">
              <w:rPr>
                <w:noProof/>
                <w:webHidden/>
                <w:sz w:val="24"/>
                <w:szCs w:val="24"/>
              </w:rPr>
              <w:fldChar w:fldCharType="end"/>
            </w:r>
          </w:hyperlink>
        </w:p>
        <w:p w14:paraId="652FF969" w14:textId="6666A125" w:rsidR="002D30C9" w:rsidRPr="00425B11" w:rsidRDefault="00553D6D" w:rsidP="00425B11">
          <w:pPr>
            <w:pStyle w:val="TOC2"/>
            <w:tabs>
              <w:tab w:val="left" w:pos="960"/>
              <w:tab w:val="right" w:leader="dot" w:pos="9710"/>
            </w:tabs>
            <w:spacing w:line="360" w:lineRule="auto"/>
            <w:rPr>
              <w:rFonts w:asciiTheme="minorHAnsi" w:eastAsiaTheme="minorEastAsia" w:hAnsiTheme="minorHAnsi" w:cstheme="minorBidi"/>
              <w:noProof/>
              <w:kern w:val="2"/>
              <w:sz w:val="28"/>
              <w:szCs w:val="28"/>
              <w14:ligatures w14:val="standardContextual"/>
            </w:rPr>
          </w:pPr>
          <w:hyperlink w:anchor="_Toc227973218" w:history="1">
            <w:r w:rsidR="002D30C9" w:rsidRPr="00425B11">
              <w:rPr>
                <w:rStyle w:val="Hyperlink"/>
                <w:noProof/>
                <w:sz w:val="24"/>
                <w:szCs w:val="24"/>
              </w:rPr>
              <w:t>2.3</w:t>
            </w:r>
            <w:r w:rsidR="002D30C9" w:rsidRPr="00425B11">
              <w:rPr>
                <w:rFonts w:asciiTheme="minorHAnsi" w:eastAsiaTheme="minorEastAsia" w:hAnsiTheme="minorHAnsi" w:cstheme="minorBidi"/>
                <w:noProof/>
                <w:kern w:val="2"/>
                <w:sz w:val="28"/>
                <w:szCs w:val="28"/>
                <w14:ligatures w14:val="standardContextual"/>
              </w:rPr>
              <w:tab/>
            </w:r>
            <w:r w:rsidR="002D30C9" w:rsidRPr="00425B11">
              <w:rPr>
                <w:rStyle w:val="Hyperlink"/>
                <w:noProof/>
                <w:sz w:val="24"/>
                <w:szCs w:val="24"/>
              </w:rPr>
              <w:t>Data Governance and Ethical AI</w:t>
            </w:r>
            <w:r w:rsidR="002D30C9" w:rsidRPr="00425B11">
              <w:rPr>
                <w:noProof/>
                <w:webHidden/>
                <w:sz w:val="24"/>
                <w:szCs w:val="24"/>
              </w:rPr>
              <w:tab/>
            </w:r>
            <w:r w:rsidR="002D30C9" w:rsidRPr="00425B11">
              <w:rPr>
                <w:noProof/>
                <w:webHidden/>
                <w:sz w:val="24"/>
                <w:szCs w:val="24"/>
              </w:rPr>
              <w:fldChar w:fldCharType="begin"/>
            </w:r>
            <w:r w:rsidR="002D30C9" w:rsidRPr="00425B11">
              <w:rPr>
                <w:noProof/>
                <w:webHidden/>
                <w:sz w:val="24"/>
                <w:szCs w:val="24"/>
              </w:rPr>
              <w:instrText xml:space="preserve"> PAGEREF _Toc227973218 \h </w:instrText>
            </w:r>
            <w:r w:rsidR="002D30C9" w:rsidRPr="00425B11">
              <w:rPr>
                <w:noProof/>
                <w:webHidden/>
                <w:sz w:val="24"/>
                <w:szCs w:val="24"/>
              </w:rPr>
            </w:r>
            <w:r w:rsidR="002D30C9" w:rsidRPr="00425B11">
              <w:rPr>
                <w:noProof/>
                <w:webHidden/>
                <w:sz w:val="24"/>
                <w:szCs w:val="24"/>
              </w:rPr>
              <w:fldChar w:fldCharType="separate"/>
            </w:r>
            <w:r w:rsidR="00425B11" w:rsidRPr="00425B11">
              <w:rPr>
                <w:noProof/>
                <w:webHidden/>
                <w:sz w:val="24"/>
                <w:szCs w:val="24"/>
              </w:rPr>
              <w:t>9</w:t>
            </w:r>
            <w:r w:rsidR="002D30C9" w:rsidRPr="00425B11">
              <w:rPr>
                <w:noProof/>
                <w:webHidden/>
                <w:sz w:val="24"/>
                <w:szCs w:val="24"/>
              </w:rPr>
              <w:fldChar w:fldCharType="end"/>
            </w:r>
          </w:hyperlink>
        </w:p>
        <w:p w14:paraId="7C8012C6" w14:textId="73B4AC30" w:rsidR="002D30C9" w:rsidRPr="00425B11" w:rsidRDefault="00553D6D" w:rsidP="00425B11">
          <w:pPr>
            <w:pStyle w:val="TOC2"/>
            <w:tabs>
              <w:tab w:val="left" w:pos="960"/>
              <w:tab w:val="right" w:leader="dot" w:pos="9710"/>
            </w:tabs>
            <w:spacing w:line="360" w:lineRule="auto"/>
            <w:rPr>
              <w:rFonts w:asciiTheme="minorHAnsi" w:eastAsiaTheme="minorEastAsia" w:hAnsiTheme="minorHAnsi" w:cstheme="minorBidi"/>
              <w:noProof/>
              <w:kern w:val="2"/>
              <w:sz w:val="28"/>
              <w:szCs w:val="28"/>
              <w14:ligatures w14:val="standardContextual"/>
            </w:rPr>
          </w:pPr>
          <w:hyperlink w:anchor="_Toc227973219" w:history="1">
            <w:r w:rsidR="002D30C9" w:rsidRPr="00425B11">
              <w:rPr>
                <w:rStyle w:val="Hyperlink"/>
                <w:noProof/>
                <w:sz w:val="24"/>
                <w:szCs w:val="24"/>
              </w:rPr>
              <w:t>2.4</w:t>
            </w:r>
            <w:r w:rsidR="002D30C9" w:rsidRPr="00425B11">
              <w:rPr>
                <w:rFonts w:asciiTheme="minorHAnsi" w:eastAsiaTheme="minorEastAsia" w:hAnsiTheme="minorHAnsi" w:cstheme="minorBidi"/>
                <w:noProof/>
                <w:kern w:val="2"/>
                <w:sz w:val="28"/>
                <w:szCs w:val="28"/>
                <w14:ligatures w14:val="standardContextual"/>
              </w:rPr>
              <w:tab/>
            </w:r>
            <w:r w:rsidR="002D30C9" w:rsidRPr="00425B11">
              <w:rPr>
                <w:rStyle w:val="Hyperlink"/>
                <w:noProof/>
                <w:sz w:val="24"/>
                <w:szCs w:val="24"/>
              </w:rPr>
              <w:t>Regulatory Compliance: UK and EU</w:t>
            </w:r>
            <w:r w:rsidR="002D30C9" w:rsidRPr="00425B11">
              <w:rPr>
                <w:noProof/>
                <w:webHidden/>
                <w:sz w:val="24"/>
                <w:szCs w:val="24"/>
              </w:rPr>
              <w:tab/>
            </w:r>
            <w:r w:rsidR="002D30C9" w:rsidRPr="00425B11">
              <w:rPr>
                <w:noProof/>
                <w:webHidden/>
                <w:sz w:val="24"/>
                <w:szCs w:val="24"/>
              </w:rPr>
              <w:fldChar w:fldCharType="begin"/>
            </w:r>
            <w:r w:rsidR="002D30C9" w:rsidRPr="00425B11">
              <w:rPr>
                <w:noProof/>
                <w:webHidden/>
                <w:sz w:val="24"/>
                <w:szCs w:val="24"/>
              </w:rPr>
              <w:instrText xml:space="preserve"> PAGEREF _Toc227973219 \h </w:instrText>
            </w:r>
            <w:r w:rsidR="002D30C9" w:rsidRPr="00425B11">
              <w:rPr>
                <w:noProof/>
                <w:webHidden/>
                <w:sz w:val="24"/>
                <w:szCs w:val="24"/>
              </w:rPr>
            </w:r>
            <w:r w:rsidR="002D30C9" w:rsidRPr="00425B11">
              <w:rPr>
                <w:noProof/>
                <w:webHidden/>
                <w:sz w:val="24"/>
                <w:szCs w:val="24"/>
              </w:rPr>
              <w:fldChar w:fldCharType="separate"/>
            </w:r>
            <w:r w:rsidR="00425B11" w:rsidRPr="00425B11">
              <w:rPr>
                <w:noProof/>
                <w:webHidden/>
                <w:sz w:val="24"/>
                <w:szCs w:val="24"/>
              </w:rPr>
              <w:t>10</w:t>
            </w:r>
            <w:r w:rsidR="002D30C9" w:rsidRPr="00425B11">
              <w:rPr>
                <w:noProof/>
                <w:webHidden/>
                <w:sz w:val="24"/>
                <w:szCs w:val="24"/>
              </w:rPr>
              <w:fldChar w:fldCharType="end"/>
            </w:r>
          </w:hyperlink>
        </w:p>
        <w:p w14:paraId="585D29C5" w14:textId="2F30DB53" w:rsidR="002D30C9" w:rsidRPr="00425B11" w:rsidRDefault="00553D6D" w:rsidP="00425B11">
          <w:pPr>
            <w:pStyle w:val="TOC2"/>
            <w:tabs>
              <w:tab w:val="left" w:pos="960"/>
              <w:tab w:val="right" w:leader="dot" w:pos="9710"/>
            </w:tabs>
            <w:spacing w:line="360" w:lineRule="auto"/>
            <w:rPr>
              <w:rFonts w:asciiTheme="minorHAnsi" w:eastAsiaTheme="minorEastAsia" w:hAnsiTheme="minorHAnsi" w:cstheme="minorBidi"/>
              <w:noProof/>
              <w:kern w:val="2"/>
              <w:sz w:val="28"/>
              <w:szCs w:val="28"/>
              <w14:ligatures w14:val="standardContextual"/>
            </w:rPr>
          </w:pPr>
          <w:hyperlink w:anchor="_Toc227973220" w:history="1">
            <w:r w:rsidR="002D30C9" w:rsidRPr="00425B11">
              <w:rPr>
                <w:rStyle w:val="Hyperlink"/>
                <w:noProof/>
                <w:sz w:val="24"/>
                <w:szCs w:val="24"/>
              </w:rPr>
              <w:t>2.5</w:t>
            </w:r>
            <w:r w:rsidR="002D30C9" w:rsidRPr="00425B11">
              <w:rPr>
                <w:rFonts w:asciiTheme="minorHAnsi" w:eastAsiaTheme="minorEastAsia" w:hAnsiTheme="minorHAnsi" w:cstheme="minorBidi"/>
                <w:noProof/>
                <w:kern w:val="2"/>
                <w:sz w:val="28"/>
                <w:szCs w:val="28"/>
                <w14:ligatures w14:val="standardContextual"/>
              </w:rPr>
              <w:tab/>
            </w:r>
            <w:r w:rsidR="002D30C9" w:rsidRPr="00425B11">
              <w:rPr>
                <w:rStyle w:val="Hyperlink"/>
                <w:noProof/>
                <w:sz w:val="24"/>
                <w:szCs w:val="24"/>
              </w:rPr>
              <w:t>Consumer Trust</w:t>
            </w:r>
            <w:r w:rsidR="002D30C9" w:rsidRPr="00425B11">
              <w:rPr>
                <w:noProof/>
                <w:webHidden/>
                <w:sz w:val="24"/>
                <w:szCs w:val="24"/>
              </w:rPr>
              <w:tab/>
            </w:r>
            <w:r w:rsidR="002D30C9" w:rsidRPr="00425B11">
              <w:rPr>
                <w:noProof/>
                <w:webHidden/>
                <w:sz w:val="24"/>
                <w:szCs w:val="24"/>
              </w:rPr>
              <w:fldChar w:fldCharType="begin"/>
            </w:r>
            <w:r w:rsidR="002D30C9" w:rsidRPr="00425B11">
              <w:rPr>
                <w:noProof/>
                <w:webHidden/>
                <w:sz w:val="24"/>
                <w:szCs w:val="24"/>
              </w:rPr>
              <w:instrText xml:space="preserve"> PAGEREF _Toc227973220 \h </w:instrText>
            </w:r>
            <w:r w:rsidR="002D30C9" w:rsidRPr="00425B11">
              <w:rPr>
                <w:noProof/>
                <w:webHidden/>
                <w:sz w:val="24"/>
                <w:szCs w:val="24"/>
              </w:rPr>
            </w:r>
            <w:r w:rsidR="002D30C9" w:rsidRPr="00425B11">
              <w:rPr>
                <w:noProof/>
                <w:webHidden/>
                <w:sz w:val="24"/>
                <w:szCs w:val="24"/>
              </w:rPr>
              <w:fldChar w:fldCharType="separate"/>
            </w:r>
            <w:r w:rsidR="00425B11" w:rsidRPr="00425B11">
              <w:rPr>
                <w:noProof/>
                <w:webHidden/>
                <w:sz w:val="24"/>
                <w:szCs w:val="24"/>
              </w:rPr>
              <w:t>13</w:t>
            </w:r>
            <w:r w:rsidR="002D30C9" w:rsidRPr="00425B11">
              <w:rPr>
                <w:noProof/>
                <w:webHidden/>
                <w:sz w:val="24"/>
                <w:szCs w:val="24"/>
              </w:rPr>
              <w:fldChar w:fldCharType="end"/>
            </w:r>
          </w:hyperlink>
        </w:p>
        <w:p w14:paraId="09183D84" w14:textId="0B5AE6BC" w:rsidR="002D30C9" w:rsidRPr="00425B11" w:rsidRDefault="00553D6D" w:rsidP="00425B11">
          <w:pPr>
            <w:pStyle w:val="TOC2"/>
            <w:tabs>
              <w:tab w:val="left" w:pos="960"/>
              <w:tab w:val="right" w:leader="dot" w:pos="9710"/>
            </w:tabs>
            <w:spacing w:line="360" w:lineRule="auto"/>
            <w:rPr>
              <w:rFonts w:asciiTheme="minorHAnsi" w:eastAsiaTheme="minorEastAsia" w:hAnsiTheme="minorHAnsi" w:cstheme="minorBidi"/>
              <w:noProof/>
              <w:kern w:val="2"/>
              <w:sz w:val="28"/>
              <w:szCs w:val="28"/>
              <w14:ligatures w14:val="standardContextual"/>
            </w:rPr>
          </w:pPr>
          <w:hyperlink w:anchor="_Toc227973221" w:history="1">
            <w:r w:rsidR="002D30C9" w:rsidRPr="00425B11">
              <w:rPr>
                <w:rStyle w:val="Hyperlink"/>
                <w:noProof/>
                <w:sz w:val="24"/>
                <w:szCs w:val="24"/>
              </w:rPr>
              <w:t>2.6</w:t>
            </w:r>
            <w:r w:rsidR="002D30C9" w:rsidRPr="00425B11">
              <w:rPr>
                <w:rFonts w:asciiTheme="minorHAnsi" w:eastAsiaTheme="minorEastAsia" w:hAnsiTheme="minorHAnsi" w:cstheme="minorBidi"/>
                <w:noProof/>
                <w:kern w:val="2"/>
                <w:sz w:val="28"/>
                <w:szCs w:val="28"/>
                <w14:ligatures w14:val="standardContextual"/>
              </w:rPr>
              <w:tab/>
            </w:r>
            <w:r w:rsidR="002D30C9" w:rsidRPr="00425B11">
              <w:rPr>
                <w:rStyle w:val="Hyperlink"/>
                <w:noProof/>
                <w:sz w:val="24"/>
                <w:szCs w:val="24"/>
              </w:rPr>
              <w:t>Competitor Benchmarking</w:t>
            </w:r>
            <w:r w:rsidR="002D30C9" w:rsidRPr="00425B11">
              <w:rPr>
                <w:noProof/>
                <w:webHidden/>
                <w:sz w:val="24"/>
                <w:szCs w:val="24"/>
              </w:rPr>
              <w:tab/>
            </w:r>
            <w:r w:rsidR="002D30C9" w:rsidRPr="00425B11">
              <w:rPr>
                <w:noProof/>
                <w:webHidden/>
                <w:sz w:val="24"/>
                <w:szCs w:val="24"/>
              </w:rPr>
              <w:fldChar w:fldCharType="begin"/>
            </w:r>
            <w:r w:rsidR="002D30C9" w:rsidRPr="00425B11">
              <w:rPr>
                <w:noProof/>
                <w:webHidden/>
                <w:sz w:val="24"/>
                <w:szCs w:val="24"/>
              </w:rPr>
              <w:instrText xml:space="preserve"> PAGEREF _Toc227973221 \h </w:instrText>
            </w:r>
            <w:r w:rsidR="002D30C9" w:rsidRPr="00425B11">
              <w:rPr>
                <w:noProof/>
                <w:webHidden/>
                <w:sz w:val="24"/>
                <w:szCs w:val="24"/>
              </w:rPr>
            </w:r>
            <w:r w:rsidR="002D30C9" w:rsidRPr="00425B11">
              <w:rPr>
                <w:noProof/>
                <w:webHidden/>
                <w:sz w:val="24"/>
                <w:szCs w:val="24"/>
              </w:rPr>
              <w:fldChar w:fldCharType="separate"/>
            </w:r>
            <w:r w:rsidR="00425B11" w:rsidRPr="00425B11">
              <w:rPr>
                <w:noProof/>
                <w:webHidden/>
                <w:sz w:val="24"/>
                <w:szCs w:val="24"/>
              </w:rPr>
              <w:t>14</w:t>
            </w:r>
            <w:r w:rsidR="002D30C9" w:rsidRPr="00425B11">
              <w:rPr>
                <w:noProof/>
                <w:webHidden/>
                <w:sz w:val="24"/>
                <w:szCs w:val="24"/>
              </w:rPr>
              <w:fldChar w:fldCharType="end"/>
            </w:r>
          </w:hyperlink>
        </w:p>
        <w:p w14:paraId="01FCA75B" w14:textId="1068D77D" w:rsidR="002D30C9" w:rsidRPr="00425B11" w:rsidRDefault="00553D6D" w:rsidP="00425B11">
          <w:pPr>
            <w:pStyle w:val="TOC2"/>
            <w:tabs>
              <w:tab w:val="left" w:pos="960"/>
              <w:tab w:val="right" w:leader="dot" w:pos="9710"/>
            </w:tabs>
            <w:spacing w:line="360" w:lineRule="auto"/>
            <w:rPr>
              <w:rFonts w:asciiTheme="minorHAnsi" w:eastAsiaTheme="minorEastAsia" w:hAnsiTheme="minorHAnsi" w:cstheme="minorBidi"/>
              <w:noProof/>
              <w:kern w:val="2"/>
              <w:sz w:val="28"/>
              <w:szCs w:val="28"/>
              <w14:ligatures w14:val="standardContextual"/>
            </w:rPr>
          </w:pPr>
          <w:hyperlink w:anchor="_Toc227973222" w:history="1">
            <w:r w:rsidR="002D30C9" w:rsidRPr="00425B11">
              <w:rPr>
                <w:rStyle w:val="Hyperlink"/>
                <w:noProof/>
                <w:sz w:val="24"/>
                <w:szCs w:val="24"/>
              </w:rPr>
              <w:t>2.7</w:t>
            </w:r>
            <w:r w:rsidR="002D30C9" w:rsidRPr="00425B11">
              <w:rPr>
                <w:rFonts w:asciiTheme="minorHAnsi" w:eastAsiaTheme="minorEastAsia" w:hAnsiTheme="minorHAnsi" w:cstheme="minorBidi"/>
                <w:noProof/>
                <w:kern w:val="2"/>
                <w:sz w:val="28"/>
                <w:szCs w:val="28"/>
                <w14:ligatures w14:val="standardContextual"/>
              </w:rPr>
              <w:tab/>
            </w:r>
            <w:r w:rsidR="002D30C9" w:rsidRPr="00425B11">
              <w:rPr>
                <w:rStyle w:val="Hyperlink"/>
                <w:noProof/>
                <w:sz w:val="24"/>
                <w:szCs w:val="24"/>
              </w:rPr>
              <w:t>Porter’s Five Forces Analysis</w:t>
            </w:r>
            <w:r w:rsidR="002D30C9" w:rsidRPr="00425B11">
              <w:rPr>
                <w:noProof/>
                <w:webHidden/>
                <w:sz w:val="24"/>
                <w:szCs w:val="24"/>
              </w:rPr>
              <w:tab/>
            </w:r>
            <w:r w:rsidR="002D30C9" w:rsidRPr="00425B11">
              <w:rPr>
                <w:noProof/>
                <w:webHidden/>
                <w:sz w:val="24"/>
                <w:szCs w:val="24"/>
              </w:rPr>
              <w:fldChar w:fldCharType="begin"/>
            </w:r>
            <w:r w:rsidR="002D30C9" w:rsidRPr="00425B11">
              <w:rPr>
                <w:noProof/>
                <w:webHidden/>
                <w:sz w:val="24"/>
                <w:szCs w:val="24"/>
              </w:rPr>
              <w:instrText xml:space="preserve"> PAGEREF _Toc227973222 \h </w:instrText>
            </w:r>
            <w:r w:rsidR="002D30C9" w:rsidRPr="00425B11">
              <w:rPr>
                <w:noProof/>
                <w:webHidden/>
                <w:sz w:val="24"/>
                <w:szCs w:val="24"/>
              </w:rPr>
            </w:r>
            <w:r w:rsidR="002D30C9" w:rsidRPr="00425B11">
              <w:rPr>
                <w:noProof/>
                <w:webHidden/>
                <w:sz w:val="24"/>
                <w:szCs w:val="24"/>
              </w:rPr>
              <w:fldChar w:fldCharType="separate"/>
            </w:r>
            <w:r w:rsidR="00425B11" w:rsidRPr="00425B11">
              <w:rPr>
                <w:noProof/>
                <w:webHidden/>
                <w:sz w:val="24"/>
                <w:szCs w:val="24"/>
              </w:rPr>
              <w:t>15</w:t>
            </w:r>
            <w:r w:rsidR="002D30C9" w:rsidRPr="00425B11">
              <w:rPr>
                <w:noProof/>
                <w:webHidden/>
                <w:sz w:val="24"/>
                <w:szCs w:val="24"/>
              </w:rPr>
              <w:fldChar w:fldCharType="end"/>
            </w:r>
          </w:hyperlink>
        </w:p>
        <w:p w14:paraId="54ACFC97" w14:textId="0EEA56C5" w:rsidR="002D30C9" w:rsidRPr="00425B11" w:rsidRDefault="00553D6D" w:rsidP="00425B11">
          <w:pPr>
            <w:pStyle w:val="TOC1"/>
            <w:tabs>
              <w:tab w:val="left" w:pos="480"/>
              <w:tab w:val="right" w:leader="dot" w:pos="9710"/>
            </w:tabs>
            <w:spacing w:line="360" w:lineRule="auto"/>
            <w:rPr>
              <w:rFonts w:asciiTheme="minorHAnsi" w:eastAsiaTheme="minorEastAsia" w:hAnsiTheme="minorHAnsi" w:cstheme="minorBidi"/>
              <w:noProof/>
              <w:kern w:val="2"/>
              <w:sz w:val="28"/>
              <w:szCs w:val="28"/>
              <w14:ligatures w14:val="standardContextual"/>
            </w:rPr>
          </w:pPr>
          <w:hyperlink w:anchor="_Toc227973223" w:history="1">
            <w:r w:rsidR="002D30C9" w:rsidRPr="00425B11">
              <w:rPr>
                <w:rStyle w:val="Hyperlink"/>
                <w:noProof/>
                <w:sz w:val="24"/>
                <w:szCs w:val="24"/>
              </w:rPr>
              <w:t>3.</w:t>
            </w:r>
            <w:r w:rsidR="002D30C9" w:rsidRPr="00425B11">
              <w:rPr>
                <w:rFonts w:asciiTheme="minorHAnsi" w:eastAsiaTheme="minorEastAsia" w:hAnsiTheme="minorHAnsi" w:cstheme="minorBidi"/>
                <w:noProof/>
                <w:kern w:val="2"/>
                <w:sz w:val="28"/>
                <w:szCs w:val="28"/>
                <w14:ligatures w14:val="standardContextual"/>
              </w:rPr>
              <w:tab/>
            </w:r>
            <w:r w:rsidR="002D30C9" w:rsidRPr="00425B11">
              <w:rPr>
                <w:rStyle w:val="Hyperlink"/>
                <w:noProof/>
                <w:sz w:val="24"/>
                <w:szCs w:val="24"/>
              </w:rPr>
              <w:t>Implementation Plan</w:t>
            </w:r>
            <w:r w:rsidR="002D30C9" w:rsidRPr="00425B11">
              <w:rPr>
                <w:noProof/>
                <w:webHidden/>
                <w:sz w:val="24"/>
                <w:szCs w:val="24"/>
              </w:rPr>
              <w:tab/>
            </w:r>
            <w:r w:rsidR="002D30C9" w:rsidRPr="00425B11">
              <w:rPr>
                <w:noProof/>
                <w:webHidden/>
                <w:sz w:val="24"/>
                <w:szCs w:val="24"/>
              </w:rPr>
              <w:fldChar w:fldCharType="begin"/>
            </w:r>
            <w:r w:rsidR="002D30C9" w:rsidRPr="00425B11">
              <w:rPr>
                <w:noProof/>
                <w:webHidden/>
                <w:sz w:val="24"/>
                <w:szCs w:val="24"/>
              </w:rPr>
              <w:instrText xml:space="preserve"> PAGEREF _Toc227973223 \h </w:instrText>
            </w:r>
            <w:r w:rsidR="002D30C9" w:rsidRPr="00425B11">
              <w:rPr>
                <w:noProof/>
                <w:webHidden/>
                <w:sz w:val="24"/>
                <w:szCs w:val="24"/>
              </w:rPr>
            </w:r>
            <w:r w:rsidR="002D30C9" w:rsidRPr="00425B11">
              <w:rPr>
                <w:noProof/>
                <w:webHidden/>
                <w:sz w:val="24"/>
                <w:szCs w:val="24"/>
              </w:rPr>
              <w:fldChar w:fldCharType="separate"/>
            </w:r>
            <w:r w:rsidR="00425B11" w:rsidRPr="00425B11">
              <w:rPr>
                <w:noProof/>
                <w:webHidden/>
                <w:sz w:val="24"/>
                <w:szCs w:val="24"/>
              </w:rPr>
              <w:t>16</w:t>
            </w:r>
            <w:r w:rsidR="002D30C9" w:rsidRPr="00425B11">
              <w:rPr>
                <w:noProof/>
                <w:webHidden/>
                <w:sz w:val="24"/>
                <w:szCs w:val="24"/>
              </w:rPr>
              <w:fldChar w:fldCharType="end"/>
            </w:r>
          </w:hyperlink>
        </w:p>
        <w:p w14:paraId="0B62FEFC" w14:textId="2667ECC2" w:rsidR="002D30C9" w:rsidRPr="00425B11" w:rsidRDefault="00553D6D" w:rsidP="00425B11">
          <w:pPr>
            <w:pStyle w:val="TOC2"/>
            <w:tabs>
              <w:tab w:val="left" w:pos="960"/>
              <w:tab w:val="right" w:leader="dot" w:pos="9710"/>
            </w:tabs>
            <w:spacing w:line="360" w:lineRule="auto"/>
            <w:rPr>
              <w:rFonts w:asciiTheme="minorHAnsi" w:eastAsiaTheme="minorEastAsia" w:hAnsiTheme="minorHAnsi" w:cstheme="minorBidi"/>
              <w:noProof/>
              <w:kern w:val="2"/>
              <w:sz w:val="28"/>
              <w:szCs w:val="28"/>
              <w14:ligatures w14:val="standardContextual"/>
            </w:rPr>
          </w:pPr>
          <w:hyperlink w:anchor="_Toc227973224" w:history="1">
            <w:r w:rsidR="002D30C9" w:rsidRPr="00425B11">
              <w:rPr>
                <w:rStyle w:val="Hyperlink"/>
                <w:noProof/>
                <w:sz w:val="24"/>
                <w:szCs w:val="24"/>
              </w:rPr>
              <w:t>3.1</w:t>
            </w:r>
            <w:r w:rsidR="002D30C9" w:rsidRPr="00425B11">
              <w:rPr>
                <w:rFonts w:asciiTheme="minorHAnsi" w:eastAsiaTheme="minorEastAsia" w:hAnsiTheme="minorHAnsi" w:cstheme="minorBidi"/>
                <w:noProof/>
                <w:kern w:val="2"/>
                <w:sz w:val="28"/>
                <w:szCs w:val="28"/>
                <w14:ligatures w14:val="standardContextual"/>
              </w:rPr>
              <w:tab/>
            </w:r>
            <w:r w:rsidR="002D30C9" w:rsidRPr="00425B11">
              <w:rPr>
                <w:rStyle w:val="Hyperlink"/>
                <w:noProof/>
                <w:sz w:val="24"/>
                <w:szCs w:val="24"/>
              </w:rPr>
              <w:t>Short-Term Horizon: Establishing Governance Foundations (0-12 months)</w:t>
            </w:r>
            <w:r w:rsidR="002D30C9" w:rsidRPr="00425B11">
              <w:rPr>
                <w:noProof/>
                <w:webHidden/>
                <w:sz w:val="24"/>
                <w:szCs w:val="24"/>
              </w:rPr>
              <w:tab/>
            </w:r>
            <w:r w:rsidR="002D30C9" w:rsidRPr="00425B11">
              <w:rPr>
                <w:noProof/>
                <w:webHidden/>
                <w:sz w:val="24"/>
                <w:szCs w:val="24"/>
              </w:rPr>
              <w:fldChar w:fldCharType="begin"/>
            </w:r>
            <w:r w:rsidR="002D30C9" w:rsidRPr="00425B11">
              <w:rPr>
                <w:noProof/>
                <w:webHidden/>
                <w:sz w:val="24"/>
                <w:szCs w:val="24"/>
              </w:rPr>
              <w:instrText xml:space="preserve"> PAGEREF _Toc227973224 \h </w:instrText>
            </w:r>
            <w:r w:rsidR="002D30C9" w:rsidRPr="00425B11">
              <w:rPr>
                <w:noProof/>
                <w:webHidden/>
                <w:sz w:val="24"/>
                <w:szCs w:val="24"/>
              </w:rPr>
            </w:r>
            <w:r w:rsidR="002D30C9" w:rsidRPr="00425B11">
              <w:rPr>
                <w:noProof/>
                <w:webHidden/>
                <w:sz w:val="24"/>
                <w:szCs w:val="24"/>
              </w:rPr>
              <w:fldChar w:fldCharType="separate"/>
            </w:r>
            <w:r w:rsidR="00425B11" w:rsidRPr="00425B11">
              <w:rPr>
                <w:noProof/>
                <w:webHidden/>
                <w:sz w:val="24"/>
                <w:szCs w:val="24"/>
              </w:rPr>
              <w:t>18</w:t>
            </w:r>
            <w:r w:rsidR="002D30C9" w:rsidRPr="00425B11">
              <w:rPr>
                <w:noProof/>
                <w:webHidden/>
                <w:sz w:val="24"/>
                <w:szCs w:val="24"/>
              </w:rPr>
              <w:fldChar w:fldCharType="end"/>
            </w:r>
          </w:hyperlink>
        </w:p>
        <w:p w14:paraId="6FDCB0A8" w14:textId="7FA1FABA" w:rsidR="002D30C9" w:rsidRPr="00425B11" w:rsidRDefault="00553D6D" w:rsidP="00425B11">
          <w:pPr>
            <w:pStyle w:val="TOC2"/>
            <w:tabs>
              <w:tab w:val="left" w:pos="960"/>
              <w:tab w:val="right" w:leader="dot" w:pos="9710"/>
            </w:tabs>
            <w:spacing w:line="360" w:lineRule="auto"/>
            <w:rPr>
              <w:rFonts w:asciiTheme="minorHAnsi" w:eastAsiaTheme="minorEastAsia" w:hAnsiTheme="minorHAnsi" w:cstheme="minorBidi"/>
              <w:noProof/>
              <w:kern w:val="2"/>
              <w:sz w:val="28"/>
              <w:szCs w:val="28"/>
              <w14:ligatures w14:val="standardContextual"/>
            </w:rPr>
          </w:pPr>
          <w:hyperlink w:anchor="_Toc227973225" w:history="1">
            <w:r w:rsidR="002D30C9" w:rsidRPr="00425B11">
              <w:rPr>
                <w:rStyle w:val="Hyperlink"/>
                <w:noProof/>
                <w:sz w:val="24"/>
                <w:szCs w:val="24"/>
              </w:rPr>
              <w:t>3.2</w:t>
            </w:r>
            <w:r w:rsidR="002D30C9" w:rsidRPr="00425B11">
              <w:rPr>
                <w:rFonts w:asciiTheme="minorHAnsi" w:eastAsiaTheme="minorEastAsia" w:hAnsiTheme="minorHAnsi" w:cstheme="minorBidi"/>
                <w:noProof/>
                <w:kern w:val="2"/>
                <w:sz w:val="28"/>
                <w:szCs w:val="28"/>
                <w14:ligatures w14:val="standardContextual"/>
              </w:rPr>
              <w:tab/>
            </w:r>
            <w:r w:rsidR="002D30C9" w:rsidRPr="00425B11">
              <w:rPr>
                <w:rStyle w:val="Hyperlink"/>
                <w:noProof/>
                <w:sz w:val="24"/>
                <w:szCs w:val="24"/>
              </w:rPr>
              <w:t>Medium-Term Horizon: Embedding Governance and Building Trust (12-30 months)</w:t>
            </w:r>
            <w:r w:rsidR="002D30C9" w:rsidRPr="00425B11">
              <w:rPr>
                <w:noProof/>
                <w:webHidden/>
                <w:sz w:val="24"/>
                <w:szCs w:val="24"/>
              </w:rPr>
              <w:tab/>
            </w:r>
            <w:r w:rsidR="002D30C9" w:rsidRPr="00425B11">
              <w:rPr>
                <w:noProof/>
                <w:webHidden/>
                <w:sz w:val="24"/>
                <w:szCs w:val="24"/>
              </w:rPr>
              <w:fldChar w:fldCharType="begin"/>
            </w:r>
            <w:r w:rsidR="002D30C9" w:rsidRPr="00425B11">
              <w:rPr>
                <w:noProof/>
                <w:webHidden/>
                <w:sz w:val="24"/>
                <w:szCs w:val="24"/>
              </w:rPr>
              <w:instrText xml:space="preserve"> PAGEREF _Toc227973225 \h </w:instrText>
            </w:r>
            <w:r w:rsidR="002D30C9" w:rsidRPr="00425B11">
              <w:rPr>
                <w:noProof/>
                <w:webHidden/>
                <w:sz w:val="24"/>
                <w:szCs w:val="24"/>
              </w:rPr>
            </w:r>
            <w:r w:rsidR="002D30C9" w:rsidRPr="00425B11">
              <w:rPr>
                <w:noProof/>
                <w:webHidden/>
                <w:sz w:val="24"/>
                <w:szCs w:val="24"/>
              </w:rPr>
              <w:fldChar w:fldCharType="separate"/>
            </w:r>
            <w:r w:rsidR="00425B11" w:rsidRPr="00425B11">
              <w:rPr>
                <w:noProof/>
                <w:webHidden/>
                <w:sz w:val="24"/>
                <w:szCs w:val="24"/>
              </w:rPr>
              <w:t>19</w:t>
            </w:r>
            <w:r w:rsidR="002D30C9" w:rsidRPr="00425B11">
              <w:rPr>
                <w:noProof/>
                <w:webHidden/>
                <w:sz w:val="24"/>
                <w:szCs w:val="24"/>
              </w:rPr>
              <w:fldChar w:fldCharType="end"/>
            </w:r>
          </w:hyperlink>
        </w:p>
        <w:p w14:paraId="00721632" w14:textId="79175F51" w:rsidR="002D30C9" w:rsidRPr="00425B11" w:rsidRDefault="00553D6D" w:rsidP="00425B11">
          <w:pPr>
            <w:pStyle w:val="TOC2"/>
            <w:tabs>
              <w:tab w:val="left" w:pos="960"/>
              <w:tab w:val="right" w:leader="dot" w:pos="9710"/>
            </w:tabs>
            <w:spacing w:line="360" w:lineRule="auto"/>
            <w:rPr>
              <w:rFonts w:asciiTheme="minorHAnsi" w:eastAsiaTheme="minorEastAsia" w:hAnsiTheme="minorHAnsi" w:cstheme="minorBidi"/>
              <w:noProof/>
              <w:kern w:val="2"/>
              <w:sz w:val="28"/>
              <w:szCs w:val="28"/>
              <w14:ligatures w14:val="standardContextual"/>
            </w:rPr>
          </w:pPr>
          <w:hyperlink w:anchor="_Toc227973226" w:history="1">
            <w:r w:rsidR="002D30C9" w:rsidRPr="00425B11">
              <w:rPr>
                <w:rStyle w:val="Hyperlink"/>
                <w:noProof/>
                <w:sz w:val="24"/>
                <w:szCs w:val="24"/>
              </w:rPr>
              <w:t>3.3</w:t>
            </w:r>
            <w:r w:rsidR="002D30C9" w:rsidRPr="00425B11">
              <w:rPr>
                <w:rFonts w:asciiTheme="minorHAnsi" w:eastAsiaTheme="minorEastAsia" w:hAnsiTheme="minorHAnsi" w:cstheme="minorBidi"/>
                <w:noProof/>
                <w:kern w:val="2"/>
                <w:sz w:val="28"/>
                <w:szCs w:val="28"/>
                <w14:ligatures w14:val="standardContextual"/>
              </w:rPr>
              <w:tab/>
            </w:r>
            <w:r w:rsidR="002D30C9" w:rsidRPr="00425B11">
              <w:rPr>
                <w:rStyle w:val="Hyperlink"/>
                <w:noProof/>
                <w:sz w:val="24"/>
                <w:szCs w:val="24"/>
              </w:rPr>
              <w:t>Long-Term Horizon: Leadership and Sustainable Advantage (24-60 months)</w:t>
            </w:r>
            <w:r w:rsidR="002D30C9" w:rsidRPr="00425B11">
              <w:rPr>
                <w:noProof/>
                <w:webHidden/>
                <w:sz w:val="24"/>
                <w:szCs w:val="24"/>
              </w:rPr>
              <w:tab/>
            </w:r>
            <w:r w:rsidR="002D30C9" w:rsidRPr="00425B11">
              <w:rPr>
                <w:noProof/>
                <w:webHidden/>
                <w:sz w:val="24"/>
                <w:szCs w:val="24"/>
              </w:rPr>
              <w:fldChar w:fldCharType="begin"/>
            </w:r>
            <w:r w:rsidR="002D30C9" w:rsidRPr="00425B11">
              <w:rPr>
                <w:noProof/>
                <w:webHidden/>
                <w:sz w:val="24"/>
                <w:szCs w:val="24"/>
              </w:rPr>
              <w:instrText xml:space="preserve"> PAGEREF _Toc227973226 \h </w:instrText>
            </w:r>
            <w:r w:rsidR="002D30C9" w:rsidRPr="00425B11">
              <w:rPr>
                <w:noProof/>
                <w:webHidden/>
                <w:sz w:val="24"/>
                <w:szCs w:val="24"/>
              </w:rPr>
            </w:r>
            <w:r w:rsidR="002D30C9" w:rsidRPr="00425B11">
              <w:rPr>
                <w:noProof/>
                <w:webHidden/>
                <w:sz w:val="24"/>
                <w:szCs w:val="24"/>
              </w:rPr>
              <w:fldChar w:fldCharType="separate"/>
            </w:r>
            <w:r w:rsidR="00425B11" w:rsidRPr="00425B11">
              <w:rPr>
                <w:noProof/>
                <w:webHidden/>
                <w:sz w:val="24"/>
                <w:szCs w:val="24"/>
              </w:rPr>
              <w:t>20</w:t>
            </w:r>
            <w:r w:rsidR="002D30C9" w:rsidRPr="00425B11">
              <w:rPr>
                <w:noProof/>
                <w:webHidden/>
                <w:sz w:val="24"/>
                <w:szCs w:val="24"/>
              </w:rPr>
              <w:fldChar w:fldCharType="end"/>
            </w:r>
          </w:hyperlink>
        </w:p>
        <w:p w14:paraId="33CA24B4" w14:textId="2DD0824D" w:rsidR="002D30C9" w:rsidRPr="00425B11" w:rsidRDefault="00553D6D" w:rsidP="00425B11">
          <w:pPr>
            <w:pStyle w:val="TOC1"/>
            <w:tabs>
              <w:tab w:val="left" w:pos="480"/>
              <w:tab w:val="right" w:leader="dot" w:pos="9710"/>
            </w:tabs>
            <w:spacing w:line="360" w:lineRule="auto"/>
            <w:rPr>
              <w:rFonts w:asciiTheme="minorHAnsi" w:eastAsiaTheme="minorEastAsia" w:hAnsiTheme="minorHAnsi" w:cstheme="minorBidi"/>
              <w:noProof/>
              <w:kern w:val="2"/>
              <w:sz w:val="28"/>
              <w:szCs w:val="28"/>
              <w14:ligatures w14:val="standardContextual"/>
            </w:rPr>
          </w:pPr>
          <w:hyperlink w:anchor="_Toc227973227" w:history="1">
            <w:r w:rsidR="002D30C9" w:rsidRPr="00425B11">
              <w:rPr>
                <w:rStyle w:val="Hyperlink"/>
                <w:noProof/>
                <w:sz w:val="24"/>
                <w:szCs w:val="24"/>
              </w:rPr>
              <w:t>4.</w:t>
            </w:r>
            <w:r w:rsidR="002D30C9" w:rsidRPr="00425B11">
              <w:rPr>
                <w:rFonts w:asciiTheme="minorHAnsi" w:eastAsiaTheme="minorEastAsia" w:hAnsiTheme="minorHAnsi" w:cstheme="minorBidi"/>
                <w:noProof/>
                <w:kern w:val="2"/>
                <w:sz w:val="28"/>
                <w:szCs w:val="28"/>
                <w14:ligatures w14:val="standardContextual"/>
              </w:rPr>
              <w:tab/>
            </w:r>
            <w:r w:rsidR="002D30C9" w:rsidRPr="00425B11">
              <w:rPr>
                <w:rStyle w:val="Hyperlink"/>
                <w:noProof/>
                <w:sz w:val="24"/>
                <w:szCs w:val="24"/>
              </w:rPr>
              <w:t>Conclusion</w:t>
            </w:r>
            <w:r w:rsidR="002D30C9" w:rsidRPr="00425B11">
              <w:rPr>
                <w:noProof/>
                <w:webHidden/>
                <w:sz w:val="24"/>
                <w:szCs w:val="24"/>
              </w:rPr>
              <w:tab/>
            </w:r>
            <w:r w:rsidR="002D30C9" w:rsidRPr="00425B11">
              <w:rPr>
                <w:noProof/>
                <w:webHidden/>
                <w:sz w:val="24"/>
                <w:szCs w:val="24"/>
              </w:rPr>
              <w:fldChar w:fldCharType="begin"/>
            </w:r>
            <w:r w:rsidR="002D30C9" w:rsidRPr="00425B11">
              <w:rPr>
                <w:noProof/>
                <w:webHidden/>
                <w:sz w:val="24"/>
                <w:szCs w:val="24"/>
              </w:rPr>
              <w:instrText xml:space="preserve"> PAGEREF _Toc227973227 \h </w:instrText>
            </w:r>
            <w:r w:rsidR="002D30C9" w:rsidRPr="00425B11">
              <w:rPr>
                <w:noProof/>
                <w:webHidden/>
                <w:sz w:val="24"/>
                <w:szCs w:val="24"/>
              </w:rPr>
            </w:r>
            <w:r w:rsidR="002D30C9" w:rsidRPr="00425B11">
              <w:rPr>
                <w:noProof/>
                <w:webHidden/>
                <w:sz w:val="24"/>
                <w:szCs w:val="24"/>
              </w:rPr>
              <w:fldChar w:fldCharType="separate"/>
            </w:r>
            <w:r w:rsidR="00425B11" w:rsidRPr="00425B11">
              <w:rPr>
                <w:noProof/>
                <w:webHidden/>
                <w:sz w:val="24"/>
                <w:szCs w:val="24"/>
              </w:rPr>
              <w:t>21</w:t>
            </w:r>
            <w:r w:rsidR="002D30C9" w:rsidRPr="00425B11">
              <w:rPr>
                <w:noProof/>
                <w:webHidden/>
                <w:sz w:val="24"/>
                <w:szCs w:val="24"/>
              </w:rPr>
              <w:fldChar w:fldCharType="end"/>
            </w:r>
          </w:hyperlink>
        </w:p>
        <w:p w14:paraId="6CEECB21" w14:textId="0EE274EF" w:rsidR="002D30C9" w:rsidRPr="00425B11" w:rsidRDefault="00553D6D" w:rsidP="00425B11">
          <w:pPr>
            <w:pStyle w:val="TOC1"/>
            <w:tabs>
              <w:tab w:val="left" w:pos="480"/>
              <w:tab w:val="right" w:leader="dot" w:pos="9710"/>
            </w:tabs>
            <w:spacing w:line="360" w:lineRule="auto"/>
            <w:rPr>
              <w:rFonts w:asciiTheme="minorHAnsi" w:eastAsiaTheme="minorEastAsia" w:hAnsiTheme="minorHAnsi" w:cstheme="minorBidi"/>
              <w:noProof/>
              <w:kern w:val="2"/>
              <w:sz w:val="28"/>
              <w:szCs w:val="28"/>
              <w14:ligatures w14:val="standardContextual"/>
            </w:rPr>
          </w:pPr>
          <w:hyperlink w:anchor="_Toc227973228" w:history="1">
            <w:r w:rsidR="002D30C9" w:rsidRPr="00425B11">
              <w:rPr>
                <w:rStyle w:val="Hyperlink"/>
                <w:noProof/>
                <w:sz w:val="24"/>
                <w:szCs w:val="24"/>
              </w:rPr>
              <w:t>5.</w:t>
            </w:r>
            <w:r w:rsidR="002D30C9" w:rsidRPr="00425B11">
              <w:rPr>
                <w:rFonts w:asciiTheme="minorHAnsi" w:eastAsiaTheme="minorEastAsia" w:hAnsiTheme="minorHAnsi" w:cstheme="minorBidi"/>
                <w:noProof/>
                <w:kern w:val="2"/>
                <w:sz w:val="28"/>
                <w:szCs w:val="28"/>
                <w14:ligatures w14:val="standardContextual"/>
              </w:rPr>
              <w:tab/>
            </w:r>
            <w:r w:rsidR="002D30C9" w:rsidRPr="00425B11">
              <w:rPr>
                <w:rStyle w:val="Hyperlink"/>
                <w:noProof/>
                <w:sz w:val="24"/>
                <w:szCs w:val="24"/>
              </w:rPr>
              <w:t>Bibliography</w:t>
            </w:r>
            <w:r w:rsidR="002D30C9" w:rsidRPr="00425B11">
              <w:rPr>
                <w:noProof/>
                <w:webHidden/>
                <w:sz w:val="24"/>
                <w:szCs w:val="24"/>
              </w:rPr>
              <w:tab/>
            </w:r>
            <w:r w:rsidR="002D30C9" w:rsidRPr="00425B11">
              <w:rPr>
                <w:noProof/>
                <w:webHidden/>
                <w:sz w:val="24"/>
                <w:szCs w:val="24"/>
              </w:rPr>
              <w:fldChar w:fldCharType="begin"/>
            </w:r>
            <w:r w:rsidR="002D30C9" w:rsidRPr="00425B11">
              <w:rPr>
                <w:noProof/>
                <w:webHidden/>
                <w:sz w:val="24"/>
                <w:szCs w:val="24"/>
              </w:rPr>
              <w:instrText xml:space="preserve"> PAGEREF _Toc227973228 \h </w:instrText>
            </w:r>
            <w:r w:rsidR="002D30C9" w:rsidRPr="00425B11">
              <w:rPr>
                <w:noProof/>
                <w:webHidden/>
                <w:sz w:val="24"/>
                <w:szCs w:val="24"/>
              </w:rPr>
            </w:r>
            <w:r w:rsidR="002D30C9" w:rsidRPr="00425B11">
              <w:rPr>
                <w:noProof/>
                <w:webHidden/>
                <w:sz w:val="24"/>
                <w:szCs w:val="24"/>
              </w:rPr>
              <w:fldChar w:fldCharType="separate"/>
            </w:r>
            <w:r w:rsidR="00425B11" w:rsidRPr="00425B11">
              <w:rPr>
                <w:noProof/>
                <w:webHidden/>
                <w:sz w:val="24"/>
                <w:szCs w:val="24"/>
              </w:rPr>
              <w:t>23</w:t>
            </w:r>
            <w:r w:rsidR="002D30C9" w:rsidRPr="00425B11">
              <w:rPr>
                <w:noProof/>
                <w:webHidden/>
                <w:sz w:val="24"/>
                <w:szCs w:val="24"/>
              </w:rPr>
              <w:fldChar w:fldCharType="end"/>
            </w:r>
          </w:hyperlink>
        </w:p>
        <w:p w14:paraId="6F45523B" w14:textId="1FF3B01B" w:rsidR="00702EBB" w:rsidRPr="00425B11" w:rsidRDefault="00702EBB" w:rsidP="00425B11">
          <w:pPr>
            <w:spacing w:line="360" w:lineRule="auto"/>
            <w:rPr>
              <w:rFonts w:ascii="Arial" w:hAnsi="Arial" w:cs="Arial"/>
              <w:sz w:val="24"/>
              <w:szCs w:val="24"/>
            </w:rPr>
          </w:pPr>
          <w:r w:rsidRPr="00425B11">
            <w:rPr>
              <w:rFonts w:ascii="Arial" w:hAnsi="Arial" w:cs="Arial"/>
              <w:b/>
              <w:bCs/>
              <w:noProof/>
              <w:sz w:val="24"/>
              <w:szCs w:val="24"/>
            </w:rPr>
            <w:fldChar w:fldCharType="end"/>
          </w:r>
        </w:p>
      </w:sdtContent>
    </w:sdt>
    <w:p w14:paraId="038467C2" w14:textId="77777777" w:rsidR="000C7C08" w:rsidRPr="006F00FD" w:rsidRDefault="000C7C08" w:rsidP="003347C2">
      <w:pPr>
        <w:spacing w:line="360" w:lineRule="auto"/>
        <w:jc w:val="both"/>
        <w:rPr>
          <w:rFonts w:ascii="Arial" w:hAnsi="Arial" w:cs="Arial"/>
          <w:sz w:val="24"/>
          <w:szCs w:val="24"/>
        </w:rPr>
      </w:pPr>
    </w:p>
    <w:p w14:paraId="7ADA5382" w14:textId="77777777" w:rsidR="000C7C08" w:rsidRPr="006F00FD" w:rsidRDefault="009822E0" w:rsidP="003347C2">
      <w:pPr>
        <w:spacing w:line="360" w:lineRule="auto"/>
        <w:rPr>
          <w:rFonts w:ascii="Arial" w:hAnsi="Arial" w:cs="Arial"/>
          <w:sz w:val="24"/>
          <w:szCs w:val="24"/>
        </w:rPr>
      </w:pPr>
      <w:r w:rsidRPr="006F00FD">
        <w:rPr>
          <w:rFonts w:ascii="Arial" w:hAnsi="Arial" w:cs="Arial"/>
          <w:sz w:val="24"/>
          <w:szCs w:val="24"/>
        </w:rPr>
        <w:br w:type="page"/>
      </w:r>
    </w:p>
    <w:p w14:paraId="4CF90F69" w14:textId="24D513E8" w:rsidR="000C7C08" w:rsidRPr="006F00FD" w:rsidRDefault="009822E0" w:rsidP="000066FA">
      <w:pPr>
        <w:pStyle w:val="Heading1"/>
      </w:pPr>
      <w:bookmarkStart w:id="2" w:name="_Toc227973214"/>
      <w:r w:rsidRPr="006F00FD">
        <w:lastRenderedPageBreak/>
        <w:t>Introduction</w:t>
      </w:r>
      <w:bookmarkEnd w:id="2"/>
    </w:p>
    <w:p w14:paraId="6ABE1501" w14:textId="77777777" w:rsidR="00633D9E" w:rsidRPr="006F00FD" w:rsidRDefault="00633D9E" w:rsidP="003347C2">
      <w:pPr>
        <w:spacing w:line="360" w:lineRule="auto"/>
        <w:jc w:val="both"/>
        <w:rPr>
          <w:rFonts w:ascii="Arial" w:hAnsi="Arial" w:cs="Arial"/>
          <w:sz w:val="24"/>
          <w:szCs w:val="24"/>
        </w:rPr>
      </w:pPr>
      <w:r w:rsidRPr="006F00FD">
        <w:rPr>
          <w:rFonts w:ascii="Arial" w:hAnsi="Arial" w:cs="Arial"/>
          <w:sz w:val="24"/>
          <w:szCs w:val="24"/>
        </w:rPr>
        <w:t>The report has been commissioned to the top management at RFD Global as one of the consultancy advisory to Tesco Plc, the largest grocery retailer in the United Kingdom in terms of market share. One of the most significant strategic problems that the retail sector is grappling with and that the report deals with is the accelerated adoption of artificial intelligence into fundamental business processes, and the inherent risks of data regulation, consumer confidence, and legal adherence.</w:t>
      </w:r>
    </w:p>
    <w:p w14:paraId="1938B390" w14:textId="77777777" w:rsidR="00633D9E" w:rsidRPr="006F00FD" w:rsidRDefault="00633D9E" w:rsidP="003347C2">
      <w:pPr>
        <w:spacing w:line="360" w:lineRule="auto"/>
        <w:jc w:val="both"/>
        <w:rPr>
          <w:rFonts w:ascii="Arial" w:hAnsi="Arial" w:cs="Arial"/>
          <w:sz w:val="24"/>
          <w:szCs w:val="24"/>
        </w:rPr>
      </w:pPr>
      <w:r w:rsidRPr="006F00FD">
        <w:rPr>
          <w:rFonts w:ascii="Arial" w:hAnsi="Arial" w:cs="Arial"/>
          <w:sz w:val="24"/>
          <w:szCs w:val="24"/>
        </w:rPr>
        <w:t xml:space="preserve">Tesco uses AI in a variety of operations, such as personalized customer marketing with the </w:t>
      </w:r>
      <w:proofErr w:type="spellStart"/>
      <w:r w:rsidRPr="006F00FD">
        <w:rPr>
          <w:rFonts w:ascii="Arial" w:hAnsi="Arial" w:cs="Arial"/>
          <w:sz w:val="24"/>
          <w:szCs w:val="24"/>
        </w:rPr>
        <w:t>Clubcard</w:t>
      </w:r>
      <w:proofErr w:type="spellEnd"/>
      <w:r w:rsidRPr="006F00FD">
        <w:rPr>
          <w:rFonts w:ascii="Arial" w:hAnsi="Arial" w:cs="Arial"/>
          <w:sz w:val="24"/>
          <w:szCs w:val="24"/>
        </w:rPr>
        <w:t xml:space="preserve"> loyalty </w:t>
      </w:r>
      <w:proofErr w:type="spellStart"/>
      <w:r w:rsidRPr="006F00FD">
        <w:rPr>
          <w:rFonts w:ascii="Arial" w:hAnsi="Arial" w:cs="Arial"/>
          <w:sz w:val="24"/>
          <w:szCs w:val="24"/>
        </w:rPr>
        <w:t>programme</w:t>
      </w:r>
      <w:proofErr w:type="spellEnd"/>
      <w:r w:rsidRPr="006F00FD">
        <w:rPr>
          <w:rFonts w:ascii="Arial" w:hAnsi="Arial" w:cs="Arial"/>
          <w:sz w:val="24"/>
          <w:szCs w:val="24"/>
        </w:rPr>
        <w:t>, algorithmic demand forecasting, dynamic pricing, and more and more, conversational tools in retail. The systems are used in various legal jurisdictions, the most prominent one being the UK and the Republic of Ireland, which subjects Tesco to the jurisdiction of the post-Brexit data protection framework of the UK and the emerging framework of AI regulations in the European Union. The convergence of these two regulatory environments presents a management challenge requiring proactive, structured and future proofed management.</w:t>
      </w:r>
    </w:p>
    <w:p w14:paraId="2F4D59E1" w14:textId="77777777" w:rsidR="00633D9E" w:rsidRPr="006F00FD" w:rsidRDefault="00633D9E" w:rsidP="003347C2">
      <w:pPr>
        <w:spacing w:line="360" w:lineRule="auto"/>
        <w:jc w:val="both"/>
        <w:rPr>
          <w:rFonts w:ascii="Arial" w:hAnsi="Arial" w:cs="Arial"/>
          <w:sz w:val="24"/>
          <w:szCs w:val="24"/>
        </w:rPr>
      </w:pPr>
      <w:r w:rsidRPr="006F00FD">
        <w:rPr>
          <w:rFonts w:ascii="Arial" w:hAnsi="Arial" w:cs="Arial"/>
          <w:b/>
          <w:bCs/>
          <w:sz w:val="24"/>
          <w:szCs w:val="24"/>
        </w:rPr>
        <w:t>Problem Statement:</w:t>
      </w:r>
      <w:r w:rsidRPr="006F00FD">
        <w:rPr>
          <w:rFonts w:ascii="Arial" w:hAnsi="Arial" w:cs="Arial"/>
          <w:sz w:val="24"/>
          <w:szCs w:val="24"/>
        </w:rPr>
        <w:t xml:space="preserve"> Although Tesco has invested heavily in AI-based commercial capabilities, it does not have an ethical AI framework published, nor an AI risk taxonomy nor a publicly available governance architecture commensurate with the scale of its data activities. This is a material strategic and regulatory risk. Since the EU AI Act is legally binding on the AI systems used in EU member states, and with the UK Information Commissioner Office becoming increasingly scrutinized of automated decision-making in industries dealing with consumers, the disparity between the AI aspiration and governance maturity of Tesco is no longer commercially viable.</w:t>
      </w:r>
    </w:p>
    <w:p w14:paraId="728D792D" w14:textId="457DD9EA" w:rsidR="000C7C08" w:rsidRPr="006F00FD" w:rsidRDefault="00633D9E" w:rsidP="003347C2">
      <w:pPr>
        <w:spacing w:line="360" w:lineRule="auto"/>
        <w:jc w:val="both"/>
        <w:rPr>
          <w:rFonts w:ascii="Arial" w:hAnsi="Arial" w:cs="Arial"/>
          <w:sz w:val="24"/>
          <w:szCs w:val="24"/>
        </w:rPr>
      </w:pPr>
      <w:r w:rsidRPr="006F00FD">
        <w:rPr>
          <w:rFonts w:ascii="Arial" w:hAnsi="Arial" w:cs="Arial"/>
          <w:b/>
          <w:bCs/>
          <w:sz w:val="24"/>
          <w:szCs w:val="24"/>
        </w:rPr>
        <w:t>Research Question:</w:t>
      </w:r>
      <w:r w:rsidRPr="006F00FD">
        <w:rPr>
          <w:rFonts w:ascii="Arial" w:hAnsi="Arial" w:cs="Arial"/>
          <w:sz w:val="24"/>
          <w:szCs w:val="24"/>
        </w:rPr>
        <w:t xml:space="preserve"> What is the most appropriate governance structure to implement at Tesco Plc to address ethical, regulatory, and consumer trust risks in the UK and EU and what governance structure would offer both compliance and sustainable competitive advantage? The report will answer this question in five analysis frames, which include macro-environmental risk analysis, AI risk management frameworks, data governance and ethics, comparative regulatory compliance, and consumer trust dynamic. An analysis competitor benchmarking analysis bases the recommendations on sector practice. The report will end with a three-horizon implementation plan that will offer costed, actionable advice.</w:t>
      </w:r>
    </w:p>
    <w:p w14:paraId="386EAAB6" w14:textId="77777777" w:rsidR="000C7C08" w:rsidRPr="006F00FD" w:rsidRDefault="000C7C08" w:rsidP="003347C2">
      <w:pPr>
        <w:spacing w:line="360" w:lineRule="auto"/>
        <w:rPr>
          <w:rFonts w:ascii="Arial" w:hAnsi="Arial" w:cs="Arial"/>
          <w:sz w:val="24"/>
          <w:szCs w:val="24"/>
        </w:rPr>
      </w:pPr>
    </w:p>
    <w:p w14:paraId="031A4B1D" w14:textId="6B407F8E" w:rsidR="002A5091" w:rsidRPr="006F00FD" w:rsidRDefault="002A5091" w:rsidP="003347C2">
      <w:pPr>
        <w:pStyle w:val="Caption"/>
        <w:keepNext/>
        <w:spacing w:after="0" w:line="360" w:lineRule="auto"/>
        <w:rPr>
          <w:rFonts w:ascii="Arial" w:hAnsi="Arial" w:cs="Arial"/>
          <w:i w:val="0"/>
          <w:iCs w:val="0"/>
        </w:rPr>
      </w:pPr>
      <w:r w:rsidRPr="006F00FD">
        <w:rPr>
          <w:rFonts w:ascii="Arial" w:hAnsi="Arial" w:cs="Arial"/>
          <w:i w:val="0"/>
          <w:iCs w:val="0"/>
        </w:rPr>
        <w:lastRenderedPageBreak/>
        <w:t xml:space="preserve">Table </w:t>
      </w:r>
      <w:r w:rsidRPr="006F00FD">
        <w:rPr>
          <w:rFonts w:ascii="Arial" w:hAnsi="Arial" w:cs="Arial"/>
          <w:i w:val="0"/>
          <w:iCs w:val="0"/>
        </w:rPr>
        <w:fldChar w:fldCharType="begin"/>
      </w:r>
      <w:r w:rsidRPr="006F00FD">
        <w:rPr>
          <w:rFonts w:ascii="Arial" w:hAnsi="Arial" w:cs="Arial"/>
          <w:i w:val="0"/>
          <w:iCs w:val="0"/>
        </w:rPr>
        <w:instrText xml:space="preserve"> SEQ Table \* ARABIC </w:instrText>
      </w:r>
      <w:r w:rsidRPr="006F00FD">
        <w:rPr>
          <w:rFonts w:ascii="Arial" w:hAnsi="Arial" w:cs="Arial"/>
          <w:i w:val="0"/>
          <w:iCs w:val="0"/>
        </w:rPr>
        <w:fldChar w:fldCharType="separate"/>
      </w:r>
      <w:r w:rsidR="008615BA" w:rsidRPr="006F00FD">
        <w:rPr>
          <w:rFonts w:ascii="Arial" w:hAnsi="Arial" w:cs="Arial"/>
          <w:i w:val="0"/>
          <w:iCs w:val="0"/>
          <w:noProof/>
        </w:rPr>
        <w:t>1</w:t>
      </w:r>
      <w:r w:rsidRPr="006F00FD">
        <w:rPr>
          <w:rFonts w:ascii="Arial" w:hAnsi="Arial" w:cs="Arial"/>
          <w:i w:val="0"/>
          <w:iCs w:val="0"/>
        </w:rPr>
        <w:fldChar w:fldCharType="end"/>
      </w:r>
      <w:r w:rsidRPr="006F00FD">
        <w:rPr>
          <w:rFonts w:ascii="Arial" w:hAnsi="Arial" w:cs="Arial"/>
          <w:i w:val="0"/>
          <w:iCs w:val="0"/>
        </w:rPr>
        <w:t>: Tesco Plc – Company Profile</w:t>
      </w:r>
    </w:p>
    <w:tbl>
      <w:tblPr>
        <w:tblStyle w:val="PlainTable1"/>
        <w:tblW w:w="9663" w:type="dxa"/>
        <w:tblLook w:val="04A0" w:firstRow="1" w:lastRow="0" w:firstColumn="1" w:lastColumn="0" w:noHBand="0" w:noVBand="1"/>
      </w:tblPr>
      <w:tblGrid>
        <w:gridCol w:w="2684"/>
        <w:gridCol w:w="6979"/>
      </w:tblGrid>
      <w:tr w:rsidR="000C7C08" w:rsidRPr="006F00FD" w14:paraId="6EED5751" w14:textId="77777777" w:rsidTr="008751DD">
        <w:trPr>
          <w:cnfStyle w:val="100000000000" w:firstRow="1" w:lastRow="0" w:firstColumn="0" w:lastColumn="0" w:oddVBand="0" w:evenVBand="0" w:oddHBand="0"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2684" w:type="dxa"/>
            <w:shd w:val="clear" w:color="auto" w:fill="B4C6E7" w:themeFill="accent1" w:themeFillTint="66"/>
          </w:tcPr>
          <w:p w14:paraId="0897C93C" w14:textId="77777777" w:rsidR="000C7C08" w:rsidRPr="006F00FD" w:rsidRDefault="009822E0" w:rsidP="003347C2">
            <w:pPr>
              <w:spacing w:line="360" w:lineRule="auto"/>
              <w:jc w:val="center"/>
              <w:rPr>
                <w:rFonts w:ascii="Arial" w:hAnsi="Arial" w:cs="Arial"/>
                <w:sz w:val="24"/>
                <w:szCs w:val="24"/>
              </w:rPr>
            </w:pPr>
            <w:r w:rsidRPr="006F00FD">
              <w:rPr>
                <w:rFonts w:ascii="Arial" w:eastAsia="Arial" w:hAnsi="Arial" w:cs="Arial"/>
                <w:sz w:val="24"/>
                <w:szCs w:val="24"/>
              </w:rPr>
              <w:t>Attribute</w:t>
            </w:r>
          </w:p>
        </w:tc>
        <w:tc>
          <w:tcPr>
            <w:tcW w:w="6979" w:type="dxa"/>
            <w:shd w:val="clear" w:color="auto" w:fill="B4C6E7" w:themeFill="accent1" w:themeFillTint="66"/>
          </w:tcPr>
          <w:p w14:paraId="420FB05A" w14:textId="77777777" w:rsidR="000C7C08" w:rsidRPr="006F00FD" w:rsidRDefault="009822E0" w:rsidP="003347C2">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6F00FD">
              <w:rPr>
                <w:rFonts w:ascii="Arial" w:eastAsia="Arial" w:hAnsi="Arial" w:cs="Arial"/>
                <w:sz w:val="24"/>
                <w:szCs w:val="24"/>
              </w:rPr>
              <w:t>Detail</w:t>
            </w:r>
          </w:p>
        </w:tc>
      </w:tr>
      <w:tr w:rsidR="000C7C08" w:rsidRPr="006F00FD" w14:paraId="51A19170" w14:textId="77777777" w:rsidTr="00627B19">
        <w:trPr>
          <w:cnfStyle w:val="000000100000" w:firstRow="0" w:lastRow="0" w:firstColumn="0" w:lastColumn="0" w:oddVBand="0" w:evenVBand="0" w:oddHBand="1"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2684" w:type="dxa"/>
          </w:tcPr>
          <w:p w14:paraId="223BAA79"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Full Name</w:t>
            </w:r>
          </w:p>
        </w:tc>
        <w:tc>
          <w:tcPr>
            <w:tcW w:w="6979" w:type="dxa"/>
          </w:tcPr>
          <w:p w14:paraId="6607BB19" w14:textId="77777777" w:rsidR="000C7C08" w:rsidRPr="006F00FD" w:rsidRDefault="009822E0" w:rsidP="003347C2">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F00FD">
              <w:rPr>
                <w:rFonts w:ascii="Arial" w:hAnsi="Arial" w:cs="Arial"/>
                <w:color w:val="1A1A1A"/>
                <w:sz w:val="24"/>
                <w:szCs w:val="24"/>
              </w:rPr>
              <w:t>Tesco Plc</w:t>
            </w:r>
          </w:p>
        </w:tc>
      </w:tr>
      <w:tr w:rsidR="000C7C08" w:rsidRPr="006F00FD" w14:paraId="5AE50CF6" w14:textId="77777777" w:rsidTr="00627B19">
        <w:trPr>
          <w:trHeight w:val="429"/>
        </w:trPr>
        <w:tc>
          <w:tcPr>
            <w:cnfStyle w:val="001000000000" w:firstRow="0" w:lastRow="0" w:firstColumn="1" w:lastColumn="0" w:oddVBand="0" w:evenVBand="0" w:oddHBand="0" w:evenHBand="0" w:firstRowFirstColumn="0" w:firstRowLastColumn="0" w:lastRowFirstColumn="0" w:lastRowLastColumn="0"/>
            <w:tcW w:w="2684" w:type="dxa"/>
          </w:tcPr>
          <w:p w14:paraId="3E5549FB"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Headquarters</w:t>
            </w:r>
          </w:p>
        </w:tc>
        <w:tc>
          <w:tcPr>
            <w:tcW w:w="6979" w:type="dxa"/>
          </w:tcPr>
          <w:p w14:paraId="69040948" w14:textId="77777777" w:rsidR="000C7C08" w:rsidRPr="006F00FD" w:rsidRDefault="009822E0" w:rsidP="003347C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F00FD">
              <w:rPr>
                <w:rFonts w:ascii="Arial" w:hAnsi="Arial" w:cs="Arial"/>
                <w:color w:val="1A1A1A"/>
                <w:sz w:val="24"/>
                <w:szCs w:val="24"/>
              </w:rPr>
              <w:t>Welwyn Garden City, Hertfordshire, UK</w:t>
            </w:r>
          </w:p>
        </w:tc>
      </w:tr>
      <w:tr w:rsidR="000C7C08" w:rsidRPr="006F00FD" w14:paraId="1FF061E9" w14:textId="77777777" w:rsidTr="00627B19">
        <w:trPr>
          <w:cnfStyle w:val="000000100000" w:firstRow="0" w:lastRow="0" w:firstColumn="0" w:lastColumn="0" w:oddVBand="0" w:evenVBand="0" w:oddHBand="1"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2684" w:type="dxa"/>
          </w:tcPr>
          <w:p w14:paraId="202F123C"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Founded</w:t>
            </w:r>
          </w:p>
        </w:tc>
        <w:tc>
          <w:tcPr>
            <w:tcW w:w="6979" w:type="dxa"/>
          </w:tcPr>
          <w:p w14:paraId="48DB4B9B" w14:textId="77777777" w:rsidR="000C7C08" w:rsidRPr="006F00FD" w:rsidRDefault="009822E0" w:rsidP="003347C2">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F00FD">
              <w:rPr>
                <w:rFonts w:ascii="Arial" w:hAnsi="Arial" w:cs="Arial"/>
                <w:color w:val="1A1A1A"/>
                <w:sz w:val="24"/>
                <w:szCs w:val="24"/>
              </w:rPr>
              <w:t>1919</w:t>
            </w:r>
          </w:p>
        </w:tc>
      </w:tr>
      <w:tr w:rsidR="000C7C08" w:rsidRPr="006F00FD" w14:paraId="10E0434A" w14:textId="77777777" w:rsidTr="00627B19">
        <w:trPr>
          <w:trHeight w:val="429"/>
        </w:trPr>
        <w:tc>
          <w:tcPr>
            <w:cnfStyle w:val="001000000000" w:firstRow="0" w:lastRow="0" w:firstColumn="1" w:lastColumn="0" w:oddVBand="0" w:evenVBand="0" w:oddHBand="0" w:evenHBand="0" w:firstRowFirstColumn="0" w:firstRowLastColumn="0" w:lastRowFirstColumn="0" w:lastRowLastColumn="0"/>
            <w:tcW w:w="2684" w:type="dxa"/>
          </w:tcPr>
          <w:p w14:paraId="63E8F0FF"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Key Markets</w:t>
            </w:r>
          </w:p>
        </w:tc>
        <w:tc>
          <w:tcPr>
            <w:tcW w:w="6979" w:type="dxa"/>
          </w:tcPr>
          <w:p w14:paraId="7A72602B" w14:textId="77777777" w:rsidR="000C7C08" w:rsidRPr="006F00FD" w:rsidRDefault="009822E0" w:rsidP="003347C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F00FD">
              <w:rPr>
                <w:rFonts w:ascii="Arial" w:hAnsi="Arial" w:cs="Arial"/>
                <w:color w:val="1A1A1A"/>
                <w:sz w:val="24"/>
                <w:szCs w:val="24"/>
              </w:rPr>
              <w:t>United Kingdom, Ireland; digital and data operations globally</w:t>
            </w:r>
          </w:p>
        </w:tc>
      </w:tr>
      <w:tr w:rsidR="000C7C08" w:rsidRPr="006F00FD" w14:paraId="2DD64F47" w14:textId="77777777" w:rsidTr="00627B19">
        <w:trPr>
          <w:cnfStyle w:val="000000100000" w:firstRow="0" w:lastRow="0" w:firstColumn="0" w:lastColumn="0" w:oddVBand="0" w:evenVBand="0" w:oddHBand="1"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2684" w:type="dxa"/>
          </w:tcPr>
          <w:p w14:paraId="0682367E"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Revenue (FY2025)</w:t>
            </w:r>
          </w:p>
        </w:tc>
        <w:tc>
          <w:tcPr>
            <w:tcW w:w="6979" w:type="dxa"/>
          </w:tcPr>
          <w:p w14:paraId="4C7133A0" w14:textId="77777777" w:rsidR="000C7C08" w:rsidRPr="006F00FD" w:rsidRDefault="009822E0" w:rsidP="003347C2">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F00FD">
              <w:rPr>
                <w:rFonts w:ascii="Arial" w:hAnsi="Arial" w:cs="Arial"/>
                <w:color w:val="1A1A1A"/>
                <w:sz w:val="24"/>
                <w:szCs w:val="24"/>
              </w:rPr>
              <w:t>£61.5 billion (Tesco Plc, 2025)</w:t>
            </w:r>
          </w:p>
        </w:tc>
      </w:tr>
      <w:tr w:rsidR="000C7C08" w:rsidRPr="006F00FD" w14:paraId="3D821ACB" w14:textId="77777777" w:rsidTr="00627B19">
        <w:trPr>
          <w:trHeight w:val="419"/>
        </w:trPr>
        <w:tc>
          <w:tcPr>
            <w:cnfStyle w:val="001000000000" w:firstRow="0" w:lastRow="0" w:firstColumn="1" w:lastColumn="0" w:oddVBand="0" w:evenVBand="0" w:oddHBand="0" w:evenHBand="0" w:firstRowFirstColumn="0" w:firstRowLastColumn="0" w:lastRowFirstColumn="0" w:lastRowLastColumn="0"/>
            <w:tcW w:w="2684" w:type="dxa"/>
          </w:tcPr>
          <w:p w14:paraId="11AC1B95"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Employees</w:t>
            </w:r>
          </w:p>
        </w:tc>
        <w:tc>
          <w:tcPr>
            <w:tcW w:w="6979" w:type="dxa"/>
          </w:tcPr>
          <w:p w14:paraId="12AACCDE" w14:textId="77777777" w:rsidR="000C7C08" w:rsidRPr="006F00FD" w:rsidRDefault="009822E0" w:rsidP="003347C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F00FD">
              <w:rPr>
                <w:rFonts w:ascii="Arial" w:hAnsi="Arial" w:cs="Arial"/>
                <w:color w:val="1A1A1A"/>
                <w:sz w:val="24"/>
                <w:szCs w:val="24"/>
              </w:rPr>
              <w:t>Approximately 330,000 (Tesco Plc, 2025)</w:t>
            </w:r>
          </w:p>
        </w:tc>
      </w:tr>
      <w:tr w:rsidR="000C7C08" w:rsidRPr="006F00FD" w14:paraId="65588245" w14:textId="77777777" w:rsidTr="00627B19">
        <w:trPr>
          <w:cnfStyle w:val="000000100000" w:firstRow="0" w:lastRow="0" w:firstColumn="0" w:lastColumn="0" w:oddVBand="0" w:evenVBand="0" w:oddHBand="1"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2684" w:type="dxa"/>
          </w:tcPr>
          <w:p w14:paraId="434AB5C9"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Clubcard Members</w:t>
            </w:r>
          </w:p>
        </w:tc>
        <w:tc>
          <w:tcPr>
            <w:tcW w:w="6979" w:type="dxa"/>
          </w:tcPr>
          <w:p w14:paraId="242CCA45" w14:textId="77777777" w:rsidR="000C7C08" w:rsidRPr="006F00FD" w:rsidRDefault="009822E0" w:rsidP="003347C2">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F00FD">
              <w:rPr>
                <w:rFonts w:ascii="Arial" w:hAnsi="Arial" w:cs="Arial"/>
                <w:color w:val="1A1A1A"/>
                <w:sz w:val="24"/>
                <w:szCs w:val="24"/>
              </w:rPr>
              <w:t>Over 20 million active UK households</w:t>
            </w:r>
          </w:p>
        </w:tc>
      </w:tr>
      <w:tr w:rsidR="000C7C08" w:rsidRPr="006F00FD" w14:paraId="1CB7CD1F" w14:textId="77777777" w:rsidTr="00627B19">
        <w:trPr>
          <w:trHeight w:val="1278"/>
        </w:trPr>
        <w:tc>
          <w:tcPr>
            <w:cnfStyle w:val="001000000000" w:firstRow="0" w:lastRow="0" w:firstColumn="1" w:lastColumn="0" w:oddVBand="0" w:evenVBand="0" w:oddHBand="0" w:evenHBand="0" w:firstRowFirstColumn="0" w:firstRowLastColumn="0" w:lastRowFirstColumn="0" w:lastRowLastColumn="0"/>
            <w:tcW w:w="2684" w:type="dxa"/>
          </w:tcPr>
          <w:p w14:paraId="0F8A7CAB"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Primary AI Use Cases</w:t>
            </w:r>
          </w:p>
        </w:tc>
        <w:tc>
          <w:tcPr>
            <w:tcW w:w="6979" w:type="dxa"/>
          </w:tcPr>
          <w:p w14:paraId="4EDD594D" w14:textId="77777777" w:rsidR="000C7C08" w:rsidRPr="006F00FD" w:rsidRDefault="009822E0" w:rsidP="003347C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6F00FD">
              <w:rPr>
                <w:rFonts w:ascii="Arial" w:hAnsi="Arial" w:cs="Arial"/>
                <w:color w:val="1A1A1A"/>
                <w:sz w:val="24"/>
                <w:szCs w:val="24"/>
              </w:rPr>
              <w:t>Personalised</w:t>
            </w:r>
            <w:proofErr w:type="spellEnd"/>
            <w:r w:rsidRPr="006F00FD">
              <w:rPr>
                <w:rFonts w:ascii="Arial" w:hAnsi="Arial" w:cs="Arial"/>
                <w:color w:val="1A1A1A"/>
                <w:sz w:val="24"/>
                <w:szCs w:val="24"/>
              </w:rPr>
              <w:t xml:space="preserve"> marketing, dynamic pricing, demand forecasting, inventory management, Clubcard data analytics, conversational retail tools</w:t>
            </w:r>
          </w:p>
        </w:tc>
      </w:tr>
      <w:tr w:rsidR="000C7C08" w:rsidRPr="006F00FD" w14:paraId="7F5F3E9C" w14:textId="77777777" w:rsidTr="00627B19">
        <w:trPr>
          <w:cnfStyle w:val="000000100000" w:firstRow="0" w:lastRow="0" w:firstColumn="0" w:lastColumn="0" w:oddVBand="0" w:evenVBand="0" w:oddHBand="1" w:evenHBand="0" w:firstRowFirstColumn="0" w:firstRowLastColumn="0" w:lastRowFirstColumn="0" w:lastRowLastColumn="0"/>
          <w:trHeight w:val="1288"/>
        </w:trPr>
        <w:tc>
          <w:tcPr>
            <w:cnfStyle w:val="001000000000" w:firstRow="0" w:lastRow="0" w:firstColumn="1" w:lastColumn="0" w:oddVBand="0" w:evenVBand="0" w:oddHBand="0" w:evenHBand="0" w:firstRowFirstColumn="0" w:firstRowLastColumn="0" w:lastRowFirstColumn="0" w:lastRowLastColumn="0"/>
            <w:tcW w:w="2684" w:type="dxa"/>
          </w:tcPr>
          <w:p w14:paraId="5244D230"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Regulatory Exposure</w:t>
            </w:r>
          </w:p>
        </w:tc>
        <w:tc>
          <w:tcPr>
            <w:tcW w:w="6979" w:type="dxa"/>
          </w:tcPr>
          <w:p w14:paraId="3540508F" w14:textId="77777777" w:rsidR="000C7C08" w:rsidRPr="006F00FD" w:rsidRDefault="009822E0" w:rsidP="003347C2">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F00FD">
              <w:rPr>
                <w:rFonts w:ascii="Arial" w:hAnsi="Arial" w:cs="Arial"/>
                <w:color w:val="1A1A1A"/>
                <w:sz w:val="24"/>
                <w:szCs w:val="24"/>
              </w:rPr>
              <w:t>UK ICO (UK GDPR), FCA (Tesco Bank products), EU AI Act (ROI operations), EU GDPR, Data Protection (Ireland) Act 2018</w:t>
            </w:r>
          </w:p>
        </w:tc>
      </w:tr>
    </w:tbl>
    <w:p w14:paraId="4EFA3E28" w14:textId="1397C7EF" w:rsidR="000C7C08" w:rsidRPr="006F00FD" w:rsidRDefault="009822E0" w:rsidP="000066FA">
      <w:pPr>
        <w:pStyle w:val="Heading1"/>
      </w:pPr>
      <w:bookmarkStart w:id="3" w:name="_Toc227973215"/>
      <w:r w:rsidRPr="006F00FD">
        <w:t>Main Findings</w:t>
      </w:r>
      <w:bookmarkEnd w:id="3"/>
    </w:p>
    <w:p w14:paraId="42CB2298" w14:textId="2887FA21" w:rsidR="000C7C08" w:rsidRPr="006F00FD" w:rsidRDefault="009822E0" w:rsidP="004A3782">
      <w:pPr>
        <w:pStyle w:val="Heading2"/>
      </w:pPr>
      <w:bookmarkStart w:id="4" w:name="_Toc227973216"/>
      <w:r w:rsidRPr="006F00FD">
        <w:t>PESTLE Analysis of AI in UK Retail</w:t>
      </w:r>
      <w:bookmarkEnd w:id="4"/>
    </w:p>
    <w:p w14:paraId="300242A3" w14:textId="68D648FA" w:rsidR="000C7C08" w:rsidRPr="006F00FD" w:rsidRDefault="00F672E9" w:rsidP="003347C2">
      <w:pPr>
        <w:spacing w:line="360" w:lineRule="auto"/>
        <w:jc w:val="both"/>
        <w:rPr>
          <w:rFonts w:ascii="Arial" w:hAnsi="Arial" w:cs="Arial"/>
          <w:sz w:val="24"/>
          <w:szCs w:val="24"/>
        </w:rPr>
      </w:pPr>
      <w:r w:rsidRPr="006F00FD">
        <w:rPr>
          <w:rFonts w:ascii="Arial" w:hAnsi="Arial" w:cs="Arial"/>
          <w:sz w:val="24"/>
          <w:szCs w:val="24"/>
        </w:rPr>
        <w:t xml:space="preserve">The macro-environmental forces affecting the AI risk in the UK retail industry are critical and changing rapidly. An ordered PESTLE analysis, tailored to the AI activity of Tesco, shows a scenario that is marked by regulatory uncertainty, competition, and evolving consumer demands. These forces can be analytically </w:t>
      </w:r>
      <w:proofErr w:type="spellStart"/>
      <w:r w:rsidRPr="006F00FD">
        <w:rPr>
          <w:rFonts w:ascii="Arial" w:hAnsi="Arial" w:cs="Arial"/>
          <w:sz w:val="24"/>
          <w:szCs w:val="24"/>
        </w:rPr>
        <w:t>summarised</w:t>
      </w:r>
      <w:proofErr w:type="spellEnd"/>
      <w:r w:rsidRPr="006F00FD">
        <w:rPr>
          <w:rFonts w:ascii="Arial" w:hAnsi="Arial" w:cs="Arial"/>
          <w:sz w:val="24"/>
          <w:szCs w:val="24"/>
        </w:rPr>
        <w:t xml:space="preserve"> in Table 2 and a risk matrix in Table 3 weighting the factors by likelihood and impact to give priority to governance effort.</w:t>
      </w:r>
    </w:p>
    <w:p w14:paraId="1782C879" w14:textId="27FFA84C" w:rsidR="002A5091" w:rsidRPr="006F00FD" w:rsidRDefault="002A5091" w:rsidP="003347C2">
      <w:pPr>
        <w:pStyle w:val="Caption"/>
        <w:keepNext/>
        <w:spacing w:after="0" w:line="360" w:lineRule="auto"/>
        <w:rPr>
          <w:rFonts w:ascii="Arial" w:hAnsi="Arial" w:cs="Arial"/>
          <w:i w:val="0"/>
          <w:iCs w:val="0"/>
        </w:rPr>
      </w:pPr>
      <w:r w:rsidRPr="006F00FD">
        <w:rPr>
          <w:rFonts w:ascii="Arial" w:hAnsi="Arial" w:cs="Arial"/>
          <w:i w:val="0"/>
          <w:iCs w:val="0"/>
        </w:rPr>
        <w:t xml:space="preserve">Table </w:t>
      </w:r>
      <w:r w:rsidRPr="006F00FD">
        <w:rPr>
          <w:rFonts w:ascii="Arial" w:hAnsi="Arial" w:cs="Arial"/>
          <w:i w:val="0"/>
          <w:iCs w:val="0"/>
        </w:rPr>
        <w:fldChar w:fldCharType="begin"/>
      </w:r>
      <w:r w:rsidRPr="006F00FD">
        <w:rPr>
          <w:rFonts w:ascii="Arial" w:hAnsi="Arial" w:cs="Arial"/>
          <w:i w:val="0"/>
          <w:iCs w:val="0"/>
        </w:rPr>
        <w:instrText xml:space="preserve"> SEQ Table \* ARABIC </w:instrText>
      </w:r>
      <w:r w:rsidRPr="006F00FD">
        <w:rPr>
          <w:rFonts w:ascii="Arial" w:hAnsi="Arial" w:cs="Arial"/>
          <w:i w:val="0"/>
          <w:iCs w:val="0"/>
        </w:rPr>
        <w:fldChar w:fldCharType="separate"/>
      </w:r>
      <w:r w:rsidR="008615BA" w:rsidRPr="006F00FD">
        <w:rPr>
          <w:rFonts w:ascii="Arial" w:hAnsi="Arial" w:cs="Arial"/>
          <w:i w:val="0"/>
          <w:iCs w:val="0"/>
          <w:noProof/>
        </w:rPr>
        <w:t>2</w:t>
      </w:r>
      <w:r w:rsidRPr="006F00FD">
        <w:rPr>
          <w:rFonts w:ascii="Arial" w:hAnsi="Arial" w:cs="Arial"/>
          <w:i w:val="0"/>
          <w:iCs w:val="0"/>
        </w:rPr>
        <w:fldChar w:fldCharType="end"/>
      </w:r>
      <w:r w:rsidRPr="006F00FD">
        <w:rPr>
          <w:rFonts w:ascii="Arial" w:hAnsi="Arial" w:cs="Arial"/>
          <w:i w:val="0"/>
          <w:iCs w:val="0"/>
        </w:rPr>
        <w:t>: PESTLE Analysis - AI Risk Environment for Tesco Plc</w:t>
      </w:r>
    </w:p>
    <w:tbl>
      <w:tblPr>
        <w:tblStyle w:val="GridTableLight"/>
        <w:tblW w:w="9607" w:type="dxa"/>
        <w:tblLook w:val="04A0" w:firstRow="1" w:lastRow="0" w:firstColumn="1" w:lastColumn="0" w:noHBand="0" w:noVBand="1"/>
      </w:tblPr>
      <w:tblGrid>
        <w:gridCol w:w="1998"/>
        <w:gridCol w:w="3508"/>
        <w:gridCol w:w="4101"/>
      </w:tblGrid>
      <w:tr w:rsidR="000C7C08" w:rsidRPr="006F00FD" w14:paraId="3180CB91" w14:textId="77777777" w:rsidTr="004A3782">
        <w:trPr>
          <w:trHeight w:val="417"/>
        </w:trPr>
        <w:tc>
          <w:tcPr>
            <w:tcW w:w="1998" w:type="dxa"/>
            <w:shd w:val="clear" w:color="auto" w:fill="B4C6E7" w:themeFill="accent1" w:themeFillTint="66"/>
          </w:tcPr>
          <w:p w14:paraId="61C33344" w14:textId="77777777" w:rsidR="000C7C08" w:rsidRPr="006F00FD" w:rsidRDefault="009822E0" w:rsidP="003347C2">
            <w:pPr>
              <w:spacing w:line="360" w:lineRule="auto"/>
              <w:jc w:val="center"/>
              <w:rPr>
                <w:rFonts w:ascii="Arial" w:hAnsi="Arial" w:cs="Arial"/>
                <w:b/>
                <w:bCs/>
                <w:sz w:val="24"/>
                <w:szCs w:val="24"/>
              </w:rPr>
            </w:pPr>
            <w:r w:rsidRPr="006F00FD">
              <w:rPr>
                <w:rFonts w:ascii="Arial" w:eastAsia="Arial" w:hAnsi="Arial" w:cs="Arial"/>
                <w:b/>
                <w:bCs/>
                <w:sz w:val="24"/>
                <w:szCs w:val="24"/>
              </w:rPr>
              <w:t>Factor</w:t>
            </w:r>
          </w:p>
        </w:tc>
        <w:tc>
          <w:tcPr>
            <w:tcW w:w="3508" w:type="dxa"/>
            <w:shd w:val="clear" w:color="auto" w:fill="B4C6E7" w:themeFill="accent1" w:themeFillTint="66"/>
          </w:tcPr>
          <w:p w14:paraId="18929F8E" w14:textId="77777777" w:rsidR="000C7C08" w:rsidRPr="006F00FD" w:rsidRDefault="009822E0" w:rsidP="003347C2">
            <w:pPr>
              <w:spacing w:line="360" w:lineRule="auto"/>
              <w:jc w:val="center"/>
              <w:rPr>
                <w:rFonts w:ascii="Arial" w:hAnsi="Arial" w:cs="Arial"/>
                <w:b/>
                <w:bCs/>
                <w:sz w:val="24"/>
                <w:szCs w:val="24"/>
              </w:rPr>
            </w:pPr>
            <w:r w:rsidRPr="006F00FD">
              <w:rPr>
                <w:rFonts w:ascii="Arial" w:eastAsia="Arial" w:hAnsi="Arial" w:cs="Arial"/>
                <w:b/>
                <w:bCs/>
                <w:sz w:val="24"/>
                <w:szCs w:val="24"/>
              </w:rPr>
              <w:t>Key AI Risk for Tesco</w:t>
            </w:r>
          </w:p>
        </w:tc>
        <w:tc>
          <w:tcPr>
            <w:tcW w:w="4101" w:type="dxa"/>
            <w:shd w:val="clear" w:color="auto" w:fill="B4C6E7" w:themeFill="accent1" w:themeFillTint="66"/>
          </w:tcPr>
          <w:p w14:paraId="4BFFDAFC" w14:textId="77777777" w:rsidR="000C7C08" w:rsidRPr="006F00FD" w:rsidRDefault="009822E0" w:rsidP="003347C2">
            <w:pPr>
              <w:spacing w:line="360" w:lineRule="auto"/>
              <w:jc w:val="center"/>
              <w:rPr>
                <w:rFonts w:ascii="Arial" w:hAnsi="Arial" w:cs="Arial"/>
                <w:b/>
                <w:bCs/>
                <w:sz w:val="24"/>
                <w:szCs w:val="24"/>
              </w:rPr>
            </w:pPr>
            <w:r w:rsidRPr="006F00FD">
              <w:rPr>
                <w:rFonts w:ascii="Arial" w:eastAsia="Arial" w:hAnsi="Arial" w:cs="Arial"/>
                <w:b/>
                <w:bCs/>
                <w:sz w:val="24"/>
                <w:szCs w:val="24"/>
              </w:rPr>
              <w:t>Strategic Implication</w:t>
            </w:r>
          </w:p>
        </w:tc>
      </w:tr>
      <w:tr w:rsidR="000C7C08" w:rsidRPr="006F00FD" w14:paraId="71C38BC7" w14:textId="77777777" w:rsidTr="000F2BE0">
        <w:trPr>
          <w:trHeight w:val="1662"/>
        </w:trPr>
        <w:tc>
          <w:tcPr>
            <w:tcW w:w="1998" w:type="dxa"/>
            <w:shd w:val="clear" w:color="auto" w:fill="DBDBDB" w:themeFill="accent3" w:themeFillTint="66"/>
          </w:tcPr>
          <w:p w14:paraId="350E413C" w14:textId="77777777" w:rsidR="000C7C08" w:rsidRPr="006F00FD" w:rsidRDefault="009822E0" w:rsidP="003347C2">
            <w:pPr>
              <w:spacing w:line="360" w:lineRule="auto"/>
              <w:rPr>
                <w:rFonts w:ascii="Arial" w:hAnsi="Arial" w:cs="Arial"/>
                <w:sz w:val="24"/>
                <w:szCs w:val="24"/>
              </w:rPr>
            </w:pPr>
            <w:r w:rsidRPr="006F00FD">
              <w:rPr>
                <w:rFonts w:ascii="Arial" w:hAnsi="Arial" w:cs="Arial"/>
                <w:b/>
                <w:bCs/>
                <w:color w:val="1A1A1A"/>
                <w:sz w:val="24"/>
                <w:szCs w:val="24"/>
              </w:rPr>
              <w:t>Political</w:t>
            </w:r>
          </w:p>
        </w:tc>
        <w:tc>
          <w:tcPr>
            <w:tcW w:w="3508" w:type="dxa"/>
            <w:shd w:val="clear" w:color="auto" w:fill="DBDBDB" w:themeFill="accent3" w:themeFillTint="66"/>
          </w:tcPr>
          <w:p w14:paraId="7EE9602D"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Post-Brexit regulatory divergence; UK-EU data transfer restrictions</w:t>
            </w:r>
          </w:p>
        </w:tc>
        <w:tc>
          <w:tcPr>
            <w:tcW w:w="4101" w:type="dxa"/>
            <w:shd w:val="clear" w:color="auto" w:fill="DBDBDB" w:themeFill="accent3" w:themeFillTint="66"/>
          </w:tcPr>
          <w:p w14:paraId="5A1BA631"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Dual compliance burden; risk of regulatory arbitrage and reputational exposure in ROI operations</w:t>
            </w:r>
          </w:p>
        </w:tc>
      </w:tr>
      <w:tr w:rsidR="000C7C08" w:rsidRPr="006F00FD" w14:paraId="0195A93E" w14:textId="77777777" w:rsidTr="004A3782">
        <w:trPr>
          <w:trHeight w:val="1662"/>
        </w:trPr>
        <w:tc>
          <w:tcPr>
            <w:tcW w:w="1998" w:type="dxa"/>
          </w:tcPr>
          <w:p w14:paraId="75D6334C" w14:textId="77777777" w:rsidR="000C7C08" w:rsidRPr="006F00FD" w:rsidRDefault="009822E0" w:rsidP="003347C2">
            <w:pPr>
              <w:spacing w:line="360" w:lineRule="auto"/>
              <w:rPr>
                <w:rFonts w:ascii="Arial" w:hAnsi="Arial" w:cs="Arial"/>
                <w:sz w:val="24"/>
                <w:szCs w:val="24"/>
              </w:rPr>
            </w:pPr>
            <w:r w:rsidRPr="006F00FD">
              <w:rPr>
                <w:rFonts w:ascii="Arial" w:hAnsi="Arial" w:cs="Arial"/>
                <w:b/>
                <w:bCs/>
                <w:color w:val="1A1A1A"/>
                <w:sz w:val="24"/>
                <w:szCs w:val="24"/>
              </w:rPr>
              <w:t>Economic</w:t>
            </w:r>
          </w:p>
        </w:tc>
        <w:tc>
          <w:tcPr>
            <w:tcW w:w="3508" w:type="dxa"/>
          </w:tcPr>
          <w:p w14:paraId="357ADAEE"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Algorithmic dynamic pricing under competition law scrutiny</w:t>
            </w:r>
          </w:p>
        </w:tc>
        <w:tc>
          <w:tcPr>
            <w:tcW w:w="4101" w:type="dxa"/>
          </w:tcPr>
          <w:p w14:paraId="452D9ABA"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Risk of price-fixing accusations via AI pricing systems; consumer backlash and regulatory investigation</w:t>
            </w:r>
          </w:p>
        </w:tc>
      </w:tr>
      <w:tr w:rsidR="000C7C08" w:rsidRPr="006F00FD" w14:paraId="5E9BE4EE" w14:textId="77777777" w:rsidTr="000F2BE0">
        <w:trPr>
          <w:trHeight w:val="1245"/>
        </w:trPr>
        <w:tc>
          <w:tcPr>
            <w:tcW w:w="1998" w:type="dxa"/>
            <w:shd w:val="clear" w:color="auto" w:fill="DBDBDB" w:themeFill="accent3" w:themeFillTint="66"/>
          </w:tcPr>
          <w:p w14:paraId="658A5091" w14:textId="77777777" w:rsidR="000C7C08" w:rsidRPr="006F00FD" w:rsidRDefault="009822E0" w:rsidP="003347C2">
            <w:pPr>
              <w:spacing w:line="360" w:lineRule="auto"/>
              <w:rPr>
                <w:rFonts w:ascii="Arial" w:hAnsi="Arial" w:cs="Arial"/>
                <w:sz w:val="24"/>
                <w:szCs w:val="24"/>
              </w:rPr>
            </w:pPr>
            <w:r w:rsidRPr="006F00FD">
              <w:rPr>
                <w:rFonts w:ascii="Arial" w:hAnsi="Arial" w:cs="Arial"/>
                <w:b/>
                <w:bCs/>
                <w:color w:val="1A1A1A"/>
                <w:sz w:val="24"/>
                <w:szCs w:val="24"/>
              </w:rPr>
              <w:lastRenderedPageBreak/>
              <w:t>Social</w:t>
            </w:r>
          </w:p>
        </w:tc>
        <w:tc>
          <w:tcPr>
            <w:tcW w:w="3508" w:type="dxa"/>
            <w:shd w:val="clear" w:color="auto" w:fill="DBDBDB" w:themeFill="accent3" w:themeFillTint="66"/>
          </w:tcPr>
          <w:p w14:paraId="0641A87E"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 xml:space="preserve">Consumer </w:t>
            </w:r>
            <w:proofErr w:type="spellStart"/>
            <w:r w:rsidRPr="006F00FD">
              <w:rPr>
                <w:rFonts w:ascii="Arial" w:hAnsi="Arial" w:cs="Arial"/>
                <w:color w:val="1A1A1A"/>
                <w:sz w:val="24"/>
                <w:szCs w:val="24"/>
              </w:rPr>
              <w:t>scepticism</w:t>
            </w:r>
            <w:proofErr w:type="spellEnd"/>
            <w:r w:rsidRPr="006F00FD">
              <w:rPr>
                <w:rFonts w:ascii="Arial" w:hAnsi="Arial" w:cs="Arial"/>
                <w:color w:val="1A1A1A"/>
                <w:sz w:val="24"/>
                <w:szCs w:val="24"/>
              </w:rPr>
              <w:t xml:space="preserve"> towards AI-driven </w:t>
            </w:r>
            <w:proofErr w:type="spellStart"/>
            <w:r w:rsidRPr="006F00FD">
              <w:rPr>
                <w:rFonts w:ascii="Arial" w:hAnsi="Arial" w:cs="Arial"/>
                <w:color w:val="1A1A1A"/>
                <w:sz w:val="24"/>
                <w:szCs w:val="24"/>
              </w:rPr>
              <w:t>personalisation</w:t>
            </w:r>
            <w:proofErr w:type="spellEnd"/>
            <w:r w:rsidRPr="006F00FD">
              <w:rPr>
                <w:rFonts w:ascii="Arial" w:hAnsi="Arial" w:cs="Arial"/>
                <w:color w:val="1A1A1A"/>
                <w:sz w:val="24"/>
                <w:szCs w:val="24"/>
              </w:rPr>
              <w:t xml:space="preserve"> and data use</w:t>
            </w:r>
          </w:p>
        </w:tc>
        <w:tc>
          <w:tcPr>
            <w:tcW w:w="4101" w:type="dxa"/>
            <w:shd w:val="clear" w:color="auto" w:fill="DBDBDB" w:themeFill="accent3" w:themeFillTint="66"/>
          </w:tcPr>
          <w:p w14:paraId="1FE9923D"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Erosion of brand loyalty if data practices are perceived as intrusive or opaque</w:t>
            </w:r>
          </w:p>
        </w:tc>
      </w:tr>
      <w:tr w:rsidR="000C7C08" w:rsidRPr="006F00FD" w14:paraId="06E51E03" w14:textId="77777777" w:rsidTr="004A3782">
        <w:trPr>
          <w:trHeight w:val="1662"/>
        </w:trPr>
        <w:tc>
          <w:tcPr>
            <w:tcW w:w="1998" w:type="dxa"/>
          </w:tcPr>
          <w:p w14:paraId="1DAA7633" w14:textId="77777777" w:rsidR="000C7C08" w:rsidRPr="006F00FD" w:rsidRDefault="009822E0" w:rsidP="003347C2">
            <w:pPr>
              <w:spacing w:line="360" w:lineRule="auto"/>
              <w:rPr>
                <w:rFonts w:ascii="Arial" w:hAnsi="Arial" w:cs="Arial"/>
                <w:sz w:val="24"/>
                <w:szCs w:val="24"/>
              </w:rPr>
            </w:pPr>
            <w:r w:rsidRPr="006F00FD">
              <w:rPr>
                <w:rFonts w:ascii="Arial" w:hAnsi="Arial" w:cs="Arial"/>
                <w:b/>
                <w:bCs/>
                <w:color w:val="1A1A1A"/>
                <w:sz w:val="24"/>
                <w:szCs w:val="24"/>
              </w:rPr>
              <w:t>Technological</w:t>
            </w:r>
          </w:p>
        </w:tc>
        <w:tc>
          <w:tcPr>
            <w:tcW w:w="3508" w:type="dxa"/>
          </w:tcPr>
          <w:p w14:paraId="2F85400B"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AI model bias in Clubcard targeting; IoT data integration vulnerabilities</w:t>
            </w:r>
          </w:p>
        </w:tc>
        <w:tc>
          <w:tcPr>
            <w:tcW w:w="4101" w:type="dxa"/>
          </w:tcPr>
          <w:p w14:paraId="25F6C4B5"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 xml:space="preserve">Discriminatory outcomes in </w:t>
            </w:r>
            <w:proofErr w:type="spellStart"/>
            <w:r w:rsidRPr="006F00FD">
              <w:rPr>
                <w:rFonts w:ascii="Arial" w:hAnsi="Arial" w:cs="Arial"/>
                <w:color w:val="1A1A1A"/>
                <w:sz w:val="24"/>
                <w:szCs w:val="24"/>
              </w:rPr>
              <w:t>personalised</w:t>
            </w:r>
            <w:proofErr w:type="spellEnd"/>
            <w:r w:rsidRPr="006F00FD">
              <w:rPr>
                <w:rFonts w:ascii="Arial" w:hAnsi="Arial" w:cs="Arial"/>
                <w:color w:val="1A1A1A"/>
                <w:sz w:val="24"/>
                <w:szCs w:val="24"/>
              </w:rPr>
              <w:t xml:space="preserve"> pricing and product recommendations; systemic data breach risk</w:t>
            </w:r>
          </w:p>
        </w:tc>
      </w:tr>
      <w:tr w:rsidR="000C7C08" w:rsidRPr="006F00FD" w14:paraId="5317B30A" w14:textId="77777777" w:rsidTr="000F2BE0">
        <w:trPr>
          <w:trHeight w:val="1254"/>
        </w:trPr>
        <w:tc>
          <w:tcPr>
            <w:tcW w:w="1998" w:type="dxa"/>
            <w:shd w:val="clear" w:color="auto" w:fill="DBDBDB" w:themeFill="accent3" w:themeFillTint="66"/>
          </w:tcPr>
          <w:p w14:paraId="1EBD0CCB" w14:textId="77777777" w:rsidR="000C7C08" w:rsidRPr="006F00FD" w:rsidRDefault="009822E0" w:rsidP="003347C2">
            <w:pPr>
              <w:spacing w:line="360" w:lineRule="auto"/>
              <w:rPr>
                <w:rFonts w:ascii="Arial" w:hAnsi="Arial" w:cs="Arial"/>
                <w:sz w:val="24"/>
                <w:szCs w:val="24"/>
              </w:rPr>
            </w:pPr>
            <w:r w:rsidRPr="006F00FD">
              <w:rPr>
                <w:rFonts w:ascii="Arial" w:hAnsi="Arial" w:cs="Arial"/>
                <w:b/>
                <w:bCs/>
                <w:color w:val="1A1A1A"/>
                <w:sz w:val="24"/>
                <w:szCs w:val="24"/>
              </w:rPr>
              <w:t>Legal</w:t>
            </w:r>
          </w:p>
        </w:tc>
        <w:tc>
          <w:tcPr>
            <w:tcW w:w="3508" w:type="dxa"/>
            <w:shd w:val="clear" w:color="auto" w:fill="DBDBDB" w:themeFill="accent3" w:themeFillTint="66"/>
          </w:tcPr>
          <w:p w14:paraId="55A087F5"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EU AI Act obligations; UK GDPR automated decision-making restrictions; Clubcard profiling may engage Annex III for essential services or financial scoring</w:t>
            </w:r>
          </w:p>
        </w:tc>
        <w:tc>
          <w:tcPr>
            <w:tcW w:w="4101" w:type="dxa"/>
            <w:shd w:val="clear" w:color="auto" w:fill="DBDBDB" w:themeFill="accent3" w:themeFillTint="66"/>
          </w:tcPr>
          <w:p w14:paraId="0A8CB566" w14:textId="418BE29E"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 xml:space="preserve">Conformity assessments and human oversight </w:t>
            </w:r>
            <w:r w:rsidR="005414EB" w:rsidRPr="006F00FD">
              <w:rPr>
                <w:rFonts w:ascii="Arial" w:hAnsi="Arial" w:cs="Arial"/>
                <w:color w:val="1A1A1A"/>
                <w:sz w:val="24"/>
                <w:szCs w:val="24"/>
              </w:rPr>
              <w:t xml:space="preserve">are </w:t>
            </w:r>
            <w:r w:rsidRPr="006F00FD">
              <w:rPr>
                <w:rFonts w:ascii="Arial" w:hAnsi="Arial" w:cs="Arial"/>
                <w:color w:val="1A1A1A"/>
                <w:sz w:val="24"/>
                <w:szCs w:val="24"/>
              </w:rPr>
              <w:t>required where Annex III thresholds are met; penalties up to 7% global turnover</w:t>
            </w:r>
          </w:p>
        </w:tc>
      </w:tr>
      <w:tr w:rsidR="000C7C08" w:rsidRPr="006F00FD" w14:paraId="1901FB13" w14:textId="77777777" w:rsidTr="004A3782">
        <w:trPr>
          <w:trHeight w:val="1672"/>
        </w:trPr>
        <w:tc>
          <w:tcPr>
            <w:tcW w:w="1998" w:type="dxa"/>
          </w:tcPr>
          <w:p w14:paraId="4F3C6E2F" w14:textId="77777777" w:rsidR="000C7C08" w:rsidRPr="006F00FD" w:rsidRDefault="009822E0" w:rsidP="003347C2">
            <w:pPr>
              <w:spacing w:line="360" w:lineRule="auto"/>
              <w:rPr>
                <w:rFonts w:ascii="Arial" w:hAnsi="Arial" w:cs="Arial"/>
                <w:sz w:val="24"/>
                <w:szCs w:val="24"/>
              </w:rPr>
            </w:pPr>
            <w:r w:rsidRPr="006F00FD">
              <w:rPr>
                <w:rFonts w:ascii="Arial" w:hAnsi="Arial" w:cs="Arial"/>
                <w:b/>
                <w:bCs/>
                <w:color w:val="1A1A1A"/>
                <w:sz w:val="24"/>
                <w:szCs w:val="24"/>
              </w:rPr>
              <w:t>Environmental</w:t>
            </w:r>
          </w:p>
        </w:tc>
        <w:tc>
          <w:tcPr>
            <w:tcW w:w="3508" w:type="dxa"/>
          </w:tcPr>
          <w:p w14:paraId="5C5BDBF6"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Energy and carbon costs of large-scale AI model training and inference infrastructure</w:t>
            </w:r>
          </w:p>
        </w:tc>
        <w:tc>
          <w:tcPr>
            <w:tcW w:w="4101" w:type="dxa"/>
          </w:tcPr>
          <w:p w14:paraId="4B1252DE"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Reputational contradiction if AI operational footprint conflicts with Tesco's net-zero targets; ESG investor scrutiny</w:t>
            </w:r>
          </w:p>
        </w:tc>
      </w:tr>
    </w:tbl>
    <w:p w14:paraId="3265C2C9" w14:textId="24A6C4A3" w:rsidR="00A04FF3" w:rsidRPr="006F00FD" w:rsidRDefault="00A04FF3" w:rsidP="003347C2">
      <w:pPr>
        <w:pStyle w:val="Caption"/>
        <w:keepNext/>
        <w:spacing w:after="0" w:line="360" w:lineRule="auto"/>
        <w:rPr>
          <w:rFonts w:ascii="Arial" w:hAnsi="Arial" w:cs="Arial"/>
          <w:i w:val="0"/>
          <w:iCs w:val="0"/>
        </w:rPr>
      </w:pPr>
      <w:r w:rsidRPr="006F00FD">
        <w:rPr>
          <w:rFonts w:ascii="Arial" w:hAnsi="Arial" w:cs="Arial"/>
          <w:i w:val="0"/>
          <w:iCs w:val="0"/>
        </w:rPr>
        <w:t xml:space="preserve">Table </w:t>
      </w:r>
      <w:r w:rsidRPr="006F00FD">
        <w:rPr>
          <w:rFonts w:ascii="Arial" w:hAnsi="Arial" w:cs="Arial"/>
          <w:i w:val="0"/>
          <w:iCs w:val="0"/>
        </w:rPr>
        <w:fldChar w:fldCharType="begin"/>
      </w:r>
      <w:r w:rsidRPr="006F00FD">
        <w:rPr>
          <w:rFonts w:ascii="Arial" w:hAnsi="Arial" w:cs="Arial"/>
          <w:i w:val="0"/>
          <w:iCs w:val="0"/>
        </w:rPr>
        <w:instrText xml:space="preserve"> SEQ Table \* ARABIC </w:instrText>
      </w:r>
      <w:r w:rsidRPr="006F00FD">
        <w:rPr>
          <w:rFonts w:ascii="Arial" w:hAnsi="Arial" w:cs="Arial"/>
          <w:i w:val="0"/>
          <w:iCs w:val="0"/>
        </w:rPr>
        <w:fldChar w:fldCharType="separate"/>
      </w:r>
      <w:r w:rsidR="008615BA" w:rsidRPr="006F00FD">
        <w:rPr>
          <w:rFonts w:ascii="Arial" w:hAnsi="Arial" w:cs="Arial"/>
          <w:i w:val="0"/>
          <w:iCs w:val="0"/>
          <w:noProof/>
        </w:rPr>
        <w:t>3</w:t>
      </w:r>
      <w:r w:rsidRPr="006F00FD">
        <w:rPr>
          <w:rFonts w:ascii="Arial" w:hAnsi="Arial" w:cs="Arial"/>
          <w:i w:val="0"/>
          <w:iCs w:val="0"/>
        </w:rPr>
        <w:fldChar w:fldCharType="end"/>
      </w:r>
      <w:r w:rsidRPr="006F00FD">
        <w:rPr>
          <w:rFonts w:ascii="Arial" w:hAnsi="Arial" w:cs="Arial"/>
          <w:i w:val="0"/>
          <w:iCs w:val="0"/>
        </w:rPr>
        <w:t>: PESTLE Risk Matrix – Likelihood, Impact and Priority Rating</w:t>
      </w:r>
    </w:p>
    <w:tbl>
      <w:tblPr>
        <w:tblStyle w:val="GridTableLight"/>
        <w:tblW w:w="9626" w:type="dxa"/>
        <w:tblLook w:val="04A0" w:firstRow="1" w:lastRow="0" w:firstColumn="1" w:lastColumn="0" w:noHBand="0" w:noVBand="1"/>
      </w:tblPr>
      <w:tblGrid>
        <w:gridCol w:w="2057"/>
        <w:gridCol w:w="1851"/>
        <w:gridCol w:w="1851"/>
        <w:gridCol w:w="1851"/>
        <w:gridCol w:w="2016"/>
      </w:tblGrid>
      <w:tr w:rsidR="000C7C08" w:rsidRPr="006F00FD" w14:paraId="6E38E7C4" w14:textId="77777777" w:rsidTr="002775F6">
        <w:trPr>
          <w:trHeight w:val="840"/>
        </w:trPr>
        <w:tc>
          <w:tcPr>
            <w:tcW w:w="2057" w:type="dxa"/>
            <w:shd w:val="clear" w:color="auto" w:fill="B4C6E7" w:themeFill="accent1" w:themeFillTint="66"/>
          </w:tcPr>
          <w:p w14:paraId="4160EB21" w14:textId="77777777" w:rsidR="000C7C08" w:rsidRPr="006F00FD" w:rsidRDefault="009822E0" w:rsidP="003347C2">
            <w:pPr>
              <w:spacing w:line="360" w:lineRule="auto"/>
              <w:jc w:val="center"/>
              <w:rPr>
                <w:rFonts w:ascii="Arial" w:hAnsi="Arial" w:cs="Arial"/>
                <w:sz w:val="24"/>
                <w:szCs w:val="24"/>
              </w:rPr>
            </w:pPr>
            <w:r w:rsidRPr="006F00FD">
              <w:rPr>
                <w:rFonts w:ascii="Arial" w:eastAsia="Arial" w:hAnsi="Arial" w:cs="Arial"/>
                <w:b/>
                <w:bCs/>
                <w:sz w:val="24"/>
                <w:szCs w:val="24"/>
              </w:rPr>
              <w:t>PESTLE Factor</w:t>
            </w:r>
          </w:p>
        </w:tc>
        <w:tc>
          <w:tcPr>
            <w:tcW w:w="1851" w:type="dxa"/>
            <w:shd w:val="clear" w:color="auto" w:fill="B4C6E7" w:themeFill="accent1" w:themeFillTint="66"/>
          </w:tcPr>
          <w:p w14:paraId="3E29376A" w14:textId="77777777" w:rsidR="000C7C08" w:rsidRPr="006F00FD" w:rsidRDefault="009822E0" w:rsidP="003347C2">
            <w:pPr>
              <w:spacing w:line="360" w:lineRule="auto"/>
              <w:jc w:val="center"/>
              <w:rPr>
                <w:rFonts w:ascii="Arial" w:hAnsi="Arial" w:cs="Arial"/>
                <w:sz w:val="24"/>
                <w:szCs w:val="24"/>
              </w:rPr>
            </w:pPr>
            <w:r w:rsidRPr="006F00FD">
              <w:rPr>
                <w:rFonts w:ascii="Arial" w:eastAsia="Arial" w:hAnsi="Arial" w:cs="Arial"/>
                <w:b/>
                <w:bCs/>
                <w:sz w:val="24"/>
                <w:szCs w:val="24"/>
              </w:rPr>
              <w:t>Likelihood (1-5)</w:t>
            </w:r>
          </w:p>
        </w:tc>
        <w:tc>
          <w:tcPr>
            <w:tcW w:w="1851" w:type="dxa"/>
            <w:shd w:val="clear" w:color="auto" w:fill="B4C6E7" w:themeFill="accent1" w:themeFillTint="66"/>
          </w:tcPr>
          <w:p w14:paraId="4E3FC2F6" w14:textId="77777777" w:rsidR="000C7C08" w:rsidRPr="006F00FD" w:rsidRDefault="009822E0" w:rsidP="003347C2">
            <w:pPr>
              <w:spacing w:line="360" w:lineRule="auto"/>
              <w:jc w:val="center"/>
              <w:rPr>
                <w:rFonts w:ascii="Arial" w:hAnsi="Arial" w:cs="Arial"/>
                <w:sz w:val="24"/>
                <w:szCs w:val="24"/>
              </w:rPr>
            </w:pPr>
            <w:r w:rsidRPr="006F00FD">
              <w:rPr>
                <w:rFonts w:ascii="Arial" w:eastAsia="Arial" w:hAnsi="Arial" w:cs="Arial"/>
                <w:b/>
                <w:bCs/>
                <w:sz w:val="24"/>
                <w:szCs w:val="24"/>
              </w:rPr>
              <w:t>Impact (1-5)</w:t>
            </w:r>
          </w:p>
        </w:tc>
        <w:tc>
          <w:tcPr>
            <w:tcW w:w="1851" w:type="dxa"/>
            <w:shd w:val="clear" w:color="auto" w:fill="B4C6E7" w:themeFill="accent1" w:themeFillTint="66"/>
          </w:tcPr>
          <w:p w14:paraId="7F272EF4" w14:textId="77777777" w:rsidR="000C7C08" w:rsidRPr="006F00FD" w:rsidRDefault="009822E0" w:rsidP="003347C2">
            <w:pPr>
              <w:spacing w:line="360" w:lineRule="auto"/>
              <w:jc w:val="center"/>
              <w:rPr>
                <w:rFonts w:ascii="Arial" w:hAnsi="Arial" w:cs="Arial"/>
                <w:sz w:val="24"/>
                <w:szCs w:val="24"/>
              </w:rPr>
            </w:pPr>
            <w:r w:rsidRPr="006F00FD">
              <w:rPr>
                <w:rFonts w:ascii="Arial" w:eastAsia="Arial" w:hAnsi="Arial" w:cs="Arial"/>
                <w:b/>
                <w:bCs/>
                <w:sz w:val="24"/>
                <w:szCs w:val="24"/>
              </w:rPr>
              <w:t>Risk Score</w:t>
            </w:r>
          </w:p>
        </w:tc>
        <w:tc>
          <w:tcPr>
            <w:tcW w:w="2016" w:type="dxa"/>
            <w:shd w:val="clear" w:color="auto" w:fill="B4C6E7" w:themeFill="accent1" w:themeFillTint="66"/>
          </w:tcPr>
          <w:p w14:paraId="1D4153CF" w14:textId="77777777" w:rsidR="000C7C08" w:rsidRPr="006F00FD" w:rsidRDefault="009822E0" w:rsidP="003347C2">
            <w:pPr>
              <w:spacing w:line="360" w:lineRule="auto"/>
              <w:jc w:val="center"/>
              <w:rPr>
                <w:rFonts w:ascii="Arial" w:hAnsi="Arial" w:cs="Arial"/>
                <w:sz w:val="24"/>
                <w:szCs w:val="24"/>
              </w:rPr>
            </w:pPr>
            <w:r w:rsidRPr="006F00FD">
              <w:rPr>
                <w:rFonts w:ascii="Arial" w:eastAsia="Arial" w:hAnsi="Arial" w:cs="Arial"/>
                <w:b/>
                <w:bCs/>
                <w:sz w:val="24"/>
                <w:szCs w:val="24"/>
              </w:rPr>
              <w:t>Priority Rating</w:t>
            </w:r>
          </w:p>
        </w:tc>
      </w:tr>
      <w:tr w:rsidR="000C7C08" w:rsidRPr="006F00FD" w14:paraId="30012F90" w14:textId="77777777" w:rsidTr="007E2F7B">
        <w:trPr>
          <w:trHeight w:val="410"/>
        </w:trPr>
        <w:tc>
          <w:tcPr>
            <w:tcW w:w="2057" w:type="dxa"/>
          </w:tcPr>
          <w:p w14:paraId="1820338E" w14:textId="77777777" w:rsidR="000C7C08" w:rsidRPr="006F00FD" w:rsidRDefault="009822E0" w:rsidP="003347C2">
            <w:pPr>
              <w:spacing w:line="360" w:lineRule="auto"/>
              <w:rPr>
                <w:rFonts w:ascii="Arial" w:hAnsi="Arial" w:cs="Arial"/>
                <w:sz w:val="24"/>
                <w:szCs w:val="24"/>
              </w:rPr>
            </w:pPr>
            <w:r w:rsidRPr="006F00FD">
              <w:rPr>
                <w:rFonts w:ascii="Arial" w:hAnsi="Arial" w:cs="Arial"/>
                <w:b/>
                <w:bCs/>
                <w:color w:val="1A1A1A"/>
                <w:sz w:val="24"/>
                <w:szCs w:val="24"/>
              </w:rPr>
              <w:t>Political</w:t>
            </w:r>
          </w:p>
        </w:tc>
        <w:tc>
          <w:tcPr>
            <w:tcW w:w="1851" w:type="dxa"/>
          </w:tcPr>
          <w:p w14:paraId="2666910D" w14:textId="77777777" w:rsidR="000C7C08" w:rsidRPr="006F00FD" w:rsidRDefault="009822E0" w:rsidP="003347C2">
            <w:pPr>
              <w:spacing w:line="360" w:lineRule="auto"/>
              <w:jc w:val="center"/>
              <w:rPr>
                <w:rFonts w:ascii="Arial" w:hAnsi="Arial" w:cs="Arial"/>
                <w:sz w:val="24"/>
                <w:szCs w:val="24"/>
              </w:rPr>
            </w:pPr>
            <w:r w:rsidRPr="006F00FD">
              <w:rPr>
                <w:rFonts w:ascii="Arial" w:hAnsi="Arial" w:cs="Arial"/>
                <w:color w:val="1A1A1A"/>
                <w:sz w:val="24"/>
                <w:szCs w:val="24"/>
              </w:rPr>
              <w:t>5</w:t>
            </w:r>
          </w:p>
        </w:tc>
        <w:tc>
          <w:tcPr>
            <w:tcW w:w="1851" w:type="dxa"/>
          </w:tcPr>
          <w:p w14:paraId="47D7579E" w14:textId="77777777" w:rsidR="000C7C08" w:rsidRPr="006F00FD" w:rsidRDefault="009822E0" w:rsidP="003347C2">
            <w:pPr>
              <w:spacing w:line="360" w:lineRule="auto"/>
              <w:jc w:val="center"/>
              <w:rPr>
                <w:rFonts w:ascii="Arial" w:hAnsi="Arial" w:cs="Arial"/>
                <w:sz w:val="24"/>
                <w:szCs w:val="24"/>
              </w:rPr>
            </w:pPr>
            <w:r w:rsidRPr="006F00FD">
              <w:rPr>
                <w:rFonts w:ascii="Arial" w:hAnsi="Arial" w:cs="Arial"/>
                <w:color w:val="1A1A1A"/>
                <w:sz w:val="24"/>
                <w:szCs w:val="24"/>
              </w:rPr>
              <w:t>4</w:t>
            </w:r>
          </w:p>
        </w:tc>
        <w:tc>
          <w:tcPr>
            <w:tcW w:w="1851" w:type="dxa"/>
          </w:tcPr>
          <w:p w14:paraId="2B493592" w14:textId="77777777" w:rsidR="000C7C08" w:rsidRPr="006F00FD" w:rsidRDefault="009822E0" w:rsidP="003347C2">
            <w:pPr>
              <w:spacing w:line="360" w:lineRule="auto"/>
              <w:jc w:val="center"/>
              <w:rPr>
                <w:rFonts w:ascii="Arial" w:hAnsi="Arial" w:cs="Arial"/>
                <w:sz w:val="24"/>
                <w:szCs w:val="24"/>
              </w:rPr>
            </w:pPr>
            <w:r w:rsidRPr="006F00FD">
              <w:rPr>
                <w:rFonts w:ascii="Arial" w:hAnsi="Arial" w:cs="Arial"/>
                <w:b/>
                <w:bCs/>
                <w:color w:val="C0392B"/>
                <w:sz w:val="24"/>
                <w:szCs w:val="24"/>
              </w:rPr>
              <w:t>20</w:t>
            </w:r>
          </w:p>
        </w:tc>
        <w:tc>
          <w:tcPr>
            <w:tcW w:w="2016" w:type="dxa"/>
          </w:tcPr>
          <w:p w14:paraId="3298EE78" w14:textId="77777777" w:rsidR="000C7C08" w:rsidRPr="006F00FD" w:rsidRDefault="009822E0" w:rsidP="003347C2">
            <w:pPr>
              <w:spacing w:line="360" w:lineRule="auto"/>
              <w:jc w:val="center"/>
              <w:rPr>
                <w:rFonts w:ascii="Arial" w:hAnsi="Arial" w:cs="Arial"/>
                <w:sz w:val="24"/>
                <w:szCs w:val="24"/>
              </w:rPr>
            </w:pPr>
            <w:r w:rsidRPr="006F00FD">
              <w:rPr>
                <w:rFonts w:ascii="Arial" w:hAnsi="Arial" w:cs="Arial"/>
                <w:b/>
                <w:bCs/>
                <w:color w:val="C0392B"/>
                <w:sz w:val="24"/>
                <w:szCs w:val="24"/>
              </w:rPr>
              <w:t>CRITICAL</w:t>
            </w:r>
          </w:p>
        </w:tc>
      </w:tr>
      <w:tr w:rsidR="000C7C08" w:rsidRPr="006F00FD" w14:paraId="33C15CA1" w14:textId="77777777" w:rsidTr="007E2F7B">
        <w:trPr>
          <w:trHeight w:val="419"/>
        </w:trPr>
        <w:tc>
          <w:tcPr>
            <w:tcW w:w="2057" w:type="dxa"/>
          </w:tcPr>
          <w:p w14:paraId="388A631B" w14:textId="77777777" w:rsidR="000C7C08" w:rsidRPr="006F00FD" w:rsidRDefault="009822E0" w:rsidP="003347C2">
            <w:pPr>
              <w:spacing w:line="360" w:lineRule="auto"/>
              <w:rPr>
                <w:rFonts w:ascii="Arial" w:hAnsi="Arial" w:cs="Arial"/>
                <w:sz w:val="24"/>
                <w:szCs w:val="24"/>
              </w:rPr>
            </w:pPr>
            <w:r w:rsidRPr="006F00FD">
              <w:rPr>
                <w:rFonts w:ascii="Arial" w:hAnsi="Arial" w:cs="Arial"/>
                <w:b/>
                <w:bCs/>
                <w:color w:val="1A1A1A"/>
                <w:sz w:val="24"/>
                <w:szCs w:val="24"/>
              </w:rPr>
              <w:t>Legal</w:t>
            </w:r>
          </w:p>
        </w:tc>
        <w:tc>
          <w:tcPr>
            <w:tcW w:w="1851" w:type="dxa"/>
          </w:tcPr>
          <w:p w14:paraId="3008DAB3" w14:textId="77777777" w:rsidR="000C7C08" w:rsidRPr="006F00FD" w:rsidRDefault="009822E0" w:rsidP="003347C2">
            <w:pPr>
              <w:spacing w:line="360" w:lineRule="auto"/>
              <w:jc w:val="center"/>
              <w:rPr>
                <w:rFonts w:ascii="Arial" w:hAnsi="Arial" w:cs="Arial"/>
                <w:sz w:val="24"/>
                <w:szCs w:val="24"/>
              </w:rPr>
            </w:pPr>
            <w:r w:rsidRPr="006F00FD">
              <w:rPr>
                <w:rFonts w:ascii="Arial" w:hAnsi="Arial" w:cs="Arial"/>
                <w:color w:val="1A1A1A"/>
                <w:sz w:val="24"/>
                <w:szCs w:val="24"/>
              </w:rPr>
              <w:t>5</w:t>
            </w:r>
          </w:p>
        </w:tc>
        <w:tc>
          <w:tcPr>
            <w:tcW w:w="1851" w:type="dxa"/>
          </w:tcPr>
          <w:p w14:paraId="5EBAE156" w14:textId="77777777" w:rsidR="000C7C08" w:rsidRPr="006F00FD" w:rsidRDefault="009822E0" w:rsidP="003347C2">
            <w:pPr>
              <w:spacing w:line="360" w:lineRule="auto"/>
              <w:jc w:val="center"/>
              <w:rPr>
                <w:rFonts w:ascii="Arial" w:hAnsi="Arial" w:cs="Arial"/>
                <w:sz w:val="24"/>
                <w:szCs w:val="24"/>
              </w:rPr>
            </w:pPr>
            <w:r w:rsidRPr="006F00FD">
              <w:rPr>
                <w:rFonts w:ascii="Arial" w:hAnsi="Arial" w:cs="Arial"/>
                <w:color w:val="1A1A1A"/>
                <w:sz w:val="24"/>
                <w:szCs w:val="24"/>
              </w:rPr>
              <w:t>5</w:t>
            </w:r>
          </w:p>
        </w:tc>
        <w:tc>
          <w:tcPr>
            <w:tcW w:w="1851" w:type="dxa"/>
          </w:tcPr>
          <w:p w14:paraId="4263980D" w14:textId="77777777" w:rsidR="000C7C08" w:rsidRPr="006F00FD" w:rsidRDefault="009822E0" w:rsidP="003347C2">
            <w:pPr>
              <w:spacing w:line="360" w:lineRule="auto"/>
              <w:jc w:val="center"/>
              <w:rPr>
                <w:rFonts w:ascii="Arial" w:hAnsi="Arial" w:cs="Arial"/>
                <w:sz w:val="24"/>
                <w:szCs w:val="24"/>
              </w:rPr>
            </w:pPr>
            <w:r w:rsidRPr="006F00FD">
              <w:rPr>
                <w:rFonts w:ascii="Arial" w:hAnsi="Arial" w:cs="Arial"/>
                <w:b/>
                <w:bCs/>
                <w:color w:val="C0392B"/>
                <w:sz w:val="24"/>
                <w:szCs w:val="24"/>
              </w:rPr>
              <w:t>25</w:t>
            </w:r>
          </w:p>
        </w:tc>
        <w:tc>
          <w:tcPr>
            <w:tcW w:w="2016" w:type="dxa"/>
          </w:tcPr>
          <w:p w14:paraId="01CD1593" w14:textId="77777777" w:rsidR="000C7C08" w:rsidRPr="006F00FD" w:rsidRDefault="009822E0" w:rsidP="003347C2">
            <w:pPr>
              <w:spacing w:line="360" w:lineRule="auto"/>
              <w:jc w:val="center"/>
              <w:rPr>
                <w:rFonts w:ascii="Arial" w:hAnsi="Arial" w:cs="Arial"/>
                <w:sz w:val="24"/>
                <w:szCs w:val="24"/>
              </w:rPr>
            </w:pPr>
            <w:r w:rsidRPr="006F00FD">
              <w:rPr>
                <w:rFonts w:ascii="Arial" w:hAnsi="Arial" w:cs="Arial"/>
                <w:b/>
                <w:bCs/>
                <w:color w:val="C0392B"/>
                <w:sz w:val="24"/>
                <w:szCs w:val="24"/>
              </w:rPr>
              <w:t>CRITICAL</w:t>
            </w:r>
          </w:p>
        </w:tc>
      </w:tr>
      <w:tr w:rsidR="000C7C08" w:rsidRPr="006F00FD" w14:paraId="0C3902F0" w14:textId="77777777" w:rsidTr="007E2F7B">
        <w:trPr>
          <w:trHeight w:val="410"/>
        </w:trPr>
        <w:tc>
          <w:tcPr>
            <w:tcW w:w="2057" w:type="dxa"/>
          </w:tcPr>
          <w:p w14:paraId="1C0B571F" w14:textId="77777777" w:rsidR="000C7C08" w:rsidRPr="006F00FD" w:rsidRDefault="009822E0" w:rsidP="003347C2">
            <w:pPr>
              <w:spacing w:line="360" w:lineRule="auto"/>
              <w:rPr>
                <w:rFonts w:ascii="Arial" w:hAnsi="Arial" w:cs="Arial"/>
                <w:sz w:val="24"/>
                <w:szCs w:val="24"/>
              </w:rPr>
            </w:pPr>
            <w:r w:rsidRPr="006F00FD">
              <w:rPr>
                <w:rFonts w:ascii="Arial" w:hAnsi="Arial" w:cs="Arial"/>
                <w:b/>
                <w:bCs/>
                <w:color w:val="1A1A1A"/>
                <w:sz w:val="24"/>
                <w:szCs w:val="24"/>
              </w:rPr>
              <w:t>Technological</w:t>
            </w:r>
          </w:p>
        </w:tc>
        <w:tc>
          <w:tcPr>
            <w:tcW w:w="1851" w:type="dxa"/>
          </w:tcPr>
          <w:p w14:paraId="7A1A0771" w14:textId="77777777" w:rsidR="000C7C08" w:rsidRPr="006F00FD" w:rsidRDefault="009822E0" w:rsidP="003347C2">
            <w:pPr>
              <w:spacing w:line="360" w:lineRule="auto"/>
              <w:jc w:val="center"/>
              <w:rPr>
                <w:rFonts w:ascii="Arial" w:hAnsi="Arial" w:cs="Arial"/>
                <w:sz w:val="24"/>
                <w:szCs w:val="24"/>
              </w:rPr>
            </w:pPr>
            <w:r w:rsidRPr="006F00FD">
              <w:rPr>
                <w:rFonts w:ascii="Arial" w:hAnsi="Arial" w:cs="Arial"/>
                <w:color w:val="1A1A1A"/>
                <w:sz w:val="24"/>
                <w:szCs w:val="24"/>
              </w:rPr>
              <w:t>4</w:t>
            </w:r>
          </w:p>
        </w:tc>
        <w:tc>
          <w:tcPr>
            <w:tcW w:w="1851" w:type="dxa"/>
          </w:tcPr>
          <w:p w14:paraId="539C6952" w14:textId="77777777" w:rsidR="000C7C08" w:rsidRPr="006F00FD" w:rsidRDefault="009822E0" w:rsidP="003347C2">
            <w:pPr>
              <w:spacing w:line="360" w:lineRule="auto"/>
              <w:jc w:val="center"/>
              <w:rPr>
                <w:rFonts w:ascii="Arial" w:hAnsi="Arial" w:cs="Arial"/>
                <w:sz w:val="24"/>
                <w:szCs w:val="24"/>
              </w:rPr>
            </w:pPr>
            <w:r w:rsidRPr="006F00FD">
              <w:rPr>
                <w:rFonts w:ascii="Arial" w:hAnsi="Arial" w:cs="Arial"/>
                <w:color w:val="1A1A1A"/>
                <w:sz w:val="24"/>
                <w:szCs w:val="24"/>
              </w:rPr>
              <w:t>4</w:t>
            </w:r>
          </w:p>
        </w:tc>
        <w:tc>
          <w:tcPr>
            <w:tcW w:w="1851" w:type="dxa"/>
          </w:tcPr>
          <w:p w14:paraId="32813E97" w14:textId="77777777" w:rsidR="000C7C08" w:rsidRPr="006F00FD" w:rsidRDefault="009822E0" w:rsidP="003347C2">
            <w:pPr>
              <w:spacing w:line="360" w:lineRule="auto"/>
              <w:jc w:val="center"/>
              <w:rPr>
                <w:rFonts w:ascii="Arial" w:hAnsi="Arial" w:cs="Arial"/>
                <w:sz w:val="24"/>
                <w:szCs w:val="24"/>
              </w:rPr>
            </w:pPr>
            <w:r w:rsidRPr="006F00FD">
              <w:rPr>
                <w:rFonts w:ascii="Arial" w:hAnsi="Arial" w:cs="Arial"/>
                <w:b/>
                <w:bCs/>
                <w:color w:val="7D6608"/>
                <w:sz w:val="24"/>
                <w:szCs w:val="24"/>
              </w:rPr>
              <w:t>16</w:t>
            </w:r>
          </w:p>
        </w:tc>
        <w:tc>
          <w:tcPr>
            <w:tcW w:w="2016" w:type="dxa"/>
          </w:tcPr>
          <w:p w14:paraId="234AEB7E" w14:textId="77777777" w:rsidR="000C7C08" w:rsidRPr="006F00FD" w:rsidRDefault="009822E0" w:rsidP="003347C2">
            <w:pPr>
              <w:spacing w:line="360" w:lineRule="auto"/>
              <w:jc w:val="center"/>
              <w:rPr>
                <w:rFonts w:ascii="Arial" w:hAnsi="Arial" w:cs="Arial"/>
                <w:sz w:val="24"/>
                <w:szCs w:val="24"/>
              </w:rPr>
            </w:pPr>
            <w:r w:rsidRPr="006F00FD">
              <w:rPr>
                <w:rFonts w:ascii="Arial" w:hAnsi="Arial" w:cs="Arial"/>
                <w:b/>
                <w:bCs/>
                <w:color w:val="7D6608"/>
                <w:sz w:val="24"/>
                <w:szCs w:val="24"/>
              </w:rPr>
              <w:t>HIGH</w:t>
            </w:r>
          </w:p>
        </w:tc>
      </w:tr>
      <w:tr w:rsidR="000C7C08" w:rsidRPr="006F00FD" w14:paraId="036AFD35" w14:textId="77777777" w:rsidTr="007E2F7B">
        <w:trPr>
          <w:trHeight w:val="419"/>
        </w:trPr>
        <w:tc>
          <w:tcPr>
            <w:tcW w:w="2057" w:type="dxa"/>
          </w:tcPr>
          <w:p w14:paraId="02327394" w14:textId="77777777" w:rsidR="000C7C08" w:rsidRPr="006F00FD" w:rsidRDefault="009822E0" w:rsidP="003347C2">
            <w:pPr>
              <w:spacing w:line="360" w:lineRule="auto"/>
              <w:rPr>
                <w:rFonts w:ascii="Arial" w:hAnsi="Arial" w:cs="Arial"/>
                <w:sz w:val="24"/>
                <w:szCs w:val="24"/>
              </w:rPr>
            </w:pPr>
            <w:r w:rsidRPr="006F00FD">
              <w:rPr>
                <w:rFonts w:ascii="Arial" w:hAnsi="Arial" w:cs="Arial"/>
                <w:b/>
                <w:bCs/>
                <w:color w:val="1A1A1A"/>
                <w:sz w:val="24"/>
                <w:szCs w:val="24"/>
              </w:rPr>
              <w:t>Social</w:t>
            </w:r>
          </w:p>
        </w:tc>
        <w:tc>
          <w:tcPr>
            <w:tcW w:w="1851" w:type="dxa"/>
          </w:tcPr>
          <w:p w14:paraId="6488A5B1" w14:textId="77777777" w:rsidR="000C7C08" w:rsidRPr="006F00FD" w:rsidRDefault="009822E0" w:rsidP="003347C2">
            <w:pPr>
              <w:spacing w:line="360" w:lineRule="auto"/>
              <w:jc w:val="center"/>
              <w:rPr>
                <w:rFonts w:ascii="Arial" w:hAnsi="Arial" w:cs="Arial"/>
                <w:sz w:val="24"/>
                <w:szCs w:val="24"/>
              </w:rPr>
            </w:pPr>
            <w:r w:rsidRPr="006F00FD">
              <w:rPr>
                <w:rFonts w:ascii="Arial" w:hAnsi="Arial" w:cs="Arial"/>
                <w:color w:val="1A1A1A"/>
                <w:sz w:val="24"/>
                <w:szCs w:val="24"/>
              </w:rPr>
              <w:t>4</w:t>
            </w:r>
          </w:p>
        </w:tc>
        <w:tc>
          <w:tcPr>
            <w:tcW w:w="1851" w:type="dxa"/>
          </w:tcPr>
          <w:p w14:paraId="69496898" w14:textId="77777777" w:rsidR="000C7C08" w:rsidRPr="006F00FD" w:rsidRDefault="009822E0" w:rsidP="003347C2">
            <w:pPr>
              <w:spacing w:line="360" w:lineRule="auto"/>
              <w:jc w:val="center"/>
              <w:rPr>
                <w:rFonts w:ascii="Arial" w:hAnsi="Arial" w:cs="Arial"/>
                <w:sz w:val="24"/>
                <w:szCs w:val="24"/>
              </w:rPr>
            </w:pPr>
            <w:r w:rsidRPr="006F00FD">
              <w:rPr>
                <w:rFonts w:ascii="Arial" w:hAnsi="Arial" w:cs="Arial"/>
                <w:color w:val="1A1A1A"/>
                <w:sz w:val="24"/>
                <w:szCs w:val="24"/>
              </w:rPr>
              <w:t>3</w:t>
            </w:r>
          </w:p>
        </w:tc>
        <w:tc>
          <w:tcPr>
            <w:tcW w:w="1851" w:type="dxa"/>
          </w:tcPr>
          <w:p w14:paraId="403E7246" w14:textId="77777777" w:rsidR="000C7C08" w:rsidRPr="006F00FD" w:rsidRDefault="009822E0" w:rsidP="003347C2">
            <w:pPr>
              <w:spacing w:line="360" w:lineRule="auto"/>
              <w:jc w:val="center"/>
              <w:rPr>
                <w:rFonts w:ascii="Arial" w:hAnsi="Arial" w:cs="Arial"/>
                <w:sz w:val="24"/>
                <w:szCs w:val="24"/>
              </w:rPr>
            </w:pPr>
            <w:r w:rsidRPr="006F00FD">
              <w:rPr>
                <w:rFonts w:ascii="Arial" w:hAnsi="Arial" w:cs="Arial"/>
                <w:b/>
                <w:bCs/>
                <w:color w:val="7D6608"/>
                <w:sz w:val="24"/>
                <w:szCs w:val="24"/>
              </w:rPr>
              <w:t>12</w:t>
            </w:r>
          </w:p>
        </w:tc>
        <w:tc>
          <w:tcPr>
            <w:tcW w:w="2016" w:type="dxa"/>
          </w:tcPr>
          <w:p w14:paraId="36B2C637" w14:textId="77777777" w:rsidR="000C7C08" w:rsidRPr="006F00FD" w:rsidRDefault="009822E0" w:rsidP="003347C2">
            <w:pPr>
              <w:spacing w:line="360" w:lineRule="auto"/>
              <w:jc w:val="center"/>
              <w:rPr>
                <w:rFonts w:ascii="Arial" w:hAnsi="Arial" w:cs="Arial"/>
                <w:sz w:val="24"/>
                <w:szCs w:val="24"/>
              </w:rPr>
            </w:pPr>
            <w:r w:rsidRPr="006F00FD">
              <w:rPr>
                <w:rFonts w:ascii="Arial" w:hAnsi="Arial" w:cs="Arial"/>
                <w:b/>
                <w:bCs/>
                <w:color w:val="7D6608"/>
                <w:sz w:val="24"/>
                <w:szCs w:val="24"/>
              </w:rPr>
              <w:t>HIGH</w:t>
            </w:r>
          </w:p>
        </w:tc>
      </w:tr>
      <w:tr w:rsidR="000C7C08" w:rsidRPr="006F00FD" w14:paraId="780F51E1" w14:textId="77777777" w:rsidTr="007E2F7B">
        <w:trPr>
          <w:trHeight w:val="419"/>
        </w:trPr>
        <w:tc>
          <w:tcPr>
            <w:tcW w:w="2057" w:type="dxa"/>
          </w:tcPr>
          <w:p w14:paraId="3A8089D6" w14:textId="77777777" w:rsidR="000C7C08" w:rsidRPr="006F00FD" w:rsidRDefault="009822E0" w:rsidP="003347C2">
            <w:pPr>
              <w:spacing w:line="360" w:lineRule="auto"/>
              <w:rPr>
                <w:rFonts w:ascii="Arial" w:hAnsi="Arial" w:cs="Arial"/>
                <w:sz w:val="24"/>
                <w:szCs w:val="24"/>
              </w:rPr>
            </w:pPr>
            <w:r w:rsidRPr="006F00FD">
              <w:rPr>
                <w:rFonts w:ascii="Arial" w:hAnsi="Arial" w:cs="Arial"/>
                <w:b/>
                <w:bCs/>
                <w:color w:val="1A1A1A"/>
                <w:sz w:val="24"/>
                <w:szCs w:val="24"/>
              </w:rPr>
              <w:t>Economic</w:t>
            </w:r>
          </w:p>
        </w:tc>
        <w:tc>
          <w:tcPr>
            <w:tcW w:w="1851" w:type="dxa"/>
          </w:tcPr>
          <w:p w14:paraId="70349754" w14:textId="77777777" w:rsidR="000C7C08" w:rsidRPr="006F00FD" w:rsidRDefault="009822E0" w:rsidP="003347C2">
            <w:pPr>
              <w:spacing w:line="360" w:lineRule="auto"/>
              <w:jc w:val="center"/>
              <w:rPr>
                <w:rFonts w:ascii="Arial" w:hAnsi="Arial" w:cs="Arial"/>
                <w:sz w:val="24"/>
                <w:szCs w:val="24"/>
              </w:rPr>
            </w:pPr>
            <w:r w:rsidRPr="006F00FD">
              <w:rPr>
                <w:rFonts w:ascii="Arial" w:hAnsi="Arial" w:cs="Arial"/>
                <w:color w:val="1A1A1A"/>
                <w:sz w:val="24"/>
                <w:szCs w:val="24"/>
              </w:rPr>
              <w:t>3</w:t>
            </w:r>
          </w:p>
        </w:tc>
        <w:tc>
          <w:tcPr>
            <w:tcW w:w="1851" w:type="dxa"/>
          </w:tcPr>
          <w:p w14:paraId="2C9E6163" w14:textId="77777777" w:rsidR="000C7C08" w:rsidRPr="006F00FD" w:rsidRDefault="009822E0" w:rsidP="003347C2">
            <w:pPr>
              <w:spacing w:line="360" w:lineRule="auto"/>
              <w:jc w:val="center"/>
              <w:rPr>
                <w:rFonts w:ascii="Arial" w:hAnsi="Arial" w:cs="Arial"/>
                <w:sz w:val="24"/>
                <w:szCs w:val="24"/>
              </w:rPr>
            </w:pPr>
            <w:r w:rsidRPr="006F00FD">
              <w:rPr>
                <w:rFonts w:ascii="Arial" w:hAnsi="Arial" w:cs="Arial"/>
                <w:color w:val="1A1A1A"/>
                <w:sz w:val="24"/>
                <w:szCs w:val="24"/>
              </w:rPr>
              <w:t>3</w:t>
            </w:r>
          </w:p>
        </w:tc>
        <w:tc>
          <w:tcPr>
            <w:tcW w:w="1851" w:type="dxa"/>
          </w:tcPr>
          <w:p w14:paraId="530ACDC8" w14:textId="77777777" w:rsidR="000C7C08" w:rsidRPr="006F00FD" w:rsidRDefault="009822E0" w:rsidP="003347C2">
            <w:pPr>
              <w:spacing w:line="360" w:lineRule="auto"/>
              <w:jc w:val="center"/>
              <w:rPr>
                <w:rFonts w:ascii="Arial" w:hAnsi="Arial" w:cs="Arial"/>
                <w:sz w:val="24"/>
                <w:szCs w:val="24"/>
              </w:rPr>
            </w:pPr>
            <w:r w:rsidRPr="006F00FD">
              <w:rPr>
                <w:rFonts w:ascii="Arial" w:hAnsi="Arial" w:cs="Arial"/>
                <w:b/>
                <w:bCs/>
                <w:color w:val="1E8449"/>
                <w:sz w:val="24"/>
                <w:szCs w:val="24"/>
              </w:rPr>
              <w:t>9</w:t>
            </w:r>
          </w:p>
        </w:tc>
        <w:tc>
          <w:tcPr>
            <w:tcW w:w="2016" w:type="dxa"/>
          </w:tcPr>
          <w:p w14:paraId="6085620C" w14:textId="77777777" w:rsidR="000C7C08" w:rsidRPr="006F00FD" w:rsidRDefault="009822E0" w:rsidP="003347C2">
            <w:pPr>
              <w:spacing w:line="360" w:lineRule="auto"/>
              <w:jc w:val="center"/>
              <w:rPr>
                <w:rFonts w:ascii="Arial" w:hAnsi="Arial" w:cs="Arial"/>
                <w:sz w:val="24"/>
                <w:szCs w:val="24"/>
              </w:rPr>
            </w:pPr>
            <w:r w:rsidRPr="006F00FD">
              <w:rPr>
                <w:rFonts w:ascii="Arial" w:hAnsi="Arial" w:cs="Arial"/>
                <w:b/>
                <w:bCs/>
                <w:color w:val="1E8449"/>
                <w:sz w:val="24"/>
                <w:szCs w:val="24"/>
              </w:rPr>
              <w:t>MODERATE</w:t>
            </w:r>
          </w:p>
        </w:tc>
      </w:tr>
      <w:tr w:rsidR="000C7C08" w:rsidRPr="006F00FD" w14:paraId="4FADA05C" w14:textId="77777777" w:rsidTr="007E2F7B">
        <w:trPr>
          <w:trHeight w:val="410"/>
        </w:trPr>
        <w:tc>
          <w:tcPr>
            <w:tcW w:w="2057" w:type="dxa"/>
          </w:tcPr>
          <w:p w14:paraId="7EC517AD" w14:textId="77777777" w:rsidR="000C7C08" w:rsidRPr="006F00FD" w:rsidRDefault="009822E0" w:rsidP="003347C2">
            <w:pPr>
              <w:spacing w:line="360" w:lineRule="auto"/>
              <w:rPr>
                <w:rFonts w:ascii="Arial" w:hAnsi="Arial" w:cs="Arial"/>
                <w:sz w:val="24"/>
                <w:szCs w:val="24"/>
              </w:rPr>
            </w:pPr>
            <w:r w:rsidRPr="006F00FD">
              <w:rPr>
                <w:rFonts w:ascii="Arial" w:hAnsi="Arial" w:cs="Arial"/>
                <w:b/>
                <w:bCs/>
                <w:color w:val="1A1A1A"/>
                <w:sz w:val="24"/>
                <w:szCs w:val="24"/>
              </w:rPr>
              <w:t>Environmental</w:t>
            </w:r>
          </w:p>
        </w:tc>
        <w:tc>
          <w:tcPr>
            <w:tcW w:w="1851" w:type="dxa"/>
          </w:tcPr>
          <w:p w14:paraId="6A2A3A43" w14:textId="77777777" w:rsidR="000C7C08" w:rsidRPr="006F00FD" w:rsidRDefault="009822E0" w:rsidP="003347C2">
            <w:pPr>
              <w:spacing w:line="360" w:lineRule="auto"/>
              <w:jc w:val="center"/>
              <w:rPr>
                <w:rFonts w:ascii="Arial" w:hAnsi="Arial" w:cs="Arial"/>
                <w:sz w:val="24"/>
                <w:szCs w:val="24"/>
              </w:rPr>
            </w:pPr>
            <w:r w:rsidRPr="006F00FD">
              <w:rPr>
                <w:rFonts w:ascii="Arial" w:hAnsi="Arial" w:cs="Arial"/>
                <w:color w:val="1A1A1A"/>
                <w:sz w:val="24"/>
                <w:szCs w:val="24"/>
              </w:rPr>
              <w:t>3</w:t>
            </w:r>
          </w:p>
        </w:tc>
        <w:tc>
          <w:tcPr>
            <w:tcW w:w="1851" w:type="dxa"/>
          </w:tcPr>
          <w:p w14:paraId="710A0443" w14:textId="77777777" w:rsidR="000C7C08" w:rsidRPr="006F00FD" w:rsidRDefault="009822E0" w:rsidP="003347C2">
            <w:pPr>
              <w:spacing w:line="360" w:lineRule="auto"/>
              <w:jc w:val="center"/>
              <w:rPr>
                <w:rFonts w:ascii="Arial" w:hAnsi="Arial" w:cs="Arial"/>
                <w:sz w:val="24"/>
                <w:szCs w:val="24"/>
              </w:rPr>
            </w:pPr>
            <w:r w:rsidRPr="006F00FD">
              <w:rPr>
                <w:rFonts w:ascii="Arial" w:hAnsi="Arial" w:cs="Arial"/>
                <w:color w:val="1A1A1A"/>
                <w:sz w:val="24"/>
                <w:szCs w:val="24"/>
              </w:rPr>
              <w:t>2</w:t>
            </w:r>
          </w:p>
        </w:tc>
        <w:tc>
          <w:tcPr>
            <w:tcW w:w="1851" w:type="dxa"/>
          </w:tcPr>
          <w:p w14:paraId="28527C12" w14:textId="77777777" w:rsidR="000C7C08" w:rsidRPr="006F00FD" w:rsidRDefault="009822E0" w:rsidP="003347C2">
            <w:pPr>
              <w:spacing w:line="360" w:lineRule="auto"/>
              <w:jc w:val="center"/>
              <w:rPr>
                <w:rFonts w:ascii="Arial" w:hAnsi="Arial" w:cs="Arial"/>
                <w:sz w:val="24"/>
                <w:szCs w:val="24"/>
              </w:rPr>
            </w:pPr>
            <w:r w:rsidRPr="006F00FD">
              <w:rPr>
                <w:rFonts w:ascii="Arial" w:hAnsi="Arial" w:cs="Arial"/>
                <w:b/>
                <w:bCs/>
                <w:color w:val="1E8449"/>
                <w:sz w:val="24"/>
                <w:szCs w:val="24"/>
              </w:rPr>
              <w:t>6</w:t>
            </w:r>
          </w:p>
        </w:tc>
        <w:tc>
          <w:tcPr>
            <w:tcW w:w="2016" w:type="dxa"/>
          </w:tcPr>
          <w:p w14:paraId="7F6E9095" w14:textId="77777777" w:rsidR="000C7C08" w:rsidRPr="006F00FD" w:rsidRDefault="009822E0" w:rsidP="003347C2">
            <w:pPr>
              <w:spacing w:line="360" w:lineRule="auto"/>
              <w:jc w:val="center"/>
              <w:rPr>
                <w:rFonts w:ascii="Arial" w:hAnsi="Arial" w:cs="Arial"/>
                <w:sz w:val="24"/>
                <w:szCs w:val="24"/>
              </w:rPr>
            </w:pPr>
            <w:r w:rsidRPr="006F00FD">
              <w:rPr>
                <w:rFonts w:ascii="Arial" w:hAnsi="Arial" w:cs="Arial"/>
                <w:b/>
                <w:bCs/>
                <w:color w:val="1E8449"/>
                <w:sz w:val="24"/>
                <w:szCs w:val="24"/>
              </w:rPr>
              <w:t>MODERATE</w:t>
            </w:r>
          </w:p>
        </w:tc>
      </w:tr>
    </w:tbl>
    <w:p w14:paraId="6500B00A" w14:textId="6212BB98" w:rsidR="00633D9E" w:rsidRPr="006F00FD" w:rsidRDefault="00633D9E" w:rsidP="003347C2">
      <w:pPr>
        <w:spacing w:line="360" w:lineRule="auto"/>
        <w:jc w:val="both"/>
        <w:rPr>
          <w:rFonts w:ascii="Arial" w:hAnsi="Arial" w:cs="Arial"/>
          <w:sz w:val="24"/>
          <w:szCs w:val="24"/>
        </w:rPr>
      </w:pPr>
      <w:r w:rsidRPr="006F00FD">
        <w:rPr>
          <w:rFonts w:ascii="Arial" w:hAnsi="Arial" w:cs="Arial"/>
          <w:sz w:val="24"/>
          <w:szCs w:val="24"/>
        </w:rPr>
        <w:t xml:space="preserve">The risk matrix has </w:t>
      </w:r>
      <w:r w:rsidR="005414EB" w:rsidRPr="006F00FD">
        <w:rPr>
          <w:rFonts w:ascii="Arial" w:hAnsi="Arial" w:cs="Arial"/>
          <w:sz w:val="24"/>
          <w:szCs w:val="24"/>
        </w:rPr>
        <w:t xml:space="preserve">identified Legal and Political factors as high-priority areas, given the near-certainty of regulatory changes and the high financial impact of </w:t>
      </w:r>
      <w:r w:rsidRPr="006F00FD">
        <w:rPr>
          <w:rFonts w:ascii="Arial" w:hAnsi="Arial" w:cs="Arial"/>
          <w:sz w:val="24"/>
          <w:szCs w:val="24"/>
        </w:rPr>
        <w:t xml:space="preserve">non-compliance. Legal is the most risky at 25, due to the </w:t>
      </w:r>
      <w:r w:rsidR="005414EB" w:rsidRPr="006F00FD">
        <w:rPr>
          <w:rFonts w:ascii="Arial" w:hAnsi="Arial" w:cs="Arial"/>
          <w:sz w:val="24"/>
          <w:szCs w:val="24"/>
        </w:rPr>
        <w:t>EU AI Act's penalty framework and the uncertainty around the Annex III classification of Clubcard applications</w:t>
      </w:r>
      <w:r w:rsidRPr="006F00FD">
        <w:rPr>
          <w:rFonts w:ascii="Arial" w:hAnsi="Arial" w:cs="Arial"/>
          <w:sz w:val="24"/>
          <w:szCs w:val="24"/>
        </w:rPr>
        <w:t xml:space="preserve">. In </w:t>
      </w:r>
      <w:r w:rsidR="005414EB" w:rsidRPr="006F00FD">
        <w:rPr>
          <w:rFonts w:ascii="Arial" w:hAnsi="Arial" w:cs="Arial"/>
          <w:sz w:val="24"/>
          <w:szCs w:val="24"/>
        </w:rPr>
        <w:t>20th place is political risk, indicating</w:t>
      </w:r>
      <w:r w:rsidRPr="006F00FD">
        <w:rPr>
          <w:rFonts w:ascii="Arial" w:hAnsi="Arial" w:cs="Arial"/>
          <w:sz w:val="24"/>
          <w:szCs w:val="24"/>
        </w:rPr>
        <w:t xml:space="preserve"> </w:t>
      </w:r>
      <w:r w:rsidR="005414EB" w:rsidRPr="006F00FD">
        <w:rPr>
          <w:rFonts w:ascii="Arial" w:hAnsi="Arial" w:cs="Arial"/>
          <w:sz w:val="24"/>
          <w:szCs w:val="24"/>
        </w:rPr>
        <w:t xml:space="preserve">Tesco's structural exposure </w:t>
      </w:r>
      <w:r w:rsidRPr="006F00FD">
        <w:rPr>
          <w:rFonts w:ascii="Arial" w:hAnsi="Arial" w:cs="Arial"/>
          <w:sz w:val="24"/>
          <w:szCs w:val="24"/>
        </w:rPr>
        <w:t xml:space="preserve">to divergent UK-EU regulatory paths. The technological risk is rated at 16 based on its high </w:t>
      </w:r>
      <w:r w:rsidR="005414EB" w:rsidRPr="006F00FD">
        <w:rPr>
          <w:rFonts w:ascii="Arial" w:hAnsi="Arial" w:cs="Arial"/>
          <w:sz w:val="24"/>
          <w:szCs w:val="24"/>
        </w:rPr>
        <w:t xml:space="preserve">deployment velocity, and the Social risk is </w:t>
      </w:r>
      <w:r w:rsidRPr="006F00FD">
        <w:rPr>
          <w:rFonts w:ascii="Arial" w:hAnsi="Arial" w:cs="Arial"/>
          <w:sz w:val="24"/>
          <w:szCs w:val="24"/>
        </w:rPr>
        <w:t xml:space="preserve">rated at 12 based on high but slower </w:t>
      </w:r>
      <w:proofErr w:type="spellStart"/>
      <w:r w:rsidRPr="006F00FD">
        <w:rPr>
          <w:rFonts w:ascii="Arial" w:hAnsi="Arial" w:cs="Arial"/>
          <w:sz w:val="24"/>
          <w:szCs w:val="24"/>
        </w:rPr>
        <w:t>materialising</w:t>
      </w:r>
      <w:proofErr w:type="spellEnd"/>
      <w:r w:rsidRPr="006F00FD">
        <w:rPr>
          <w:rFonts w:ascii="Arial" w:hAnsi="Arial" w:cs="Arial"/>
          <w:sz w:val="24"/>
          <w:szCs w:val="24"/>
        </w:rPr>
        <w:t xml:space="preserve"> brand loyalty outcomes. </w:t>
      </w:r>
      <w:r w:rsidRPr="006F00FD">
        <w:rPr>
          <w:rFonts w:ascii="Arial" w:hAnsi="Arial" w:cs="Arial"/>
          <w:sz w:val="24"/>
          <w:szCs w:val="24"/>
        </w:rPr>
        <w:lastRenderedPageBreak/>
        <w:t xml:space="preserve">Economic and Environmental risks are moderate and </w:t>
      </w:r>
      <w:r w:rsidR="005414EB" w:rsidRPr="006F00FD">
        <w:rPr>
          <w:rFonts w:ascii="Arial" w:hAnsi="Arial" w:cs="Arial"/>
          <w:sz w:val="24"/>
          <w:szCs w:val="24"/>
        </w:rPr>
        <w:t>warrant monitoring at present due to their trends</w:t>
      </w:r>
      <w:r w:rsidRPr="006F00FD">
        <w:rPr>
          <w:rFonts w:ascii="Arial" w:hAnsi="Arial" w:cs="Arial"/>
          <w:sz w:val="24"/>
          <w:szCs w:val="24"/>
        </w:rPr>
        <w:t>.</w:t>
      </w:r>
    </w:p>
    <w:p w14:paraId="484AA936" w14:textId="77777777" w:rsidR="002D2787" w:rsidRPr="006F00FD" w:rsidRDefault="002D2787" w:rsidP="002D2787">
      <w:pPr>
        <w:spacing w:line="360" w:lineRule="auto"/>
        <w:jc w:val="both"/>
        <w:rPr>
          <w:rFonts w:ascii="Arial" w:hAnsi="Arial" w:cs="Arial"/>
          <w:sz w:val="24"/>
          <w:szCs w:val="24"/>
        </w:rPr>
      </w:pPr>
      <w:r w:rsidRPr="006F00FD">
        <w:rPr>
          <w:rFonts w:ascii="Arial" w:hAnsi="Arial" w:cs="Arial"/>
          <w:sz w:val="24"/>
          <w:szCs w:val="24"/>
        </w:rPr>
        <w:t>Tesco also has a post-Brexit regulation system that is disjointed and creates a lot of complexity to compliance. EU law (including the EU AI Act and the EU GDPR) continues to govern the activities of the company in the Republic of Ireland. On the contrary, the UK operations are regulated by other domestic laws. This regulatory bifurcation creates some structural tension: the implementation of decisions on AI systems design in the UK will not comply with EU conformity requirements, and the opposite. Alt (2021) states that cross-jurisdictional digital platforms have to address not just cumulative governance imperatives, but relate to each other in unpredictable ways, which Tesco already faces in its Clubcard data infrastructure.</w:t>
      </w:r>
    </w:p>
    <w:p w14:paraId="332D344A" w14:textId="734A5D92" w:rsidR="00633D9E" w:rsidRPr="006F00FD" w:rsidRDefault="002D2787" w:rsidP="002D2787">
      <w:pPr>
        <w:spacing w:line="360" w:lineRule="auto"/>
        <w:jc w:val="both"/>
        <w:rPr>
          <w:rFonts w:ascii="Arial" w:hAnsi="Arial" w:cs="Arial"/>
          <w:sz w:val="24"/>
          <w:szCs w:val="24"/>
        </w:rPr>
      </w:pPr>
      <w:r w:rsidRPr="006F00FD">
        <w:rPr>
          <w:rFonts w:ascii="Arial" w:hAnsi="Arial" w:cs="Arial"/>
          <w:sz w:val="24"/>
          <w:szCs w:val="24"/>
        </w:rPr>
        <w:t xml:space="preserve">The creation of AI-based pricing in the retail industry presents a danger to the economic life of the systemic competition law. </w:t>
      </w:r>
      <w:proofErr w:type="spellStart"/>
      <w:r w:rsidRPr="006F00FD">
        <w:rPr>
          <w:rFonts w:ascii="Arial" w:hAnsi="Arial" w:cs="Arial"/>
          <w:sz w:val="24"/>
          <w:szCs w:val="24"/>
        </w:rPr>
        <w:t>Bichler</w:t>
      </w:r>
      <w:proofErr w:type="spellEnd"/>
      <w:r w:rsidRPr="006F00FD">
        <w:rPr>
          <w:rFonts w:ascii="Arial" w:hAnsi="Arial" w:cs="Arial"/>
          <w:sz w:val="24"/>
          <w:szCs w:val="24"/>
        </w:rPr>
        <w:t xml:space="preserve">, </w:t>
      </w:r>
      <w:proofErr w:type="spellStart"/>
      <w:r w:rsidRPr="006F00FD">
        <w:rPr>
          <w:rFonts w:ascii="Arial" w:hAnsi="Arial" w:cs="Arial"/>
          <w:sz w:val="24"/>
          <w:szCs w:val="24"/>
        </w:rPr>
        <w:t>Durmann</w:t>
      </w:r>
      <w:proofErr w:type="spellEnd"/>
      <w:r w:rsidRPr="006F00FD">
        <w:rPr>
          <w:rFonts w:ascii="Arial" w:hAnsi="Arial" w:cs="Arial"/>
          <w:sz w:val="24"/>
          <w:szCs w:val="24"/>
        </w:rPr>
        <w:t xml:space="preserve"> and </w:t>
      </w:r>
      <w:proofErr w:type="spellStart"/>
      <w:r w:rsidRPr="006F00FD">
        <w:rPr>
          <w:rFonts w:ascii="Arial" w:hAnsi="Arial" w:cs="Arial"/>
          <w:sz w:val="24"/>
          <w:szCs w:val="24"/>
        </w:rPr>
        <w:t>Oberlechner</w:t>
      </w:r>
      <w:proofErr w:type="spellEnd"/>
      <w:r w:rsidRPr="006F00FD">
        <w:rPr>
          <w:rFonts w:ascii="Arial" w:hAnsi="Arial" w:cs="Arial"/>
          <w:sz w:val="24"/>
          <w:szCs w:val="24"/>
        </w:rPr>
        <w:t xml:space="preserve"> (2025) provide a strict analysis of the possibility of attaining collusive results by the use of algorithmic pricing systems without explicit </w:t>
      </w:r>
      <w:proofErr w:type="spellStart"/>
      <w:r w:rsidRPr="006F00FD">
        <w:rPr>
          <w:rFonts w:ascii="Arial" w:hAnsi="Arial" w:cs="Arial"/>
          <w:sz w:val="24"/>
          <w:szCs w:val="24"/>
        </w:rPr>
        <w:t>organisation</w:t>
      </w:r>
      <w:proofErr w:type="spellEnd"/>
      <w:r w:rsidRPr="006F00FD">
        <w:rPr>
          <w:rFonts w:ascii="Arial" w:hAnsi="Arial" w:cs="Arial"/>
          <w:sz w:val="24"/>
          <w:szCs w:val="24"/>
        </w:rPr>
        <w:t xml:space="preserve"> and learning in parallel. Sanchez-</w:t>
      </w:r>
      <w:proofErr w:type="spellStart"/>
      <w:r w:rsidRPr="006F00FD">
        <w:rPr>
          <w:rFonts w:ascii="Arial" w:hAnsi="Arial" w:cs="Arial"/>
          <w:sz w:val="24"/>
          <w:szCs w:val="24"/>
        </w:rPr>
        <w:t>Cartas</w:t>
      </w:r>
      <w:proofErr w:type="spellEnd"/>
      <w:r w:rsidRPr="006F00FD">
        <w:rPr>
          <w:rFonts w:ascii="Arial" w:hAnsi="Arial" w:cs="Arial"/>
          <w:sz w:val="24"/>
          <w:szCs w:val="24"/>
        </w:rPr>
        <w:t xml:space="preserve"> and </w:t>
      </w:r>
      <w:proofErr w:type="spellStart"/>
      <w:r w:rsidRPr="006F00FD">
        <w:rPr>
          <w:rFonts w:ascii="Arial" w:hAnsi="Arial" w:cs="Arial"/>
          <w:sz w:val="24"/>
          <w:szCs w:val="24"/>
        </w:rPr>
        <w:t>Katsamakas</w:t>
      </w:r>
      <w:proofErr w:type="spellEnd"/>
      <w:r w:rsidRPr="006F00FD">
        <w:rPr>
          <w:rFonts w:ascii="Arial" w:hAnsi="Arial" w:cs="Arial"/>
          <w:sz w:val="24"/>
          <w:szCs w:val="24"/>
        </w:rPr>
        <w:t xml:space="preserve"> (2024) extend it to platform-based retailers and demonstrate that AI pricing algorithms on various platforms can strengthen incumbent advantage in such a way that attracts regulatory scrutiny. With Tesco, there is a risk of the borderline between reasonable dynamics pricing and tacit algorithmic collusion being more difficult to defend to regulators unless there is an established governance structure, which is documented in writing.</w:t>
      </w:r>
    </w:p>
    <w:p w14:paraId="683BCD27" w14:textId="2A4B6D26" w:rsidR="00633D9E" w:rsidRPr="006F00FD" w:rsidRDefault="00633D9E" w:rsidP="003347C2">
      <w:pPr>
        <w:spacing w:line="360" w:lineRule="auto"/>
        <w:jc w:val="both"/>
        <w:rPr>
          <w:rFonts w:ascii="Arial" w:hAnsi="Arial" w:cs="Arial"/>
          <w:sz w:val="24"/>
          <w:szCs w:val="24"/>
        </w:rPr>
      </w:pPr>
      <w:r w:rsidRPr="006F00FD">
        <w:rPr>
          <w:rFonts w:ascii="Arial" w:hAnsi="Arial" w:cs="Arial"/>
          <w:sz w:val="24"/>
          <w:szCs w:val="24"/>
        </w:rPr>
        <w:t xml:space="preserve">The increasing complexity of interconnected retail spaces also increases the risk of data integration due to its rapid growth. </w:t>
      </w:r>
      <w:proofErr w:type="spellStart"/>
      <w:r w:rsidRPr="006F00FD">
        <w:rPr>
          <w:rFonts w:ascii="Arial" w:hAnsi="Arial" w:cs="Arial"/>
          <w:sz w:val="24"/>
          <w:szCs w:val="24"/>
        </w:rPr>
        <w:t>Baswani</w:t>
      </w:r>
      <w:proofErr w:type="spellEnd"/>
      <w:r w:rsidRPr="006F00FD">
        <w:rPr>
          <w:rFonts w:ascii="Arial" w:hAnsi="Arial" w:cs="Arial"/>
          <w:sz w:val="24"/>
          <w:szCs w:val="24"/>
        </w:rPr>
        <w:t>, George</w:t>
      </w:r>
      <w:r w:rsidR="005414EB" w:rsidRPr="006F00FD">
        <w:rPr>
          <w:rFonts w:ascii="Arial" w:hAnsi="Arial" w:cs="Arial"/>
          <w:sz w:val="24"/>
          <w:szCs w:val="24"/>
        </w:rPr>
        <w:t xml:space="preserve">, and Townsend (2025) show that IoT-based shopping experiences, which Tesco is increasingly implementing through </w:t>
      </w:r>
      <w:proofErr w:type="spellStart"/>
      <w:r w:rsidR="005414EB" w:rsidRPr="006F00FD">
        <w:rPr>
          <w:rFonts w:ascii="Arial" w:hAnsi="Arial" w:cs="Arial"/>
          <w:sz w:val="24"/>
          <w:szCs w:val="24"/>
        </w:rPr>
        <w:t>cashierless</w:t>
      </w:r>
      <w:proofErr w:type="spellEnd"/>
      <w:r w:rsidR="005414EB" w:rsidRPr="006F00FD">
        <w:rPr>
          <w:rFonts w:ascii="Arial" w:hAnsi="Arial" w:cs="Arial"/>
          <w:sz w:val="24"/>
          <w:szCs w:val="24"/>
        </w:rPr>
        <w:t xml:space="preserve"> systems and smart shelf systems, generate an endless stream of </w:t>
      </w:r>
      <w:proofErr w:type="spellStart"/>
      <w:r w:rsidR="005414EB" w:rsidRPr="006F00FD">
        <w:rPr>
          <w:rFonts w:ascii="Arial" w:hAnsi="Arial" w:cs="Arial"/>
          <w:sz w:val="24"/>
          <w:szCs w:val="24"/>
        </w:rPr>
        <w:t>behavioural</w:t>
      </w:r>
      <w:proofErr w:type="spellEnd"/>
      <w:r w:rsidR="005414EB" w:rsidRPr="006F00FD">
        <w:rPr>
          <w:rFonts w:ascii="Arial" w:hAnsi="Arial" w:cs="Arial"/>
          <w:sz w:val="24"/>
          <w:szCs w:val="24"/>
        </w:rPr>
        <w:t xml:space="preserve"> data that significantly threatens privacy</w:t>
      </w:r>
      <w:r w:rsidRPr="006F00FD">
        <w:rPr>
          <w:rFonts w:ascii="Arial" w:hAnsi="Arial" w:cs="Arial"/>
          <w:sz w:val="24"/>
          <w:szCs w:val="24"/>
        </w:rPr>
        <w:t xml:space="preserve">. According to Nogueira, Lopes and Gomes (2025), the underestimated operational risks of retail AI systems </w:t>
      </w:r>
      <w:r w:rsidR="005414EB" w:rsidRPr="006F00FD">
        <w:rPr>
          <w:rFonts w:ascii="Arial" w:hAnsi="Arial" w:cs="Arial"/>
          <w:sz w:val="24"/>
          <w:szCs w:val="24"/>
        </w:rPr>
        <w:t>include model drift and data quality degradation</w:t>
      </w:r>
      <w:r w:rsidRPr="006F00FD">
        <w:rPr>
          <w:rFonts w:ascii="Arial" w:hAnsi="Arial" w:cs="Arial"/>
          <w:sz w:val="24"/>
          <w:szCs w:val="24"/>
        </w:rPr>
        <w:t xml:space="preserve">. These risks are systemic to Tesco: a biased demand forecasting model, or a </w:t>
      </w:r>
      <w:proofErr w:type="spellStart"/>
      <w:r w:rsidRPr="006F00FD">
        <w:rPr>
          <w:rFonts w:ascii="Arial" w:hAnsi="Arial" w:cs="Arial"/>
          <w:sz w:val="24"/>
          <w:szCs w:val="24"/>
        </w:rPr>
        <w:t>personalisation</w:t>
      </w:r>
      <w:proofErr w:type="spellEnd"/>
      <w:r w:rsidRPr="006F00FD">
        <w:rPr>
          <w:rFonts w:ascii="Arial" w:hAnsi="Arial" w:cs="Arial"/>
          <w:sz w:val="24"/>
          <w:szCs w:val="24"/>
        </w:rPr>
        <w:t xml:space="preserve"> algorithm that has been trained on historically biased Clubcard data might yield discriminatory results before the error is </w:t>
      </w:r>
      <w:proofErr w:type="spellStart"/>
      <w:r w:rsidRPr="006F00FD">
        <w:rPr>
          <w:rFonts w:ascii="Arial" w:hAnsi="Arial" w:cs="Arial"/>
          <w:sz w:val="24"/>
          <w:szCs w:val="24"/>
        </w:rPr>
        <w:t>realised</w:t>
      </w:r>
      <w:proofErr w:type="spellEnd"/>
      <w:r w:rsidRPr="006F00FD">
        <w:rPr>
          <w:rFonts w:ascii="Arial" w:hAnsi="Arial" w:cs="Arial"/>
          <w:sz w:val="24"/>
          <w:szCs w:val="24"/>
        </w:rPr>
        <w:t xml:space="preserve"> and before millions of customers are affected.</w:t>
      </w:r>
    </w:p>
    <w:p w14:paraId="61F357F7" w14:textId="77777777" w:rsidR="009167C5" w:rsidRPr="006F00FD" w:rsidRDefault="009167C5" w:rsidP="009167C5">
      <w:pPr>
        <w:spacing w:line="360" w:lineRule="auto"/>
        <w:jc w:val="both"/>
        <w:rPr>
          <w:rFonts w:ascii="Arial" w:hAnsi="Arial" w:cs="Arial"/>
          <w:sz w:val="24"/>
          <w:szCs w:val="24"/>
        </w:rPr>
      </w:pPr>
      <w:r w:rsidRPr="006F00FD">
        <w:rPr>
          <w:rFonts w:ascii="Arial" w:hAnsi="Arial" w:cs="Arial"/>
          <w:sz w:val="24"/>
          <w:szCs w:val="24"/>
        </w:rPr>
        <w:t xml:space="preserve">Large scale AI infrastructure energy and carbon expenses can be a problem to the environment, and it is an issue of governance that Tesco has not publicly addressed. Computational footprint of the training and inference needs of machine learning systems </w:t>
      </w:r>
      <w:r w:rsidRPr="006F00FD">
        <w:rPr>
          <w:rFonts w:ascii="Arial" w:hAnsi="Arial" w:cs="Arial"/>
          <w:sz w:val="24"/>
          <w:szCs w:val="24"/>
        </w:rPr>
        <w:lastRenderedPageBreak/>
        <w:t xml:space="preserve">deployed in about 4,700 stores and a 20-million-member loyalty </w:t>
      </w:r>
      <w:proofErr w:type="spellStart"/>
      <w:r w:rsidRPr="006F00FD">
        <w:rPr>
          <w:rFonts w:ascii="Arial" w:hAnsi="Arial" w:cs="Arial"/>
          <w:sz w:val="24"/>
          <w:szCs w:val="24"/>
        </w:rPr>
        <w:t>programme</w:t>
      </w:r>
      <w:proofErr w:type="spellEnd"/>
      <w:r w:rsidRPr="006F00FD">
        <w:rPr>
          <w:rFonts w:ascii="Arial" w:hAnsi="Arial" w:cs="Arial"/>
          <w:sz w:val="24"/>
          <w:szCs w:val="24"/>
        </w:rPr>
        <w:t xml:space="preserve"> is non-trivial. The net-zero targets released by Tesco, touching on the Scope 3 emissions throughout its supply chain, would result in the immediate development of a reputational paradox in case the expansion of AI infrastructure is not evaluated in terms of its climate effect. ESG investors and consumer advocates are starting to pay attention to this gap, and its absence in AI disclosures by Tesco is a significant one.</w:t>
      </w:r>
    </w:p>
    <w:p w14:paraId="2C4F96EA" w14:textId="4F8289A7" w:rsidR="000C7C08" w:rsidRPr="006F00FD" w:rsidRDefault="009167C5" w:rsidP="009167C5">
      <w:pPr>
        <w:spacing w:line="360" w:lineRule="auto"/>
        <w:jc w:val="both"/>
        <w:rPr>
          <w:rFonts w:ascii="Arial" w:hAnsi="Arial" w:cs="Arial"/>
          <w:sz w:val="24"/>
          <w:szCs w:val="24"/>
        </w:rPr>
      </w:pPr>
      <w:r w:rsidRPr="006F00FD">
        <w:rPr>
          <w:rFonts w:ascii="Arial" w:hAnsi="Arial" w:cs="Arial"/>
          <w:sz w:val="24"/>
          <w:szCs w:val="24"/>
        </w:rPr>
        <w:t xml:space="preserve">Tesco Plc (2025) in its Annual Report acknowledges that AI and sophisticated analytics is the heart of its growth strategy, and mentions machine learning in its stock management, supplier negotiation, and </w:t>
      </w:r>
      <w:proofErr w:type="spellStart"/>
      <w:r w:rsidRPr="006F00FD">
        <w:rPr>
          <w:rFonts w:ascii="Arial" w:hAnsi="Arial" w:cs="Arial"/>
          <w:sz w:val="24"/>
          <w:szCs w:val="24"/>
        </w:rPr>
        <w:t>personalisation</w:t>
      </w:r>
      <w:proofErr w:type="spellEnd"/>
      <w:r w:rsidRPr="006F00FD">
        <w:rPr>
          <w:rFonts w:ascii="Arial" w:hAnsi="Arial" w:cs="Arial"/>
          <w:sz w:val="24"/>
          <w:szCs w:val="24"/>
        </w:rPr>
        <w:t xml:space="preserve"> with its customers. However, disclosure is aspirational and does not deal with the governance infrastructure, risk management practices or regulatory compliance mechanisms that these systems require. The gap between governance maturity and strategic ambition is the critical issue in this report.</w:t>
      </w:r>
    </w:p>
    <w:p w14:paraId="63FF2CBB" w14:textId="398FEC0B" w:rsidR="000C7C08" w:rsidRPr="006F00FD" w:rsidRDefault="009822E0" w:rsidP="004A3782">
      <w:pPr>
        <w:pStyle w:val="Heading2"/>
      </w:pPr>
      <w:bookmarkStart w:id="5" w:name="_Toc227973217"/>
      <w:r w:rsidRPr="006F00FD">
        <w:t>AI Risk Management Frameworks</w:t>
      </w:r>
      <w:bookmarkEnd w:id="5"/>
    </w:p>
    <w:p w14:paraId="1D52D1FE" w14:textId="6EBFF655" w:rsidR="00633D9E" w:rsidRPr="006F00FD" w:rsidRDefault="00633D9E" w:rsidP="003347C2">
      <w:pPr>
        <w:spacing w:line="360" w:lineRule="auto"/>
        <w:jc w:val="both"/>
        <w:rPr>
          <w:rFonts w:ascii="Arial" w:hAnsi="Arial" w:cs="Arial"/>
          <w:sz w:val="24"/>
          <w:szCs w:val="24"/>
        </w:rPr>
      </w:pPr>
      <w:r w:rsidRPr="006F00FD">
        <w:rPr>
          <w:rFonts w:ascii="Arial" w:hAnsi="Arial" w:cs="Arial"/>
          <w:sz w:val="24"/>
          <w:szCs w:val="24"/>
        </w:rPr>
        <w:t xml:space="preserve">Risk management in AI within a retail environment demands </w:t>
      </w:r>
      <w:r w:rsidR="005414EB" w:rsidRPr="006F00FD">
        <w:rPr>
          <w:rFonts w:ascii="Arial" w:hAnsi="Arial" w:cs="Arial"/>
          <w:sz w:val="24"/>
          <w:szCs w:val="24"/>
        </w:rPr>
        <w:t xml:space="preserve">governance structures that are both broad enough to address systemic risk and </w:t>
      </w:r>
      <w:r w:rsidRPr="006F00FD">
        <w:rPr>
          <w:rFonts w:ascii="Arial" w:hAnsi="Arial" w:cs="Arial"/>
          <w:sz w:val="24"/>
          <w:szCs w:val="24"/>
        </w:rPr>
        <w:t xml:space="preserve">nimble enough to meet the needs of a fast-evolving technological and regulatory landscape. The current environment of AI governance models demonstrates not only valuable resources but also severe constraints to </w:t>
      </w:r>
      <w:proofErr w:type="spellStart"/>
      <w:r w:rsidRPr="006F00FD">
        <w:rPr>
          <w:rFonts w:ascii="Arial" w:hAnsi="Arial" w:cs="Arial"/>
          <w:sz w:val="24"/>
          <w:szCs w:val="24"/>
        </w:rPr>
        <w:t>organisations</w:t>
      </w:r>
      <w:proofErr w:type="spellEnd"/>
      <w:r w:rsidRPr="006F00FD">
        <w:rPr>
          <w:rFonts w:ascii="Arial" w:hAnsi="Arial" w:cs="Arial"/>
          <w:sz w:val="24"/>
          <w:szCs w:val="24"/>
        </w:rPr>
        <w:t xml:space="preserve"> to be like Tesco.</w:t>
      </w:r>
    </w:p>
    <w:p w14:paraId="0D4EC702" w14:textId="691D804A" w:rsidR="00633D9E" w:rsidRPr="006F00FD" w:rsidRDefault="00633D9E" w:rsidP="003347C2">
      <w:pPr>
        <w:spacing w:line="360" w:lineRule="auto"/>
        <w:jc w:val="both"/>
        <w:rPr>
          <w:rFonts w:ascii="Arial" w:hAnsi="Arial" w:cs="Arial"/>
          <w:sz w:val="24"/>
          <w:szCs w:val="24"/>
        </w:rPr>
      </w:pPr>
      <w:proofErr w:type="spellStart"/>
      <w:r w:rsidRPr="006F00FD">
        <w:rPr>
          <w:rFonts w:ascii="Arial" w:hAnsi="Arial" w:cs="Arial"/>
          <w:sz w:val="24"/>
          <w:szCs w:val="24"/>
        </w:rPr>
        <w:t>Batool</w:t>
      </w:r>
      <w:proofErr w:type="spellEnd"/>
      <w:r w:rsidRPr="006F00FD">
        <w:rPr>
          <w:rFonts w:ascii="Arial" w:hAnsi="Arial" w:cs="Arial"/>
          <w:sz w:val="24"/>
          <w:szCs w:val="24"/>
        </w:rPr>
        <w:t xml:space="preserve">, </w:t>
      </w:r>
      <w:proofErr w:type="spellStart"/>
      <w:r w:rsidRPr="006F00FD">
        <w:rPr>
          <w:rFonts w:ascii="Arial" w:hAnsi="Arial" w:cs="Arial"/>
          <w:sz w:val="24"/>
          <w:szCs w:val="24"/>
        </w:rPr>
        <w:t>Zowghi</w:t>
      </w:r>
      <w:proofErr w:type="spellEnd"/>
      <w:r w:rsidRPr="006F00FD">
        <w:rPr>
          <w:rFonts w:ascii="Arial" w:hAnsi="Arial" w:cs="Arial"/>
          <w:sz w:val="24"/>
          <w:szCs w:val="24"/>
        </w:rPr>
        <w:t xml:space="preserve"> and </w:t>
      </w:r>
      <w:proofErr w:type="spellStart"/>
      <w:r w:rsidRPr="006F00FD">
        <w:rPr>
          <w:rFonts w:ascii="Arial" w:hAnsi="Arial" w:cs="Arial"/>
          <w:sz w:val="24"/>
          <w:szCs w:val="24"/>
        </w:rPr>
        <w:t>Bano</w:t>
      </w:r>
      <w:proofErr w:type="spellEnd"/>
      <w:r w:rsidRPr="006F00FD">
        <w:rPr>
          <w:rFonts w:ascii="Arial" w:hAnsi="Arial" w:cs="Arial"/>
          <w:sz w:val="24"/>
          <w:szCs w:val="24"/>
        </w:rPr>
        <w:t xml:space="preserve"> (2025) review the existing literature on AI governance through a systematic literature review and find that the </w:t>
      </w:r>
      <w:proofErr w:type="spellStart"/>
      <w:r w:rsidRPr="006F00FD">
        <w:rPr>
          <w:rFonts w:ascii="Arial" w:hAnsi="Arial" w:cs="Arial"/>
          <w:sz w:val="24"/>
          <w:szCs w:val="24"/>
        </w:rPr>
        <w:t>conceptualisation</w:t>
      </w:r>
      <w:proofErr w:type="spellEnd"/>
      <w:r w:rsidRPr="006F00FD">
        <w:rPr>
          <w:rFonts w:ascii="Arial" w:hAnsi="Arial" w:cs="Arial"/>
          <w:sz w:val="24"/>
          <w:szCs w:val="24"/>
        </w:rPr>
        <w:t xml:space="preserve"> of AI risk by </w:t>
      </w:r>
      <w:proofErr w:type="spellStart"/>
      <w:r w:rsidRPr="006F00FD">
        <w:rPr>
          <w:rFonts w:ascii="Arial" w:hAnsi="Arial" w:cs="Arial"/>
          <w:sz w:val="24"/>
          <w:szCs w:val="24"/>
        </w:rPr>
        <w:t>organisations</w:t>
      </w:r>
      <w:proofErr w:type="spellEnd"/>
      <w:r w:rsidRPr="006F00FD">
        <w:rPr>
          <w:rFonts w:ascii="Arial" w:hAnsi="Arial" w:cs="Arial"/>
          <w:sz w:val="24"/>
          <w:szCs w:val="24"/>
        </w:rPr>
        <w:t xml:space="preserve"> is often </w:t>
      </w:r>
      <w:proofErr w:type="spellStart"/>
      <w:r w:rsidRPr="006F00FD">
        <w:rPr>
          <w:rFonts w:ascii="Arial" w:hAnsi="Arial" w:cs="Arial"/>
          <w:sz w:val="24"/>
          <w:szCs w:val="24"/>
        </w:rPr>
        <w:t>dichotomised</w:t>
      </w:r>
      <w:proofErr w:type="spellEnd"/>
      <w:r w:rsidRPr="006F00FD">
        <w:rPr>
          <w:rFonts w:ascii="Arial" w:hAnsi="Arial" w:cs="Arial"/>
          <w:sz w:val="24"/>
          <w:szCs w:val="24"/>
        </w:rPr>
        <w:t xml:space="preserve"> between technical risks and model bias and data poisoning, and ethical and regulatory risks, creating a blind spot in governance where the two intersect. This disintegration is especially acute among retailers, where technical AI systems are both consumer-facing</w:t>
      </w:r>
      <w:r w:rsidR="005414EB" w:rsidRPr="006F00FD">
        <w:rPr>
          <w:rFonts w:ascii="Arial" w:hAnsi="Arial" w:cs="Arial"/>
          <w:sz w:val="24"/>
          <w:szCs w:val="24"/>
        </w:rPr>
        <w:t xml:space="preserve"> and commercial and are </w:t>
      </w:r>
      <w:r w:rsidRPr="006F00FD">
        <w:rPr>
          <w:rFonts w:ascii="Arial" w:hAnsi="Arial" w:cs="Arial"/>
          <w:sz w:val="24"/>
          <w:szCs w:val="24"/>
        </w:rPr>
        <w:t xml:space="preserve">legally regulated. Knight, Shibani and Vincent (2024) map the wider research ecosystem around ethical AI governance and find that most of the current frameworks focus on compliance rather than real risk reduction, a distinction that has real impacts on </w:t>
      </w:r>
      <w:proofErr w:type="spellStart"/>
      <w:r w:rsidRPr="006F00FD">
        <w:rPr>
          <w:rFonts w:ascii="Arial" w:hAnsi="Arial" w:cs="Arial"/>
          <w:sz w:val="24"/>
          <w:szCs w:val="24"/>
        </w:rPr>
        <w:t>organisations</w:t>
      </w:r>
      <w:proofErr w:type="spellEnd"/>
      <w:r w:rsidRPr="006F00FD">
        <w:rPr>
          <w:rFonts w:ascii="Arial" w:hAnsi="Arial" w:cs="Arial"/>
          <w:sz w:val="24"/>
          <w:szCs w:val="24"/>
        </w:rPr>
        <w:t xml:space="preserve"> that have been accused of algorithmic accountability.</w:t>
      </w:r>
    </w:p>
    <w:p w14:paraId="22354104" w14:textId="3A98BCB6" w:rsidR="00633D9E" w:rsidRPr="006F00FD" w:rsidRDefault="00633D9E" w:rsidP="003347C2">
      <w:pPr>
        <w:spacing w:line="360" w:lineRule="auto"/>
        <w:jc w:val="both"/>
        <w:rPr>
          <w:rFonts w:ascii="Arial" w:hAnsi="Arial" w:cs="Arial"/>
          <w:sz w:val="24"/>
          <w:szCs w:val="24"/>
        </w:rPr>
      </w:pPr>
      <w:r w:rsidRPr="006F00FD">
        <w:rPr>
          <w:rFonts w:ascii="Arial" w:hAnsi="Arial" w:cs="Arial"/>
          <w:sz w:val="24"/>
          <w:szCs w:val="24"/>
        </w:rPr>
        <w:t xml:space="preserve">Meske et al. (2022) consider that the notions of explainability and responsibility should be addressed as co-constitutive features of any AI system, which is implemented in a situation with direct consumer effects. Their model assumes </w:t>
      </w:r>
      <w:r w:rsidR="005414EB" w:rsidRPr="006F00FD">
        <w:rPr>
          <w:rFonts w:ascii="Arial" w:hAnsi="Arial" w:cs="Arial"/>
          <w:sz w:val="24"/>
          <w:szCs w:val="24"/>
        </w:rPr>
        <w:t>accountability can be tracked throughout the AI development life cycle, including data sourcing, model deployment, and continued monitoring, rather than being addressed</w:t>
      </w:r>
      <w:r w:rsidRPr="006F00FD">
        <w:rPr>
          <w:rFonts w:ascii="Arial" w:hAnsi="Arial" w:cs="Arial"/>
          <w:sz w:val="24"/>
          <w:szCs w:val="24"/>
        </w:rPr>
        <w:t xml:space="preserve"> in hindsight when </w:t>
      </w:r>
      <w:r w:rsidRPr="006F00FD">
        <w:rPr>
          <w:rFonts w:ascii="Arial" w:hAnsi="Arial" w:cs="Arial"/>
          <w:sz w:val="24"/>
          <w:szCs w:val="24"/>
        </w:rPr>
        <w:lastRenderedPageBreak/>
        <w:t>there is a complaint or regulatory investigation. This principle can be applied directly to the Tesco Clubcard ecosystem</w:t>
      </w:r>
      <w:r w:rsidR="005414EB" w:rsidRPr="006F00FD">
        <w:rPr>
          <w:rFonts w:ascii="Arial" w:hAnsi="Arial" w:cs="Arial"/>
          <w:sz w:val="24"/>
          <w:szCs w:val="24"/>
        </w:rPr>
        <w:t>, where decisions regarding which promotions, prices, and products are surfaced to which customers are made on a large scale, algorithmically,</w:t>
      </w:r>
      <w:r w:rsidRPr="006F00FD">
        <w:rPr>
          <w:rFonts w:ascii="Arial" w:hAnsi="Arial" w:cs="Arial"/>
          <w:sz w:val="24"/>
          <w:szCs w:val="24"/>
        </w:rPr>
        <w:t xml:space="preserve"> with no human effort to review the outcomes of individual cases.</w:t>
      </w:r>
    </w:p>
    <w:p w14:paraId="291B9634" w14:textId="05F0B434" w:rsidR="000C7C08" w:rsidRPr="006F00FD" w:rsidRDefault="00633D9E" w:rsidP="003347C2">
      <w:pPr>
        <w:spacing w:line="360" w:lineRule="auto"/>
        <w:jc w:val="both"/>
        <w:rPr>
          <w:rFonts w:ascii="Arial" w:hAnsi="Arial" w:cs="Arial"/>
          <w:sz w:val="24"/>
          <w:szCs w:val="24"/>
        </w:rPr>
      </w:pPr>
      <w:r w:rsidRPr="006F00FD">
        <w:rPr>
          <w:rFonts w:ascii="Arial" w:hAnsi="Arial" w:cs="Arial"/>
          <w:sz w:val="24"/>
          <w:szCs w:val="24"/>
        </w:rPr>
        <w:t xml:space="preserve">Upreti et al. (2024) discuss </w:t>
      </w:r>
      <w:r w:rsidR="005414EB" w:rsidRPr="006F00FD">
        <w:rPr>
          <w:rFonts w:ascii="Arial" w:hAnsi="Arial" w:cs="Arial"/>
          <w:sz w:val="24"/>
          <w:szCs w:val="24"/>
        </w:rPr>
        <w:t>trustworthy machine learning from</w:t>
      </w:r>
      <w:r w:rsidRPr="006F00FD">
        <w:rPr>
          <w:rFonts w:ascii="Arial" w:hAnsi="Arial" w:cs="Arial"/>
          <w:sz w:val="24"/>
          <w:szCs w:val="24"/>
        </w:rPr>
        <w:t xml:space="preserve"> the perspective of security and privacy, and they state that the majority of enterprise AI governance models have an underweight on adversarial risks, such as model inversion attacks and membership inference, where third parties can infer sensitive consumer information by training a deployed model. In the case of Tesco, whose Clubcard information is both a commercial asset and a personal data sensitive asset, these technical attack vectors are a governance gap that cannot be reflected in the typical privacy impact assessment. Pink et al. (2024) add to this point of view, showing that trust in AI systems among practitioners is also a governance variable: a team that lacks trust in the accountability structures in which they operate generates less trustworthy AI systems. Misra, Barik and Kvalvik (2025) also believe that to have real AI risk management, there must be digital sovereignty, which is quite applicable in the context of Tesco, which depends on cloud services and external analytics relationships.</w:t>
      </w:r>
    </w:p>
    <w:p w14:paraId="0EF4624B" w14:textId="1A517B5A" w:rsidR="000C7C08" w:rsidRPr="006F00FD" w:rsidRDefault="009822E0" w:rsidP="004A3782">
      <w:pPr>
        <w:pStyle w:val="Heading2"/>
      </w:pPr>
      <w:bookmarkStart w:id="6" w:name="_Toc227973218"/>
      <w:r w:rsidRPr="006F00FD">
        <w:t>Data Governance and Ethical AI</w:t>
      </w:r>
      <w:bookmarkEnd w:id="6"/>
    </w:p>
    <w:p w14:paraId="66990707" w14:textId="71354E0C" w:rsidR="00633D9E" w:rsidRPr="006F00FD" w:rsidRDefault="00A42130" w:rsidP="003347C2">
      <w:pPr>
        <w:spacing w:line="360" w:lineRule="auto"/>
        <w:jc w:val="both"/>
        <w:rPr>
          <w:rFonts w:ascii="Arial" w:hAnsi="Arial" w:cs="Arial"/>
          <w:sz w:val="24"/>
          <w:szCs w:val="24"/>
        </w:rPr>
      </w:pPr>
      <w:r w:rsidRPr="006F00FD">
        <w:rPr>
          <w:rFonts w:ascii="Arial" w:hAnsi="Arial" w:cs="Arial"/>
          <w:sz w:val="24"/>
          <w:szCs w:val="24"/>
        </w:rPr>
        <w:t xml:space="preserve">The Tesco </w:t>
      </w:r>
      <w:proofErr w:type="spellStart"/>
      <w:r w:rsidRPr="006F00FD">
        <w:rPr>
          <w:rFonts w:ascii="Arial" w:hAnsi="Arial" w:cs="Arial"/>
          <w:sz w:val="24"/>
          <w:szCs w:val="24"/>
        </w:rPr>
        <w:t>Clubcard</w:t>
      </w:r>
      <w:proofErr w:type="spellEnd"/>
      <w:r w:rsidRPr="006F00FD">
        <w:rPr>
          <w:rFonts w:ascii="Arial" w:hAnsi="Arial" w:cs="Arial"/>
          <w:sz w:val="24"/>
          <w:szCs w:val="24"/>
        </w:rPr>
        <w:t xml:space="preserve"> </w:t>
      </w:r>
      <w:proofErr w:type="spellStart"/>
      <w:r w:rsidRPr="006F00FD">
        <w:rPr>
          <w:rFonts w:ascii="Arial" w:hAnsi="Arial" w:cs="Arial"/>
          <w:sz w:val="24"/>
          <w:szCs w:val="24"/>
        </w:rPr>
        <w:t>programme</w:t>
      </w:r>
      <w:proofErr w:type="spellEnd"/>
      <w:r w:rsidRPr="006F00FD">
        <w:rPr>
          <w:rFonts w:ascii="Arial" w:hAnsi="Arial" w:cs="Arial"/>
          <w:sz w:val="24"/>
          <w:szCs w:val="24"/>
        </w:rPr>
        <w:t xml:space="preserve"> is considered to be one of the biggest consumer </w:t>
      </w:r>
      <w:proofErr w:type="spellStart"/>
      <w:r w:rsidRPr="006F00FD">
        <w:rPr>
          <w:rFonts w:ascii="Arial" w:hAnsi="Arial" w:cs="Arial"/>
          <w:sz w:val="24"/>
          <w:szCs w:val="24"/>
        </w:rPr>
        <w:t>behavioural</w:t>
      </w:r>
      <w:proofErr w:type="spellEnd"/>
      <w:r w:rsidRPr="006F00FD">
        <w:rPr>
          <w:rFonts w:ascii="Arial" w:hAnsi="Arial" w:cs="Arial"/>
          <w:sz w:val="24"/>
          <w:szCs w:val="24"/>
        </w:rPr>
        <w:t xml:space="preserve"> databanks in UK retail market that contains the purchasing history, geographical trends and promotional response data of over 20 million households. This data infrastructure is not only a matter of compliance, but also a significant factor in ethical use of AI and brand success in the long run.</w:t>
      </w:r>
    </w:p>
    <w:p w14:paraId="17AF8790" w14:textId="77777777" w:rsidR="00633D9E" w:rsidRPr="006F00FD" w:rsidRDefault="00633D9E" w:rsidP="003347C2">
      <w:pPr>
        <w:spacing w:line="360" w:lineRule="auto"/>
        <w:jc w:val="both"/>
        <w:rPr>
          <w:rFonts w:ascii="Arial" w:hAnsi="Arial" w:cs="Arial"/>
          <w:sz w:val="24"/>
          <w:szCs w:val="24"/>
        </w:rPr>
      </w:pPr>
      <w:r w:rsidRPr="006F00FD">
        <w:rPr>
          <w:rFonts w:ascii="Arial" w:hAnsi="Arial" w:cs="Arial"/>
          <w:sz w:val="24"/>
          <w:szCs w:val="24"/>
        </w:rPr>
        <w:t xml:space="preserve">Schubert and Barrett (2024) give a conceptual data governance framework that is rigorous and defines the difference between data stewardship and the </w:t>
      </w:r>
      <w:proofErr w:type="spellStart"/>
      <w:r w:rsidRPr="006F00FD">
        <w:rPr>
          <w:rFonts w:ascii="Arial" w:hAnsi="Arial" w:cs="Arial"/>
          <w:sz w:val="24"/>
          <w:szCs w:val="24"/>
        </w:rPr>
        <w:t>organisational</w:t>
      </w:r>
      <w:proofErr w:type="spellEnd"/>
      <w:r w:rsidRPr="006F00FD">
        <w:rPr>
          <w:rFonts w:ascii="Arial" w:hAnsi="Arial" w:cs="Arial"/>
          <w:sz w:val="24"/>
          <w:szCs w:val="24"/>
        </w:rPr>
        <w:t xml:space="preserve"> processes through which data is </w:t>
      </w:r>
      <w:proofErr w:type="spellStart"/>
      <w:r w:rsidRPr="006F00FD">
        <w:rPr>
          <w:rFonts w:ascii="Arial" w:hAnsi="Arial" w:cs="Arial"/>
          <w:sz w:val="24"/>
          <w:szCs w:val="24"/>
        </w:rPr>
        <w:t>categorised</w:t>
      </w:r>
      <w:proofErr w:type="spellEnd"/>
      <w:r w:rsidRPr="006F00FD">
        <w:rPr>
          <w:rFonts w:ascii="Arial" w:hAnsi="Arial" w:cs="Arial"/>
          <w:sz w:val="24"/>
          <w:szCs w:val="24"/>
        </w:rPr>
        <w:t xml:space="preserve">, secured, and audited and data ethics, the normative principles that define which uses of data are acceptable beyond legal obligation. They state that most enterprise data governance </w:t>
      </w:r>
      <w:proofErr w:type="spellStart"/>
      <w:r w:rsidRPr="006F00FD">
        <w:rPr>
          <w:rFonts w:ascii="Arial" w:hAnsi="Arial" w:cs="Arial"/>
          <w:sz w:val="24"/>
          <w:szCs w:val="24"/>
        </w:rPr>
        <w:t>programmes</w:t>
      </w:r>
      <w:proofErr w:type="spellEnd"/>
      <w:r w:rsidRPr="006F00FD">
        <w:rPr>
          <w:rFonts w:ascii="Arial" w:hAnsi="Arial" w:cs="Arial"/>
          <w:sz w:val="24"/>
          <w:szCs w:val="24"/>
        </w:rPr>
        <w:t xml:space="preserve"> are good at stewardship, but poor at ethics, which creates </w:t>
      </w:r>
      <w:proofErr w:type="spellStart"/>
      <w:r w:rsidRPr="006F00FD">
        <w:rPr>
          <w:rFonts w:ascii="Arial" w:hAnsi="Arial" w:cs="Arial"/>
          <w:sz w:val="24"/>
          <w:szCs w:val="24"/>
        </w:rPr>
        <w:t>organisations</w:t>
      </w:r>
      <w:proofErr w:type="spellEnd"/>
      <w:r w:rsidRPr="006F00FD">
        <w:rPr>
          <w:rFonts w:ascii="Arial" w:hAnsi="Arial" w:cs="Arial"/>
          <w:sz w:val="24"/>
          <w:szCs w:val="24"/>
        </w:rPr>
        <w:t xml:space="preserve"> that are technically-compliant whilst ethically vulnerable as new AI use cases emerge at a faster rate than the policies that govern them. This description aligns fairly well with the reported stance of Tesco: the Annual Report confirms that the company invests in data security and regulatory compliance, but does not specify the ethical AI framework nor does it explain </w:t>
      </w:r>
      <w:r w:rsidRPr="006F00FD">
        <w:rPr>
          <w:rFonts w:ascii="Arial" w:hAnsi="Arial" w:cs="Arial"/>
          <w:sz w:val="24"/>
          <w:szCs w:val="24"/>
        </w:rPr>
        <w:lastRenderedPageBreak/>
        <w:t>the normative principles upon which the algorithmic decisions regarding customers are made.</w:t>
      </w:r>
    </w:p>
    <w:p w14:paraId="43F067FE" w14:textId="4EC0E139" w:rsidR="00633D9E" w:rsidRPr="006F00FD" w:rsidRDefault="00633D9E" w:rsidP="003347C2">
      <w:pPr>
        <w:spacing w:line="360" w:lineRule="auto"/>
        <w:jc w:val="both"/>
        <w:rPr>
          <w:rFonts w:ascii="Arial" w:hAnsi="Arial" w:cs="Arial"/>
          <w:sz w:val="24"/>
          <w:szCs w:val="24"/>
        </w:rPr>
      </w:pPr>
      <w:r w:rsidRPr="006F00FD">
        <w:rPr>
          <w:rFonts w:ascii="Arial" w:hAnsi="Arial" w:cs="Arial"/>
          <w:sz w:val="24"/>
          <w:szCs w:val="24"/>
        </w:rPr>
        <w:t xml:space="preserve">The article by </w:t>
      </w:r>
      <w:proofErr w:type="spellStart"/>
      <w:r w:rsidRPr="006F00FD">
        <w:rPr>
          <w:rFonts w:ascii="Arial" w:hAnsi="Arial" w:cs="Arial"/>
          <w:sz w:val="24"/>
          <w:szCs w:val="24"/>
        </w:rPr>
        <w:t>Blömker</w:t>
      </w:r>
      <w:proofErr w:type="spellEnd"/>
      <w:r w:rsidRPr="006F00FD">
        <w:rPr>
          <w:rFonts w:ascii="Arial" w:hAnsi="Arial" w:cs="Arial"/>
          <w:sz w:val="24"/>
          <w:szCs w:val="24"/>
        </w:rPr>
        <w:t xml:space="preserve"> and Albrecht (2025) discusses how multichannel customer data can be used to provide real-time </w:t>
      </w:r>
      <w:proofErr w:type="spellStart"/>
      <w:r w:rsidRPr="006F00FD">
        <w:rPr>
          <w:rFonts w:ascii="Arial" w:hAnsi="Arial" w:cs="Arial"/>
          <w:sz w:val="24"/>
          <w:szCs w:val="24"/>
        </w:rPr>
        <w:t>personalisation</w:t>
      </w:r>
      <w:proofErr w:type="spellEnd"/>
      <w:r w:rsidRPr="006F00FD">
        <w:rPr>
          <w:rFonts w:ascii="Arial" w:hAnsi="Arial" w:cs="Arial"/>
          <w:sz w:val="24"/>
          <w:szCs w:val="24"/>
        </w:rPr>
        <w:t xml:space="preserve"> and determine that predictive accuracy of machine learning models can be significantly enhanced when psychological trait inference is taken into account during the modelling process. Although commercially viable, this practice is highly questionable in terms of ethics: as Jansen, Jung and Salminen (2023) prove, personification bias, the propensity of analytics systems to create inaccurate or stereotypical user profiles, is an inherent characteristic of giant data analytics service providers more than an accidental one. In the case of Tesco</w:t>
      </w:r>
      <w:r w:rsidR="005414EB" w:rsidRPr="006F00FD">
        <w:rPr>
          <w:rFonts w:ascii="Arial" w:hAnsi="Arial" w:cs="Arial"/>
          <w:sz w:val="24"/>
          <w:szCs w:val="24"/>
        </w:rPr>
        <w:t xml:space="preserve">, this implies that the </w:t>
      </w:r>
      <w:proofErr w:type="spellStart"/>
      <w:r w:rsidR="005414EB" w:rsidRPr="006F00FD">
        <w:rPr>
          <w:rFonts w:ascii="Arial" w:hAnsi="Arial" w:cs="Arial"/>
          <w:sz w:val="24"/>
          <w:szCs w:val="24"/>
        </w:rPr>
        <w:t>Clubcard</w:t>
      </w:r>
      <w:proofErr w:type="spellEnd"/>
      <w:r w:rsidR="005414EB" w:rsidRPr="006F00FD">
        <w:rPr>
          <w:rFonts w:ascii="Arial" w:hAnsi="Arial" w:cs="Arial"/>
          <w:sz w:val="24"/>
          <w:szCs w:val="24"/>
        </w:rPr>
        <w:t xml:space="preserve"> </w:t>
      </w:r>
      <w:proofErr w:type="spellStart"/>
      <w:r w:rsidR="005414EB" w:rsidRPr="006F00FD">
        <w:rPr>
          <w:rFonts w:ascii="Arial" w:hAnsi="Arial" w:cs="Arial"/>
          <w:sz w:val="24"/>
          <w:szCs w:val="24"/>
        </w:rPr>
        <w:t>personalisation</w:t>
      </w:r>
      <w:proofErr w:type="spellEnd"/>
      <w:r w:rsidR="005414EB" w:rsidRPr="006F00FD">
        <w:rPr>
          <w:rFonts w:ascii="Arial" w:hAnsi="Arial" w:cs="Arial"/>
          <w:sz w:val="24"/>
          <w:szCs w:val="24"/>
        </w:rPr>
        <w:t xml:space="preserve"> engine can consistently discriminate particular groups of customers by profiling them inaccurately with no way for</w:t>
      </w:r>
      <w:r w:rsidRPr="006F00FD">
        <w:rPr>
          <w:rFonts w:ascii="Arial" w:hAnsi="Arial" w:cs="Arial"/>
          <w:sz w:val="24"/>
          <w:szCs w:val="24"/>
        </w:rPr>
        <w:t xml:space="preserve"> the customer to identify, query, or correct the inferences.</w:t>
      </w:r>
    </w:p>
    <w:p w14:paraId="6A95B931" w14:textId="3DE44918" w:rsidR="000C7C08" w:rsidRPr="006F00FD" w:rsidRDefault="00633D9E" w:rsidP="003347C2">
      <w:pPr>
        <w:spacing w:line="360" w:lineRule="auto"/>
        <w:jc w:val="both"/>
        <w:rPr>
          <w:rFonts w:ascii="Arial" w:hAnsi="Arial" w:cs="Arial"/>
          <w:sz w:val="24"/>
          <w:szCs w:val="24"/>
        </w:rPr>
      </w:pPr>
      <w:proofErr w:type="spellStart"/>
      <w:r w:rsidRPr="006F00FD">
        <w:rPr>
          <w:rFonts w:ascii="Arial" w:hAnsi="Arial" w:cs="Arial"/>
          <w:sz w:val="24"/>
          <w:szCs w:val="24"/>
        </w:rPr>
        <w:t>Mirbabaie</w:t>
      </w:r>
      <w:proofErr w:type="spellEnd"/>
      <w:r w:rsidRPr="006F00FD">
        <w:rPr>
          <w:rFonts w:ascii="Arial" w:hAnsi="Arial" w:cs="Arial"/>
          <w:sz w:val="24"/>
          <w:szCs w:val="24"/>
        </w:rPr>
        <w:t xml:space="preserve"> et al. (2025) propose the transparency fallacy: giving explanations of an algorithm does not always generate a sense of fairness, and can in fact make them less fair when explanations are strategically crafted to </w:t>
      </w:r>
      <w:proofErr w:type="spellStart"/>
      <w:r w:rsidRPr="006F00FD">
        <w:rPr>
          <w:rFonts w:ascii="Arial" w:hAnsi="Arial" w:cs="Arial"/>
          <w:sz w:val="24"/>
          <w:szCs w:val="24"/>
        </w:rPr>
        <w:t>minimise</w:t>
      </w:r>
      <w:proofErr w:type="spellEnd"/>
      <w:r w:rsidRPr="006F00FD">
        <w:rPr>
          <w:rFonts w:ascii="Arial" w:hAnsi="Arial" w:cs="Arial"/>
          <w:sz w:val="24"/>
          <w:szCs w:val="24"/>
        </w:rPr>
        <w:t xml:space="preserve"> responsibility. Greene et al. (2025) would add this criticism to commercially deployed AI</w:t>
      </w:r>
      <w:r w:rsidR="005414EB" w:rsidRPr="006F00FD">
        <w:rPr>
          <w:rFonts w:ascii="Arial" w:hAnsi="Arial" w:cs="Arial"/>
          <w:sz w:val="24"/>
          <w:szCs w:val="24"/>
        </w:rPr>
        <w:t xml:space="preserve">: they believe that the incentives of </w:t>
      </w:r>
      <w:proofErr w:type="spellStart"/>
      <w:r w:rsidR="005414EB" w:rsidRPr="006F00FD">
        <w:rPr>
          <w:rFonts w:ascii="Arial" w:hAnsi="Arial" w:cs="Arial"/>
          <w:sz w:val="24"/>
          <w:szCs w:val="24"/>
        </w:rPr>
        <w:t>monetisation</w:t>
      </w:r>
      <w:proofErr w:type="spellEnd"/>
      <w:r w:rsidR="005414EB" w:rsidRPr="006F00FD">
        <w:rPr>
          <w:rFonts w:ascii="Arial" w:hAnsi="Arial" w:cs="Arial"/>
          <w:sz w:val="24"/>
          <w:szCs w:val="24"/>
        </w:rPr>
        <w:t xml:space="preserve"> corrupt explanations, leading </w:t>
      </w:r>
      <w:proofErr w:type="spellStart"/>
      <w:r w:rsidR="005414EB" w:rsidRPr="006F00FD">
        <w:rPr>
          <w:rFonts w:ascii="Arial" w:hAnsi="Arial" w:cs="Arial"/>
          <w:sz w:val="24"/>
          <w:szCs w:val="24"/>
        </w:rPr>
        <w:t>organisations</w:t>
      </w:r>
      <w:proofErr w:type="spellEnd"/>
      <w:r w:rsidR="005414EB" w:rsidRPr="006F00FD">
        <w:rPr>
          <w:rFonts w:ascii="Arial" w:hAnsi="Arial" w:cs="Arial"/>
          <w:sz w:val="24"/>
          <w:szCs w:val="24"/>
        </w:rPr>
        <w:t xml:space="preserve"> to disclose strategically incomplete information that is technically accurate as required</w:t>
      </w:r>
      <w:r w:rsidRPr="006F00FD">
        <w:rPr>
          <w:rFonts w:ascii="Arial" w:hAnsi="Arial" w:cs="Arial"/>
          <w:sz w:val="24"/>
          <w:szCs w:val="24"/>
        </w:rPr>
        <w:t xml:space="preserve"> but does not meet the requirements of true consumer knowledge. Burmeister, Kurtz</w:t>
      </w:r>
      <w:r w:rsidR="005414EB" w:rsidRPr="006F00FD">
        <w:rPr>
          <w:rFonts w:ascii="Arial" w:hAnsi="Arial" w:cs="Arial"/>
          <w:sz w:val="24"/>
          <w:szCs w:val="24"/>
        </w:rPr>
        <w:t>, and Schirmer (2025) propose architectural thinking as a methodology to govern the privacy of information in complex data ecosystems, promoting the integration of privacy-by-design principles into system architecture rather than treating privacy as</w:t>
      </w:r>
      <w:r w:rsidRPr="006F00FD">
        <w:rPr>
          <w:rFonts w:ascii="Arial" w:hAnsi="Arial" w:cs="Arial"/>
          <w:sz w:val="24"/>
          <w:szCs w:val="24"/>
        </w:rPr>
        <w:t xml:space="preserve"> a policy overlay. Both </w:t>
      </w:r>
      <w:proofErr w:type="spellStart"/>
      <w:r w:rsidRPr="006F00FD">
        <w:rPr>
          <w:rFonts w:ascii="Arial" w:hAnsi="Arial" w:cs="Arial"/>
          <w:sz w:val="24"/>
          <w:szCs w:val="24"/>
        </w:rPr>
        <w:t>Gibin</w:t>
      </w:r>
      <w:proofErr w:type="spellEnd"/>
      <w:r w:rsidRPr="006F00FD">
        <w:rPr>
          <w:rFonts w:ascii="Arial" w:hAnsi="Arial" w:cs="Arial"/>
          <w:sz w:val="24"/>
          <w:szCs w:val="24"/>
        </w:rPr>
        <w:t xml:space="preserve">, </w:t>
      </w:r>
      <w:proofErr w:type="spellStart"/>
      <w:r w:rsidRPr="006F00FD">
        <w:rPr>
          <w:rFonts w:ascii="Arial" w:hAnsi="Arial" w:cs="Arial"/>
          <w:sz w:val="24"/>
          <w:szCs w:val="24"/>
        </w:rPr>
        <w:t>Krasanakis</w:t>
      </w:r>
      <w:proofErr w:type="spellEnd"/>
      <w:r w:rsidRPr="006F00FD">
        <w:rPr>
          <w:rFonts w:ascii="Arial" w:hAnsi="Arial" w:cs="Arial"/>
          <w:sz w:val="24"/>
          <w:szCs w:val="24"/>
        </w:rPr>
        <w:t xml:space="preserve"> and </w:t>
      </w:r>
      <w:proofErr w:type="spellStart"/>
      <w:r w:rsidRPr="006F00FD">
        <w:rPr>
          <w:rFonts w:ascii="Arial" w:hAnsi="Arial" w:cs="Arial"/>
          <w:sz w:val="24"/>
          <w:szCs w:val="24"/>
        </w:rPr>
        <w:t>Grumodas</w:t>
      </w:r>
      <w:proofErr w:type="spellEnd"/>
      <w:r w:rsidRPr="006F00FD">
        <w:rPr>
          <w:rFonts w:ascii="Arial" w:hAnsi="Arial" w:cs="Arial"/>
          <w:sz w:val="24"/>
          <w:szCs w:val="24"/>
        </w:rPr>
        <w:t xml:space="preserve"> (2025) and Pant et al. (2025) suggest that fairness in AI systems cannot be determined technically in isolation; instead, it must be negotiated willfully by all stakeholders, such as consumers, with structural power repercussions that </w:t>
      </w:r>
      <w:proofErr w:type="spellStart"/>
      <w:r w:rsidR="005414EB" w:rsidRPr="006F00FD">
        <w:rPr>
          <w:rFonts w:ascii="Arial" w:hAnsi="Arial" w:cs="Arial"/>
          <w:sz w:val="24"/>
          <w:szCs w:val="24"/>
        </w:rPr>
        <w:t>organisations</w:t>
      </w:r>
      <w:proofErr w:type="spellEnd"/>
      <w:r w:rsidR="005414EB" w:rsidRPr="006F00FD">
        <w:rPr>
          <w:rFonts w:ascii="Arial" w:hAnsi="Arial" w:cs="Arial"/>
          <w:sz w:val="24"/>
          <w:szCs w:val="24"/>
        </w:rPr>
        <w:t xml:space="preserve"> cannot neglect</w:t>
      </w:r>
      <w:r w:rsidRPr="006F00FD">
        <w:rPr>
          <w:rFonts w:ascii="Arial" w:hAnsi="Arial" w:cs="Arial"/>
          <w:sz w:val="24"/>
          <w:szCs w:val="24"/>
        </w:rPr>
        <w:t>.</w:t>
      </w:r>
    </w:p>
    <w:p w14:paraId="35FD7889" w14:textId="0F6E3DCB" w:rsidR="000C7C08" w:rsidRPr="006F00FD" w:rsidRDefault="009822E0" w:rsidP="004A3782">
      <w:pPr>
        <w:pStyle w:val="Heading2"/>
      </w:pPr>
      <w:bookmarkStart w:id="7" w:name="_Toc227973219"/>
      <w:r w:rsidRPr="006F00FD">
        <w:t>Regulatory Compliance: UK and EU</w:t>
      </w:r>
      <w:bookmarkEnd w:id="7"/>
    </w:p>
    <w:p w14:paraId="6C83F441" w14:textId="656F95B8" w:rsidR="000C7C08" w:rsidRPr="006F00FD" w:rsidRDefault="00213EF8" w:rsidP="003347C2">
      <w:pPr>
        <w:spacing w:line="360" w:lineRule="auto"/>
        <w:jc w:val="both"/>
        <w:rPr>
          <w:rFonts w:ascii="Arial" w:hAnsi="Arial" w:cs="Arial"/>
          <w:sz w:val="24"/>
          <w:szCs w:val="24"/>
        </w:rPr>
      </w:pPr>
      <w:r w:rsidRPr="006F00FD">
        <w:rPr>
          <w:rFonts w:ascii="Arial" w:hAnsi="Arial" w:cs="Arial"/>
          <w:sz w:val="24"/>
          <w:szCs w:val="24"/>
        </w:rPr>
        <w:t xml:space="preserve">Regulatory environment The retail regulatory environment has evolved greatly since 2021, and the regulatory divide between the UK and the EU poses a structural compliance challenge, to </w:t>
      </w:r>
      <w:proofErr w:type="spellStart"/>
      <w:r w:rsidRPr="006F00FD">
        <w:rPr>
          <w:rFonts w:ascii="Arial" w:hAnsi="Arial" w:cs="Arial"/>
          <w:sz w:val="24"/>
          <w:szCs w:val="24"/>
        </w:rPr>
        <w:t>organisations</w:t>
      </w:r>
      <w:proofErr w:type="spellEnd"/>
      <w:r w:rsidRPr="006F00FD">
        <w:rPr>
          <w:rFonts w:ascii="Arial" w:hAnsi="Arial" w:cs="Arial"/>
          <w:sz w:val="24"/>
          <w:szCs w:val="24"/>
        </w:rPr>
        <w:t xml:space="preserve"> operating in both jurisdictions. Expanding its business in the Republic of Ireland, Tesco is subject to the direct jurisdiction of the EU statutory as well as UK regulatory framework. As such, comparative regulatory analysis is not merely a practical need but a strategic need too.</w:t>
      </w:r>
    </w:p>
    <w:p w14:paraId="52E0AF90" w14:textId="2E1BC364" w:rsidR="000B4798" w:rsidRPr="006F00FD" w:rsidRDefault="000B4798" w:rsidP="003347C2">
      <w:pPr>
        <w:pStyle w:val="Caption"/>
        <w:keepNext/>
        <w:spacing w:after="0" w:line="360" w:lineRule="auto"/>
        <w:rPr>
          <w:rFonts w:ascii="Arial" w:hAnsi="Arial" w:cs="Arial"/>
          <w:i w:val="0"/>
          <w:iCs w:val="0"/>
        </w:rPr>
      </w:pPr>
      <w:r w:rsidRPr="006F00FD">
        <w:rPr>
          <w:rFonts w:ascii="Arial" w:hAnsi="Arial" w:cs="Arial"/>
          <w:i w:val="0"/>
          <w:iCs w:val="0"/>
        </w:rPr>
        <w:lastRenderedPageBreak/>
        <w:t xml:space="preserve">Table </w:t>
      </w:r>
      <w:r w:rsidRPr="006F00FD">
        <w:rPr>
          <w:rFonts w:ascii="Arial" w:hAnsi="Arial" w:cs="Arial"/>
          <w:i w:val="0"/>
          <w:iCs w:val="0"/>
        </w:rPr>
        <w:fldChar w:fldCharType="begin"/>
      </w:r>
      <w:r w:rsidRPr="006F00FD">
        <w:rPr>
          <w:rFonts w:ascii="Arial" w:hAnsi="Arial" w:cs="Arial"/>
          <w:i w:val="0"/>
          <w:iCs w:val="0"/>
        </w:rPr>
        <w:instrText xml:space="preserve"> SEQ Table \* ARABIC </w:instrText>
      </w:r>
      <w:r w:rsidRPr="006F00FD">
        <w:rPr>
          <w:rFonts w:ascii="Arial" w:hAnsi="Arial" w:cs="Arial"/>
          <w:i w:val="0"/>
          <w:iCs w:val="0"/>
        </w:rPr>
        <w:fldChar w:fldCharType="separate"/>
      </w:r>
      <w:r w:rsidR="008615BA" w:rsidRPr="006F00FD">
        <w:rPr>
          <w:rFonts w:ascii="Arial" w:hAnsi="Arial" w:cs="Arial"/>
          <w:i w:val="0"/>
          <w:iCs w:val="0"/>
          <w:noProof/>
        </w:rPr>
        <w:t>4</w:t>
      </w:r>
      <w:r w:rsidRPr="006F00FD">
        <w:rPr>
          <w:rFonts w:ascii="Arial" w:hAnsi="Arial" w:cs="Arial"/>
          <w:i w:val="0"/>
          <w:iCs w:val="0"/>
        </w:rPr>
        <w:fldChar w:fldCharType="end"/>
      </w:r>
      <w:r w:rsidRPr="006F00FD">
        <w:rPr>
          <w:rFonts w:ascii="Arial" w:hAnsi="Arial" w:cs="Arial"/>
          <w:i w:val="0"/>
          <w:iCs w:val="0"/>
        </w:rPr>
        <w:t>: Regulatory Comparison – UK and EU AI Compliance Framework for Tesco Plc</w:t>
      </w:r>
    </w:p>
    <w:tbl>
      <w:tblPr>
        <w:tblStyle w:val="GridTableLight"/>
        <w:tblW w:w="9658" w:type="dxa"/>
        <w:tblLook w:val="04A0" w:firstRow="1" w:lastRow="0" w:firstColumn="1" w:lastColumn="0" w:noHBand="0" w:noVBand="1"/>
      </w:tblPr>
      <w:tblGrid>
        <w:gridCol w:w="2064"/>
        <w:gridCol w:w="3797"/>
        <w:gridCol w:w="3797"/>
      </w:tblGrid>
      <w:tr w:rsidR="000C7C08" w:rsidRPr="006F00FD" w14:paraId="5EF595D6" w14:textId="77777777" w:rsidTr="004E1A5C">
        <w:trPr>
          <w:trHeight w:val="408"/>
        </w:trPr>
        <w:tc>
          <w:tcPr>
            <w:tcW w:w="2064" w:type="dxa"/>
            <w:shd w:val="clear" w:color="auto" w:fill="B4C6E7" w:themeFill="accent1" w:themeFillTint="66"/>
          </w:tcPr>
          <w:p w14:paraId="1D3E49D7" w14:textId="77777777" w:rsidR="000C7C08" w:rsidRPr="006F00FD" w:rsidRDefault="009822E0" w:rsidP="003347C2">
            <w:pPr>
              <w:spacing w:line="360" w:lineRule="auto"/>
              <w:jc w:val="center"/>
              <w:rPr>
                <w:rFonts w:ascii="Arial" w:hAnsi="Arial" w:cs="Arial"/>
                <w:sz w:val="24"/>
                <w:szCs w:val="24"/>
              </w:rPr>
            </w:pPr>
            <w:r w:rsidRPr="006F00FD">
              <w:rPr>
                <w:rFonts w:ascii="Arial" w:eastAsia="Arial" w:hAnsi="Arial" w:cs="Arial"/>
                <w:b/>
                <w:bCs/>
                <w:sz w:val="24"/>
                <w:szCs w:val="24"/>
              </w:rPr>
              <w:t>Dimension</w:t>
            </w:r>
          </w:p>
        </w:tc>
        <w:tc>
          <w:tcPr>
            <w:tcW w:w="3797" w:type="dxa"/>
            <w:shd w:val="clear" w:color="auto" w:fill="B4C6E7" w:themeFill="accent1" w:themeFillTint="66"/>
          </w:tcPr>
          <w:p w14:paraId="79A38A0E" w14:textId="77777777" w:rsidR="000C7C08" w:rsidRPr="006F00FD" w:rsidRDefault="009822E0" w:rsidP="003347C2">
            <w:pPr>
              <w:spacing w:line="360" w:lineRule="auto"/>
              <w:jc w:val="center"/>
              <w:rPr>
                <w:rFonts w:ascii="Arial" w:hAnsi="Arial" w:cs="Arial"/>
                <w:sz w:val="24"/>
                <w:szCs w:val="24"/>
              </w:rPr>
            </w:pPr>
            <w:r w:rsidRPr="006F00FD">
              <w:rPr>
                <w:rFonts w:ascii="Arial" w:eastAsia="Arial" w:hAnsi="Arial" w:cs="Arial"/>
                <w:b/>
                <w:bCs/>
                <w:sz w:val="24"/>
                <w:szCs w:val="24"/>
              </w:rPr>
              <w:t>United Kingdom</w:t>
            </w:r>
          </w:p>
        </w:tc>
        <w:tc>
          <w:tcPr>
            <w:tcW w:w="3797" w:type="dxa"/>
            <w:shd w:val="clear" w:color="auto" w:fill="B4C6E7" w:themeFill="accent1" w:themeFillTint="66"/>
          </w:tcPr>
          <w:p w14:paraId="11F429D5" w14:textId="77777777" w:rsidR="000C7C08" w:rsidRPr="006F00FD" w:rsidRDefault="009822E0" w:rsidP="003347C2">
            <w:pPr>
              <w:spacing w:line="360" w:lineRule="auto"/>
              <w:jc w:val="center"/>
              <w:rPr>
                <w:rFonts w:ascii="Arial" w:hAnsi="Arial" w:cs="Arial"/>
                <w:sz w:val="24"/>
                <w:szCs w:val="24"/>
              </w:rPr>
            </w:pPr>
            <w:r w:rsidRPr="006F00FD">
              <w:rPr>
                <w:rFonts w:ascii="Arial" w:eastAsia="Arial" w:hAnsi="Arial" w:cs="Arial"/>
                <w:b/>
                <w:bCs/>
                <w:sz w:val="24"/>
                <w:szCs w:val="24"/>
              </w:rPr>
              <w:t>European Union</w:t>
            </w:r>
          </w:p>
        </w:tc>
      </w:tr>
      <w:tr w:rsidR="000C7C08" w:rsidRPr="006F00FD" w14:paraId="167BFA0D" w14:textId="77777777" w:rsidTr="004E1A5C">
        <w:trPr>
          <w:trHeight w:val="1249"/>
        </w:trPr>
        <w:tc>
          <w:tcPr>
            <w:tcW w:w="2064" w:type="dxa"/>
          </w:tcPr>
          <w:p w14:paraId="0E821B32" w14:textId="77777777" w:rsidR="000C7C08" w:rsidRPr="006F00FD" w:rsidRDefault="009822E0" w:rsidP="003347C2">
            <w:pPr>
              <w:spacing w:line="360" w:lineRule="auto"/>
              <w:rPr>
                <w:rFonts w:ascii="Arial" w:hAnsi="Arial" w:cs="Arial"/>
                <w:sz w:val="24"/>
                <w:szCs w:val="24"/>
              </w:rPr>
            </w:pPr>
            <w:r w:rsidRPr="006F00FD">
              <w:rPr>
                <w:rFonts w:ascii="Arial" w:hAnsi="Arial" w:cs="Arial"/>
                <w:b/>
                <w:bCs/>
                <w:color w:val="1A1A1A"/>
                <w:sz w:val="24"/>
                <w:szCs w:val="24"/>
              </w:rPr>
              <w:t>Primary Legislation</w:t>
            </w:r>
          </w:p>
        </w:tc>
        <w:tc>
          <w:tcPr>
            <w:tcW w:w="3797" w:type="dxa"/>
          </w:tcPr>
          <w:p w14:paraId="305A0895"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UK GDPR; Data Protection Act 2018; ICO AI Guidance (non-statutory)</w:t>
            </w:r>
          </w:p>
        </w:tc>
        <w:tc>
          <w:tcPr>
            <w:tcW w:w="3797" w:type="dxa"/>
          </w:tcPr>
          <w:p w14:paraId="0908178C"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EU GDPR; EU AI Act (Regulation 2024/1689)</w:t>
            </w:r>
          </w:p>
        </w:tc>
      </w:tr>
      <w:tr w:rsidR="000C7C08" w:rsidRPr="006F00FD" w14:paraId="00EDE8A3" w14:textId="77777777" w:rsidTr="004E1A5C">
        <w:trPr>
          <w:trHeight w:val="817"/>
        </w:trPr>
        <w:tc>
          <w:tcPr>
            <w:tcW w:w="2064" w:type="dxa"/>
            <w:shd w:val="clear" w:color="auto" w:fill="DBDBDB" w:themeFill="accent3" w:themeFillTint="66"/>
          </w:tcPr>
          <w:p w14:paraId="2D34944C" w14:textId="77777777" w:rsidR="000C7C08" w:rsidRPr="006F00FD" w:rsidRDefault="009822E0" w:rsidP="003347C2">
            <w:pPr>
              <w:spacing w:line="360" w:lineRule="auto"/>
              <w:rPr>
                <w:rFonts w:ascii="Arial" w:hAnsi="Arial" w:cs="Arial"/>
                <w:sz w:val="24"/>
                <w:szCs w:val="24"/>
              </w:rPr>
            </w:pPr>
            <w:r w:rsidRPr="006F00FD">
              <w:rPr>
                <w:rFonts w:ascii="Arial" w:hAnsi="Arial" w:cs="Arial"/>
                <w:b/>
                <w:bCs/>
                <w:color w:val="1A1A1A"/>
                <w:sz w:val="24"/>
                <w:szCs w:val="24"/>
              </w:rPr>
              <w:t>Enforcement Body</w:t>
            </w:r>
          </w:p>
        </w:tc>
        <w:tc>
          <w:tcPr>
            <w:tcW w:w="3797" w:type="dxa"/>
            <w:shd w:val="clear" w:color="auto" w:fill="DBDBDB" w:themeFill="accent3" w:themeFillTint="66"/>
          </w:tcPr>
          <w:p w14:paraId="5529FDB3"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Information Commissioner's Office (ICO)</w:t>
            </w:r>
          </w:p>
        </w:tc>
        <w:tc>
          <w:tcPr>
            <w:tcW w:w="3797" w:type="dxa"/>
            <w:shd w:val="clear" w:color="auto" w:fill="DBDBDB" w:themeFill="accent3" w:themeFillTint="66"/>
          </w:tcPr>
          <w:p w14:paraId="46F6B0EA"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National supervisory authorities coordinated by the EU AI Office</w:t>
            </w:r>
          </w:p>
        </w:tc>
      </w:tr>
      <w:tr w:rsidR="000C7C08" w:rsidRPr="006F00FD" w14:paraId="7A83E10A" w14:textId="77777777" w:rsidTr="004E1A5C">
        <w:trPr>
          <w:trHeight w:val="1249"/>
        </w:trPr>
        <w:tc>
          <w:tcPr>
            <w:tcW w:w="2064" w:type="dxa"/>
          </w:tcPr>
          <w:p w14:paraId="420270B5" w14:textId="77777777" w:rsidR="000C7C08" w:rsidRPr="006F00FD" w:rsidRDefault="009822E0" w:rsidP="003347C2">
            <w:pPr>
              <w:spacing w:line="360" w:lineRule="auto"/>
              <w:rPr>
                <w:rFonts w:ascii="Arial" w:hAnsi="Arial" w:cs="Arial"/>
                <w:sz w:val="24"/>
                <w:szCs w:val="24"/>
              </w:rPr>
            </w:pPr>
            <w:r w:rsidRPr="006F00FD">
              <w:rPr>
                <w:rFonts w:ascii="Arial" w:hAnsi="Arial" w:cs="Arial"/>
                <w:b/>
                <w:bCs/>
                <w:color w:val="1A1A1A"/>
                <w:sz w:val="24"/>
                <w:szCs w:val="24"/>
              </w:rPr>
              <w:t>AI-Specific Regulation</w:t>
            </w:r>
          </w:p>
        </w:tc>
        <w:tc>
          <w:tcPr>
            <w:tcW w:w="3797" w:type="dxa"/>
          </w:tcPr>
          <w:p w14:paraId="72AAB222"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Sector-specific guidance only; no dedicated AI Act as of 2025</w:t>
            </w:r>
          </w:p>
        </w:tc>
        <w:tc>
          <w:tcPr>
            <w:tcW w:w="3797" w:type="dxa"/>
          </w:tcPr>
          <w:p w14:paraId="1980BA9D"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EU AI Act in force from August 2024; phased obligations through 2026-2027</w:t>
            </w:r>
          </w:p>
        </w:tc>
      </w:tr>
      <w:tr w:rsidR="000C7C08" w:rsidRPr="006F00FD" w14:paraId="5F3D7DC0" w14:textId="77777777" w:rsidTr="004E1A5C">
        <w:trPr>
          <w:trHeight w:val="3317"/>
        </w:trPr>
        <w:tc>
          <w:tcPr>
            <w:tcW w:w="2064" w:type="dxa"/>
            <w:shd w:val="clear" w:color="auto" w:fill="DBDBDB" w:themeFill="accent3" w:themeFillTint="66"/>
          </w:tcPr>
          <w:p w14:paraId="305D2BD4" w14:textId="77777777" w:rsidR="000C7C08" w:rsidRPr="006F00FD" w:rsidRDefault="009822E0" w:rsidP="003347C2">
            <w:pPr>
              <w:spacing w:line="360" w:lineRule="auto"/>
              <w:rPr>
                <w:rFonts w:ascii="Arial" w:hAnsi="Arial" w:cs="Arial"/>
                <w:sz w:val="24"/>
                <w:szCs w:val="24"/>
              </w:rPr>
            </w:pPr>
            <w:r w:rsidRPr="006F00FD">
              <w:rPr>
                <w:rFonts w:ascii="Arial" w:hAnsi="Arial" w:cs="Arial"/>
                <w:b/>
                <w:bCs/>
                <w:color w:val="1A1A1A"/>
                <w:sz w:val="24"/>
                <w:szCs w:val="24"/>
              </w:rPr>
              <w:t>Retail AI Classification</w:t>
            </w:r>
          </w:p>
        </w:tc>
        <w:tc>
          <w:tcPr>
            <w:tcW w:w="3797" w:type="dxa"/>
            <w:shd w:val="clear" w:color="auto" w:fill="DBDBDB" w:themeFill="accent3" w:themeFillTint="66"/>
          </w:tcPr>
          <w:p w14:paraId="01672CC6"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No formal risk classification; self-regulatory approach encouraged by ICO</w:t>
            </w:r>
          </w:p>
        </w:tc>
        <w:tc>
          <w:tcPr>
            <w:tcW w:w="3797" w:type="dxa"/>
            <w:shd w:val="clear" w:color="auto" w:fill="DBDBDB" w:themeFill="accent3" w:themeFillTint="66"/>
          </w:tcPr>
          <w:p w14:paraId="6E2D69B7"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Standard grocery dynamic pricing is NOT high-risk under Annex III. Clubcard applications involving financial scoring or essential service access may engage Annex III; classification unsettled pending enforcement guidance</w:t>
            </w:r>
          </w:p>
        </w:tc>
      </w:tr>
      <w:tr w:rsidR="000C7C08" w:rsidRPr="006F00FD" w14:paraId="38AA6ED8" w14:textId="77777777" w:rsidTr="004E1A5C">
        <w:trPr>
          <w:trHeight w:val="1646"/>
        </w:trPr>
        <w:tc>
          <w:tcPr>
            <w:tcW w:w="2064" w:type="dxa"/>
          </w:tcPr>
          <w:p w14:paraId="550E2642" w14:textId="77777777" w:rsidR="000C7C08" w:rsidRPr="006F00FD" w:rsidRDefault="009822E0" w:rsidP="003347C2">
            <w:pPr>
              <w:spacing w:line="360" w:lineRule="auto"/>
              <w:rPr>
                <w:rFonts w:ascii="Arial" w:hAnsi="Arial" w:cs="Arial"/>
                <w:sz w:val="24"/>
                <w:szCs w:val="24"/>
              </w:rPr>
            </w:pPr>
            <w:r w:rsidRPr="006F00FD">
              <w:rPr>
                <w:rFonts w:ascii="Arial" w:hAnsi="Arial" w:cs="Arial"/>
                <w:b/>
                <w:bCs/>
                <w:color w:val="1A1A1A"/>
                <w:sz w:val="24"/>
                <w:szCs w:val="24"/>
              </w:rPr>
              <w:t>Max Financial Penalty</w:t>
            </w:r>
          </w:p>
        </w:tc>
        <w:tc>
          <w:tcPr>
            <w:tcW w:w="3797" w:type="dxa"/>
          </w:tcPr>
          <w:p w14:paraId="1ADEA751"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Up to £17.5 million or 4% of global annual turnover, whichever is higher</w:t>
            </w:r>
          </w:p>
        </w:tc>
        <w:tc>
          <w:tcPr>
            <w:tcW w:w="3797" w:type="dxa"/>
          </w:tcPr>
          <w:p w14:paraId="6AC59322"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Up to €35 million or 7% of global annual turnover for prohibited AI; up to 3% for other infringements</w:t>
            </w:r>
          </w:p>
        </w:tc>
      </w:tr>
      <w:tr w:rsidR="000C7C08" w:rsidRPr="006F00FD" w14:paraId="3F82B815" w14:textId="77777777" w:rsidTr="004E1A5C">
        <w:trPr>
          <w:trHeight w:val="1658"/>
        </w:trPr>
        <w:tc>
          <w:tcPr>
            <w:tcW w:w="2064" w:type="dxa"/>
            <w:shd w:val="clear" w:color="auto" w:fill="DBDBDB" w:themeFill="accent3" w:themeFillTint="66"/>
          </w:tcPr>
          <w:p w14:paraId="7D6B3918" w14:textId="77777777" w:rsidR="000C7C08" w:rsidRPr="006F00FD" w:rsidRDefault="009822E0" w:rsidP="003347C2">
            <w:pPr>
              <w:spacing w:line="360" w:lineRule="auto"/>
              <w:rPr>
                <w:rFonts w:ascii="Arial" w:hAnsi="Arial" w:cs="Arial"/>
                <w:sz w:val="24"/>
                <w:szCs w:val="24"/>
              </w:rPr>
            </w:pPr>
            <w:r w:rsidRPr="006F00FD">
              <w:rPr>
                <w:rFonts w:ascii="Arial" w:hAnsi="Arial" w:cs="Arial"/>
                <w:b/>
                <w:bCs/>
                <w:color w:val="1A1A1A"/>
                <w:sz w:val="24"/>
                <w:szCs w:val="24"/>
              </w:rPr>
              <w:t>Automated Decision Rights</w:t>
            </w:r>
          </w:p>
        </w:tc>
        <w:tc>
          <w:tcPr>
            <w:tcW w:w="3797" w:type="dxa"/>
            <w:shd w:val="clear" w:color="auto" w:fill="DBDBDB" w:themeFill="accent3" w:themeFillTint="66"/>
          </w:tcPr>
          <w:p w14:paraId="157A4BC0"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Right to explanation and human review under UK GDPR Article 22</w:t>
            </w:r>
          </w:p>
        </w:tc>
        <w:tc>
          <w:tcPr>
            <w:tcW w:w="3797" w:type="dxa"/>
            <w:shd w:val="clear" w:color="auto" w:fill="DBDBDB" w:themeFill="accent3" w:themeFillTint="66"/>
          </w:tcPr>
          <w:p w14:paraId="0FB8CC4F" w14:textId="3B7C0F93"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 xml:space="preserve">Strengthened under </w:t>
            </w:r>
            <w:r w:rsidR="005414EB" w:rsidRPr="006F00FD">
              <w:rPr>
                <w:rFonts w:ascii="Arial" w:hAnsi="Arial" w:cs="Arial"/>
                <w:color w:val="1A1A1A"/>
                <w:sz w:val="24"/>
                <w:szCs w:val="24"/>
              </w:rPr>
              <w:t xml:space="preserve">the </w:t>
            </w:r>
            <w:r w:rsidRPr="006F00FD">
              <w:rPr>
                <w:rFonts w:ascii="Arial" w:hAnsi="Arial" w:cs="Arial"/>
                <w:color w:val="1A1A1A"/>
                <w:sz w:val="24"/>
                <w:szCs w:val="24"/>
              </w:rPr>
              <w:t>EU AI Act; mandatory human oversight for confirmed high-risk AI systems</w:t>
            </w:r>
          </w:p>
        </w:tc>
      </w:tr>
      <w:tr w:rsidR="000C7C08" w:rsidRPr="006F00FD" w14:paraId="4F2325B3" w14:textId="77777777" w:rsidTr="004E1A5C">
        <w:trPr>
          <w:trHeight w:val="1658"/>
        </w:trPr>
        <w:tc>
          <w:tcPr>
            <w:tcW w:w="2064" w:type="dxa"/>
          </w:tcPr>
          <w:p w14:paraId="14DCDF1D" w14:textId="77777777" w:rsidR="000C7C08" w:rsidRPr="006F00FD" w:rsidRDefault="009822E0" w:rsidP="003347C2">
            <w:pPr>
              <w:spacing w:line="360" w:lineRule="auto"/>
              <w:rPr>
                <w:rFonts w:ascii="Arial" w:hAnsi="Arial" w:cs="Arial"/>
                <w:sz w:val="24"/>
                <w:szCs w:val="24"/>
              </w:rPr>
            </w:pPr>
            <w:r w:rsidRPr="006F00FD">
              <w:rPr>
                <w:rFonts w:ascii="Arial" w:hAnsi="Arial" w:cs="Arial"/>
                <w:b/>
                <w:bCs/>
                <w:color w:val="1A1A1A"/>
                <w:sz w:val="24"/>
                <w:szCs w:val="24"/>
              </w:rPr>
              <w:t>Transparency Requirements</w:t>
            </w:r>
          </w:p>
        </w:tc>
        <w:tc>
          <w:tcPr>
            <w:tcW w:w="3797" w:type="dxa"/>
          </w:tcPr>
          <w:p w14:paraId="78681B12"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Privacy notices required; no mandatory algorithmic disclosure in retail</w:t>
            </w:r>
          </w:p>
        </w:tc>
        <w:tc>
          <w:tcPr>
            <w:tcW w:w="3797" w:type="dxa"/>
          </w:tcPr>
          <w:p w14:paraId="4CE382F1" w14:textId="3E95DDB3"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 xml:space="preserve">High-risk systems require technical documentation, conformity assessments, and registration in </w:t>
            </w:r>
            <w:r w:rsidR="005414EB" w:rsidRPr="006F00FD">
              <w:rPr>
                <w:rFonts w:ascii="Arial" w:hAnsi="Arial" w:cs="Arial"/>
                <w:color w:val="1A1A1A"/>
                <w:sz w:val="24"/>
                <w:szCs w:val="24"/>
              </w:rPr>
              <w:t xml:space="preserve">the </w:t>
            </w:r>
            <w:r w:rsidRPr="006F00FD">
              <w:rPr>
                <w:rFonts w:ascii="Arial" w:hAnsi="Arial" w:cs="Arial"/>
                <w:color w:val="1A1A1A"/>
                <w:sz w:val="24"/>
                <w:szCs w:val="24"/>
              </w:rPr>
              <w:t>EU database</w:t>
            </w:r>
          </w:p>
        </w:tc>
      </w:tr>
    </w:tbl>
    <w:p w14:paraId="5A8C748D" w14:textId="0B5CF115" w:rsidR="00633D9E" w:rsidRPr="006F00FD" w:rsidRDefault="00633D9E" w:rsidP="003347C2">
      <w:pPr>
        <w:spacing w:line="360" w:lineRule="auto"/>
        <w:jc w:val="both"/>
        <w:rPr>
          <w:rFonts w:ascii="Arial" w:hAnsi="Arial" w:cs="Arial"/>
          <w:sz w:val="24"/>
          <w:szCs w:val="24"/>
        </w:rPr>
      </w:pPr>
      <w:r w:rsidRPr="006F00FD">
        <w:rPr>
          <w:rFonts w:ascii="Arial" w:hAnsi="Arial" w:cs="Arial"/>
          <w:sz w:val="24"/>
          <w:szCs w:val="24"/>
        </w:rPr>
        <w:t xml:space="preserve">The first legislative framework specifically addressing AI systems is the EU AI Act that came into force in August 2024 under Regulation 2024/1689 (European Union, 2024). The scope of the Act is </w:t>
      </w:r>
      <w:proofErr w:type="spellStart"/>
      <w:r w:rsidR="005414EB" w:rsidRPr="006F00FD">
        <w:rPr>
          <w:rFonts w:ascii="Arial" w:hAnsi="Arial" w:cs="Arial"/>
          <w:sz w:val="24"/>
          <w:szCs w:val="24"/>
        </w:rPr>
        <w:t>analysed</w:t>
      </w:r>
      <w:proofErr w:type="spellEnd"/>
      <w:r w:rsidR="005414EB" w:rsidRPr="006F00FD">
        <w:rPr>
          <w:rFonts w:ascii="Arial" w:hAnsi="Arial" w:cs="Arial"/>
          <w:sz w:val="24"/>
          <w:szCs w:val="24"/>
        </w:rPr>
        <w:t xml:space="preserve"> in detail by </w:t>
      </w:r>
      <w:proofErr w:type="spellStart"/>
      <w:r w:rsidR="005414EB" w:rsidRPr="006F00FD">
        <w:rPr>
          <w:rFonts w:ascii="Arial" w:hAnsi="Arial" w:cs="Arial"/>
          <w:sz w:val="24"/>
          <w:szCs w:val="24"/>
        </w:rPr>
        <w:t>Gstrein</w:t>
      </w:r>
      <w:proofErr w:type="spellEnd"/>
      <w:r w:rsidR="005414EB" w:rsidRPr="006F00FD">
        <w:rPr>
          <w:rFonts w:ascii="Arial" w:hAnsi="Arial" w:cs="Arial"/>
          <w:sz w:val="24"/>
          <w:szCs w:val="24"/>
        </w:rPr>
        <w:t xml:space="preserve">, </w:t>
      </w:r>
      <w:proofErr w:type="spellStart"/>
      <w:r w:rsidR="005414EB" w:rsidRPr="006F00FD">
        <w:rPr>
          <w:rFonts w:ascii="Arial" w:hAnsi="Arial" w:cs="Arial"/>
          <w:sz w:val="24"/>
          <w:szCs w:val="24"/>
        </w:rPr>
        <w:t>Haleem</w:t>
      </w:r>
      <w:proofErr w:type="spellEnd"/>
      <w:r w:rsidR="005414EB" w:rsidRPr="006F00FD">
        <w:rPr>
          <w:rFonts w:ascii="Arial" w:hAnsi="Arial" w:cs="Arial"/>
          <w:sz w:val="24"/>
          <w:szCs w:val="24"/>
        </w:rPr>
        <w:t xml:space="preserve">, and </w:t>
      </w:r>
      <w:proofErr w:type="spellStart"/>
      <w:r w:rsidR="005414EB" w:rsidRPr="006F00FD">
        <w:rPr>
          <w:rFonts w:ascii="Arial" w:hAnsi="Arial" w:cs="Arial"/>
          <w:sz w:val="24"/>
          <w:szCs w:val="24"/>
        </w:rPr>
        <w:t>Zwitter</w:t>
      </w:r>
      <w:proofErr w:type="spellEnd"/>
      <w:r w:rsidR="005414EB" w:rsidRPr="006F00FD">
        <w:rPr>
          <w:rFonts w:ascii="Arial" w:hAnsi="Arial" w:cs="Arial"/>
          <w:sz w:val="24"/>
          <w:szCs w:val="24"/>
        </w:rPr>
        <w:t xml:space="preserve"> (2024), who note that the Act's general-purpose AI provisions apply to both foundation models and </w:t>
      </w:r>
      <w:r w:rsidR="005414EB" w:rsidRPr="006F00FD">
        <w:rPr>
          <w:rFonts w:ascii="Arial" w:hAnsi="Arial" w:cs="Arial"/>
          <w:sz w:val="24"/>
          <w:szCs w:val="24"/>
        </w:rPr>
        <w:lastRenderedPageBreak/>
        <w:t>large-scale deployment systems, which may</w:t>
      </w:r>
      <w:r w:rsidRPr="006F00FD">
        <w:rPr>
          <w:rFonts w:ascii="Arial" w:hAnsi="Arial" w:cs="Arial"/>
          <w:sz w:val="24"/>
          <w:szCs w:val="24"/>
        </w:rPr>
        <w:t xml:space="preserve"> not necessarily consider regulatory compliance as a design factor. An essential clarification is needed on the Annex III classification: standard grocery dynamic pricing is not among the high-risk areas of the EU AI Act that are limited to biometric identification, critical infrastructure, education, employment, essential private and public services such as credit and insurance, law enforcement, migration, and the administration of justice. The daily pricing algorithms used at Tesco do not thus lead to Annex III obligations. The Annex III boundary may</w:t>
      </w:r>
      <w:r w:rsidR="005414EB" w:rsidRPr="006F00FD">
        <w:rPr>
          <w:rFonts w:ascii="Arial" w:hAnsi="Arial" w:cs="Arial"/>
          <w:sz w:val="24"/>
          <w:szCs w:val="24"/>
        </w:rPr>
        <w:t xml:space="preserve">, however, be invoked where Clubcard data is used in decision-making regarding access to Tesco Bank credit or insurance products, or where price differentiation of necessities is based on </w:t>
      </w:r>
      <w:proofErr w:type="spellStart"/>
      <w:r w:rsidR="005414EB" w:rsidRPr="006F00FD">
        <w:rPr>
          <w:rFonts w:ascii="Arial" w:hAnsi="Arial" w:cs="Arial"/>
          <w:sz w:val="24"/>
          <w:szCs w:val="24"/>
        </w:rPr>
        <w:t>personalised</w:t>
      </w:r>
      <w:proofErr w:type="spellEnd"/>
      <w:r w:rsidRPr="006F00FD">
        <w:rPr>
          <w:rFonts w:ascii="Arial" w:hAnsi="Arial" w:cs="Arial"/>
          <w:sz w:val="24"/>
          <w:szCs w:val="24"/>
        </w:rPr>
        <w:t xml:space="preserve"> data. This difference is analytically important and must inform </w:t>
      </w:r>
      <w:r w:rsidR="005414EB" w:rsidRPr="006F00FD">
        <w:rPr>
          <w:rFonts w:ascii="Arial" w:hAnsi="Arial" w:cs="Arial"/>
          <w:sz w:val="24"/>
          <w:szCs w:val="24"/>
        </w:rPr>
        <w:t>Tesco's calibration of</w:t>
      </w:r>
      <w:r w:rsidRPr="006F00FD">
        <w:rPr>
          <w:rFonts w:ascii="Arial" w:hAnsi="Arial" w:cs="Arial"/>
          <w:sz w:val="24"/>
          <w:szCs w:val="24"/>
        </w:rPr>
        <w:t xml:space="preserve"> its compliance investment.</w:t>
      </w:r>
    </w:p>
    <w:p w14:paraId="596039E3" w14:textId="39EB8652" w:rsidR="00633D9E" w:rsidRPr="006F00FD" w:rsidRDefault="00633D9E" w:rsidP="003347C2">
      <w:pPr>
        <w:spacing w:line="360" w:lineRule="auto"/>
        <w:jc w:val="both"/>
        <w:rPr>
          <w:rFonts w:ascii="Arial" w:hAnsi="Arial" w:cs="Arial"/>
          <w:sz w:val="24"/>
          <w:szCs w:val="24"/>
        </w:rPr>
      </w:pPr>
      <w:r w:rsidRPr="006F00FD">
        <w:rPr>
          <w:rFonts w:ascii="Arial" w:hAnsi="Arial" w:cs="Arial"/>
          <w:sz w:val="24"/>
          <w:szCs w:val="24"/>
        </w:rPr>
        <w:t xml:space="preserve">According to Calvin </w:t>
      </w:r>
      <w:proofErr w:type="spellStart"/>
      <w:r w:rsidRPr="006F00FD">
        <w:rPr>
          <w:rFonts w:ascii="Arial" w:hAnsi="Arial" w:cs="Arial"/>
          <w:sz w:val="24"/>
          <w:szCs w:val="24"/>
        </w:rPr>
        <w:t>Wai</w:t>
      </w:r>
      <w:proofErr w:type="spellEnd"/>
      <w:r w:rsidRPr="006F00FD">
        <w:rPr>
          <w:rFonts w:ascii="Arial" w:hAnsi="Arial" w:cs="Arial"/>
          <w:sz w:val="24"/>
          <w:szCs w:val="24"/>
        </w:rPr>
        <w:t xml:space="preserve">-Loon Ho and </w:t>
      </w:r>
      <w:proofErr w:type="spellStart"/>
      <w:r w:rsidRPr="006F00FD">
        <w:rPr>
          <w:rFonts w:ascii="Arial" w:hAnsi="Arial" w:cs="Arial"/>
          <w:sz w:val="24"/>
          <w:szCs w:val="24"/>
        </w:rPr>
        <w:t>Caals</w:t>
      </w:r>
      <w:proofErr w:type="spellEnd"/>
      <w:r w:rsidRPr="006F00FD">
        <w:rPr>
          <w:rFonts w:ascii="Arial" w:hAnsi="Arial" w:cs="Arial"/>
          <w:sz w:val="24"/>
          <w:szCs w:val="24"/>
        </w:rPr>
        <w:t xml:space="preserve"> (2024), the EU AI Act is inherently </w:t>
      </w:r>
      <w:r w:rsidR="005414EB" w:rsidRPr="006F00FD">
        <w:rPr>
          <w:rFonts w:ascii="Arial" w:hAnsi="Arial" w:cs="Arial"/>
          <w:sz w:val="24"/>
          <w:szCs w:val="24"/>
        </w:rPr>
        <w:t>designed to establish an epistemic framework for trust, enabling regulators and consumers to make informed decisions about</w:t>
      </w:r>
      <w:r w:rsidRPr="006F00FD">
        <w:rPr>
          <w:rFonts w:ascii="Arial" w:hAnsi="Arial" w:cs="Arial"/>
          <w:sz w:val="24"/>
          <w:szCs w:val="24"/>
        </w:rPr>
        <w:t xml:space="preserve"> AI systems. This framing implies a lot to Tesco: being compliant does not just mean that you are within the technical specifications but that you can prove, via documentation and disclosure that AI systems are working as asserted. </w:t>
      </w:r>
      <w:proofErr w:type="spellStart"/>
      <w:r w:rsidRPr="006F00FD">
        <w:rPr>
          <w:rFonts w:ascii="Arial" w:hAnsi="Arial" w:cs="Arial"/>
          <w:sz w:val="24"/>
          <w:szCs w:val="24"/>
        </w:rPr>
        <w:t>Cancela-Outeda</w:t>
      </w:r>
      <w:proofErr w:type="spellEnd"/>
      <w:r w:rsidRPr="006F00FD">
        <w:rPr>
          <w:rFonts w:ascii="Arial" w:hAnsi="Arial" w:cs="Arial"/>
          <w:sz w:val="24"/>
          <w:szCs w:val="24"/>
        </w:rPr>
        <w:t xml:space="preserve"> (2024) discusses the collaborative governance framework of the Act and finds a contradiction between </w:t>
      </w:r>
      <w:r w:rsidR="005414EB" w:rsidRPr="006F00FD">
        <w:rPr>
          <w:rFonts w:ascii="Arial" w:hAnsi="Arial" w:cs="Arial"/>
          <w:sz w:val="24"/>
          <w:szCs w:val="24"/>
        </w:rPr>
        <w:t xml:space="preserve">the </w:t>
      </w:r>
      <w:proofErr w:type="spellStart"/>
      <w:r w:rsidR="005414EB" w:rsidRPr="006F00FD">
        <w:rPr>
          <w:rFonts w:ascii="Arial" w:hAnsi="Arial" w:cs="Arial"/>
          <w:sz w:val="24"/>
          <w:szCs w:val="24"/>
        </w:rPr>
        <w:t>centralisation</w:t>
      </w:r>
      <w:proofErr w:type="spellEnd"/>
      <w:r w:rsidR="005414EB" w:rsidRPr="006F00FD">
        <w:rPr>
          <w:rFonts w:ascii="Arial" w:hAnsi="Arial" w:cs="Arial"/>
          <w:sz w:val="24"/>
          <w:szCs w:val="24"/>
        </w:rPr>
        <w:t xml:space="preserve"> of enforcement via the EU AI Office and the practical reality that national authorities continue to be tasked with supervising AI applications in the retail sector, potentially leading to inconsistencies</w:t>
      </w:r>
      <w:r w:rsidRPr="006F00FD">
        <w:rPr>
          <w:rFonts w:ascii="Arial" w:hAnsi="Arial" w:cs="Arial"/>
          <w:sz w:val="24"/>
          <w:szCs w:val="24"/>
        </w:rPr>
        <w:t xml:space="preserve"> in the EU-wide assessment of AI applications.</w:t>
      </w:r>
    </w:p>
    <w:p w14:paraId="50DD592D" w14:textId="6718C4A1" w:rsidR="000C7C08" w:rsidRPr="006F00FD" w:rsidRDefault="00213EF8" w:rsidP="003347C2">
      <w:pPr>
        <w:spacing w:line="360" w:lineRule="auto"/>
        <w:jc w:val="both"/>
        <w:rPr>
          <w:rFonts w:ascii="Arial" w:hAnsi="Arial" w:cs="Arial"/>
          <w:sz w:val="24"/>
          <w:szCs w:val="24"/>
        </w:rPr>
      </w:pPr>
      <w:r w:rsidRPr="006F00FD">
        <w:rPr>
          <w:rFonts w:ascii="Arial" w:hAnsi="Arial" w:cs="Arial"/>
          <w:sz w:val="24"/>
          <w:szCs w:val="24"/>
        </w:rPr>
        <w:t xml:space="preserve">An exceptionally timely critical analysis of the relationship between trustworthiness and risk acceptability in the EU AI Act written by Laux, Wachter and Mittelstadt (2023) insists on the fact that the Act confounds the two different notions in such a way that it can create perverse incentives where the </w:t>
      </w:r>
      <w:proofErr w:type="spellStart"/>
      <w:r w:rsidRPr="006F00FD">
        <w:rPr>
          <w:rFonts w:ascii="Arial" w:hAnsi="Arial" w:cs="Arial"/>
          <w:sz w:val="24"/>
          <w:szCs w:val="24"/>
        </w:rPr>
        <w:t>organisations</w:t>
      </w:r>
      <w:proofErr w:type="spellEnd"/>
      <w:r w:rsidRPr="006F00FD">
        <w:rPr>
          <w:rFonts w:ascii="Arial" w:hAnsi="Arial" w:cs="Arial"/>
          <w:sz w:val="24"/>
          <w:szCs w:val="24"/>
        </w:rPr>
        <w:t xml:space="preserve"> invest in the imagery of being trustworthy, rather than being trustworthy. Wachter, Mittelstadt and Russell (2021) also support this objection by a legal method and demonstrate that the fairness of automated decision-making can only be achieved in a technical manner and must be directly applied to the EU non-discrimination law, which is not reflected in the AI Act in its entirety. According to Hartmann et al. (2024), the audit ecosystem on the Act is not well developed, and that civil society </w:t>
      </w:r>
      <w:proofErr w:type="spellStart"/>
      <w:r w:rsidRPr="006F00FD">
        <w:rPr>
          <w:rFonts w:ascii="Arial" w:hAnsi="Arial" w:cs="Arial"/>
          <w:sz w:val="24"/>
          <w:szCs w:val="24"/>
        </w:rPr>
        <w:t>organisations</w:t>
      </w:r>
      <w:proofErr w:type="spellEnd"/>
      <w:r w:rsidRPr="006F00FD">
        <w:rPr>
          <w:rFonts w:ascii="Arial" w:hAnsi="Arial" w:cs="Arial"/>
          <w:sz w:val="24"/>
          <w:szCs w:val="24"/>
        </w:rPr>
        <w:t xml:space="preserve"> lack the technical resources to perform a meaningful independent review of AI systems in use. Rott (2025) approaches the topic of digital fairness in the context of the legal framework of consumer law, arguing that the burden of proof in cases of AI-intermediated consumer harm has not been dealt with </w:t>
      </w:r>
      <w:r w:rsidRPr="006F00FD">
        <w:rPr>
          <w:rFonts w:ascii="Arial" w:hAnsi="Arial" w:cs="Arial"/>
          <w:sz w:val="24"/>
          <w:szCs w:val="24"/>
        </w:rPr>
        <w:lastRenderedPageBreak/>
        <w:t>appropriately in both the EU and UK arrangements, and that the consumers are structurally disfavored in appealing the decisions reached in an algorithmic-mediated manner.</w:t>
      </w:r>
    </w:p>
    <w:p w14:paraId="2C83B69B" w14:textId="23D4A34C" w:rsidR="000C7C08" w:rsidRPr="006F00FD" w:rsidRDefault="009822E0" w:rsidP="004A3782">
      <w:pPr>
        <w:pStyle w:val="Heading2"/>
      </w:pPr>
      <w:bookmarkStart w:id="8" w:name="_Toc227973220"/>
      <w:r w:rsidRPr="006F00FD">
        <w:t>Consumer Trust</w:t>
      </w:r>
      <w:bookmarkEnd w:id="8"/>
    </w:p>
    <w:p w14:paraId="74251A99" w14:textId="77777777" w:rsidR="00D805D1" w:rsidRPr="006F00FD" w:rsidRDefault="00D805D1" w:rsidP="00D805D1">
      <w:pPr>
        <w:spacing w:line="360" w:lineRule="auto"/>
        <w:jc w:val="both"/>
        <w:rPr>
          <w:rFonts w:ascii="Arial" w:hAnsi="Arial" w:cs="Arial"/>
          <w:sz w:val="24"/>
          <w:szCs w:val="24"/>
        </w:rPr>
      </w:pPr>
      <w:r w:rsidRPr="006F00FD">
        <w:rPr>
          <w:rFonts w:ascii="Arial" w:hAnsi="Arial" w:cs="Arial"/>
          <w:sz w:val="24"/>
          <w:szCs w:val="24"/>
        </w:rPr>
        <w:t xml:space="preserve">One of the main components of the commercial foundation of the Tesco Clubcard ecosystem is consumer trust, and it is the strongest asset at the same time the most significant weakness in the terms of AI implementation. The academic literature illustrates a multi-dimensional trust construct, whereby, cognitive, affective, and </w:t>
      </w:r>
      <w:proofErr w:type="spellStart"/>
      <w:r w:rsidRPr="006F00FD">
        <w:rPr>
          <w:rFonts w:ascii="Arial" w:hAnsi="Arial" w:cs="Arial"/>
          <w:sz w:val="24"/>
          <w:szCs w:val="24"/>
        </w:rPr>
        <w:t>behavioural</w:t>
      </w:r>
      <w:proofErr w:type="spellEnd"/>
      <w:r w:rsidRPr="006F00FD">
        <w:rPr>
          <w:rFonts w:ascii="Arial" w:hAnsi="Arial" w:cs="Arial"/>
          <w:sz w:val="24"/>
          <w:szCs w:val="24"/>
        </w:rPr>
        <w:t xml:space="preserve"> components interact in a multi-dimensional manner that cannot be fulfilled by simple transparency measures.</w:t>
      </w:r>
    </w:p>
    <w:p w14:paraId="4E7A64CE" w14:textId="77777777" w:rsidR="00D805D1" w:rsidRPr="006F00FD" w:rsidRDefault="00D805D1" w:rsidP="00D805D1">
      <w:pPr>
        <w:spacing w:line="360" w:lineRule="auto"/>
        <w:jc w:val="both"/>
        <w:rPr>
          <w:rFonts w:ascii="Arial" w:hAnsi="Arial" w:cs="Arial"/>
          <w:sz w:val="24"/>
          <w:szCs w:val="24"/>
        </w:rPr>
      </w:pPr>
      <w:r w:rsidRPr="006F00FD">
        <w:rPr>
          <w:rFonts w:ascii="Arial" w:hAnsi="Arial" w:cs="Arial"/>
          <w:sz w:val="24"/>
          <w:szCs w:val="24"/>
        </w:rPr>
        <w:t xml:space="preserve">Dahlin (2025) provides a theoretically informed explanation of trust in AI and argues that consumer trust is not an issue of the system being accurate or disclosed, but a question of perceived consistency between the values proclaimed by an </w:t>
      </w:r>
      <w:proofErr w:type="spellStart"/>
      <w:r w:rsidRPr="006F00FD">
        <w:rPr>
          <w:rFonts w:ascii="Arial" w:hAnsi="Arial" w:cs="Arial"/>
          <w:sz w:val="24"/>
          <w:szCs w:val="24"/>
        </w:rPr>
        <w:t>organisation</w:t>
      </w:r>
      <w:proofErr w:type="spellEnd"/>
      <w:r w:rsidRPr="006F00FD">
        <w:rPr>
          <w:rFonts w:ascii="Arial" w:hAnsi="Arial" w:cs="Arial"/>
          <w:sz w:val="24"/>
          <w:szCs w:val="24"/>
        </w:rPr>
        <w:t xml:space="preserve"> and its work practices. When the results of AI systems turn out to be opposite to the surface image of an </w:t>
      </w:r>
      <w:proofErr w:type="spellStart"/>
      <w:r w:rsidRPr="006F00FD">
        <w:rPr>
          <w:rFonts w:ascii="Arial" w:hAnsi="Arial" w:cs="Arial"/>
          <w:sz w:val="24"/>
          <w:szCs w:val="24"/>
        </w:rPr>
        <w:t>organisation</w:t>
      </w:r>
      <w:proofErr w:type="spellEnd"/>
      <w:r w:rsidRPr="006F00FD">
        <w:rPr>
          <w:rFonts w:ascii="Arial" w:hAnsi="Arial" w:cs="Arial"/>
          <w:sz w:val="24"/>
          <w:szCs w:val="24"/>
        </w:rPr>
        <w:t xml:space="preserve">, the lack of trust generated will be disproportional to the technical significance of the failure. It directly applies to Tesco: its focus on customer-centricity publicly makes high standards on how AI-informed decisions regarding pricing, availability, and promotions are evaluated. Huynh and </w:t>
      </w:r>
      <w:proofErr w:type="spellStart"/>
      <w:r w:rsidRPr="006F00FD">
        <w:rPr>
          <w:rFonts w:ascii="Arial" w:hAnsi="Arial" w:cs="Arial"/>
          <w:sz w:val="24"/>
          <w:szCs w:val="24"/>
        </w:rPr>
        <w:t>Aichner</w:t>
      </w:r>
      <w:proofErr w:type="spellEnd"/>
      <w:r w:rsidRPr="006F00FD">
        <w:rPr>
          <w:rFonts w:ascii="Arial" w:hAnsi="Arial" w:cs="Arial"/>
          <w:sz w:val="24"/>
          <w:szCs w:val="24"/>
        </w:rPr>
        <w:t xml:space="preserve"> (2025) examine the predictors of cognitive trust in generative AI and find out that perceived competence and perceived benevolence are independent, i.e., consumers differentiate between whether an AI system works and whether the </w:t>
      </w:r>
      <w:proofErr w:type="spellStart"/>
      <w:r w:rsidRPr="006F00FD">
        <w:rPr>
          <w:rFonts w:ascii="Arial" w:hAnsi="Arial" w:cs="Arial"/>
          <w:sz w:val="24"/>
          <w:szCs w:val="24"/>
        </w:rPr>
        <w:t>organisation</w:t>
      </w:r>
      <w:proofErr w:type="spellEnd"/>
      <w:r w:rsidRPr="006F00FD">
        <w:rPr>
          <w:rFonts w:ascii="Arial" w:hAnsi="Arial" w:cs="Arial"/>
          <w:sz w:val="24"/>
          <w:szCs w:val="24"/>
        </w:rPr>
        <w:t xml:space="preserve"> that implements the system is interested in its functionality.</w:t>
      </w:r>
    </w:p>
    <w:p w14:paraId="526FE841" w14:textId="487A0B2D" w:rsidR="00633D9E" w:rsidRPr="006F00FD" w:rsidRDefault="00D805D1" w:rsidP="00D805D1">
      <w:pPr>
        <w:spacing w:line="360" w:lineRule="auto"/>
        <w:jc w:val="both"/>
        <w:rPr>
          <w:rFonts w:ascii="Arial" w:hAnsi="Arial" w:cs="Arial"/>
          <w:sz w:val="24"/>
          <w:szCs w:val="24"/>
        </w:rPr>
      </w:pPr>
      <w:r w:rsidRPr="006F00FD">
        <w:rPr>
          <w:rFonts w:ascii="Arial" w:hAnsi="Arial" w:cs="Arial"/>
          <w:sz w:val="24"/>
          <w:szCs w:val="24"/>
        </w:rPr>
        <w:t xml:space="preserve">The structural conflict between the utility that consumers obtain with </w:t>
      </w:r>
      <w:proofErr w:type="spellStart"/>
      <w:r w:rsidRPr="006F00FD">
        <w:rPr>
          <w:rFonts w:ascii="Arial" w:hAnsi="Arial" w:cs="Arial"/>
          <w:sz w:val="24"/>
          <w:szCs w:val="24"/>
        </w:rPr>
        <w:t>personalised</w:t>
      </w:r>
      <w:proofErr w:type="spellEnd"/>
      <w:r w:rsidRPr="006F00FD">
        <w:rPr>
          <w:rFonts w:ascii="Arial" w:hAnsi="Arial" w:cs="Arial"/>
          <w:sz w:val="24"/>
          <w:szCs w:val="24"/>
        </w:rPr>
        <w:t xml:space="preserve"> experiences and their discomfort with the data practices they have to follow in order to receive them is the </w:t>
      </w:r>
      <w:proofErr w:type="spellStart"/>
      <w:r w:rsidRPr="006F00FD">
        <w:rPr>
          <w:rFonts w:ascii="Arial" w:hAnsi="Arial" w:cs="Arial"/>
          <w:sz w:val="24"/>
          <w:szCs w:val="24"/>
        </w:rPr>
        <w:t>personalisation</w:t>
      </w:r>
      <w:proofErr w:type="spellEnd"/>
      <w:r w:rsidRPr="006F00FD">
        <w:rPr>
          <w:rFonts w:ascii="Arial" w:hAnsi="Arial" w:cs="Arial"/>
          <w:sz w:val="24"/>
          <w:szCs w:val="24"/>
        </w:rPr>
        <w:t xml:space="preserve">-privacy paradox, as </w:t>
      </w:r>
      <w:proofErr w:type="spellStart"/>
      <w:r w:rsidRPr="006F00FD">
        <w:rPr>
          <w:rFonts w:ascii="Arial" w:hAnsi="Arial" w:cs="Arial"/>
          <w:sz w:val="24"/>
          <w:szCs w:val="24"/>
        </w:rPr>
        <w:t>Canhoto</w:t>
      </w:r>
      <w:proofErr w:type="spellEnd"/>
      <w:r w:rsidRPr="006F00FD">
        <w:rPr>
          <w:rFonts w:ascii="Arial" w:hAnsi="Arial" w:cs="Arial"/>
          <w:sz w:val="24"/>
          <w:szCs w:val="24"/>
        </w:rPr>
        <w:t xml:space="preserve">, Keegan and </w:t>
      </w:r>
      <w:proofErr w:type="spellStart"/>
      <w:r w:rsidRPr="006F00FD">
        <w:rPr>
          <w:rFonts w:ascii="Arial" w:hAnsi="Arial" w:cs="Arial"/>
          <w:sz w:val="24"/>
          <w:szCs w:val="24"/>
        </w:rPr>
        <w:t>Ryzhikh</w:t>
      </w:r>
      <w:proofErr w:type="spellEnd"/>
      <w:r w:rsidRPr="006F00FD">
        <w:rPr>
          <w:rFonts w:ascii="Arial" w:hAnsi="Arial" w:cs="Arial"/>
          <w:sz w:val="24"/>
          <w:szCs w:val="24"/>
        </w:rPr>
        <w:t xml:space="preserve"> (2023) have mostly recorded in the retail setting.</w:t>
      </w:r>
      <w:r w:rsidR="00633D9E" w:rsidRPr="006F00FD">
        <w:rPr>
          <w:rFonts w:ascii="Arial" w:hAnsi="Arial" w:cs="Arial"/>
          <w:sz w:val="24"/>
          <w:szCs w:val="24"/>
        </w:rPr>
        <w:t xml:space="preserve"> Larsson and </w:t>
      </w:r>
      <w:proofErr w:type="spellStart"/>
      <w:r w:rsidR="00633D9E" w:rsidRPr="006F00FD">
        <w:rPr>
          <w:rFonts w:ascii="Arial" w:hAnsi="Arial" w:cs="Arial"/>
          <w:sz w:val="24"/>
          <w:szCs w:val="24"/>
        </w:rPr>
        <w:t>Haresamudram</w:t>
      </w:r>
      <w:proofErr w:type="spellEnd"/>
      <w:r w:rsidR="00633D9E" w:rsidRPr="006F00FD">
        <w:rPr>
          <w:rFonts w:ascii="Arial" w:hAnsi="Arial" w:cs="Arial"/>
          <w:sz w:val="24"/>
          <w:szCs w:val="24"/>
        </w:rPr>
        <w:t xml:space="preserve"> (2023) </w:t>
      </w:r>
      <w:proofErr w:type="spellStart"/>
      <w:r w:rsidR="005414EB" w:rsidRPr="006F00FD">
        <w:rPr>
          <w:rFonts w:ascii="Arial" w:hAnsi="Arial" w:cs="Arial"/>
          <w:sz w:val="24"/>
          <w:szCs w:val="24"/>
        </w:rPr>
        <w:t>contextualise</w:t>
      </w:r>
      <w:proofErr w:type="spellEnd"/>
      <w:r w:rsidR="005414EB" w:rsidRPr="006F00FD">
        <w:rPr>
          <w:rFonts w:ascii="Arial" w:hAnsi="Arial" w:cs="Arial"/>
          <w:sz w:val="24"/>
          <w:szCs w:val="24"/>
        </w:rPr>
        <w:t xml:space="preserve"> this paradox in </w:t>
      </w:r>
      <w:proofErr w:type="spellStart"/>
      <w:r w:rsidR="005414EB" w:rsidRPr="006F00FD">
        <w:rPr>
          <w:rFonts w:ascii="Arial" w:hAnsi="Arial" w:cs="Arial"/>
          <w:sz w:val="24"/>
          <w:szCs w:val="24"/>
        </w:rPr>
        <w:t>platformised</w:t>
      </w:r>
      <w:proofErr w:type="spellEnd"/>
      <w:r w:rsidR="005414EB" w:rsidRPr="006F00FD">
        <w:rPr>
          <w:rFonts w:ascii="Arial" w:hAnsi="Arial" w:cs="Arial"/>
          <w:sz w:val="24"/>
          <w:szCs w:val="24"/>
        </w:rPr>
        <w:t xml:space="preserve"> retail settings, where data mined from loyalty </w:t>
      </w:r>
      <w:proofErr w:type="spellStart"/>
      <w:r w:rsidR="005414EB" w:rsidRPr="006F00FD">
        <w:rPr>
          <w:rFonts w:ascii="Arial" w:hAnsi="Arial" w:cs="Arial"/>
          <w:sz w:val="24"/>
          <w:szCs w:val="24"/>
        </w:rPr>
        <w:t>programmes</w:t>
      </w:r>
      <w:proofErr w:type="spellEnd"/>
      <w:r w:rsidR="005414EB" w:rsidRPr="006F00FD">
        <w:rPr>
          <w:rFonts w:ascii="Arial" w:hAnsi="Arial" w:cs="Arial"/>
          <w:sz w:val="24"/>
          <w:szCs w:val="24"/>
        </w:rPr>
        <w:t xml:space="preserve"> is sold to third-party advertisers in ways</w:t>
      </w:r>
      <w:r w:rsidR="00633D9E" w:rsidRPr="006F00FD">
        <w:rPr>
          <w:rFonts w:ascii="Arial" w:hAnsi="Arial" w:cs="Arial"/>
          <w:sz w:val="24"/>
          <w:szCs w:val="24"/>
        </w:rPr>
        <w:t xml:space="preserve"> that consumers never fully know or agree to. </w:t>
      </w:r>
      <w:proofErr w:type="spellStart"/>
      <w:r w:rsidR="00633D9E" w:rsidRPr="006F00FD">
        <w:rPr>
          <w:rFonts w:ascii="Arial" w:hAnsi="Arial" w:cs="Arial"/>
          <w:sz w:val="24"/>
          <w:szCs w:val="24"/>
        </w:rPr>
        <w:t>Henriksen</w:t>
      </w:r>
      <w:proofErr w:type="spellEnd"/>
      <w:r w:rsidR="00633D9E" w:rsidRPr="006F00FD">
        <w:rPr>
          <w:rFonts w:ascii="Arial" w:hAnsi="Arial" w:cs="Arial"/>
          <w:sz w:val="24"/>
          <w:szCs w:val="24"/>
        </w:rPr>
        <w:t xml:space="preserve">, </w:t>
      </w:r>
      <w:proofErr w:type="spellStart"/>
      <w:r w:rsidR="00633D9E" w:rsidRPr="006F00FD">
        <w:rPr>
          <w:rFonts w:ascii="Arial" w:hAnsi="Arial" w:cs="Arial"/>
          <w:sz w:val="24"/>
          <w:szCs w:val="24"/>
        </w:rPr>
        <w:t>Follstad</w:t>
      </w:r>
      <w:proofErr w:type="spellEnd"/>
      <w:r w:rsidR="00633D9E" w:rsidRPr="006F00FD">
        <w:rPr>
          <w:rFonts w:ascii="Arial" w:hAnsi="Arial" w:cs="Arial"/>
          <w:sz w:val="24"/>
          <w:szCs w:val="24"/>
        </w:rPr>
        <w:t xml:space="preserve"> and </w:t>
      </w:r>
      <w:proofErr w:type="spellStart"/>
      <w:r w:rsidR="00633D9E" w:rsidRPr="006F00FD">
        <w:rPr>
          <w:rFonts w:ascii="Arial" w:hAnsi="Arial" w:cs="Arial"/>
          <w:sz w:val="24"/>
          <w:szCs w:val="24"/>
        </w:rPr>
        <w:t>Boletsis</w:t>
      </w:r>
      <w:proofErr w:type="spellEnd"/>
      <w:r w:rsidR="00633D9E" w:rsidRPr="006F00FD">
        <w:rPr>
          <w:rFonts w:ascii="Arial" w:hAnsi="Arial" w:cs="Arial"/>
          <w:sz w:val="24"/>
          <w:szCs w:val="24"/>
        </w:rPr>
        <w:t xml:space="preserve"> (2025) study the nature of privacy decisions made by users in retail settings and </w:t>
      </w:r>
      <w:proofErr w:type="spellStart"/>
      <w:r w:rsidR="005414EB" w:rsidRPr="006F00FD">
        <w:rPr>
          <w:rFonts w:ascii="Arial" w:hAnsi="Arial" w:cs="Arial"/>
          <w:sz w:val="24"/>
          <w:szCs w:val="24"/>
        </w:rPr>
        <w:t>realise</w:t>
      </w:r>
      <w:proofErr w:type="spellEnd"/>
      <w:r w:rsidR="005414EB" w:rsidRPr="006F00FD">
        <w:rPr>
          <w:rFonts w:ascii="Arial" w:hAnsi="Arial" w:cs="Arial"/>
          <w:sz w:val="24"/>
          <w:szCs w:val="24"/>
        </w:rPr>
        <w:t xml:space="preserve"> that privacy decisions are not only non-rational and autonomous but also </w:t>
      </w:r>
      <w:r w:rsidR="00633D9E" w:rsidRPr="006F00FD">
        <w:rPr>
          <w:rFonts w:ascii="Arial" w:hAnsi="Arial" w:cs="Arial"/>
          <w:sz w:val="24"/>
          <w:szCs w:val="24"/>
        </w:rPr>
        <w:t>embedded in context and influenced by social factors, which implies that the conventional consent-seeking techniques systematically overestimate the true acceptance of consumers in sharing their data.</w:t>
      </w:r>
    </w:p>
    <w:p w14:paraId="2A2DE6F2" w14:textId="2B12623C" w:rsidR="00633D9E" w:rsidRPr="006F00FD" w:rsidRDefault="00633D9E" w:rsidP="003347C2">
      <w:pPr>
        <w:spacing w:line="360" w:lineRule="auto"/>
        <w:jc w:val="both"/>
        <w:rPr>
          <w:rFonts w:ascii="Arial" w:hAnsi="Arial" w:cs="Arial"/>
          <w:sz w:val="24"/>
          <w:szCs w:val="24"/>
        </w:rPr>
      </w:pPr>
      <w:proofErr w:type="spellStart"/>
      <w:r w:rsidRPr="006F00FD">
        <w:rPr>
          <w:rFonts w:ascii="Arial" w:hAnsi="Arial" w:cs="Arial"/>
          <w:sz w:val="24"/>
          <w:szCs w:val="24"/>
        </w:rPr>
        <w:lastRenderedPageBreak/>
        <w:t>Leschanowsky</w:t>
      </w:r>
      <w:proofErr w:type="spellEnd"/>
      <w:r w:rsidRPr="006F00FD">
        <w:rPr>
          <w:rFonts w:ascii="Arial" w:hAnsi="Arial" w:cs="Arial"/>
          <w:sz w:val="24"/>
          <w:szCs w:val="24"/>
        </w:rPr>
        <w:t xml:space="preserve"> et al. (2024) conclude that purpose disclosure and perceived controllability are the most effective motivators of trust in conversational AI, and Lopes et al. (2024) show that frictionless browsing experience with AI can enhance short-term engagement outcomes but lower long-term consumer agency. </w:t>
      </w:r>
      <w:proofErr w:type="spellStart"/>
      <w:r w:rsidRPr="006F00FD">
        <w:rPr>
          <w:rFonts w:ascii="Arial" w:hAnsi="Arial" w:cs="Arial"/>
          <w:sz w:val="24"/>
          <w:szCs w:val="24"/>
        </w:rPr>
        <w:t>Rohden</w:t>
      </w:r>
      <w:proofErr w:type="spellEnd"/>
      <w:r w:rsidRPr="006F00FD">
        <w:rPr>
          <w:rFonts w:ascii="Arial" w:hAnsi="Arial" w:cs="Arial"/>
          <w:sz w:val="24"/>
          <w:szCs w:val="24"/>
        </w:rPr>
        <w:t xml:space="preserve"> and </w:t>
      </w:r>
      <w:proofErr w:type="spellStart"/>
      <w:r w:rsidRPr="006F00FD">
        <w:rPr>
          <w:rFonts w:ascii="Arial" w:hAnsi="Arial" w:cs="Arial"/>
          <w:sz w:val="24"/>
          <w:szCs w:val="24"/>
        </w:rPr>
        <w:t>Espartel</w:t>
      </w:r>
      <w:proofErr w:type="spellEnd"/>
      <w:r w:rsidRPr="006F00FD">
        <w:rPr>
          <w:rFonts w:ascii="Arial" w:hAnsi="Arial" w:cs="Arial"/>
          <w:sz w:val="24"/>
          <w:szCs w:val="24"/>
        </w:rPr>
        <w:t xml:space="preserve"> (2024) </w:t>
      </w:r>
      <w:r w:rsidR="005414EB" w:rsidRPr="006F00FD">
        <w:rPr>
          <w:rFonts w:ascii="Arial" w:hAnsi="Arial" w:cs="Arial"/>
          <w:sz w:val="24"/>
          <w:szCs w:val="24"/>
        </w:rPr>
        <w:t>find that retail-based recommendation agents increase consumers' uncertainty about products they know less about, which is rather unexpected, as</w:t>
      </w:r>
      <w:r w:rsidRPr="006F00FD">
        <w:rPr>
          <w:rFonts w:ascii="Arial" w:hAnsi="Arial" w:cs="Arial"/>
          <w:sz w:val="24"/>
          <w:szCs w:val="24"/>
        </w:rPr>
        <w:t xml:space="preserve"> the idea of AI-based </w:t>
      </w:r>
      <w:proofErr w:type="spellStart"/>
      <w:r w:rsidRPr="006F00FD">
        <w:rPr>
          <w:rFonts w:ascii="Arial" w:hAnsi="Arial" w:cs="Arial"/>
          <w:sz w:val="24"/>
          <w:szCs w:val="24"/>
        </w:rPr>
        <w:t>personalisation</w:t>
      </w:r>
      <w:proofErr w:type="spellEnd"/>
      <w:r w:rsidRPr="006F00FD">
        <w:rPr>
          <w:rFonts w:ascii="Arial" w:hAnsi="Arial" w:cs="Arial"/>
          <w:sz w:val="24"/>
          <w:szCs w:val="24"/>
        </w:rPr>
        <w:t xml:space="preserve"> is assumed to be consistent across the board. Dixit, Choudhary</w:t>
      </w:r>
      <w:r w:rsidR="005414EB" w:rsidRPr="006F00FD">
        <w:rPr>
          <w:rFonts w:ascii="Arial" w:hAnsi="Arial" w:cs="Arial"/>
          <w:sz w:val="24"/>
          <w:szCs w:val="24"/>
        </w:rPr>
        <w:t xml:space="preserve">, and Govil (2025) use the UTAUT2 model to examine AI-influenced purchasing decisions and confirm that hedonic motivation and social influence are important moderators of the relationship between AI recommendations and purchase </w:t>
      </w:r>
      <w:proofErr w:type="spellStart"/>
      <w:r w:rsidR="005414EB" w:rsidRPr="006F00FD">
        <w:rPr>
          <w:rFonts w:ascii="Arial" w:hAnsi="Arial" w:cs="Arial"/>
          <w:sz w:val="24"/>
          <w:szCs w:val="24"/>
        </w:rPr>
        <w:t>behaviour</w:t>
      </w:r>
      <w:proofErr w:type="spellEnd"/>
      <w:r w:rsidR="005414EB" w:rsidRPr="006F00FD">
        <w:rPr>
          <w:rFonts w:ascii="Arial" w:hAnsi="Arial" w:cs="Arial"/>
          <w:sz w:val="24"/>
          <w:szCs w:val="24"/>
        </w:rPr>
        <w:t>, indicating that the younger Clubcard demographic at Tesco might have significantly</w:t>
      </w:r>
      <w:r w:rsidRPr="006F00FD">
        <w:rPr>
          <w:rFonts w:ascii="Arial" w:hAnsi="Arial" w:cs="Arial"/>
          <w:sz w:val="24"/>
          <w:szCs w:val="24"/>
        </w:rPr>
        <w:t xml:space="preserve"> different trust thresholds compared to their older counterparts.</w:t>
      </w:r>
    </w:p>
    <w:p w14:paraId="7D91561D" w14:textId="75E20B9D" w:rsidR="000C7C08" w:rsidRPr="006F00FD" w:rsidRDefault="00633D9E" w:rsidP="003347C2">
      <w:pPr>
        <w:spacing w:line="360" w:lineRule="auto"/>
        <w:jc w:val="both"/>
        <w:rPr>
          <w:rFonts w:ascii="Arial" w:hAnsi="Arial" w:cs="Arial"/>
          <w:sz w:val="24"/>
          <w:szCs w:val="24"/>
        </w:rPr>
      </w:pPr>
      <w:r w:rsidRPr="006F00FD">
        <w:rPr>
          <w:rFonts w:ascii="Arial" w:hAnsi="Arial" w:cs="Arial"/>
          <w:sz w:val="24"/>
          <w:szCs w:val="24"/>
        </w:rPr>
        <w:t xml:space="preserve">Hassan, </w:t>
      </w:r>
      <w:proofErr w:type="spellStart"/>
      <w:r w:rsidRPr="006F00FD">
        <w:rPr>
          <w:rFonts w:ascii="Arial" w:hAnsi="Arial" w:cs="Arial"/>
          <w:sz w:val="24"/>
          <w:szCs w:val="24"/>
        </w:rPr>
        <w:t>Abdelraouf</w:t>
      </w:r>
      <w:proofErr w:type="spellEnd"/>
      <w:r w:rsidRPr="006F00FD">
        <w:rPr>
          <w:rFonts w:ascii="Arial" w:hAnsi="Arial" w:cs="Arial"/>
          <w:sz w:val="24"/>
          <w:szCs w:val="24"/>
        </w:rPr>
        <w:t xml:space="preserve"> and El-</w:t>
      </w:r>
      <w:proofErr w:type="spellStart"/>
      <w:r w:rsidRPr="006F00FD">
        <w:rPr>
          <w:rFonts w:ascii="Arial" w:hAnsi="Arial" w:cs="Arial"/>
          <w:sz w:val="24"/>
          <w:szCs w:val="24"/>
        </w:rPr>
        <w:t>Shihy</w:t>
      </w:r>
      <w:proofErr w:type="spellEnd"/>
      <w:r w:rsidRPr="006F00FD">
        <w:rPr>
          <w:rFonts w:ascii="Arial" w:hAnsi="Arial" w:cs="Arial"/>
          <w:sz w:val="24"/>
          <w:szCs w:val="24"/>
        </w:rPr>
        <w:t xml:space="preserve"> (2025) show that </w:t>
      </w:r>
      <w:proofErr w:type="spellStart"/>
      <w:r w:rsidRPr="006F00FD">
        <w:rPr>
          <w:rFonts w:ascii="Arial" w:hAnsi="Arial" w:cs="Arial"/>
          <w:sz w:val="24"/>
          <w:szCs w:val="24"/>
        </w:rPr>
        <w:t>personalised</w:t>
      </w:r>
      <w:proofErr w:type="spellEnd"/>
      <w:r w:rsidRPr="006F00FD">
        <w:rPr>
          <w:rFonts w:ascii="Arial" w:hAnsi="Arial" w:cs="Arial"/>
          <w:sz w:val="24"/>
          <w:szCs w:val="24"/>
        </w:rPr>
        <w:t xml:space="preserve"> recommendations mediate the trust-satisfaction-loyalty chain in e-commerce, but this is only true when they are perceived to be true and unbiased. Indeed, Santos and Antonio (2025) demonstrate that </w:t>
      </w:r>
      <w:r w:rsidR="005F4620" w:rsidRPr="006F00FD">
        <w:rPr>
          <w:rFonts w:ascii="Arial" w:hAnsi="Arial" w:cs="Arial"/>
          <w:sz w:val="24"/>
          <w:szCs w:val="24"/>
        </w:rPr>
        <w:t xml:space="preserve">machine learning-based detection of AI-generated reviews can significantly boost </w:t>
      </w:r>
      <w:r w:rsidRPr="006F00FD">
        <w:rPr>
          <w:rFonts w:ascii="Arial" w:hAnsi="Arial" w:cs="Arial"/>
          <w:sz w:val="24"/>
          <w:szCs w:val="24"/>
        </w:rPr>
        <w:t xml:space="preserve">perceived platform trustworthiness, indicating that proactive fraud detection is itself a trust-building investment. Ribeiro, Rivero and Abrantes (2025) affirm that AI interactions </w:t>
      </w:r>
      <w:r w:rsidR="005414EB" w:rsidRPr="006F00FD">
        <w:rPr>
          <w:rFonts w:ascii="Arial" w:hAnsi="Arial" w:cs="Arial"/>
          <w:sz w:val="24"/>
          <w:szCs w:val="24"/>
        </w:rPr>
        <w:t xml:space="preserve">shape brand associations more profoundly than traditional marketing, and a </w:t>
      </w:r>
      <w:r w:rsidRPr="006F00FD">
        <w:rPr>
          <w:rFonts w:ascii="Arial" w:hAnsi="Arial" w:cs="Arial"/>
          <w:sz w:val="24"/>
          <w:szCs w:val="24"/>
        </w:rPr>
        <w:t xml:space="preserve">failure of trust has cascading effects on brand equity. Rajesh and Gurme (2025) </w:t>
      </w:r>
      <w:r w:rsidR="005414EB" w:rsidRPr="006F00FD">
        <w:rPr>
          <w:rFonts w:ascii="Arial" w:hAnsi="Arial" w:cs="Arial"/>
          <w:sz w:val="24"/>
          <w:szCs w:val="24"/>
        </w:rPr>
        <w:t xml:space="preserve">found that trust facilitated through </w:t>
      </w:r>
      <w:proofErr w:type="spellStart"/>
      <w:r w:rsidR="005414EB" w:rsidRPr="006F00FD">
        <w:rPr>
          <w:rFonts w:ascii="Arial" w:hAnsi="Arial" w:cs="Arial"/>
          <w:sz w:val="24"/>
          <w:szCs w:val="24"/>
        </w:rPr>
        <w:t>personalisation</w:t>
      </w:r>
      <w:proofErr w:type="spellEnd"/>
      <w:r w:rsidR="005414EB" w:rsidRPr="006F00FD">
        <w:rPr>
          <w:rFonts w:ascii="Arial" w:hAnsi="Arial" w:cs="Arial"/>
          <w:sz w:val="24"/>
          <w:szCs w:val="24"/>
        </w:rPr>
        <w:t xml:space="preserve"> on social media depends heavily on privacy assurance, as evidenced in the context of Tesco's</w:t>
      </w:r>
      <w:r w:rsidRPr="006F00FD">
        <w:rPr>
          <w:rFonts w:ascii="Arial" w:hAnsi="Arial" w:cs="Arial"/>
          <w:sz w:val="24"/>
          <w:szCs w:val="24"/>
        </w:rPr>
        <w:t xml:space="preserve"> online marketing. According to Register et al. (2025), privacy should not be framed in an instrumental</w:t>
      </w:r>
      <w:r w:rsidR="005414EB" w:rsidRPr="006F00FD">
        <w:rPr>
          <w:rFonts w:ascii="Arial" w:hAnsi="Arial" w:cs="Arial"/>
          <w:sz w:val="24"/>
          <w:szCs w:val="24"/>
        </w:rPr>
        <w:t xml:space="preserve"> but a relational approach, which helps justify the idea of truly participatory consumer data governance rather than</w:t>
      </w:r>
      <w:r w:rsidRPr="006F00FD">
        <w:rPr>
          <w:rFonts w:ascii="Arial" w:hAnsi="Arial" w:cs="Arial"/>
          <w:sz w:val="24"/>
          <w:szCs w:val="24"/>
        </w:rPr>
        <w:t xml:space="preserve"> one-sided corporate data management.</w:t>
      </w:r>
    </w:p>
    <w:p w14:paraId="12A790D2" w14:textId="242F372B" w:rsidR="000C7C08" w:rsidRPr="006F00FD" w:rsidRDefault="009822E0" w:rsidP="004A3782">
      <w:pPr>
        <w:pStyle w:val="Heading2"/>
      </w:pPr>
      <w:bookmarkStart w:id="9" w:name="_Toc227973221"/>
      <w:r w:rsidRPr="006F00FD">
        <w:t>Competitor Benchmarking</w:t>
      </w:r>
      <w:bookmarkEnd w:id="9"/>
    </w:p>
    <w:p w14:paraId="417B9662" w14:textId="77777777" w:rsidR="000F7C03" w:rsidRPr="006F00FD" w:rsidRDefault="000F7C03" w:rsidP="000F7C03">
      <w:pPr>
        <w:spacing w:line="360" w:lineRule="auto"/>
        <w:jc w:val="both"/>
        <w:rPr>
          <w:rFonts w:ascii="Arial" w:hAnsi="Arial" w:cs="Arial"/>
          <w:sz w:val="24"/>
          <w:szCs w:val="24"/>
        </w:rPr>
      </w:pPr>
      <w:r w:rsidRPr="006F00FD">
        <w:rPr>
          <w:rFonts w:ascii="Arial" w:hAnsi="Arial" w:cs="Arial"/>
          <w:sz w:val="24"/>
          <w:szCs w:val="24"/>
        </w:rPr>
        <w:t xml:space="preserve">The Tesco AI governance posture placement in the competitive retail market shows a sector at a first, but uneven level of </w:t>
      </w:r>
      <w:proofErr w:type="spellStart"/>
      <w:r w:rsidRPr="006F00FD">
        <w:rPr>
          <w:rFonts w:ascii="Arial" w:hAnsi="Arial" w:cs="Arial"/>
          <w:sz w:val="24"/>
          <w:szCs w:val="24"/>
        </w:rPr>
        <w:t>formalisation</w:t>
      </w:r>
      <w:proofErr w:type="spellEnd"/>
      <w:r w:rsidRPr="006F00FD">
        <w:rPr>
          <w:rFonts w:ascii="Arial" w:hAnsi="Arial" w:cs="Arial"/>
          <w:sz w:val="24"/>
          <w:szCs w:val="24"/>
        </w:rPr>
        <w:t xml:space="preserve"> of responsible AI practices. There are three educational comparators namely Amazon, Marks and Spencer and Sainsbury.</w:t>
      </w:r>
    </w:p>
    <w:p w14:paraId="3D44F3BC" w14:textId="77777777" w:rsidR="000F7C03" w:rsidRPr="006F00FD" w:rsidRDefault="000F7C03" w:rsidP="000F7C03">
      <w:pPr>
        <w:spacing w:line="360" w:lineRule="auto"/>
        <w:jc w:val="both"/>
        <w:rPr>
          <w:rFonts w:ascii="Arial" w:hAnsi="Arial" w:cs="Arial"/>
          <w:sz w:val="24"/>
          <w:szCs w:val="24"/>
        </w:rPr>
      </w:pPr>
      <w:r w:rsidRPr="006F00FD">
        <w:rPr>
          <w:rFonts w:ascii="Arial" w:hAnsi="Arial" w:cs="Arial"/>
          <w:sz w:val="24"/>
          <w:szCs w:val="24"/>
        </w:rPr>
        <w:t xml:space="preserve">The company with an Acceptable Use Policy of its AI services, AI Ethics and Society a team, and heavy investment in explainability tooling with its SageMaker Clarify platform is Amazon, the global leader in creating AI-driven retail. Its governance model is highly technical and engineer-focused, making it highly accountable technologically but has been criticized to lack transparency to consumers, primarily its dynamic pricing </w:t>
      </w:r>
      <w:r w:rsidRPr="006F00FD">
        <w:rPr>
          <w:rFonts w:ascii="Arial" w:hAnsi="Arial" w:cs="Arial"/>
          <w:sz w:val="24"/>
          <w:szCs w:val="24"/>
        </w:rPr>
        <w:lastRenderedPageBreak/>
        <w:t>algorithms, which have been a focus of scrutiny by regulators in several jurisdictions due to their possible anti-competitive effects. As the Amazon experience indicates, technical governance competence is insufficient: regulatory and reputational risk management should be supported by consumer-facing commitments that extend beyond inner tooling.</w:t>
      </w:r>
    </w:p>
    <w:p w14:paraId="5DF7CE3E" w14:textId="19475934" w:rsidR="00633D9E" w:rsidRPr="006F00FD" w:rsidRDefault="000F7C03" w:rsidP="000F7C03">
      <w:pPr>
        <w:spacing w:line="360" w:lineRule="auto"/>
        <w:jc w:val="both"/>
        <w:rPr>
          <w:rFonts w:ascii="Arial" w:hAnsi="Arial" w:cs="Arial"/>
          <w:sz w:val="24"/>
          <w:szCs w:val="24"/>
        </w:rPr>
      </w:pPr>
      <w:r w:rsidRPr="006F00FD">
        <w:rPr>
          <w:rFonts w:ascii="Arial" w:hAnsi="Arial" w:cs="Arial"/>
          <w:sz w:val="24"/>
          <w:szCs w:val="24"/>
        </w:rPr>
        <w:t xml:space="preserve">Marks and Spencer have been less aggressive in their approach to AI implementation, </w:t>
      </w:r>
      <w:proofErr w:type="spellStart"/>
      <w:r w:rsidRPr="006F00FD">
        <w:rPr>
          <w:rFonts w:ascii="Arial" w:hAnsi="Arial" w:cs="Arial"/>
          <w:sz w:val="24"/>
          <w:szCs w:val="24"/>
        </w:rPr>
        <w:t>prioritising</w:t>
      </w:r>
      <w:proofErr w:type="spellEnd"/>
      <w:r w:rsidRPr="006F00FD">
        <w:rPr>
          <w:rFonts w:ascii="Arial" w:hAnsi="Arial" w:cs="Arial"/>
          <w:sz w:val="24"/>
          <w:szCs w:val="24"/>
        </w:rPr>
        <w:t xml:space="preserve"> more the supply chain optimization and visual search capabilities over expansion of customer </w:t>
      </w:r>
      <w:proofErr w:type="spellStart"/>
      <w:r w:rsidRPr="006F00FD">
        <w:rPr>
          <w:rFonts w:ascii="Arial" w:hAnsi="Arial" w:cs="Arial"/>
          <w:sz w:val="24"/>
          <w:szCs w:val="24"/>
        </w:rPr>
        <w:t>behavioural</w:t>
      </w:r>
      <w:proofErr w:type="spellEnd"/>
      <w:r w:rsidRPr="006F00FD">
        <w:rPr>
          <w:rFonts w:ascii="Arial" w:hAnsi="Arial" w:cs="Arial"/>
          <w:sz w:val="24"/>
          <w:szCs w:val="24"/>
        </w:rPr>
        <w:t xml:space="preserve"> profiling. It also has fewer public commitments to AI governance, but the limited scope of its deployment limits exposure to regulations. M&amp;S also does not have a similar size of a loyalty </w:t>
      </w:r>
      <w:proofErr w:type="spellStart"/>
      <w:r w:rsidRPr="006F00FD">
        <w:rPr>
          <w:rFonts w:ascii="Arial" w:hAnsi="Arial" w:cs="Arial"/>
          <w:sz w:val="24"/>
          <w:szCs w:val="24"/>
        </w:rPr>
        <w:t>programme</w:t>
      </w:r>
      <w:proofErr w:type="spellEnd"/>
      <w:r w:rsidRPr="006F00FD">
        <w:rPr>
          <w:rFonts w:ascii="Arial" w:hAnsi="Arial" w:cs="Arial"/>
          <w:sz w:val="24"/>
          <w:szCs w:val="24"/>
        </w:rPr>
        <w:t xml:space="preserve"> as </w:t>
      </w:r>
      <w:proofErr w:type="spellStart"/>
      <w:r w:rsidRPr="006F00FD">
        <w:rPr>
          <w:rFonts w:ascii="Arial" w:hAnsi="Arial" w:cs="Arial"/>
          <w:sz w:val="24"/>
          <w:szCs w:val="24"/>
        </w:rPr>
        <w:t>Clubcard</w:t>
      </w:r>
      <w:proofErr w:type="spellEnd"/>
      <w:r w:rsidRPr="006F00FD">
        <w:rPr>
          <w:rFonts w:ascii="Arial" w:hAnsi="Arial" w:cs="Arial"/>
          <w:sz w:val="24"/>
          <w:szCs w:val="24"/>
        </w:rPr>
        <w:t xml:space="preserve">, which reduces the liability of data governance to a considerable extent at the cost of the commercial value of </w:t>
      </w:r>
      <w:proofErr w:type="spellStart"/>
      <w:r w:rsidRPr="006F00FD">
        <w:rPr>
          <w:rFonts w:ascii="Arial" w:hAnsi="Arial" w:cs="Arial"/>
          <w:sz w:val="24"/>
          <w:szCs w:val="24"/>
        </w:rPr>
        <w:t>personalisation</w:t>
      </w:r>
      <w:proofErr w:type="spellEnd"/>
      <w:r w:rsidRPr="006F00FD">
        <w:rPr>
          <w:rFonts w:ascii="Arial" w:hAnsi="Arial" w:cs="Arial"/>
          <w:sz w:val="24"/>
          <w:szCs w:val="24"/>
        </w:rPr>
        <w:t>. M&amp;S posture is risk reduction strategy and not a governance leadership strategy.</w:t>
      </w:r>
    </w:p>
    <w:p w14:paraId="06B019C3" w14:textId="4FD912D8" w:rsidR="00633D9E" w:rsidRPr="006F00FD" w:rsidRDefault="00633D9E" w:rsidP="003347C2">
      <w:pPr>
        <w:spacing w:line="360" w:lineRule="auto"/>
        <w:jc w:val="both"/>
        <w:rPr>
          <w:rFonts w:ascii="Arial" w:hAnsi="Arial" w:cs="Arial"/>
          <w:sz w:val="24"/>
          <w:szCs w:val="24"/>
        </w:rPr>
      </w:pPr>
      <w:r w:rsidRPr="006F00FD">
        <w:rPr>
          <w:rFonts w:ascii="Arial" w:hAnsi="Arial" w:cs="Arial"/>
          <w:sz w:val="24"/>
          <w:szCs w:val="24"/>
        </w:rPr>
        <w:t xml:space="preserve">The nearest structural competitor </w:t>
      </w:r>
      <w:r w:rsidR="005414EB" w:rsidRPr="006F00FD">
        <w:rPr>
          <w:rFonts w:ascii="Arial" w:hAnsi="Arial" w:cs="Arial"/>
          <w:sz w:val="24"/>
          <w:szCs w:val="24"/>
        </w:rPr>
        <w:t xml:space="preserve">to Tesco is Sainsbury's Nectar loyalty </w:t>
      </w:r>
      <w:proofErr w:type="spellStart"/>
      <w:r w:rsidR="005414EB" w:rsidRPr="006F00FD">
        <w:rPr>
          <w:rFonts w:ascii="Arial" w:hAnsi="Arial" w:cs="Arial"/>
          <w:sz w:val="24"/>
          <w:szCs w:val="24"/>
        </w:rPr>
        <w:t>programme</w:t>
      </w:r>
      <w:proofErr w:type="spellEnd"/>
      <w:r w:rsidRPr="006F00FD">
        <w:rPr>
          <w:rFonts w:ascii="Arial" w:hAnsi="Arial" w:cs="Arial"/>
          <w:sz w:val="24"/>
          <w:szCs w:val="24"/>
        </w:rPr>
        <w:t xml:space="preserve">. In 2020, Sainsbury sold most of its stake in its Nectar data analytics business to the American company Epsilon, a move that brought about a high degree of third-party data governance complexity and less direct control of its own customer data ecosystem. This is </w:t>
      </w:r>
      <w:proofErr w:type="spellStart"/>
      <w:r w:rsidRPr="006F00FD">
        <w:rPr>
          <w:rFonts w:ascii="Arial" w:hAnsi="Arial" w:cs="Arial"/>
          <w:sz w:val="24"/>
          <w:szCs w:val="24"/>
        </w:rPr>
        <w:t>unfavourably</w:t>
      </w:r>
      <w:proofErr w:type="spellEnd"/>
      <w:r w:rsidRPr="006F00FD">
        <w:rPr>
          <w:rFonts w:ascii="Arial" w:hAnsi="Arial" w:cs="Arial"/>
          <w:sz w:val="24"/>
          <w:szCs w:val="24"/>
        </w:rPr>
        <w:t xml:space="preserve"> compared to Tesco, which has not outsourced its data operations, and is a governance risk that the Sainsbury has yet to address publicly. In the case of Tesco, the in-house data control is the governance asset that must be safeguarded and extended, as opposed to copying with the type of third-party dependency that Sainsbury currently operates.</w:t>
      </w:r>
    </w:p>
    <w:p w14:paraId="70B1A89D" w14:textId="6EB13B7B" w:rsidR="000C7C08" w:rsidRPr="006F00FD" w:rsidRDefault="00633D9E" w:rsidP="003347C2">
      <w:pPr>
        <w:spacing w:line="360" w:lineRule="auto"/>
        <w:jc w:val="both"/>
        <w:rPr>
          <w:rFonts w:ascii="Arial" w:hAnsi="Arial" w:cs="Arial"/>
          <w:sz w:val="24"/>
          <w:szCs w:val="24"/>
        </w:rPr>
      </w:pPr>
      <w:r w:rsidRPr="006F00FD">
        <w:rPr>
          <w:rFonts w:ascii="Arial" w:hAnsi="Arial" w:cs="Arial"/>
          <w:sz w:val="24"/>
          <w:szCs w:val="24"/>
        </w:rPr>
        <w:t xml:space="preserve">The benchmarking analysis reveals that the Tesco AI size and data richness are </w:t>
      </w:r>
      <w:r w:rsidR="005414EB" w:rsidRPr="006F00FD">
        <w:rPr>
          <w:rFonts w:ascii="Arial" w:hAnsi="Arial" w:cs="Arial"/>
          <w:sz w:val="24"/>
          <w:szCs w:val="24"/>
        </w:rPr>
        <w:t>sector-leading resources, but its published governance commitments are currently below the technical accountability standards of Amazon and do not yet reflect the consumer-facing</w:t>
      </w:r>
      <w:r w:rsidRPr="006F00FD">
        <w:rPr>
          <w:rFonts w:ascii="Arial" w:hAnsi="Arial" w:cs="Arial"/>
          <w:sz w:val="24"/>
          <w:szCs w:val="24"/>
        </w:rPr>
        <w:t xml:space="preserve"> transparency that the changing regulatory landscape demands. The governance structure suggested in Section 3 will address this gap and maintain and </w:t>
      </w:r>
      <w:r w:rsidR="005414EB" w:rsidRPr="006F00FD">
        <w:rPr>
          <w:rFonts w:ascii="Arial" w:hAnsi="Arial" w:cs="Arial"/>
          <w:sz w:val="24"/>
          <w:szCs w:val="24"/>
        </w:rPr>
        <w:t>enhance Tesco's competitive differentiation through</w:t>
      </w:r>
      <w:r w:rsidRPr="006F00FD">
        <w:rPr>
          <w:rFonts w:ascii="Arial" w:hAnsi="Arial" w:cs="Arial"/>
          <w:sz w:val="24"/>
          <w:szCs w:val="24"/>
        </w:rPr>
        <w:t xml:space="preserve"> responsible AI leadership.</w:t>
      </w:r>
    </w:p>
    <w:p w14:paraId="66911D72" w14:textId="350838EE" w:rsidR="003347C2" w:rsidRPr="006F00FD" w:rsidRDefault="003347C2" w:rsidP="004A3782">
      <w:pPr>
        <w:pStyle w:val="Heading2"/>
      </w:pPr>
      <w:bookmarkStart w:id="10" w:name="_Toc227973222"/>
      <w:r w:rsidRPr="006F00FD">
        <w:t>Porter’s Five Forces Analysis</w:t>
      </w:r>
      <w:bookmarkEnd w:id="10"/>
    </w:p>
    <w:p w14:paraId="174938E2" w14:textId="1E086553" w:rsidR="003347C2" w:rsidRPr="006F00FD" w:rsidRDefault="003347C2" w:rsidP="003347C2">
      <w:pPr>
        <w:spacing w:line="360" w:lineRule="auto"/>
        <w:jc w:val="both"/>
        <w:rPr>
          <w:rFonts w:ascii="Arial" w:hAnsi="Arial" w:cs="Arial"/>
          <w:b/>
          <w:bCs/>
          <w:sz w:val="24"/>
          <w:szCs w:val="24"/>
        </w:rPr>
      </w:pPr>
      <w:r w:rsidRPr="006F00FD">
        <w:rPr>
          <w:rFonts w:ascii="Arial" w:hAnsi="Arial" w:cs="Arial"/>
          <w:b/>
          <w:bCs/>
          <w:sz w:val="24"/>
          <w:szCs w:val="24"/>
        </w:rPr>
        <w:t>Porters Five Forces Analysis: AI-based Retail Competition</w:t>
      </w:r>
    </w:p>
    <w:p w14:paraId="6F17FCC2" w14:textId="77777777" w:rsidR="003347C2" w:rsidRPr="006F00FD" w:rsidRDefault="003347C2" w:rsidP="003347C2">
      <w:pPr>
        <w:spacing w:line="360" w:lineRule="auto"/>
        <w:jc w:val="both"/>
        <w:rPr>
          <w:rFonts w:ascii="Arial" w:hAnsi="Arial" w:cs="Arial"/>
          <w:sz w:val="24"/>
          <w:szCs w:val="24"/>
        </w:rPr>
      </w:pPr>
      <w:r w:rsidRPr="006F00FD">
        <w:rPr>
          <w:rFonts w:ascii="Arial" w:hAnsi="Arial" w:cs="Arial"/>
          <w:sz w:val="24"/>
          <w:szCs w:val="24"/>
        </w:rPr>
        <w:t>Artificial intelligence is profoundly changing the competitive dynamics of the UK grocery retail, not only as an operational instrument but also as a power-determining structure in the industry. According to Porters Five Forces analysis, AI governance capabilities of Tesco are becoming more central in maintaining the competitive advantage.</w:t>
      </w:r>
    </w:p>
    <w:p w14:paraId="06488355" w14:textId="77777777" w:rsidR="003347C2" w:rsidRPr="006F00FD" w:rsidRDefault="003347C2" w:rsidP="003347C2">
      <w:pPr>
        <w:spacing w:line="360" w:lineRule="auto"/>
        <w:jc w:val="both"/>
        <w:rPr>
          <w:rFonts w:ascii="Arial" w:hAnsi="Arial" w:cs="Arial"/>
          <w:sz w:val="24"/>
          <w:szCs w:val="24"/>
        </w:rPr>
      </w:pPr>
      <w:r w:rsidRPr="006F00FD">
        <w:rPr>
          <w:rFonts w:ascii="Arial" w:hAnsi="Arial" w:cs="Arial"/>
          <w:b/>
          <w:bCs/>
          <w:sz w:val="24"/>
          <w:szCs w:val="24"/>
        </w:rPr>
        <w:lastRenderedPageBreak/>
        <w:t>New Entrant Threat</w:t>
      </w:r>
      <w:r w:rsidRPr="006F00FD">
        <w:rPr>
          <w:rFonts w:ascii="Arial" w:hAnsi="Arial" w:cs="Arial"/>
          <w:sz w:val="24"/>
          <w:szCs w:val="24"/>
        </w:rPr>
        <w:t xml:space="preserve"> is moderate but technologically redefined. The traditional barriers to entry, including scale, and supply chain infrastructure, are still high, but asset-light models allow AI-based digital retailers to enter the market. Nonetheless, the Tesco wide range of Clubcard data and well-established data infrastructure forms a data-based barrier to entry, increasing incumbency advantage. However, poor governance may negate this benefit in case regulatory controls limit the use of data.</w:t>
      </w:r>
    </w:p>
    <w:p w14:paraId="26E31A3D" w14:textId="77777777" w:rsidR="003347C2" w:rsidRPr="006F00FD" w:rsidRDefault="003347C2" w:rsidP="003347C2">
      <w:pPr>
        <w:spacing w:line="360" w:lineRule="auto"/>
        <w:jc w:val="both"/>
        <w:rPr>
          <w:rFonts w:ascii="Arial" w:hAnsi="Arial" w:cs="Arial"/>
          <w:sz w:val="24"/>
          <w:szCs w:val="24"/>
        </w:rPr>
      </w:pPr>
      <w:r w:rsidRPr="006F00FD">
        <w:rPr>
          <w:rFonts w:ascii="Arial" w:hAnsi="Arial" w:cs="Arial"/>
          <w:b/>
          <w:bCs/>
          <w:sz w:val="24"/>
          <w:szCs w:val="24"/>
        </w:rPr>
        <w:t>The Bargaining Power of Suppliers</w:t>
      </w:r>
      <w:r w:rsidRPr="006F00FD">
        <w:rPr>
          <w:rFonts w:ascii="Arial" w:hAnsi="Arial" w:cs="Arial"/>
          <w:sz w:val="24"/>
          <w:szCs w:val="24"/>
        </w:rPr>
        <w:t xml:space="preserve"> is changing with the algorithmic procurement and demand forecasting. AI enhances the negotiation strength of Tesco through better accuracy of forecasts and optimization of inventory. Nevertheless, the shift toward more dependence on cloud suppliers and AI vendors presents a new category of influential technology vendors, and dependency risks shift (Misra et al., 2025).</w:t>
      </w:r>
    </w:p>
    <w:p w14:paraId="71725F23" w14:textId="77777777" w:rsidR="003347C2" w:rsidRPr="006F00FD" w:rsidRDefault="003347C2" w:rsidP="003347C2">
      <w:pPr>
        <w:spacing w:line="360" w:lineRule="auto"/>
        <w:jc w:val="both"/>
        <w:rPr>
          <w:rFonts w:ascii="Arial" w:hAnsi="Arial" w:cs="Arial"/>
          <w:sz w:val="24"/>
          <w:szCs w:val="24"/>
        </w:rPr>
      </w:pPr>
      <w:r w:rsidRPr="006F00FD">
        <w:rPr>
          <w:rFonts w:ascii="Arial" w:hAnsi="Arial" w:cs="Arial"/>
          <w:b/>
          <w:bCs/>
          <w:sz w:val="24"/>
          <w:szCs w:val="24"/>
        </w:rPr>
        <w:t>Buyers Power is high</w:t>
      </w:r>
      <w:r w:rsidRPr="006F00FD">
        <w:rPr>
          <w:rFonts w:ascii="Arial" w:hAnsi="Arial" w:cs="Arial"/>
          <w:sz w:val="24"/>
          <w:szCs w:val="24"/>
        </w:rPr>
        <w:t xml:space="preserve"> and is increasing. The consumers are also becoming very conscious of information privacy and fairness of algorithms. </w:t>
      </w:r>
      <w:proofErr w:type="spellStart"/>
      <w:r w:rsidRPr="006F00FD">
        <w:rPr>
          <w:rFonts w:ascii="Arial" w:hAnsi="Arial" w:cs="Arial"/>
          <w:sz w:val="24"/>
          <w:szCs w:val="24"/>
        </w:rPr>
        <w:t>Personalisation</w:t>
      </w:r>
      <w:proofErr w:type="spellEnd"/>
      <w:r w:rsidRPr="006F00FD">
        <w:rPr>
          <w:rFonts w:ascii="Arial" w:hAnsi="Arial" w:cs="Arial"/>
          <w:sz w:val="24"/>
          <w:szCs w:val="24"/>
        </w:rPr>
        <w:t xml:space="preserve"> privacy paradox may mean that even though AI will improve customer experience, a perceived abuse of data may quickly undermine trust and switching costs (</w:t>
      </w:r>
      <w:proofErr w:type="spellStart"/>
      <w:r w:rsidRPr="006F00FD">
        <w:rPr>
          <w:rFonts w:ascii="Arial" w:hAnsi="Arial" w:cs="Arial"/>
          <w:sz w:val="24"/>
          <w:szCs w:val="24"/>
        </w:rPr>
        <w:t>Canhoto</w:t>
      </w:r>
      <w:proofErr w:type="spellEnd"/>
      <w:r w:rsidRPr="006F00FD">
        <w:rPr>
          <w:rFonts w:ascii="Arial" w:hAnsi="Arial" w:cs="Arial"/>
          <w:sz w:val="24"/>
          <w:szCs w:val="24"/>
        </w:rPr>
        <w:t xml:space="preserve"> et al., 2023). Therefore, the quality of governance has a direct impact on the power of the customers.</w:t>
      </w:r>
    </w:p>
    <w:p w14:paraId="7F086218" w14:textId="77777777" w:rsidR="000F7C03" w:rsidRPr="006F00FD" w:rsidRDefault="003347C2" w:rsidP="000F7C03">
      <w:pPr>
        <w:spacing w:line="360" w:lineRule="auto"/>
        <w:jc w:val="both"/>
        <w:rPr>
          <w:rFonts w:ascii="Arial" w:hAnsi="Arial" w:cs="Arial"/>
          <w:sz w:val="24"/>
          <w:szCs w:val="24"/>
        </w:rPr>
      </w:pPr>
      <w:r w:rsidRPr="006F00FD">
        <w:rPr>
          <w:rFonts w:ascii="Arial" w:hAnsi="Arial" w:cs="Arial"/>
          <w:b/>
          <w:bCs/>
          <w:sz w:val="24"/>
          <w:szCs w:val="24"/>
        </w:rPr>
        <w:t>The threat of Substitutes</w:t>
      </w:r>
      <w:r w:rsidRPr="006F00FD">
        <w:rPr>
          <w:rFonts w:ascii="Arial" w:hAnsi="Arial" w:cs="Arial"/>
          <w:sz w:val="24"/>
          <w:szCs w:val="24"/>
        </w:rPr>
        <w:t xml:space="preserve"> is increasing, with platform-based retail ecosystems like Amazon, in which AI-based convenience and recommendation systems are remaking value propositions. </w:t>
      </w:r>
      <w:r w:rsidR="000F7C03" w:rsidRPr="006F00FD">
        <w:rPr>
          <w:rFonts w:ascii="Arial" w:hAnsi="Arial" w:cs="Arial"/>
          <w:sz w:val="24"/>
          <w:szCs w:val="24"/>
        </w:rPr>
        <w:t>These substitutes are not competing only on price but on the experience that is grounded on the data, placing the question of transparency in governance in the limelight.</w:t>
      </w:r>
    </w:p>
    <w:p w14:paraId="7FA82E59" w14:textId="77777777" w:rsidR="000F7C03" w:rsidRPr="006F00FD" w:rsidRDefault="000F7C03" w:rsidP="000F7C03">
      <w:pPr>
        <w:spacing w:line="360" w:lineRule="auto"/>
        <w:jc w:val="both"/>
        <w:rPr>
          <w:rFonts w:ascii="Arial" w:hAnsi="Arial" w:cs="Arial"/>
          <w:sz w:val="24"/>
          <w:szCs w:val="24"/>
        </w:rPr>
      </w:pPr>
      <w:r w:rsidRPr="006F00FD">
        <w:rPr>
          <w:rFonts w:ascii="Arial" w:hAnsi="Arial" w:cs="Arial"/>
          <w:sz w:val="24"/>
          <w:szCs w:val="24"/>
        </w:rPr>
        <w:t>The Industry has a tough competition and is more based on data capacity and not necessarily on price. Competitors such as Amazon are more likely to display technical governance, whilst other competitors employ risk-</w:t>
      </w:r>
      <w:proofErr w:type="spellStart"/>
      <w:r w:rsidRPr="006F00FD">
        <w:rPr>
          <w:rFonts w:ascii="Arial" w:hAnsi="Arial" w:cs="Arial"/>
          <w:sz w:val="24"/>
          <w:szCs w:val="24"/>
        </w:rPr>
        <w:t>minimisation</w:t>
      </w:r>
      <w:proofErr w:type="spellEnd"/>
      <w:r w:rsidRPr="006F00FD">
        <w:rPr>
          <w:rFonts w:ascii="Arial" w:hAnsi="Arial" w:cs="Arial"/>
          <w:sz w:val="24"/>
          <w:szCs w:val="24"/>
        </w:rPr>
        <w:t xml:space="preserve"> strategies. The presence of a gap in the governance at Tesco jeopardizes the strategic position of Tesco despite having good data holdings.</w:t>
      </w:r>
    </w:p>
    <w:p w14:paraId="2C7B2361" w14:textId="72070171" w:rsidR="003347C2" w:rsidRPr="006F00FD" w:rsidRDefault="000F7C03" w:rsidP="000F7C03">
      <w:pPr>
        <w:spacing w:line="360" w:lineRule="auto"/>
        <w:jc w:val="both"/>
        <w:rPr>
          <w:rFonts w:ascii="Arial" w:hAnsi="Arial" w:cs="Arial"/>
          <w:sz w:val="24"/>
          <w:szCs w:val="24"/>
        </w:rPr>
      </w:pPr>
      <w:r w:rsidRPr="006F00FD">
        <w:rPr>
          <w:rFonts w:ascii="Arial" w:hAnsi="Arial" w:cs="Arial"/>
          <w:sz w:val="24"/>
          <w:szCs w:val="24"/>
        </w:rPr>
        <w:t>Overall, the analysis demonstrates that AI control is no longer a compliance task but a competitive force, which impacts the barrier to entry, customer loyalty, and differentiation. The absence of fit between AI potential and the governance maturity may lead to the loss of structural advantage in the industry by firms (Porter, 2008).</w:t>
      </w:r>
    </w:p>
    <w:p w14:paraId="2C156111" w14:textId="08A0A1AF" w:rsidR="000C7C08" w:rsidRPr="006F00FD" w:rsidRDefault="009822E0" w:rsidP="000066FA">
      <w:pPr>
        <w:pStyle w:val="Heading1"/>
      </w:pPr>
      <w:bookmarkStart w:id="11" w:name="_Toc227973223"/>
      <w:r w:rsidRPr="006F00FD">
        <w:t>Implementation Plan</w:t>
      </w:r>
      <w:bookmarkEnd w:id="11"/>
    </w:p>
    <w:p w14:paraId="7F093D17" w14:textId="68028B92" w:rsidR="008615BA" w:rsidRPr="006F00FD" w:rsidRDefault="00633D9E" w:rsidP="003347C2">
      <w:pPr>
        <w:spacing w:line="360" w:lineRule="auto"/>
        <w:jc w:val="both"/>
        <w:rPr>
          <w:rFonts w:ascii="Arial" w:hAnsi="Arial" w:cs="Arial"/>
          <w:sz w:val="24"/>
          <w:szCs w:val="24"/>
        </w:rPr>
      </w:pPr>
      <w:r w:rsidRPr="006F00FD">
        <w:rPr>
          <w:rFonts w:ascii="Arial" w:hAnsi="Arial" w:cs="Arial"/>
          <w:sz w:val="24"/>
          <w:szCs w:val="24"/>
        </w:rPr>
        <w:t xml:space="preserve">The following implementation plan will </w:t>
      </w:r>
      <w:r w:rsidR="005414EB" w:rsidRPr="006F00FD">
        <w:rPr>
          <w:rFonts w:ascii="Arial" w:hAnsi="Arial" w:cs="Arial"/>
          <w:sz w:val="24"/>
          <w:szCs w:val="24"/>
        </w:rPr>
        <w:t>address the governance, ethical, and regulatory risks noted in the previous analysis using</w:t>
      </w:r>
      <w:r w:rsidRPr="006F00FD">
        <w:rPr>
          <w:rFonts w:ascii="Arial" w:hAnsi="Arial" w:cs="Arial"/>
          <w:sz w:val="24"/>
          <w:szCs w:val="24"/>
        </w:rPr>
        <w:t xml:space="preserve"> a three-horizon approach. The horizons are </w:t>
      </w:r>
      <w:r w:rsidR="005414EB" w:rsidRPr="006F00FD">
        <w:rPr>
          <w:rFonts w:ascii="Arial" w:hAnsi="Arial" w:cs="Arial"/>
          <w:sz w:val="24"/>
          <w:szCs w:val="24"/>
        </w:rPr>
        <w:t xml:space="preserve">defined as short (zero to a year), medium (12 to 30 months), and long (24 to 60 </w:t>
      </w:r>
      <w:r w:rsidR="005414EB" w:rsidRPr="006F00FD">
        <w:rPr>
          <w:rFonts w:ascii="Arial" w:hAnsi="Arial" w:cs="Arial"/>
          <w:sz w:val="24"/>
          <w:szCs w:val="24"/>
        </w:rPr>
        <w:lastRenderedPageBreak/>
        <w:t>months), with a purposeful overlap to indicate the iterative nature</w:t>
      </w:r>
      <w:r w:rsidRPr="006F00FD">
        <w:rPr>
          <w:rFonts w:ascii="Arial" w:hAnsi="Arial" w:cs="Arial"/>
          <w:sz w:val="24"/>
          <w:szCs w:val="24"/>
        </w:rPr>
        <w:t xml:space="preserve"> of AI governance development. The plan is </w:t>
      </w:r>
      <w:proofErr w:type="spellStart"/>
      <w:r w:rsidR="005414EB" w:rsidRPr="006F00FD">
        <w:rPr>
          <w:rFonts w:ascii="Arial" w:hAnsi="Arial" w:cs="Arial"/>
          <w:sz w:val="24"/>
          <w:szCs w:val="24"/>
        </w:rPr>
        <w:t>optimised</w:t>
      </w:r>
      <w:proofErr w:type="spellEnd"/>
      <w:r w:rsidRPr="006F00FD">
        <w:rPr>
          <w:rFonts w:ascii="Arial" w:hAnsi="Arial" w:cs="Arial"/>
          <w:sz w:val="24"/>
          <w:szCs w:val="24"/>
        </w:rPr>
        <w:t xml:space="preserve"> to the scale of Tesco and the dual compliance environment it operates in. Table 5 </w:t>
      </w:r>
      <w:proofErr w:type="spellStart"/>
      <w:r w:rsidR="005414EB" w:rsidRPr="006F00FD">
        <w:rPr>
          <w:rFonts w:ascii="Arial" w:hAnsi="Arial" w:cs="Arial"/>
          <w:sz w:val="24"/>
          <w:szCs w:val="24"/>
        </w:rPr>
        <w:t>summarises</w:t>
      </w:r>
      <w:proofErr w:type="spellEnd"/>
      <w:r w:rsidR="005414EB" w:rsidRPr="006F00FD">
        <w:rPr>
          <w:rFonts w:ascii="Arial" w:hAnsi="Arial" w:cs="Arial"/>
          <w:sz w:val="24"/>
          <w:szCs w:val="24"/>
        </w:rPr>
        <w:t xml:space="preserve"> all 11 recommendations, timeframes,</w:t>
      </w:r>
      <w:r w:rsidRPr="006F00FD">
        <w:rPr>
          <w:rFonts w:ascii="Arial" w:hAnsi="Arial" w:cs="Arial"/>
          <w:sz w:val="24"/>
          <w:szCs w:val="24"/>
        </w:rPr>
        <w:t xml:space="preserve"> and cost estimates.</w:t>
      </w:r>
    </w:p>
    <w:p w14:paraId="11B0EF65" w14:textId="7299C7D1" w:rsidR="008615BA" w:rsidRPr="006F00FD" w:rsidRDefault="008615BA" w:rsidP="003347C2">
      <w:pPr>
        <w:pStyle w:val="Caption"/>
        <w:keepNext/>
        <w:spacing w:after="0" w:line="360" w:lineRule="auto"/>
        <w:rPr>
          <w:rFonts w:ascii="Arial" w:hAnsi="Arial" w:cs="Arial"/>
          <w:i w:val="0"/>
          <w:iCs w:val="0"/>
        </w:rPr>
      </w:pPr>
      <w:r w:rsidRPr="006F00FD">
        <w:rPr>
          <w:rFonts w:ascii="Arial" w:hAnsi="Arial" w:cs="Arial"/>
          <w:i w:val="0"/>
          <w:iCs w:val="0"/>
        </w:rPr>
        <w:t xml:space="preserve">Table </w:t>
      </w:r>
      <w:r w:rsidRPr="006F00FD">
        <w:rPr>
          <w:rFonts w:ascii="Arial" w:hAnsi="Arial" w:cs="Arial"/>
          <w:i w:val="0"/>
          <w:iCs w:val="0"/>
        </w:rPr>
        <w:fldChar w:fldCharType="begin"/>
      </w:r>
      <w:r w:rsidRPr="006F00FD">
        <w:rPr>
          <w:rFonts w:ascii="Arial" w:hAnsi="Arial" w:cs="Arial"/>
          <w:i w:val="0"/>
          <w:iCs w:val="0"/>
        </w:rPr>
        <w:instrText xml:space="preserve"> SEQ Table \* ARABIC </w:instrText>
      </w:r>
      <w:r w:rsidRPr="006F00FD">
        <w:rPr>
          <w:rFonts w:ascii="Arial" w:hAnsi="Arial" w:cs="Arial"/>
          <w:i w:val="0"/>
          <w:iCs w:val="0"/>
        </w:rPr>
        <w:fldChar w:fldCharType="separate"/>
      </w:r>
      <w:r w:rsidRPr="006F00FD">
        <w:rPr>
          <w:rFonts w:ascii="Arial" w:hAnsi="Arial" w:cs="Arial"/>
          <w:i w:val="0"/>
          <w:iCs w:val="0"/>
          <w:noProof/>
        </w:rPr>
        <w:t>5</w:t>
      </w:r>
      <w:r w:rsidRPr="006F00FD">
        <w:rPr>
          <w:rFonts w:ascii="Arial" w:hAnsi="Arial" w:cs="Arial"/>
          <w:i w:val="0"/>
          <w:iCs w:val="0"/>
        </w:rPr>
        <w:fldChar w:fldCharType="end"/>
      </w:r>
      <w:r w:rsidRPr="006F00FD">
        <w:rPr>
          <w:rFonts w:ascii="Arial" w:hAnsi="Arial" w:cs="Arial"/>
          <w:i w:val="0"/>
          <w:iCs w:val="0"/>
        </w:rPr>
        <w:t>: Implementation Plan - AI Governance Recommendations for Tesco Plc</w:t>
      </w:r>
    </w:p>
    <w:tbl>
      <w:tblPr>
        <w:tblStyle w:val="GridTableLight"/>
        <w:tblW w:w="9360" w:type="dxa"/>
        <w:tblLook w:val="04A0" w:firstRow="1" w:lastRow="0" w:firstColumn="1" w:lastColumn="0" w:noHBand="0" w:noVBand="1"/>
      </w:tblPr>
      <w:tblGrid>
        <w:gridCol w:w="3100"/>
        <w:gridCol w:w="1500"/>
        <w:gridCol w:w="2000"/>
        <w:gridCol w:w="2760"/>
      </w:tblGrid>
      <w:tr w:rsidR="000C7C08" w:rsidRPr="006F00FD" w14:paraId="490F4397" w14:textId="77777777" w:rsidTr="00A26D28">
        <w:tc>
          <w:tcPr>
            <w:tcW w:w="3100" w:type="dxa"/>
            <w:shd w:val="clear" w:color="auto" w:fill="B4C6E7" w:themeFill="accent1" w:themeFillTint="66"/>
          </w:tcPr>
          <w:p w14:paraId="29D1C06E" w14:textId="77777777" w:rsidR="000C7C08" w:rsidRPr="006F00FD" w:rsidRDefault="009822E0" w:rsidP="003347C2">
            <w:pPr>
              <w:spacing w:line="360" w:lineRule="auto"/>
              <w:jc w:val="center"/>
              <w:rPr>
                <w:rFonts w:ascii="Arial" w:hAnsi="Arial" w:cs="Arial"/>
                <w:sz w:val="24"/>
                <w:szCs w:val="24"/>
              </w:rPr>
            </w:pPr>
            <w:r w:rsidRPr="006F00FD">
              <w:rPr>
                <w:rFonts w:ascii="Arial" w:eastAsia="Arial" w:hAnsi="Arial" w:cs="Arial"/>
                <w:b/>
                <w:bCs/>
                <w:sz w:val="24"/>
                <w:szCs w:val="24"/>
              </w:rPr>
              <w:t>Recommendation</w:t>
            </w:r>
          </w:p>
        </w:tc>
        <w:tc>
          <w:tcPr>
            <w:tcW w:w="1500" w:type="dxa"/>
            <w:shd w:val="clear" w:color="auto" w:fill="B4C6E7" w:themeFill="accent1" w:themeFillTint="66"/>
          </w:tcPr>
          <w:p w14:paraId="6ED0052A" w14:textId="77777777" w:rsidR="000C7C08" w:rsidRPr="006F00FD" w:rsidRDefault="009822E0" w:rsidP="003347C2">
            <w:pPr>
              <w:spacing w:line="360" w:lineRule="auto"/>
              <w:jc w:val="center"/>
              <w:rPr>
                <w:rFonts w:ascii="Arial" w:hAnsi="Arial" w:cs="Arial"/>
                <w:sz w:val="24"/>
                <w:szCs w:val="24"/>
              </w:rPr>
            </w:pPr>
            <w:r w:rsidRPr="006F00FD">
              <w:rPr>
                <w:rFonts w:ascii="Arial" w:eastAsia="Arial" w:hAnsi="Arial" w:cs="Arial"/>
                <w:b/>
                <w:bCs/>
                <w:sz w:val="24"/>
                <w:szCs w:val="24"/>
              </w:rPr>
              <w:t>Timeframe</w:t>
            </w:r>
          </w:p>
        </w:tc>
        <w:tc>
          <w:tcPr>
            <w:tcW w:w="2000" w:type="dxa"/>
            <w:shd w:val="clear" w:color="auto" w:fill="B4C6E7" w:themeFill="accent1" w:themeFillTint="66"/>
          </w:tcPr>
          <w:p w14:paraId="3D6307DB" w14:textId="77777777" w:rsidR="000C7C08" w:rsidRPr="006F00FD" w:rsidRDefault="009822E0" w:rsidP="003347C2">
            <w:pPr>
              <w:spacing w:line="360" w:lineRule="auto"/>
              <w:jc w:val="center"/>
              <w:rPr>
                <w:rFonts w:ascii="Arial" w:hAnsi="Arial" w:cs="Arial"/>
                <w:sz w:val="24"/>
                <w:szCs w:val="24"/>
              </w:rPr>
            </w:pPr>
            <w:r w:rsidRPr="006F00FD">
              <w:rPr>
                <w:rFonts w:ascii="Arial" w:eastAsia="Arial" w:hAnsi="Arial" w:cs="Arial"/>
                <w:b/>
                <w:bCs/>
                <w:sz w:val="24"/>
                <w:szCs w:val="24"/>
              </w:rPr>
              <w:t>Indicative Cost</w:t>
            </w:r>
          </w:p>
        </w:tc>
        <w:tc>
          <w:tcPr>
            <w:tcW w:w="2760" w:type="dxa"/>
            <w:shd w:val="clear" w:color="auto" w:fill="B4C6E7" w:themeFill="accent1" w:themeFillTint="66"/>
          </w:tcPr>
          <w:p w14:paraId="1B31301B" w14:textId="77777777" w:rsidR="000C7C08" w:rsidRPr="006F00FD" w:rsidRDefault="009822E0" w:rsidP="003347C2">
            <w:pPr>
              <w:spacing w:line="360" w:lineRule="auto"/>
              <w:jc w:val="center"/>
              <w:rPr>
                <w:rFonts w:ascii="Arial" w:hAnsi="Arial" w:cs="Arial"/>
                <w:sz w:val="24"/>
                <w:szCs w:val="24"/>
              </w:rPr>
            </w:pPr>
            <w:r w:rsidRPr="006F00FD">
              <w:rPr>
                <w:rFonts w:ascii="Arial" w:eastAsia="Arial" w:hAnsi="Arial" w:cs="Arial"/>
                <w:b/>
                <w:bCs/>
                <w:sz w:val="24"/>
                <w:szCs w:val="24"/>
              </w:rPr>
              <w:t>Expected Outcome</w:t>
            </w:r>
          </w:p>
        </w:tc>
      </w:tr>
      <w:tr w:rsidR="000C7C08" w:rsidRPr="006F00FD" w14:paraId="78032B3B" w14:textId="77777777" w:rsidTr="00A26D28">
        <w:tc>
          <w:tcPr>
            <w:tcW w:w="3100" w:type="dxa"/>
          </w:tcPr>
          <w:p w14:paraId="69A0D224" w14:textId="77777777" w:rsidR="000C7C08" w:rsidRPr="006F00FD" w:rsidRDefault="009822E0" w:rsidP="003347C2">
            <w:pPr>
              <w:spacing w:line="360" w:lineRule="auto"/>
              <w:rPr>
                <w:rFonts w:ascii="Arial" w:hAnsi="Arial" w:cs="Arial"/>
                <w:sz w:val="24"/>
                <w:szCs w:val="24"/>
              </w:rPr>
            </w:pPr>
            <w:r w:rsidRPr="006F00FD">
              <w:rPr>
                <w:rFonts w:ascii="Arial" w:hAnsi="Arial" w:cs="Arial"/>
                <w:b/>
                <w:bCs/>
                <w:color w:val="1A1A1A"/>
                <w:sz w:val="24"/>
                <w:szCs w:val="24"/>
              </w:rPr>
              <w:t>IR1:</w:t>
            </w:r>
            <w:r w:rsidRPr="006F00FD">
              <w:rPr>
                <w:rFonts w:ascii="Arial" w:hAnsi="Arial" w:cs="Arial"/>
                <w:color w:val="1A1A1A"/>
                <w:sz w:val="24"/>
                <w:szCs w:val="24"/>
              </w:rPr>
              <w:t xml:space="preserve"> Establish AI Ethics and Governance Board with board-level accountability and cross-functional membership</w:t>
            </w:r>
          </w:p>
        </w:tc>
        <w:tc>
          <w:tcPr>
            <w:tcW w:w="1500" w:type="dxa"/>
          </w:tcPr>
          <w:p w14:paraId="59AAAA8F"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0-6 months</w:t>
            </w:r>
          </w:p>
        </w:tc>
        <w:tc>
          <w:tcPr>
            <w:tcW w:w="2000" w:type="dxa"/>
          </w:tcPr>
          <w:p w14:paraId="035E16FB"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£150K-£300K</w:t>
            </w:r>
          </w:p>
        </w:tc>
        <w:tc>
          <w:tcPr>
            <w:tcW w:w="2760" w:type="dxa"/>
          </w:tcPr>
          <w:p w14:paraId="4BA4454B"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Unified accountability structure; reduced risk of siloed AI decisions</w:t>
            </w:r>
          </w:p>
        </w:tc>
      </w:tr>
      <w:tr w:rsidR="000C7C08" w:rsidRPr="006F00FD" w14:paraId="7F733370" w14:textId="77777777" w:rsidTr="00A26D28">
        <w:tc>
          <w:tcPr>
            <w:tcW w:w="3100" w:type="dxa"/>
            <w:shd w:val="clear" w:color="auto" w:fill="DBDBDB" w:themeFill="accent3" w:themeFillTint="66"/>
          </w:tcPr>
          <w:p w14:paraId="2C9E603C" w14:textId="77777777" w:rsidR="000C7C08" w:rsidRPr="006F00FD" w:rsidRDefault="009822E0" w:rsidP="003347C2">
            <w:pPr>
              <w:spacing w:line="360" w:lineRule="auto"/>
              <w:rPr>
                <w:rFonts w:ascii="Arial" w:hAnsi="Arial" w:cs="Arial"/>
                <w:sz w:val="24"/>
                <w:szCs w:val="24"/>
              </w:rPr>
            </w:pPr>
            <w:r w:rsidRPr="006F00FD">
              <w:rPr>
                <w:rFonts w:ascii="Arial" w:hAnsi="Arial" w:cs="Arial"/>
                <w:b/>
                <w:bCs/>
                <w:color w:val="1A1A1A"/>
                <w:sz w:val="24"/>
                <w:szCs w:val="24"/>
              </w:rPr>
              <w:t>IR2:</w:t>
            </w:r>
            <w:r w:rsidRPr="006F00FD">
              <w:rPr>
                <w:rFonts w:ascii="Arial" w:hAnsi="Arial" w:cs="Arial"/>
                <w:color w:val="1A1A1A"/>
                <w:sz w:val="24"/>
                <w:szCs w:val="24"/>
              </w:rPr>
              <w:t xml:space="preserve"> Commission AI regulatory gap analysis including EU AI Act Annex III classification assessment for each deployed AI system</w:t>
            </w:r>
          </w:p>
        </w:tc>
        <w:tc>
          <w:tcPr>
            <w:tcW w:w="1500" w:type="dxa"/>
            <w:shd w:val="clear" w:color="auto" w:fill="DBDBDB" w:themeFill="accent3" w:themeFillTint="66"/>
          </w:tcPr>
          <w:p w14:paraId="52DEA38E"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0-9 months</w:t>
            </w:r>
          </w:p>
        </w:tc>
        <w:tc>
          <w:tcPr>
            <w:tcW w:w="2000" w:type="dxa"/>
            <w:shd w:val="clear" w:color="auto" w:fill="DBDBDB" w:themeFill="accent3" w:themeFillTint="66"/>
          </w:tcPr>
          <w:p w14:paraId="42355C8C"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£80K-£150K</w:t>
            </w:r>
          </w:p>
        </w:tc>
        <w:tc>
          <w:tcPr>
            <w:tcW w:w="2760" w:type="dxa"/>
            <w:shd w:val="clear" w:color="auto" w:fill="DBDBDB" w:themeFill="accent3" w:themeFillTint="66"/>
          </w:tcPr>
          <w:p w14:paraId="142C3829"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Clear compliance roadmap; definitive classification of systems requiring remediation</w:t>
            </w:r>
          </w:p>
        </w:tc>
      </w:tr>
      <w:tr w:rsidR="000C7C08" w:rsidRPr="006F00FD" w14:paraId="0F7DC479" w14:textId="77777777" w:rsidTr="00A26D28">
        <w:tc>
          <w:tcPr>
            <w:tcW w:w="3100" w:type="dxa"/>
          </w:tcPr>
          <w:p w14:paraId="018958E3" w14:textId="219C2480" w:rsidR="000C7C08" w:rsidRPr="006F00FD" w:rsidRDefault="009822E0" w:rsidP="003347C2">
            <w:pPr>
              <w:spacing w:line="360" w:lineRule="auto"/>
              <w:rPr>
                <w:rFonts w:ascii="Arial" w:hAnsi="Arial" w:cs="Arial"/>
                <w:sz w:val="24"/>
                <w:szCs w:val="24"/>
              </w:rPr>
            </w:pPr>
            <w:r w:rsidRPr="006F00FD">
              <w:rPr>
                <w:rFonts w:ascii="Arial" w:hAnsi="Arial" w:cs="Arial"/>
                <w:b/>
                <w:bCs/>
                <w:color w:val="1A1A1A"/>
                <w:sz w:val="24"/>
                <w:szCs w:val="24"/>
              </w:rPr>
              <w:t>IR3:</w:t>
            </w:r>
            <w:r w:rsidRPr="006F00FD">
              <w:rPr>
                <w:rFonts w:ascii="Arial" w:hAnsi="Arial" w:cs="Arial"/>
                <w:color w:val="1A1A1A"/>
                <w:sz w:val="24"/>
                <w:szCs w:val="24"/>
              </w:rPr>
              <w:t xml:space="preserve"> Implement mandatory Data Protection Impact Assessments for all new AI-enabled Clubcard features </w:t>
            </w:r>
            <w:r w:rsidR="005414EB" w:rsidRPr="006F00FD">
              <w:rPr>
                <w:rFonts w:ascii="Arial" w:hAnsi="Arial" w:cs="Arial"/>
                <w:color w:val="1A1A1A"/>
                <w:sz w:val="24"/>
                <w:szCs w:val="24"/>
              </w:rPr>
              <w:t>before</w:t>
            </w:r>
            <w:r w:rsidRPr="006F00FD">
              <w:rPr>
                <w:rFonts w:ascii="Arial" w:hAnsi="Arial" w:cs="Arial"/>
                <w:color w:val="1A1A1A"/>
                <w:sz w:val="24"/>
                <w:szCs w:val="24"/>
              </w:rPr>
              <w:t xml:space="preserve"> deployment</w:t>
            </w:r>
          </w:p>
        </w:tc>
        <w:tc>
          <w:tcPr>
            <w:tcW w:w="1500" w:type="dxa"/>
          </w:tcPr>
          <w:p w14:paraId="0D23A00F"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0-9 months</w:t>
            </w:r>
          </w:p>
        </w:tc>
        <w:tc>
          <w:tcPr>
            <w:tcW w:w="2000" w:type="dxa"/>
          </w:tcPr>
          <w:p w14:paraId="2AC01DA4"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£50K-£100K</w:t>
            </w:r>
          </w:p>
        </w:tc>
        <w:tc>
          <w:tcPr>
            <w:tcW w:w="2760" w:type="dxa"/>
          </w:tcPr>
          <w:p w14:paraId="273DF8C7"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Demonstrable UK GDPR Article 35 compliance; reduced ICO enforcement risk</w:t>
            </w:r>
          </w:p>
        </w:tc>
      </w:tr>
      <w:tr w:rsidR="000C7C08" w:rsidRPr="006F00FD" w14:paraId="109878B1" w14:textId="77777777" w:rsidTr="00A26D28">
        <w:tc>
          <w:tcPr>
            <w:tcW w:w="3100" w:type="dxa"/>
            <w:shd w:val="clear" w:color="auto" w:fill="DBDBDB" w:themeFill="accent3" w:themeFillTint="66"/>
          </w:tcPr>
          <w:p w14:paraId="66E70D70" w14:textId="77777777" w:rsidR="000C7C08" w:rsidRPr="006F00FD" w:rsidRDefault="009822E0" w:rsidP="003347C2">
            <w:pPr>
              <w:spacing w:line="360" w:lineRule="auto"/>
              <w:rPr>
                <w:rFonts w:ascii="Arial" w:hAnsi="Arial" w:cs="Arial"/>
                <w:sz w:val="24"/>
                <w:szCs w:val="24"/>
              </w:rPr>
            </w:pPr>
            <w:r w:rsidRPr="006F00FD">
              <w:rPr>
                <w:rFonts w:ascii="Arial" w:hAnsi="Arial" w:cs="Arial"/>
                <w:b/>
                <w:bCs/>
                <w:color w:val="1A1A1A"/>
                <w:sz w:val="24"/>
                <w:szCs w:val="24"/>
              </w:rPr>
              <w:t>IR11:</w:t>
            </w:r>
            <w:r w:rsidRPr="006F00FD">
              <w:rPr>
                <w:rFonts w:ascii="Arial" w:hAnsi="Arial" w:cs="Arial"/>
                <w:color w:val="1A1A1A"/>
                <w:sz w:val="24"/>
                <w:szCs w:val="24"/>
              </w:rPr>
              <w:t xml:space="preserve"> Procure AI-specific liability insurance covering regulatory fines, third-party claims, and reputational loss from AI system failures</w:t>
            </w:r>
          </w:p>
        </w:tc>
        <w:tc>
          <w:tcPr>
            <w:tcW w:w="1500" w:type="dxa"/>
            <w:shd w:val="clear" w:color="auto" w:fill="DBDBDB" w:themeFill="accent3" w:themeFillTint="66"/>
          </w:tcPr>
          <w:p w14:paraId="48FB8214"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0-12 months</w:t>
            </w:r>
          </w:p>
        </w:tc>
        <w:tc>
          <w:tcPr>
            <w:tcW w:w="2000" w:type="dxa"/>
            <w:shd w:val="clear" w:color="auto" w:fill="DBDBDB" w:themeFill="accent3" w:themeFillTint="66"/>
          </w:tcPr>
          <w:p w14:paraId="73BA0923"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£150K-£400K p.a.</w:t>
            </w:r>
          </w:p>
        </w:tc>
        <w:tc>
          <w:tcPr>
            <w:tcW w:w="2760" w:type="dxa"/>
            <w:shd w:val="clear" w:color="auto" w:fill="DBDBDB" w:themeFill="accent3" w:themeFillTint="66"/>
          </w:tcPr>
          <w:p w14:paraId="42FD75AE"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Financial risk transfer for residual AI liability; signals governance maturity to insurers and investors</w:t>
            </w:r>
          </w:p>
        </w:tc>
      </w:tr>
      <w:tr w:rsidR="000C7C08" w:rsidRPr="006F00FD" w14:paraId="6DE03F7E" w14:textId="77777777" w:rsidTr="00A26D28">
        <w:tc>
          <w:tcPr>
            <w:tcW w:w="3100" w:type="dxa"/>
          </w:tcPr>
          <w:p w14:paraId="445AE808" w14:textId="77777777" w:rsidR="000C7C08" w:rsidRPr="006F00FD" w:rsidRDefault="009822E0" w:rsidP="003347C2">
            <w:pPr>
              <w:spacing w:line="360" w:lineRule="auto"/>
              <w:rPr>
                <w:rFonts w:ascii="Arial" w:hAnsi="Arial" w:cs="Arial"/>
                <w:sz w:val="24"/>
                <w:szCs w:val="24"/>
              </w:rPr>
            </w:pPr>
            <w:r w:rsidRPr="006F00FD">
              <w:rPr>
                <w:rFonts w:ascii="Arial" w:hAnsi="Arial" w:cs="Arial"/>
                <w:b/>
                <w:bCs/>
                <w:color w:val="1A1A1A"/>
                <w:sz w:val="24"/>
                <w:szCs w:val="24"/>
              </w:rPr>
              <w:t>IR4:</w:t>
            </w:r>
            <w:r w:rsidRPr="006F00FD">
              <w:rPr>
                <w:rFonts w:ascii="Arial" w:hAnsi="Arial" w:cs="Arial"/>
                <w:color w:val="1A1A1A"/>
                <w:sz w:val="24"/>
                <w:szCs w:val="24"/>
              </w:rPr>
              <w:t xml:space="preserve"> Deploy explainability infrastructure for </w:t>
            </w:r>
            <w:proofErr w:type="spellStart"/>
            <w:r w:rsidRPr="006F00FD">
              <w:rPr>
                <w:rFonts w:ascii="Arial" w:hAnsi="Arial" w:cs="Arial"/>
                <w:color w:val="1A1A1A"/>
                <w:sz w:val="24"/>
                <w:szCs w:val="24"/>
              </w:rPr>
              <w:t>Clubcard</w:t>
            </w:r>
            <w:proofErr w:type="spellEnd"/>
            <w:r w:rsidRPr="006F00FD">
              <w:rPr>
                <w:rFonts w:ascii="Arial" w:hAnsi="Arial" w:cs="Arial"/>
                <w:color w:val="1A1A1A"/>
                <w:sz w:val="24"/>
                <w:szCs w:val="24"/>
              </w:rPr>
              <w:t xml:space="preserve"> </w:t>
            </w:r>
            <w:proofErr w:type="spellStart"/>
            <w:r w:rsidRPr="006F00FD">
              <w:rPr>
                <w:rFonts w:ascii="Arial" w:hAnsi="Arial" w:cs="Arial"/>
                <w:color w:val="1A1A1A"/>
                <w:sz w:val="24"/>
                <w:szCs w:val="24"/>
              </w:rPr>
              <w:t>personalisation</w:t>
            </w:r>
            <w:proofErr w:type="spellEnd"/>
            <w:r w:rsidRPr="006F00FD">
              <w:rPr>
                <w:rFonts w:ascii="Arial" w:hAnsi="Arial" w:cs="Arial"/>
                <w:color w:val="1A1A1A"/>
                <w:sz w:val="24"/>
                <w:szCs w:val="24"/>
              </w:rPr>
              <w:t xml:space="preserve"> engine, enabling customer-facing algorithmic explanations</w:t>
            </w:r>
          </w:p>
        </w:tc>
        <w:tc>
          <w:tcPr>
            <w:tcW w:w="1500" w:type="dxa"/>
          </w:tcPr>
          <w:p w14:paraId="6E844A8D"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9-24 months</w:t>
            </w:r>
          </w:p>
        </w:tc>
        <w:tc>
          <w:tcPr>
            <w:tcW w:w="2000" w:type="dxa"/>
          </w:tcPr>
          <w:p w14:paraId="642D06A5"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£500K-£1.2M</w:t>
            </w:r>
          </w:p>
        </w:tc>
        <w:tc>
          <w:tcPr>
            <w:tcW w:w="2760" w:type="dxa"/>
          </w:tcPr>
          <w:p w14:paraId="2E64D8DC"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Improved consumer trust scores; EU AI Act transparency compliance</w:t>
            </w:r>
          </w:p>
        </w:tc>
      </w:tr>
      <w:tr w:rsidR="000C7C08" w:rsidRPr="006F00FD" w14:paraId="3647F48E" w14:textId="77777777" w:rsidTr="00A26D28">
        <w:tc>
          <w:tcPr>
            <w:tcW w:w="3100" w:type="dxa"/>
            <w:shd w:val="clear" w:color="auto" w:fill="DBDBDB" w:themeFill="accent3" w:themeFillTint="66"/>
          </w:tcPr>
          <w:p w14:paraId="4EF0C13B" w14:textId="77777777" w:rsidR="000C7C08" w:rsidRPr="006F00FD" w:rsidRDefault="009822E0" w:rsidP="003347C2">
            <w:pPr>
              <w:spacing w:line="360" w:lineRule="auto"/>
              <w:rPr>
                <w:rFonts w:ascii="Arial" w:hAnsi="Arial" w:cs="Arial"/>
                <w:sz w:val="24"/>
                <w:szCs w:val="24"/>
              </w:rPr>
            </w:pPr>
            <w:r w:rsidRPr="006F00FD">
              <w:rPr>
                <w:rFonts w:ascii="Arial" w:hAnsi="Arial" w:cs="Arial"/>
                <w:b/>
                <w:bCs/>
                <w:color w:val="1A1A1A"/>
                <w:sz w:val="24"/>
                <w:szCs w:val="24"/>
              </w:rPr>
              <w:lastRenderedPageBreak/>
              <w:t>IR5:</w:t>
            </w:r>
            <w:r w:rsidRPr="006F00FD">
              <w:rPr>
                <w:rFonts w:ascii="Arial" w:hAnsi="Arial" w:cs="Arial"/>
                <w:color w:val="1A1A1A"/>
                <w:sz w:val="24"/>
                <w:szCs w:val="24"/>
              </w:rPr>
              <w:t xml:space="preserve"> Develop and publish an Algorithmic Accountability Report disclosing AI system purposes, data sources, and governance controls</w:t>
            </w:r>
          </w:p>
        </w:tc>
        <w:tc>
          <w:tcPr>
            <w:tcW w:w="1500" w:type="dxa"/>
            <w:shd w:val="clear" w:color="auto" w:fill="DBDBDB" w:themeFill="accent3" w:themeFillTint="66"/>
          </w:tcPr>
          <w:p w14:paraId="0531C30A"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12-18 months</w:t>
            </w:r>
          </w:p>
        </w:tc>
        <w:tc>
          <w:tcPr>
            <w:tcW w:w="2000" w:type="dxa"/>
            <w:shd w:val="clear" w:color="auto" w:fill="DBDBDB" w:themeFill="accent3" w:themeFillTint="66"/>
          </w:tcPr>
          <w:p w14:paraId="6113F880"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£60K-£120K</w:t>
            </w:r>
          </w:p>
        </w:tc>
        <w:tc>
          <w:tcPr>
            <w:tcW w:w="2760" w:type="dxa"/>
            <w:shd w:val="clear" w:color="auto" w:fill="DBDBDB" w:themeFill="accent3" w:themeFillTint="66"/>
          </w:tcPr>
          <w:p w14:paraId="5631243C"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Strengthened stakeholder trust; reputational differentiation in competitive market</w:t>
            </w:r>
          </w:p>
        </w:tc>
      </w:tr>
      <w:tr w:rsidR="000C7C08" w:rsidRPr="006F00FD" w14:paraId="2407B510" w14:textId="77777777" w:rsidTr="00A26D28">
        <w:tc>
          <w:tcPr>
            <w:tcW w:w="3100" w:type="dxa"/>
          </w:tcPr>
          <w:p w14:paraId="017DAE80" w14:textId="5606FD8D" w:rsidR="000C7C08" w:rsidRPr="006F00FD" w:rsidRDefault="009822E0" w:rsidP="003347C2">
            <w:pPr>
              <w:spacing w:line="360" w:lineRule="auto"/>
              <w:rPr>
                <w:rFonts w:ascii="Arial" w:hAnsi="Arial" w:cs="Arial"/>
                <w:sz w:val="24"/>
                <w:szCs w:val="24"/>
              </w:rPr>
            </w:pPr>
            <w:r w:rsidRPr="006F00FD">
              <w:rPr>
                <w:rFonts w:ascii="Arial" w:hAnsi="Arial" w:cs="Arial"/>
                <w:b/>
                <w:bCs/>
                <w:color w:val="1A1A1A"/>
                <w:sz w:val="24"/>
                <w:szCs w:val="24"/>
              </w:rPr>
              <w:t>IR6:</w:t>
            </w:r>
            <w:r w:rsidRPr="006F00FD">
              <w:rPr>
                <w:rFonts w:ascii="Arial" w:hAnsi="Arial" w:cs="Arial"/>
                <w:color w:val="1A1A1A"/>
                <w:sz w:val="24"/>
                <w:szCs w:val="24"/>
              </w:rPr>
              <w:t xml:space="preserve"> Introduce </w:t>
            </w:r>
            <w:r w:rsidR="005414EB" w:rsidRPr="006F00FD">
              <w:rPr>
                <w:rFonts w:ascii="Arial" w:hAnsi="Arial" w:cs="Arial"/>
                <w:color w:val="1A1A1A"/>
                <w:sz w:val="24"/>
                <w:szCs w:val="24"/>
              </w:rPr>
              <w:t xml:space="preserve">an </w:t>
            </w:r>
            <w:r w:rsidRPr="006F00FD">
              <w:rPr>
                <w:rFonts w:ascii="Arial" w:hAnsi="Arial" w:cs="Arial"/>
                <w:color w:val="1A1A1A"/>
                <w:sz w:val="24"/>
                <w:szCs w:val="24"/>
              </w:rPr>
              <w:t>AI model audit protocol for Clubcard and pricing algorithms, including bias testing across demographic segments</w:t>
            </w:r>
          </w:p>
        </w:tc>
        <w:tc>
          <w:tcPr>
            <w:tcW w:w="1500" w:type="dxa"/>
          </w:tcPr>
          <w:p w14:paraId="4D9C1FD8"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12-24 months</w:t>
            </w:r>
          </w:p>
        </w:tc>
        <w:tc>
          <w:tcPr>
            <w:tcW w:w="2000" w:type="dxa"/>
          </w:tcPr>
          <w:p w14:paraId="797E75E9"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£200K-£400K per cycle</w:t>
            </w:r>
          </w:p>
        </w:tc>
        <w:tc>
          <w:tcPr>
            <w:tcW w:w="2760" w:type="dxa"/>
          </w:tcPr>
          <w:p w14:paraId="037E6C27"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Systematic identification and remediation of discriminatory model outputs</w:t>
            </w:r>
          </w:p>
        </w:tc>
      </w:tr>
      <w:tr w:rsidR="000C7C08" w:rsidRPr="006F00FD" w14:paraId="634223F6" w14:textId="77777777" w:rsidTr="00A26D28">
        <w:tc>
          <w:tcPr>
            <w:tcW w:w="3100" w:type="dxa"/>
            <w:shd w:val="clear" w:color="auto" w:fill="DBDBDB" w:themeFill="accent3" w:themeFillTint="66"/>
          </w:tcPr>
          <w:p w14:paraId="56B9F6AF" w14:textId="77777777" w:rsidR="000C7C08" w:rsidRPr="006F00FD" w:rsidRDefault="009822E0" w:rsidP="003347C2">
            <w:pPr>
              <w:spacing w:line="360" w:lineRule="auto"/>
              <w:rPr>
                <w:rFonts w:ascii="Arial" w:hAnsi="Arial" w:cs="Arial"/>
                <w:sz w:val="24"/>
                <w:szCs w:val="24"/>
              </w:rPr>
            </w:pPr>
            <w:r w:rsidRPr="006F00FD">
              <w:rPr>
                <w:rFonts w:ascii="Arial" w:hAnsi="Arial" w:cs="Arial"/>
                <w:b/>
                <w:bCs/>
                <w:color w:val="1A1A1A"/>
                <w:sz w:val="24"/>
                <w:szCs w:val="24"/>
              </w:rPr>
              <w:t>IR7:</w:t>
            </w:r>
            <w:r w:rsidRPr="006F00FD">
              <w:rPr>
                <w:rFonts w:ascii="Arial" w:hAnsi="Arial" w:cs="Arial"/>
                <w:color w:val="1A1A1A"/>
                <w:sz w:val="24"/>
                <w:szCs w:val="24"/>
              </w:rPr>
              <w:t xml:space="preserve"> Redesign Clubcard consent infrastructure with granular, revocable opt-in architecture replacing implied consent</w:t>
            </w:r>
          </w:p>
        </w:tc>
        <w:tc>
          <w:tcPr>
            <w:tcW w:w="1500" w:type="dxa"/>
            <w:shd w:val="clear" w:color="auto" w:fill="DBDBDB" w:themeFill="accent3" w:themeFillTint="66"/>
          </w:tcPr>
          <w:p w14:paraId="3739898A"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12-30 months</w:t>
            </w:r>
          </w:p>
        </w:tc>
        <w:tc>
          <w:tcPr>
            <w:tcW w:w="2000" w:type="dxa"/>
            <w:shd w:val="clear" w:color="auto" w:fill="DBDBDB" w:themeFill="accent3" w:themeFillTint="66"/>
          </w:tcPr>
          <w:p w14:paraId="355E578A"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£1M-£2.5M</w:t>
            </w:r>
          </w:p>
        </w:tc>
        <w:tc>
          <w:tcPr>
            <w:tcW w:w="2760" w:type="dxa"/>
            <w:shd w:val="clear" w:color="auto" w:fill="DBDBDB" w:themeFill="accent3" w:themeFillTint="66"/>
          </w:tcPr>
          <w:p w14:paraId="7F510BE4"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GDPR-compliant consent foundation; reduced ICO and DPC enforcement risk</w:t>
            </w:r>
          </w:p>
        </w:tc>
      </w:tr>
      <w:tr w:rsidR="000C7C08" w:rsidRPr="006F00FD" w14:paraId="735E1581" w14:textId="77777777" w:rsidTr="00A26D28">
        <w:tc>
          <w:tcPr>
            <w:tcW w:w="3100" w:type="dxa"/>
          </w:tcPr>
          <w:p w14:paraId="7B6A7133" w14:textId="77777777" w:rsidR="000C7C08" w:rsidRPr="006F00FD" w:rsidRDefault="009822E0" w:rsidP="003347C2">
            <w:pPr>
              <w:spacing w:line="360" w:lineRule="auto"/>
              <w:rPr>
                <w:rFonts w:ascii="Arial" w:hAnsi="Arial" w:cs="Arial"/>
                <w:sz w:val="24"/>
                <w:szCs w:val="24"/>
              </w:rPr>
            </w:pPr>
            <w:r w:rsidRPr="006F00FD">
              <w:rPr>
                <w:rFonts w:ascii="Arial" w:hAnsi="Arial" w:cs="Arial"/>
                <w:b/>
                <w:bCs/>
                <w:color w:val="1A1A1A"/>
                <w:sz w:val="24"/>
                <w:szCs w:val="24"/>
              </w:rPr>
              <w:t>IR8:</w:t>
            </w:r>
            <w:r w:rsidRPr="006F00FD">
              <w:rPr>
                <w:rFonts w:ascii="Arial" w:hAnsi="Arial" w:cs="Arial"/>
                <w:color w:val="1A1A1A"/>
                <w:sz w:val="24"/>
                <w:szCs w:val="24"/>
              </w:rPr>
              <w:t xml:space="preserve"> Build internal AI Assurance Centre of Excellence for governance capability and regulatory horizon-scanning</w:t>
            </w:r>
          </w:p>
        </w:tc>
        <w:tc>
          <w:tcPr>
            <w:tcW w:w="1500" w:type="dxa"/>
          </w:tcPr>
          <w:p w14:paraId="3D85B3C1"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24-48 months</w:t>
            </w:r>
          </w:p>
        </w:tc>
        <w:tc>
          <w:tcPr>
            <w:tcW w:w="2000" w:type="dxa"/>
          </w:tcPr>
          <w:p w14:paraId="4D4DC143"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£2M-£4M</w:t>
            </w:r>
          </w:p>
        </w:tc>
        <w:tc>
          <w:tcPr>
            <w:tcW w:w="2760" w:type="dxa"/>
          </w:tcPr>
          <w:p w14:paraId="3AFC127D"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Sustained competitive advantage through governance leadership; reduced external advisory dependency</w:t>
            </w:r>
          </w:p>
        </w:tc>
      </w:tr>
      <w:tr w:rsidR="000C7C08" w:rsidRPr="006F00FD" w14:paraId="724D332D" w14:textId="77777777" w:rsidTr="00A26D28">
        <w:tc>
          <w:tcPr>
            <w:tcW w:w="3100" w:type="dxa"/>
            <w:shd w:val="clear" w:color="auto" w:fill="DBDBDB" w:themeFill="accent3" w:themeFillTint="66"/>
          </w:tcPr>
          <w:p w14:paraId="7B6BFCBB" w14:textId="77777777" w:rsidR="000C7C08" w:rsidRPr="006F00FD" w:rsidRDefault="009822E0" w:rsidP="003347C2">
            <w:pPr>
              <w:spacing w:line="360" w:lineRule="auto"/>
              <w:rPr>
                <w:rFonts w:ascii="Arial" w:hAnsi="Arial" w:cs="Arial"/>
                <w:sz w:val="24"/>
                <w:szCs w:val="24"/>
              </w:rPr>
            </w:pPr>
            <w:r w:rsidRPr="006F00FD">
              <w:rPr>
                <w:rFonts w:ascii="Arial" w:hAnsi="Arial" w:cs="Arial"/>
                <w:b/>
                <w:bCs/>
                <w:color w:val="1A1A1A"/>
                <w:sz w:val="24"/>
                <w:szCs w:val="24"/>
              </w:rPr>
              <w:t>IR9:</w:t>
            </w:r>
            <w:r w:rsidRPr="006F00FD">
              <w:rPr>
                <w:rFonts w:ascii="Arial" w:hAnsi="Arial" w:cs="Arial"/>
                <w:color w:val="1A1A1A"/>
                <w:sz w:val="24"/>
                <w:szCs w:val="24"/>
              </w:rPr>
              <w:t xml:space="preserve"> Engage proactively with UK ICO and EU AI Office through industry forums to shape emerging retail AI guidance</w:t>
            </w:r>
          </w:p>
        </w:tc>
        <w:tc>
          <w:tcPr>
            <w:tcW w:w="1500" w:type="dxa"/>
            <w:shd w:val="clear" w:color="auto" w:fill="DBDBDB" w:themeFill="accent3" w:themeFillTint="66"/>
          </w:tcPr>
          <w:p w14:paraId="78CB9056"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24-60 months</w:t>
            </w:r>
          </w:p>
        </w:tc>
        <w:tc>
          <w:tcPr>
            <w:tcW w:w="2000" w:type="dxa"/>
            <w:shd w:val="clear" w:color="auto" w:fill="DBDBDB" w:themeFill="accent3" w:themeFillTint="66"/>
          </w:tcPr>
          <w:p w14:paraId="346D1D91"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£100K-£200K p.a.</w:t>
            </w:r>
          </w:p>
        </w:tc>
        <w:tc>
          <w:tcPr>
            <w:tcW w:w="2760" w:type="dxa"/>
            <w:shd w:val="clear" w:color="auto" w:fill="DBDBDB" w:themeFill="accent3" w:themeFillTint="66"/>
          </w:tcPr>
          <w:p w14:paraId="591413EC"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First-mover influence on sector standards; reduced risk of adverse regulatory intervention</w:t>
            </w:r>
          </w:p>
        </w:tc>
      </w:tr>
      <w:tr w:rsidR="000C7C08" w:rsidRPr="006F00FD" w14:paraId="354566A5" w14:textId="77777777" w:rsidTr="00A26D28">
        <w:tc>
          <w:tcPr>
            <w:tcW w:w="3100" w:type="dxa"/>
          </w:tcPr>
          <w:p w14:paraId="16B13B83" w14:textId="77777777" w:rsidR="000C7C08" w:rsidRPr="006F00FD" w:rsidRDefault="009822E0" w:rsidP="003347C2">
            <w:pPr>
              <w:spacing w:line="360" w:lineRule="auto"/>
              <w:rPr>
                <w:rFonts w:ascii="Arial" w:hAnsi="Arial" w:cs="Arial"/>
                <w:sz w:val="24"/>
                <w:szCs w:val="24"/>
              </w:rPr>
            </w:pPr>
            <w:r w:rsidRPr="006F00FD">
              <w:rPr>
                <w:rFonts w:ascii="Arial" w:hAnsi="Arial" w:cs="Arial"/>
                <w:b/>
                <w:bCs/>
                <w:color w:val="1A1A1A"/>
                <w:sz w:val="24"/>
                <w:szCs w:val="24"/>
              </w:rPr>
              <w:t>IR10:</w:t>
            </w:r>
            <w:r w:rsidRPr="006F00FD">
              <w:rPr>
                <w:rFonts w:ascii="Arial" w:hAnsi="Arial" w:cs="Arial"/>
                <w:color w:val="1A1A1A"/>
                <w:sz w:val="24"/>
                <w:szCs w:val="24"/>
              </w:rPr>
              <w:t xml:space="preserve"> Pursue external AI governance certification (ISO 42001 / BSI AI Assurance) and publish annual responsible AI report</w:t>
            </w:r>
          </w:p>
        </w:tc>
        <w:tc>
          <w:tcPr>
            <w:tcW w:w="1500" w:type="dxa"/>
          </w:tcPr>
          <w:p w14:paraId="2844D54D"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36-60 months</w:t>
            </w:r>
          </w:p>
        </w:tc>
        <w:tc>
          <w:tcPr>
            <w:tcW w:w="2000" w:type="dxa"/>
          </w:tcPr>
          <w:p w14:paraId="73B7B41A"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£300K-£600K</w:t>
            </w:r>
          </w:p>
        </w:tc>
        <w:tc>
          <w:tcPr>
            <w:tcW w:w="2760" w:type="dxa"/>
          </w:tcPr>
          <w:p w14:paraId="69852E12" w14:textId="77777777" w:rsidR="000C7C08" w:rsidRPr="006F00FD" w:rsidRDefault="009822E0" w:rsidP="003347C2">
            <w:pPr>
              <w:spacing w:line="360" w:lineRule="auto"/>
              <w:rPr>
                <w:rFonts w:ascii="Arial" w:hAnsi="Arial" w:cs="Arial"/>
                <w:sz w:val="24"/>
                <w:szCs w:val="24"/>
              </w:rPr>
            </w:pPr>
            <w:r w:rsidRPr="006F00FD">
              <w:rPr>
                <w:rFonts w:ascii="Arial" w:hAnsi="Arial" w:cs="Arial"/>
                <w:color w:val="1A1A1A"/>
                <w:sz w:val="24"/>
                <w:szCs w:val="24"/>
              </w:rPr>
              <w:t>Enhanced brand equity; independently verified governance quality signal to regulators and consumers</w:t>
            </w:r>
          </w:p>
        </w:tc>
      </w:tr>
    </w:tbl>
    <w:p w14:paraId="7A9DF1A1" w14:textId="65D9EA3E" w:rsidR="000C7C08" w:rsidRPr="006F00FD" w:rsidRDefault="009822E0" w:rsidP="004A3782">
      <w:pPr>
        <w:pStyle w:val="Heading2"/>
      </w:pPr>
      <w:bookmarkStart w:id="12" w:name="_Toc227973224"/>
      <w:r w:rsidRPr="006F00FD">
        <w:t>Short-Term Horizon: Establishing Governance Foundations (0-12 months)</w:t>
      </w:r>
      <w:bookmarkEnd w:id="12"/>
    </w:p>
    <w:p w14:paraId="4C4CF5E4" w14:textId="1C1A0C8D" w:rsidR="00CC7B65" w:rsidRPr="006F00FD" w:rsidRDefault="00F71841" w:rsidP="003347C2">
      <w:pPr>
        <w:spacing w:line="360" w:lineRule="auto"/>
        <w:jc w:val="both"/>
        <w:rPr>
          <w:rFonts w:ascii="Arial" w:hAnsi="Arial" w:cs="Arial"/>
          <w:sz w:val="24"/>
          <w:szCs w:val="24"/>
        </w:rPr>
      </w:pPr>
      <w:r w:rsidRPr="006F00FD">
        <w:rPr>
          <w:rFonts w:ascii="Arial" w:hAnsi="Arial" w:cs="Arial"/>
          <w:sz w:val="24"/>
          <w:szCs w:val="24"/>
        </w:rPr>
        <w:lastRenderedPageBreak/>
        <w:t xml:space="preserve">The first, and most urgent, is the establishment of a professional AI Ethics and Governance Board (IR1) whose responsibility is at the level of the board. The biggest structural breach in current AI risk management stance of Tesco is the absence of one governing body. This board should include the legal, data science, customer experience, compliance, and communications functions and the external ethics advisor should provide an external challenge. A very approximate estimate of an indicative cost of 150,000 to 300,000 signifies the investment of staff and </w:t>
      </w:r>
      <w:proofErr w:type="spellStart"/>
      <w:r w:rsidRPr="006F00FD">
        <w:rPr>
          <w:rFonts w:ascii="Arial" w:hAnsi="Arial" w:cs="Arial"/>
          <w:sz w:val="24"/>
          <w:szCs w:val="24"/>
        </w:rPr>
        <w:t>infrastructuring</w:t>
      </w:r>
      <w:proofErr w:type="spellEnd"/>
      <w:r w:rsidRPr="006F00FD">
        <w:rPr>
          <w:rFonts w:ascii="Arial" w:hAnsi="Arial" w:cs="Arial"/>
          <w:sz w:val="24"/>
          <w:szCs w:val="24"/>
        </w:rPr>
        <w:t xml:space="preserve"> to enable this body to work functionally rather than nominally.</w:t>
      </w:r>
    </w:p>
    <w:p w14:paraId="3F81FD0D" w14:textId="4AC49810" w:rsidR="00CC7B65" w:rsidRPr="006F00FD" w:rsidRDefault="00CC7B65" w:rsidP="003347C2">
      <w:pPr>
        <w:spacing w:line="360" w:lineRule="auto"/>
        <w:jc w:val="both"/>
        <w:rPr>
          <w:rFonts w:ascii="Arial" w:hAnsi="Arial" w:cs="Arial"/>
          <w:sz w:val="24"/>
          <w:szCs w:val="24"/>
        </w:rPr>
      </w:pPr>
      <w:r w:rsidRPr="006F00FD">
        <w:rPr>
          <w:rFonts w:ascii="Arial" w:hAnsi="Arial" w:cs="Arial"/>
          <w:sz w:val="24"/>
          <w:szCs w:val="24"/>
        </w:rPr>
        <w:t xml:space="preserve">At the same time, Tesco needs to engage in a full AI regulatory gap analysis (IR2), which will map all current applications of AI on the existing and emerging compliance requirements under UK GDPR, EU AI Act, and industry-specific recommendations by the ICO and the Financial Conduct Authority. Standard grocery dynamic pricing is not a high-risk area covered by EU AI Act Annex III as explained in Section 2.4. Nevertheless, </w:t>
      </w:r>
      <w:r w:rsidR="005414EB" w:rsidRPr="006F00FD">
        <w:rPr>
          <w:rFonts w:ascii="Arial" w:hAnsi="Arial" w:cs="Arial"/>
          <w:sz w:val="24"/>
          <w:szCs w:val="24"/>
        </w:rPr>
        <w:t>some applications of Clubcard, such as Tesco Bank products or access to essential services, require</w:t>
      </w:r>
      <w:r w:rsidRPr="006F00FD">
        <w:rPr>
          <w:rFonts w:ascii="Arial" w:hAnsi="Arial" w:cs="Arial"/>
          <w:sz w:val="24"/>
          <w:szCs w:val="24"/>
        </w:rPr>
        <w:t xml:space="preserve"> unambiguous classification analysis. The gap analysis will eliminate the status of each system. The commercial proportion of external advisory fees of between 80,000-150,000 is appropriate when the penalty is up to seven percent of global annual turnover in the EU AI Act in the case of the most severe violations.</w:t>
      </w:r>
    </w:p>
    <w:p w14:paraId="21287E59" w14:textId="38FC15CB" w:rsidR="000C7C08" w:rsidRPr="006F00FD" w:rsidRDefault="00CC7B65" w:rsidP="003347C2">
      <w:pPr>
        <w:spacing w:line="360" w:lineRule="auto"/>
        <w:jc w:val="both"/>
        <w:rPr>
          <w:rFonts w:ascii="Arial" w:hAnsi="Arial" w:cs="Arial"/>
          <w:sz w:val="24"/>
          <w:szCs w:val="24"/>
        </w:rPr>
      </w:pPr>
      <w:r w:rsidRPr="006F00FD">
        <w:rPr>
          <w:rFonts w:ascii="Arial" w:hAnsi="Arial" w:cs="Arial"/>
          <w:sz w:val="24"/>
          <w:szCs w:val="24"/>
        </w:rPr>
        <w:t xml:space="preserve">The Data Protection Impact Assessments that have become mandatory when introducing all new AI-enabled Clubcard features (IR3) help both in compliance with regulations and in managing operational risk. Article 35 of the UK GDPR stipulates that a DPIA must be conducted when the processing is likely to cause a high risk to individuals, and such scale and invasiveness of </w:t>
      </w:r>
      <w:proofErr w:type="spellStart"/>
      <w:r w:rsidRPr="006F00FD">
        <w:rPr>
          <w:rFonts w:ascii="Arial" w:hAnsi="Arial" w:cs="Arial"/>
          <w:sz w:val="24"/>
          <w:szCs w:val="24"/>
        </w:rPr>
        <w:t>Clubcard</w:t>
      </w:r>
      <w:proofErr w:type="spellEnd"/>
      <w:r w:rsidRPr="006F00FD">
        <w:rPr>
          <w:rFonts w:ascii="Arial" w:hAnsi="Arial" w:cs="Arial"/>
          <w:sz w:val="24"/>
          <w:szCs w:val="24"/>
        </w:rPr>
        <w:t xml:space="preserve"> </w:t>
      </w:r>
      <w:proofErr w:type="spellStart"/>
      <w:r w:rsidRPr="006F00FD">
        <w:rPr>
          <w:rFonts w:ascii="Arial" w:hAnsi="Arial" w:cs="Arial"/>
          <w:sz w:val="24"/>
          <w:szCs w:val="24"/>
        </w:rPr>
        <w:t>personalisation</w:t>
      </w:r>
      <w:proofErr w:type="spellEnd"/>
      <w:r w:rsidRPr="006F00FD">
        <w:rPr>
          <w:rFonts w:ascii="Arial" w:hAnsi="Arial" w:cs="Arial"/>
          <w:sz w:val="24"/>
          <w:szCs w:val="24"/>
        </w:rPr>
        <w:t xml:space="preserve"> definitely </w:t>
      </w:r>
      <w:proofErr w:type="spellStart"/>
      <w:r w:rsidR="005414EB" w:rsidRPr="006F00FD">
        <w:rPr>
          <w:rFonts w:ascii="Arial" w:hAnsi="Arial" w:cs="Arial"/>
          <w:sz w:val="24"/>
          <w:szCs w:val="24"/>
        </w:rPr>
        <w:t>fulfil</w:t>
      </w:r>
      <w:proofErr w:type="spellEnd"/>
      <w:r w:rsidRPr="006F00FD">
        <w:rPr>
          <w:rFonts w:ascii="Arial" w:hAnsi="Arial" w:cs="Arial"/>
          <w:sz w:val="24"/>
          <w:szCs w:val="24"/>
        </w:rPr>
        <w:t xml:space="preserve"> this requirement. Decker, Wegner and Leicht-Scholten (2024) maintain that procedural fairness in algorithmic decision-making involves not only ex post review but proactive engagement of the population in the design of AI systems that will influence consumers, which is what mandatory impact assessments are starting to do. Parallel insurance of AI-specific liability insurance (IR11) should be initiated. AI liability is a fast-growing </w:t>
      </w:r>
      <w:r w:rsidR="005414EB" w:rsidRPr="006F00FD">
        <w:rPr>
          <w:rFonts w:ascii="Arial" w:hAnsi="Arial" w:cs="Arial"/>
          <w:sz w:val="24"/>
          <w:szCs w:val="24"/>
        </w:rPr>
        <w:t xml:space="preserve">insurance line, and taking out insurance now, before a regulatory event, is not only a business decision but also sends a message of governance seriousness to </w:t>
      </w:r>
      <w:r w:rsidRPr="006F00FD">
        <w:rPr>
          <w:rFonts w:ascii="Arial" w:hAnsi="Arial" w:cs="Arial"/>
          <w:sz w:val="24"/>
          <w:szCs w:val="24"/>
        </w:rPr>
        <w:t>insurers and institutional investors.</w:t>
      </w:r>
    </w:p>
    <w:p w14:paraId="444321C8" w14:textId="08F2204D" w:rsidR="000C7C08" w:rsidRPr="006F00FD" w:rsidRDefault="009822E0" w:rsidP="004A3782">
      <w:pPr>
        <w:pStyle w:val="Heading2"/>
      </w:pPr>
      <w:bookmarkStart w:id="13" w:name="_Toc227973225"/>
      <w:r w:rsidRPr="006F00FD">
        <w:t>Medium-Term Horizon: Embedding Governance and Building Trust (12-30 months)</w:t>
      </w:r>
      <w:bookmarkEnd w:id="13"/>
    </w:p>
    <w:p w14:paraId="474B859A" w14:textId="38B2DE6A" w:rsidR="00CC7B65" w:rsidRPr="006F00FD" w:rsidRDefault="00CC7B65" w:rsidP="003347C2">
      <w:pPr>
        <w:spacing w:line="360" w:lineRule="auto"/>
        <w:jc w:val="both"/>
        <w:rPr>
          <w:rFonts w:ascii="Arial" w:hAnsi="Arial" w:cs="Arial"/>
          <w:sz w:val="24"/>
          <w:szCs w:val="24"/>
        </w:rPr>
      </w:pPr>
      <w:r w:rsidRPr="006F00FD">
        <w:rPr>
          <w:rFonts w:ascii="Arial" w:hAnsi="Arial" w:cs="Arial"/>
          <w:sz w:val="24"/>
          <w:szCs w:val="24"/>
        </w:rPr>
        <w:lastRenderedPageBreak/>
        <w:t xml:space="preserve">The </w:t>
      </w:r>
      <w:r w:rsidR="005414EB" w:rsidRPr="006F00FD">
        <w:rPr>
          <w:rFonts w:ascii="Arial" w:hAnsi="Arial" w:cs="Arial"/>
          <w:sz w:val="24"/>
          <w:szCs w:val="24"/>
        </w:rPr>
        <w:t>medium-term horizon is about transforming the governance structures into operational ability and consumer-visible</w:t>
      </w:r>
      <w:r w:rsidRPr="006F00FD">
        <w:rPr>
          <w:rFonts w:ascii="Arial" w:hAnsi="Arial" w:cs="Arial"/>
          <w:sz w:val="24"/>
          <w:szCs w:val="24"/>
        </w:rPr>
        <w:t xml:space="preserve"> commitments. The most technically challenging and commercially critical recommendation in this plan is the deployment of explainability infrastructure of the </w:t>
      </w:r>
      <w:proofErr w:type="spellStart"/>
      <w:r w:rsidRPr="006F00FD">
        <w:rPr>
          <w:rFonts w:ascii="Arial" w:hAnsi="Arial" w:cs="Arial"/>
          <w:sz w:val="24"/>
          <w:szCs w:val="24"/>
        </w:rPr>
        <w:t>Clubcard</w:t>
      </w:r>
      <w:proofErr w:type="spellEnd"/>
      <w:r w:rsidRPr="006F00FD">
        <w:rPr>
          <w:rFonts w:ascii="Arial" w:hAnsi="Arial" w:cs="Arial"/>
          <w:sz w:val="24"/>
          <w:szCs w:val="24"/>
        </w:rPr>
        <w:t xml:space="preserve"> </w:t>
      </w:r>
      <w:proofErr w:type="spellStart"/>
      <w:r w:rsidRPr="006F00FD">
        <w:rPr>
          <w:rFonts w:ascii="Arial" w:hAnsi="Arial" w:cs="Arial"/>
          <w:sz w:val="24"/>
          <w:szCs w:val="24"/>
        </w:rPr>
        <w:t>personalisation</w:t>
      </w:r>
      <w:proofErr w:type="spellEnd"/>
      <w:r w:rsidRPr="006F00FD">
        <w:rPr>
          <w:rFonts w:ascii="Arial" w:hAnsi="Arial" w:cs="Arial"/>
          <w:sz w:val="24"/>
          <w:szCs w:val="24"/>
        </w:rPr>
        <w:t xml:space="preserve"> engine (IR4). Offering customers meaningful and </w:t>
      </w:r>
      <w:r w:rsidR="005414EB" w:rsidRPr="006F00FD">
        <w:rPr>
          <w:rFonts w:ascii="Arial" w:hAnsi="Arial" w:cs="Arial"/>
          <w:sz w:val="24"/>
          <w:szCs w:val="24"/>
        </w:rPr>
        <w:t>readily available explanations for why particular promotions, prices, and product suggestions are presented to them not only meets the transparency requirements of the EU AI Act, which confirm high-risk systems, but also addresses the lack of trust in the system identified</w:t>
      </w:r>
      <w:r w:rsidRPr="006F00FD">
        <w:rPr>
          <w:rFonts w:ascii="Arial" w:hAnsi="Arial" w:cs="Arial"/>
          <w:sz w:val="24"/>
          <w:szCs w:val="24"/>
        </w:rPr>
        <w:t xml:space="preserve"> in Section 2.5. The real complexity of developing explainability on the scale of Tesco is reflected in the process engineering and user experience development costs of between £500,000 and £1.2 million</w:t>
      </w:r>
      <w:r w:rsidR="005414EB" w:rsidRPr="006F00FD">
        <w:rPr>
          <w:rFonts w:ascii="Arial" w:hAnsi="Arial" w:cs="Arial"/>
          <w:sz w:val="24"/>
          <w:szCs w:val="24"/>
        </w:rPr>
        <w:t>. Still, this</w:t>
      </w:r>
      <w:r w:rsidRPr="006F00FD">
        <w:rPr>
          <w:rFonts w:ascii="Arial" w:hAnsi="Arial" w:cs="Arial"/>
          <w:sz w:val="24"/>
          <w:szCs w:val="24"/>
        </w:rPr>
        <w:t xml:space="preserve"> cost should be considered against the possible revenue cost of eroding trust: the </w:t>
      </w:r>
      <w:proofErr w:type="spellStart"/>
      <w:r w:rsidRPr="006F00FD">
        <w:rPr>
          <w:rFonts w:ascii="Arial" w:hAnsi="Arial" w:cs="Arial"/>
          <w:sz w:val="24"/>
          <w:szCs w:val="24"/>
        </w:rPr>
        <w:t>Clubcard</w:t>
      </w:r>
      <w:proofErr w:type="spellEnd"/>
      <w:r w:rsidRPr="006F00FD">
        <w:rPr>
          <w:rFonts w:ascii="Arial" w:hAnsi="Arial" w:cs="Arial"/>
          <w:sz w:val="24"/>
          <w:szCs w:val="24"/>
        </w:rPr>
        <w:t xml:space="preserve"> </w:t>
      </w:r>
      <w:proofErr w:type="spellStart"/>
      <w:r w:rsidRPr="006F00FD">
        <w:rPr>
          <w:rFonts w:ascii="Arial" w:hAnsi="Arial" w:cs="Arial"/>
          <w:sz w:val="24"/>
          <w:szCs w:val="24"/>
        </w:rPr>
        <w:t>programme</w:t>
      </w:r>
      <w:proofErr w:type="spellEnd"/>
      <w:r w:rsidRPr="006F00FD">
        <w:rPr>
          <w:rFonts w:ascii="Arial" w:hAnsi="Arial" w:cs="Arial"/>
          <w:sz w:val="24"/>
          <w:szCs w:val="24"/>
        </w:rPr>
        <w:t xml:space="preserve"> would not have been commercially effective unless it maintained customer engagement.</w:t>
      </w:r>
    </w:p>
    <w:p w14:paraId="1A202181" w14:textId="1C3E8566" w:rsidR="000C7C08" w:rsidRPr="006F00FD" w:rsidRDefault="00CC7B65" w:rsidP="003347C2">
      <w:pPr>
        <w:spacing w:line="360" w:lineRule="auto"/>
        <w:jc w:val="both"/>
        <w:rPr>
          <w:rFonts w:ascii="Arial" w:hAnsi="Arial" w:cs="Arial"/>
          <w:sz w:val="24"/>
          <w:szCs w:val="24"/>
        </w:rPr>
      </w:pPr>
      <w:r w:rsidRPr="006F00FD">
        <w:rPr>
          <w:rFonts w:ascii="Arial" w:hAnsi="Arial" w:cs="Arial"/>
          <w:sz w:val="24"/>
          <w:szCs w:val="24"/>
        </w:rPr>
        <w:t xml:space="preserve">A cheaper and more transparent intervention that can be used to indicate governance maturity to all three parties (regulators, investors, and consumers) is the publication of an Algorithmic Accountability Report (IR5). Hartmann et al. (2024) posit that the audit ecosystem offered by the AI Act is not </w:t>
      </w:r>
      <w:r w:rsidR="005414EB" w:rsidRPr="006F00FD">
        <w:rPr>
          <w:rFonts w:ascii="Arial" w:hAnsi="Arial" w:cs="Arial"/>
          <w:sz w:val="24"/>
          <w:szCs w:val="24"/>
        </w:rPr>
        <w:t xml:space="preserve">well developed to provide accountability in a meaningful way without </w:t>
      </w:r>
      <w:proofErr w:type="spellStart"/>
      <w:r w:rsidR="005414EB" w:rsidRPr="006F00FD">
        <w:rPr>
          <w:rFonts w:ascii="Arial" w:hAnsi="Arial" w:cs="Arial"/>
          <w:sz w:val="24"/>
          <w:szCs w:val="24"/>
        </w:rPr>
        <w:t>organisations</w:t>
      </w:r>
      <w:proofErr w:type="spellEnd"/>
      <w:r w:rsidR="005414EB" w:rsidRPr="006F00FD">
        <w:rPr>
          <w:rFonts w:ascii="Arial" w:hAnsi="Arial" w:cs="Arial"/>
          <w:sz w:val="24"/>
          <w:szCs w:val="24"/>
        </w:rPr>
        <w:t xml:space="preserve"> actively disclosing it, and that </w:t>
      </w:r>
      <w:r w:rsidRPr="006F00FD">
        <w:rPr>
          <w:rFonts w:ascii="Arial" w:hAnsi="Arial" w:cs="Arial"/>
          <w:sz w:val="24"/>
          <w:szCs w:val="24"/>
        </w:rPr>
        <w:t xml:space="preserve">voluntary transparency reporting is also a compliance asset and a reputational one by default. The commercial cost of a budget between 60000 and 120000 is not that high when compared to the trust-building value that it provides. The threat to bias and fairness, discussed in Section 2.3 is overcome with the introduction of a systematic AI model audit protocol (IR6). According to </w:t>
      </w:r>
      <w:proofErr w:type="spellStart"/>
      <w:r w:rsidRPr="006F00FD">
        <w:rPr>
          <w:rFonts w:ascii="Arial" w:hAnsi="Arial" w:cs="Arial"/>
          <w:sz w:val="24"/>
          <w:szCs w:val="24"/>
        </w:rPr>
        <w:t>Xu</w:t>
      </w:r>
      <w:proofErr w:type="spellEnd"/>
      <w:r w:rsidRPr="006F00FD">
        <w:rPr>
          <w:rFonts w:ascii="Arial" w:hAnsi="Arial" w:cs="Arial"/>
          <w:sz w:val="24"/>
          <w:szCs w:val="24"/>
        </w:rPr>
        <w:t xml:space="preserve">, Rossi and </w:t>
      </w:r>
      <w:proofErr w:type="spellStart"/>
      <w:r w:rsidRPr="006F00FD">
        <w:rPr>
          <w:rFonts w:ascii="Arial" w:hAnsi="Arial" w:cs="Arial"/>
          <w:sz w:val="24"/>
          <w:szCs w:val="24"/>
        </w:rPr>
        <w:t>Tamò-Larrieux</w:t>
      </w:r>
      <w:proofErr w:type="spellEnd"/>
      <w:r w:rsidRPr="006F00FD">
        <w:rPr>
          <w:rFonts w:ascii="Arial" w:hAnsi="Arial" w:cs="Arial"/>
          <w:sz w:val="24"/>
          <w:szCs w:val="24"/>
        </w:rPr>
        <w:t xml:space="preserve"> (2025), the future of </w:t>
      </w:r>
      <w:proofErr w:type="spellStart"/>
      <w:r w:rsidRPr="006F00FD">
        <w:rPr>
          <w:rFonts w:ascii="Arial" w:hAnsi="Arial" w:cs="Arial"/>
          <w:sz w:val="24"/>
          <w:szCs w:val="24"/>
        </w:rPr>
        <w:t>personalised</w:t>
      </w:r>
      <w:proofErr w:type="spellEnd"/>
      <w:r w:rsidRPr="006F00FD">
        <w:rPr>
          <w:rFonts w:ascii="Arial" w:hAnsi="Arial" w:cs="Arial"/>
          <w:sz w:val="24"/>
          <w:szCs w:val="24"/>
        </w:rPr>
        <w:t xml:space="preserve"> privacy management </w:t>
      </w:r>
      <w:r w:rsidR="005414EB" w:rsidRPr="006F00FD">
        <w:rPr>
          <w:rFonts w:ascii="Arial" w:hAnsi="Arial" w:cs="Arial"/>
          <w:sz w:val="24"/>
          <w:szCs w:val="24"/>
        </w:rPr>
        <w:t>lies in active tools that</w:t>
      </w:r>
      <w:r w:rsidRPr="006F00FD">
        <w:rPr>
          <w:rFonts w:ascii="Arial" w:hAnsi="Arial" w:cs="Arial"/>
          <w:sz w:val="24"/>
          <w:szCs w:val="24"/>
        </w:rPr>
        <w:t xml:space="preserve"> enable consumers to control their interactions with their data, and an audit </w:t>
      </w:r>
      <w:proofErr w:type="spellStart"/>
      <w:r w:rsidRPr="006F00FD">
        <w:rPr>
          <w:rFonts w:ascii="Arial" w:hAnsi="Arial" w:cs="Arial"/>
          <w:sz w:val="24"/>
          <w:szCs w:val="24"/>
        </w:rPr>
        <w:t>programme</w:t>
      </w:r>
      <w:proofErr w:type="spellEnd"/>
      <w:r w:rsidRPr="006F00FD">
        <w:rPr>
          <w:rFonts w:ascii="Arial" w:hAnsi="Arial" w:cs="Arial"/>
          <w:sz w:val="24"/>
          <w:szCs w:val="24"/>
        </w:rPr>
        <w:t xml:space="preserve"> provides the technical framework </w:t>
      </w:r>
      <w:r w:rsidR="005414EB" w:rsidRPr="006F00FD">
        <w:rPr>
          <w:rFonts w:ascii="Arial" w:hAnsi="Arial" w:cs="Arial"/>
          <w:sz w:val="24"/>
          <w:szCs w:val="24"/>
        </w:rPr>
        <w:t>for developing such tools</w:t>
      </w:r>
      <w:r w:rsidRPr="006F00FD">
        <w:rPr>
          <w:rFonts w:ascii="Arial" w:hAnsi="Arial" w:cs="Arial"/>
          <w:sz w:val="24"/>
          <w:szCs w:val="24"/>
        </w:rPr>
        <w:t xml:space="preserve">. The </w:t>
      </w:r>
      <w:r w:rsidR="005414EB" w:rsidRPr="006F00FD">
        <w:rPr>
          <w:rFonts w:ascii="Arial" w:hAnsi="Arial" w:cs="Arial"/>
          <w:sz w:val="24"/>
          <w:szCs w:val="24"/>
        </w:rPr>
        <w:t xml:space="preserve">largest medium-term investment, ranging from 1 million to 2.5 million, is the </w:t>
      </w:r>
      <w:proofErr w:type="spellStart"/>
      <w:r w:rsidR="005414EB" w:rsidRPr="006F00FD">
        <w:rPr>
          <w:rFonts w:ascii="Arial" w:hAnsi="Arial" w:cs="Arial"/>
          <w:sz w:val="24"/>
          <w:szCs w:val="24"/>
        </w:rPr>
        <w:t>rearchitecture</w:t>
      </w:r>
      <w:proofErr w:type="spellEnd"/>
      <w:r w:rsidR="005414EB" w:rsidRPr="006F00FD">
        <w:rPr>
          <w:rFonts w:ascii="Arial" w:hAnsi="Arial" w:cs="Arial"/>
          <w:sz w:val="24"/>
          <w:szCs w:val="24"/>
        </w:rPr>
        <w:t xml:space="preserve"> of the consumer consent architecture for Clubcard (IR7) to reflect the level of platform engineering required to implement implied consent through</w:t>
      </w:r>
      <w:r w:rsidRPr="006F00FD">
        <w:rPr>
          <w:rFonts w:ascii="Arial" w:hAnsi="Arial" w:cs="Arial"/>
          <w:sz w:val="24"/>
          <w:szCs w:val="24"/>
        </w:rPr>
        <w:t xml:space="preserve"> granular, revocable opt-in mechanisms that meet the requirements of the GDPR in both jurisdictions.</w:t>
      </w:r>
    </w:p>
    <w:p w14:paraId="128660A4" w14:textId="4AAEFBEF" w:rsidR="000C7C08" w:rsidRPr="006F00FD" w:rsidRDefault="009822E0" w:rsidP="004A3782">
      <w:pPr>
        <w:pStyle w:val="Heading2"/>
      </w:pPr>
      <w:bookmarkStart w:id="14" w:name="_Toc227973226"/>
      <w:r w:rsidRPr="006F00FD">
        <w:t>Long-Term Horizon: Leadership and Sustainable Advantage (24-60 months)</w:t>
      </w:r>
      <w:bookmarkEnd w:id="14"/>
    </w:p>
    <w:p w14:paraId="04700511" w14:textId="2F5087A6" w:rsidR="00CC7B65" w:rsidRPr="006F00FD" w:rsidRDefault="00CC7B65" w:rsidP="003347C2">
      <w:pPr>
        <w:spacing w:line="360" w:lineRule="auto"/>
        <w:jc w:val="both"/>
        <w:rPr>
          <w:rFonts w:ascii="Arial" w:hAnsi="Arial" w:cs="Arial"/>
          <w:sz w:val="24"/>
          <w:szCs w:val="24"/>
        </w:rPr>
      </w:pPr>
      <w:r w:rsidRPr="006F00FD">
        <w:rPr>
          <w:rFonts w:ascii="Arial" w:hAnsi="Arial" w:cs="Arial"/>
          <w:sz w:val="24"/>
          <w:szCs w:val="24"/>
        </w:rPr>
        <w:t xml:space="preserve">The </w:t>
      </w:r>
      <w:r w:rsidR="005414EB" w:rsidRPr="006F00FD">
        <w:rPr>
          <w:rFonts w:ascii="Arial" w:hAnsi="Arial" w:cs="Arial"/>
          <w:sz w:val="24"/>
          <w:szCs w:val="24"/>
        </w:rPr>
        <w:t>long-term</w:t>
      </w:r>
      <w:r w:rsidRPr="006F00FD">
        <w:rPr>
          <w:rFonts w:ascii="Arial" w:hAnsi="Arial" w:cs="Arial"/>
          <w:sz w:val="24"/>
          <w:szCs w:val="24"/>
        </w:rPr>
        <w:t xml:space="preserve"> horizon transforms compliance </w:t>
      </w:r>
      <w:r w:rsidR="005414EB" w:rsidRPr="006F00FD">
        <w:rPr>
          <w:rFonts w:ascii="Arial" w:hAnsi="Arial" w:cs="Arial"/>
          <w:sz w:val="24"/>
          <w:szCs w:val="24"/>
        </w:rPr>
        <w:t xml:space="preserve">into governance, thereby differentiating the </w:t>
      </w:r>
      <w:proofErr w:type="spellStart"/>
      <w:r w:rsidR="005414EB" w:rsidRPr="006F00FD">
        <w:rPr>
          <w:rFonts w:ascii="Arial" w:hAnsi="Arial" w:cs="Arial"/>
          <w:sz w:val="24"/>
          <w:szCs w:val="24"/>
        </w:rPr>
        <w:t>organisation</w:t>
      </w:r>
      <w:proofErr w:type="spellEnd"/>
      <w:r w:rsidRPr="006F00FD">
        <w:rPr>
          <w:rFonts w:ascii="Arial" w:hAnsi="Arial" w:cs="Arial"/>
          <w:sz w:val="24"/>
          <w:szCs w:val="24"/>
        </w:rPr>
        <w:t xml:space="preserve">. The creation of an internal AI Assurance Centre of Excellence (IR8) </w:t>
      </w:r>
      <w:r w:rsidR="005414EB" w:rsidRPr="006F00FD">
        <w:rPr>
          <w:rFonts w:ascii="Arial" w:hAnsi="Arial" w:cs="Arial"/>
          <w:sz w:val="24"/>
          <w:szCs w:val="24"/>
        </w:rPr>
        <w:t>marks a shift from</w:t>
      </w:r>
      <w:r w:rsidRPr="006F00FD">
        <w:rPr>
          <w:rFonts w:ascii="Arial" w:hAnsi="Arial" w:cs="Arial"/>
          <w:sz w:val="24"/>
          <w:szCs w:val="24"/>
        </w:rPr>
        <w:t xml:space="preserve"> responsive compliance to proactive governance capacity. Internal </w:t>
      </w:r>
      <w:proofErr w:type="spellStart"/>
      <w:r w:rsidRPr="006F00FD">
        <w:rPr>
          <w:rFonts w:ascii="Arial" w:hAnsi="Arial" w:cs="Arial"/>
          <w:sz w:val="24"/>
          <w:szCs w:val="24"/>
        </w:rPr>
        <w:lastRenderedPageBreak/>
        <w:t>centre</w:t>
      </w:r>
      <w:proofErr w:type="spellEnd"/>
      <w:r w:rsidRPr="006F00FD">
        <w:rPr>
          <w:rFonts w:ascii="Arial" w:hAnsi="Arial" w:cs="Arial"/>
          <w:sz w:val="24"/>
          <w:szCs w:val="24"/>
        </w:rPr>
        <w:t xml:space="preserve">, including regulatory horizon-scanning, model governance, and AI ethics research personnel, will </w:t>
      </w:r>
      <w:r w:rsidR="005414EB" w:rsidRPr="006F00FD">
        <w:rPr>
          <w:rFonts w:ascii="Arial" w:hAnsi="Arial" w:cs="Arial"/>
          <w:sz w:val="24"/>
          <w:szCs w:val="24"/>
        </w:rPr>
        <w:t>reduce Tesco's reliance on external advisory costs and</w:t>
      </w:r>
      <w:r w:rsidRPr="006F00FD">
        <w:rPr>
          <w:rFonts w:ascii="Arial" w:hAnsi="Arial" w:cs="Arial"/>
          <w:sz w:val="24"/>
          <w:szCs w:val="24"/>
        </w:rPr>
        <w:t xml:space="preserve"> create institutional knowledge, which itself generates competitive advantage. An investment </w:t>
      </w:r>
      <w:r w:rsidR="005414EB" w:rsidRPr="006F00FD">
        <w:rPr>
          <w:rFonts w:ascii="Arial" w:hAnsi="Arial" w:cs="Arial"/>
          <w:sz w:val="24"/>
          <w:szCs w:val="24"/>
        </w:rPr>
        <w:t xml:space="preserve">of 2 million to 4 million is compared with similar investments in capability building in financial services </w:t>
      </w:r>
      <w:proofErr w:type="spellStart"/>
      <w:r w:rsidR="005414EB" w:rsidRPr="006F00FD">
        <w:rPr>
          <w:rFonts w:ascii="Arial" w:hAnsi="Arial" w:cs="Arial"/>
          <w:sz w:val="24"/>
          <w:szCs w:val="24"/>
        </w:rPr>
        <w:t>organisations</w:t>
      </w:r>
      <w:proofErr w:type="spellEnd"/>
      <w:r w:rsidR="005414EB" w:rsidRPr="006F00FD">
        <w:rPr>
          <w:rFonts w:ascii="Arial" w:hAnsi="Arial" w:cs="Arial"/>
          <w:sz w:val="24"/>
          <w:szCs w:val="24"/>
        </w:rPr>
        <w:t xml:space="preserve"> with</w:t>
      </w:r>
      <w:r w:rsidRPr="006F00FD">
        <w:rPr>
          <w:rFonts w:ascii="Arial" w:hAnsi="Arial" w:cs="Arial"/>
          <w:sz w:val="24"/>
          <w:szCs w:val="24"/>
        </w:rPr>
        <w:t xml:space="preserve"> similar data governance requirements.</w:t>
      </w:r>
    </w:p>
    <w:p w14:paraId="11BC62F0" w14:textId="0D801C67" w:rsidR="000C7C08" w:rsidRPr="006F00FD" w:rsidRDefault="00CC7B65" w:rsidP="003347C2">
      <w:pPr>
        <w:spacing w:line="360" w:lineRule="auto"/>
        <w:jc w:val="both"/>
        <w:rPr>
          <w:rFonts w:ascii="Arial" w:hAnsi="Arial" w:cs="Arial"/>
          <w:sz w:val="24"/>
          <w:szCs w:val="24"/>
        </w:rPr>
      </w:pPr>
      <w:r w:rsidRPr="006F00FD">
        <w:rPr>
          <w:rFonts w:ascii="Arial" w:hAnsi="Arial" w:cs="Arial"/>
          <w:sz w:val="24"/>
          <w:szCs w:val="24"/>
        </w:rPr>
        <w:t xml:space="preserve">Active regulatory participation (IR9) </w:t>
      </w:r>
      <w:r w:rsidR="005414EB" w:rsidRPr="006F00FD">
        <w:rPr>
          <w:rFonts w:ascii="Arial" w:hAnsi="Arial" w:cs="Arial"/>
          <w:sz w:val="24"/>
          <w:szCs w:val="24"/>
        </w:rPr>
        <w:t>in</w:t>
      </w:r>
      <w:r w:rsidRPr="006F00FD">
        <w:rPr>
          <w:rFonts w:ascii="Arial" w:hAnsi="Arial" w:cs="Arial"/>
          <w:sz w:val="24"/>
          <w:szCs w:val="24"/>
        </w:rPr>
        <w:t xml:space="preserve"> the UK ICO regulatory sandbox and the EU AI Office consultation makes Tesco a positive contributor to the creation of retail AI guidance. Those </w:t>
      </w:r>
      <w:proofErr w:type="spellStart"/>
      <w:r w:rsidRPr="006F00FD">
        <w:rPr>
          <w:rFonts w:ascii="Arial" w:hAnsi="Arial" w:cs="Arial"/>
          <w:sz w:val="24"/>
          <w:szCs w:val="24"/>
        </w:rPr>
        <w:t>organisations</w:t>
      </w:r>
      <w:proofErr w:type="spellEnd"/>
      <w:r w:rsidRPr="006F00FD">
        <w:rPr>
          <w:rFonts w:ascii="Arial" w:hAnsi="Arial" w:cs="Arial"/>
          <w:sz w:val="24"/>
          <w:szCs w:val="24"/>
        </w:rPr>
        <w:t xml:space="preserve"> that operate at this level always have more viable compliance options</w:t>
      </w:r>
      <w:r w:rsidR="005414EB" w:rsidRPr="006F00FD">
        <w:rPr>
          <w:rFonts w:ascii="Arial" w:hAnsi="Arial" w:cs="Arial"/>
          <w:sz w:val="24"/>
          <w:szCs w:val="24"/>
        </w:rPr>
        <w:t xml:space="preserve">, and their contributions influence sector standards </w:t>
      </w:r>
      <w:r w:rsidRPr="006F00FD">
        <w:rPr>
          <w:rFonts w:ascii="Arial" w:hAnsi="Arial" w:cs="Arial"/>
          <w:sz w:val="24"/>
          <w:szCs w:val="24"/>
        </w:rPr>
        <w:t>in ways that reflect their operational realities. Register et al. (2025) believe that human-AI relations governance should be based on relational, participatory structures</w:t>
      </w:r>
      <w:r w:rsidR="005414EB" w:rsidRPr="006F00FD">
        <w:rPr>
          <w:rFonts w:ascii="Arial" w:hAnsi="Arial" w:cs="Arial"/>
          <w:sz w:val="24"/>
          <w:szCs w:val="24"/>
        </w:rPr>
        <w:t xml:space="preserve"> rather than unilateral corporate decisions, which also applies to regulatory engagement but not to </w:t>
      </w:r>
      <w:r w:rsidRPr="006F00FD">
        <w:rPr>
          <w:rFonts w:ascii="Arial" w:hAnsi="Arial" w:cs="Arial"/>
          <w:sz w:val="24"/>
          <w:szCs w:val="24"/>
        </w:rPr>
        <w:t xml:space="preserve">consumer consent architecture. External AI governance certification (IR10) </w:t>
      </w:r>
      <w:r w:rsidR="005414EB" w:rsidRPr="006F00FD">
        <w:rPr>
          <w:rFonts w:ascii="Arial" w:hAnsi="Arial" w:cs="Arial"/>
          <w:sz w:val="24"/>
          <w:szCs w:val="24"/>
        </w:rPr>
        <w:t xml:space="preserve">under ISO 42001 or the BSI AI assurance framework provides an externally validated signal of quality governance at a cost of between £300,000 and £ </w:t>
      </w:r>
      <w:r w:rsidRPr="006F00FD">
        <w:rPr>
          <w:rFonts w:ascii="Arial" w:hAnsi="Arial" w:cs="Arial"/>
          <w:sz w:val="24"/>
          <w:szCs w:val="24"/>
        </w:rPr>
        <w:t xml:space="preserve">600,000. This investment </w:t>
      </w:r>
      <w:r w:rsidR="005414EB" w:rsidRPr="006F00FD">
        <w:rPr>
          <w:rFonts w:ascii="Arial" w:hAnsi="Arial" w:cs="Arial"/>
          <w:sz w:val="24"/>
          <w:szCs w:val="24"/>
        </w:rPr>
        <w:t>offers a disproportionately high reputational payoff relative to its direct cost and is a direct response to the governance deficit identified through</w:t>
      </w:r>
      <w:r w:rsidRPr="006F00FD">
        <w:rPr>
          <w:rFonts w:ascii="Arial" w:hAnsi="Arial" w:cs="Arial"/>
          <w:sz w:val="24"/>
          <w:szCs w:val="24"/>
        </w:rPr>
        <w:t xml:space="preserve"> competitor benchmarking in Section 2.6, in a retail market where consumer trust in data practices is becoming an even more critical driver of brand loyalty and switching </w:t>
      </w:r>
      <w:proofErr w:type="spellStart"/>
      <w:r w:rsidRPr="006F00FD">
        <w:rPr>
          <w:rFonts w:ascii="Arial" w:hAnsi="Arial" w:cs="Arial"/>
          <w:sz w:val="24"/>
          <w:szCs w:val="24"/>
        </w:rPr>
        <w:t>behaviour</w:t>
      </w:r>
      <w:proofErr w:type="spellEnd"/>
      <w:r w:rsidRPr="006F00FD">
        <w:rPr>
          <w:rFonts w:ascii="Arial" w:hAnsi="Arial" w:cs="Arial"/>
          <w:sz w:val="24"/>
          <w:szCs w:val="24"/>
        </w:rPr>
        <w:t>.</w:t>
      </w:r>
    </w:p>
    <w:p w14:paraId="560ACBA4" w14:textId="4D046EC6" w:rsidR="000C7C08" w:rsidRPr="006F00FD" w:rsidRDefault="009822E0" w:rsidP="000066FA">
      <w:pPr>
        <w:pStyle w:val="Heading1"/>
      </w:pPr>
      <w:bookmarkStart w:id="15" w:name="_Toc227973227"/>
      <w:r w:rsidRPr="006F00FD">
        <w:t>Conclusion</w:t>
      </w:r>
      <w:bookmarkEnd w:id="15"/>
    </w:p>
    <w:p w14:paraId="22F2504F" w14:textId="77777777" w:rsidR="00CC7B65" w:rsidRPr="006F00FD" w:rsidRDefault="00CC7B65" w:rsidP="003347C2">
      <w:pPr>
        <w:spacing w:line="360" w:lineRule="auto"/>
        <w:jc w:val="both"/>
        <w:rPr>
          <w:rFonts w:ascii="Arial" w:hAnsi="Arial" w:cs="Arial"/>
          <w:sz w:val="24"/>
          <w:szCs w:val="24"/>
        </w:rPr>
      </w:pPr>
      <w:r w:rsidRPr="006F00FD">
        <w:rPr>
          <w:rFonts w:ascii="Arial" w:hAnsi="Arial" w:cs="Arial"/>
          <w:sz w:val="24"/>
          <w:szCs w:val="24"/>
        </w:rPr>
        <w:t>Tesco Plc has one of the most commercially dominant AI ecosystems in UK retail, but the governance architecture is currently not commensurate with the scale, sensitivity or regulatory risk of the systems it is implemented on. This report has responded to the central research question by arguing that Tesco needs a more formal three-horizon governance architecture, which is responsive to compliance with regulatory requirements across the UK and EU, which re-establishes consumer trust on a substantive and not a procedural level, and which positions responsible AI as a driver of competitive advantage and not a limitation on it.</w:t>
      </w:r>
    </w:p>
    <w:p w14:paraId="44FF9B73" w14:textId="223E7A1F" w:rsidR="00CC7B65" w:rsidRPr="006F00FD" w:rsidRDefault="00CC7B65" w:rsidP="003347C2">
      <w:pPr>
        <w:spacing w:line="360" w:lineRule="auto"/>
        <w:jc w:val="both"/>
        <w:rPr>
          <w:rFonts w:ascii="Arial" w:hAnsi="Arial" w:cs="Arial"/>
          <w:sz w:val="24"/>
          <w:szCs w:val="24"/>
        </w:rPr>
      </w:pPr>
      <w:r w:rsidRPr="006F00FD">
        <w:rPr>
          <w:rFonts w:ascii="Arial" w:hAnsi="Arial" w:cs="Arial"/>
          <w:sz w:val="24"/>
          <w:szCs w:val="24"/>
        </w:rPr>
        <w:t xml:space="preserve">There are </w:t>
      </w:r>
      <w:r w:rsidR="005414EB" w:rsidRPr="006F00FD">
        <w:rPr>
          <w:rFonts w:ascii="Arial" w:hAnsi="Arial" w:cs="Arial"/>
          <w:sz w:val="24"/>
          <w:szCs w:val="24"/>
        </w:rPr>
        <w:t>several weaknesses in</w:t>
      </w:r>
      <w:r w:rsidRPr="006F00FD">
        <w:rPr>
          <w:rFonts w:ascii="Arial" w:hAnsi="Arial" w:cs="Arial"/>
          <w:sz w:val="24"/>
          <w:szCs w:val="24"/>
        </w:rPr>
        <w:t xml:space="preserve"> this analysis. The report is based on the disclosures that Tesco published itself, which</w:t>
      </w:r>
      <w:r w:rsidR="005414EB" w:rsidRPr="006F00FD">
        <w:rPr>
          <w:rFonts w:ascii="Arial" w:hAnsi="Arial" w:cs="Arial"/>
          <w:sz w:val="24"/>
          <w:szCs w:val="24"/>
        </w:rPr>
        <w:t>, in terms of AI governance,</w:t>
      </w:r>
      <w:r w:rsidRPr="006F00FD">
        <w:rPr>
          <w:rFonts w:ascii="Arial" w:hAnsi="Arial" w:cs="Arial"/>
          <w:sz w:val="24"/>
          <w:szCs w:val="24"/>
        </w:rPr>
        <w:t xml:space="preserve"> are aspirational and not operational. The lack of independent audit results, regulatory </w:t>
      </w:r>
      <w:r w:rsidR="005414EB" w:rsidRPr="006F00FD">
        <w:rPr>
          <w:rFonts w:ascii="Arial" w:hAnsi="Arial" w:cs="Arial"/>
          <w:sz w:val="24"/>
          <w:szCs w:val="24"/>
        </w:rPr>
        <w:t>letters, or internal governance-related documents implies that the gap between the claimed and actual governance practices cannot be precisely measured</w:t>
      </w:r>
      <w:r w:rsidRPr="006F00FD">
        <w:rPr>
          <w:rFonts w:ascii="Arial" w:hAnsi="Arial" w:cs="Arial"/>
          <w:sz w:val="24"/>
          <w:szCs w:val="24"/>
        </w:rPr>
        <w:t xml:space="preserve">. Also, the enforcement guidance of </w:t>
      </w:r>
      <w:r w:rsidR="005414EB" w:rsidRPr="006F00FD">
        <w:rPr>
          <w:rFonts w:ascii="Arial" w:hAnsi="Arial" w:cs="Arial"/>
          <w:sz w:val="24"/>
          <w:szCs w:val="24"/>
        </w:rPr>
        <w:t xml:space="preserve">the EU AI Act on retail AI applications is not yet </w:t>
      </w:r>
      <w:proofErr w:type="spellStart"/>
      <w:r w:rsidR="005414EB" w:rsidRPr="006F00FD">
        <w:rPr>
          <w:rFonts w:ascii="Arial" w:hAnsi="Arial" w:cs="Arial"/>
          <w:sz w:val="24"/>
          <w:szCs w:val="24"/>
        </w:rPr>
        <w:t>finalised</w:t>
      </w:r>
      <w:proofErr w:type="spellEnd"/>
      <w:r w:rsidR="005414EB" w:rsidRPr="006F00FD">
        <w:rPr>
          <w:rFonts w:ascii="Arial" w:hAnsi="Arial" w:cs="Arial"/>
          <w:sz w:val="24"/>
          <w:szCs w:val="24"/>
        </w:rPr>
        <w:t xml:space="preserve">, and the boundaries of the </w:t>
      </w:r>
      <w:r w:rsidR="005414EB" w:rsidRPr="006F00FD">
        <w:rPr>
          <w:rFonts w:ascii="Arial" w:hAnsi="Arial" w:cs="Arial"/>
          <w:sz w:val="24"/>
          <w:szCs w:val="24"/>
        </w:rPr>
        <w:lastRenderedPageBreak/>
        <w:t xml:space="preserve">categories in </w:t>
      </w:r>
      <w:r w:rsidRPr="006F00FD">
        <w:rPr>
          <w:rFonts w:ascii="Arial" w:hAnsi="Arial" w:cs="Arial"/>
          <w:sz w:val="24"/>
          <w:szCs w:val="24"/>
        </w:rPr>
        <w:t xml:space="preserve">Annex III discussed in Section 2.4 are open to revision as the EU AI Office starts providing additional interpretive guidance. The competitor benchmarking </w:t>
      </w:r>
      <w:r w:rsidR="005414EB" w:rsidRPr="006F00FD">
        <w:rPr>
          <w:rFonts w:ascii="Arial" w:hAnsi="Arial" w:cs="Arial"/>
          <w:sz w:val="24"/>
          <w:szCs w:val="24"/>
        </w:rPr>
        <w:t>in Section 2.6 is also limited by the lack of disclosure about</w:t>
      </w:r>
      <w:r w:rsidRPr="006F00FD">
        <w:rPr>
          <w:rFonts w:ascii="Arial" w:hAnsi="Arial" w:cs="Arial"/>
          <w:sz w:val="24"/>
          <w:szCs w:val="24"/>
        </w:rPr>
        <w:t xml:space="preserve"> peers in the sector.</w:t>
      </w:r>
    </w:p>
    <w:p w14:paraId="5AEBF33D" w14:textId="1A5CABE2" w:rsidR="000C7C08" w:rsidRPr="006F00FD" w:rsidRDefault="00F71841" w:rsidP="003347C2">
      <w:pPr>
        <w:spacing w:line="360" w:lineRule="auto"/>
        <w:jc w:val="both"/>
        <w:rPr>
          <w:rFonts w:ascii="Arial" w:hAnsi="Arial" w:cs="Arial"/>
          <w:sz w:val="24"/>
          <w:szCs w:val="24"/>
        </w:rPr>
      </w:pPr>
      <w:r w:rsidRPr="006F00FD">
        <w:rPr>
          <w:rFonts w:ascii="Arial" w:hAnsi="Arial" w:cs="Arial"/>
          <w:sz w:val="24"/>
          <w:szCs w:val="24"/>
        </w:rPr>
        <w:t xml:space="preserve">The three trends that are going to make a huge difference in the world of governance in the five-year implementation period as discussed in the report include: Firstly, the jurisdiction of both the UK and the EU will most probably introduce mandatory requirements of AI incident-reporting, which will convert existing norms of voluntary disclosure into statutory ones. Second, the introduction of generative AI into retail customer service and </w:t>
      </w:r>
      <w:proofErr w:type="spellStart"/>
      <w:r w:rsidRPr="006F00FD">
        <w:rPr>
          <w:rFonts w:ascii="Arial" w:hAnsi="Arial" w:cs="Arial"/>
          <w:sz w:val="24"/>
          <w:szCs w:val="24"/>
        </w:rPr>
        <w:t>personalisation</w:t>
      </w:r>
      <w:proofErr w:type="spellEnd"/>
      <w:r w:rsidRPr="006F00FD">
        <w:rPr>
          <w:rFonts w:ascii="Arial" w:hAnsi="Arial" w:cs="Arial"/>
          <w:sz w:val="24"/>
          <w:szCs w:val="24"/>
        </w:rPr>
        <w:t xml:space="preserve"> will expand the scope of AI systems that engage consumers by a significant margin, introducing new classification challenges in the domestic and EU frameworks. Third, the introduction of AI liability insurance as a commercial product will create market-based governance incentives to augment regulatory requirements, with </w:t>
      </w:r>
      <w:proofErr w:type="spellStart"/>
      <w:r w:rsidRPr="006F00FD">
        <w:rPr>
          <w:rFonts w:ascii="Arial" w:hAnsi="Arial" w:cs="Arial"/>
          <w:sz w:val="24"/>
          <w:szCs w:val="24"/>
        </w:rPr>
        <w:t>organisations</w:t>
      </w:r>
      <w:proofErr w:type="spellEnd"/>
      <w:r w:rsidRPr="006F00FD">
        <w:rPr>
          <w:rFonts w:ascii="Arial" w:hAnsi="Arial" w:cs="Arial"/>
          <w:sz w:val="24"/>
          <w:szCs w:val="24"/>
        </w:rPr>
        <w:t xml:space="preserve"> able to demonstrate quality governance quantified by metrics paying less premium and gaining wider coverage. The implementation plan that Tesco has set is also towards expecting such developments and an </w:t>
      </w:r>
      <w:proofErr w:type="spellStart"/>
      <w:r w:rsidRPr="006F00FD">
        <w:rPr>
          <w:rFonts w:ascii="Arial" w:hAnsi="Arial" w:cs="Arial"/>
          <w:sz w:val="24"/>
          <w:szCs w:val="24"/>
        </w:rPr>
        <w:t>organisation</w:t>
      </w:r>
      <w:proofErr w:type="spellEnd"/>
      <w:r w:rsidRPr="006F00FD">
        <w:rPr>
          <w:rFonts w:ascii="Arial" w:hAnsi="Arial" w:cs="Arial"/>
          <w:sz w:val="24"/>
          <w:szCs w:val="24"/>
        </w:rPr>
        <w:t xml:space="preserve"> that goes all the way to govern these developments will not only be in a position to comply with the future AI regulations but will also help to shape them.</w:t>
      </w:r>
    </w:p>
    <w:p w14:paraId="28DF5782" w14:textId="77777777" w:rsidR="000C7C08" w:rsidRPr="006F00FD" w:rsidRDefault="009822E0" w:rsidP="003347C2">
      <w:pPr>
        <w:spacing w:line="360" w:lineRule="auto"/>
        <w:rPr>
          <w:rFonts w:ascii="Arial" w:hAnsi="Arial" w:cs="Arial"/>
          <w:sz w:val="24"/>
          <w:szCs w:val="24"/>
        </w:rPr>
      </w:pPr>
      <w:r w:rsidRPr="006F00FD">
        <w:rPr>
          <w:rFonts w:ascii="Arial" w:hAnsi="Arial" w:cs="Arial"/>
          <w:sz w:val="24"/>
          <w:szCs w:val="24"/>
        </w:rPr>
        <w:br w:type="page"/>
      </w:r>
    </w:p>
    <w:p w14:paraId="1B2CE2BB" w14:textId="77777777" w:rsidR="000C7C08" w:rsidRPr="006F00FD" w:rsidRDefault="009822E0" w:rsidP="000066FA">
      <w:pPr>
        <w:pStyle w:val="Heading1"/>
      </w:pPr>
      <w:bookmarkStart w:id="16" w:name="_Toc227973228"/>
      <w:r w:rsidRPr="006F00FD">
        <w:lastRenderedPageBreak/>
        <w:t>Bibliography</w:t>
      </w:r>
      <w:bookmarkEnd w:id="16"/>
    </w:p>
    <w:p w14:paraId="588E6FD7" w14:textId="77777777"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 xml:space="preserve">Alt, R. (2021). Electronic Markets on digital platforms and AI. Electronic Markets, 31(2), pp.233-241. </w:t>
      </w:r>
      <w:proofErr w:type="spellStart"/>
      <w:r w:rsidRPr="006F00FD">
        <w:rPr>
          <w:rFonts w:ascii="Arial" w:hAnsi="Arial" w:cs="Arial"/>
          <w:sz w:val="24"/>
          <w:szCs w:val="24"/>
        </w:rPr>
        <w:t>doi</w:t>
      </w:r>
      <w:proofErr w:type="spellEnd"/>
      <w:r w:rsidRPr="006F00FD">
        <w:rPr>
          <w:rFonts w:ascii="Arial" w:hAnsi="Arial" w:cs="Arial"/>
          <w:sz w:val="24"/>
          <w:szCs w:val="24"/>
        </w:rPr>
        <w:t>: https://doi.org/10.1007/s12525-021-00489-w</w:t>
      </w:r>
    </w:p>
    <w:p w14:paraId="6B6563E5" w14:textId="77777777" w:rsidR="000C7C08" w:rsidRPr="006F00FD" w:rsidRDefault="009822E0" w:rsidP="003347C2">
      <w:pPr>
        <w:spacing w:line="360" w:lineRule="auto"/>
        <w:jc w:val="both"/>
        <w:rPr>
          <w:rFonts w:ascii="Arial" w:hAnsi="Arial" w:cs="Arial"/>
          <w:sz w:val="24"/>
          <w:szCs w:val="24"/>
        </w:rPr>
      </w:pPr>
      <w:proofErr w:type="spellStart"/>
      <w:r w:rsidRPr="006F00FD">
        <w:rPr>
          <w:rFonts w:ascii="Arial" w:hAnsi="Arial" w:cs="Arial"/>
          <w:sz w:val="24"/>
          <w:szCs w:val="24"/>
        </w:rPr>
        <w:t>Baswani</w:t>
      </w:r>
      <w:proofErr w:type="spellEnd"/>
      <w:r w:rsidRPr="006F00FD">
        <w:rPr>
          <w:rFonts w:ascii="Arial" w:hAnsi="Arial" w:cs="Arial"/>
          <w:sz w:val="24"/>
          <w:szCs w:val="24"/>
        </w:rPr>
        <w:t xml:space="preserve">, S., George, J.F. and Townsend, A.M. (2025). Connected homes and online retail: the case of IoT enabled online shopping. Information Technology and Management. </w:t>
      </w:r>
      <w:proofErr w:type="spellStart"/>
      <w:r w:rsidRPr="006F00FD">
        <w:rPr>
          <w:rFonts w:ascii="Arial" w:hAnsi="Arial" w:cs="Arial"/>
          <w:sz w:val="24"/>
          <w:szCs w:val="24"/>
        </w:rPr>
        <w:t>doi</w:t>
      </w:r>
      <w:proofErr w:type="spellEnd"/>
      <w:r w:rsidRPr="006F00FD">
        <w:rPr>
          <w:rFonts w:ascii="Arial" w:hAnsi="Arial" w:cs="Arial"/>
          <w:sz w:val="24"/>
          <w:szCs w:val="24"/>
        </w:rPr>
        <w:t>: https://doi.org/10.1007/s10799-025-00471-4</w:t>
      </w:r>
    </w:p>
    <w:p w14:paraId="2BB62B66" w14:textId="77777777"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 xml:space="preserve">Batool, A., </w:t>
      </w:r>
      <w:proofErr w:type="spellStart"/>
      <w:r w:rsidRPr="006F00FD">
        <w:rPr>
          <w:rFonts w:ascii="Arial" w:hAnsi="Arial" w:cs="Arial"/>
          <w:sz w:val="24"/>
          <w:szCs w:val="24"/>
        </w:rPr>
        <w:t>Zowghi</w:t>
      </w:r>
      <w:proofErr w:type="spellEnd"/>
      <w:r w:rsidRPr="006F00FD">
        <w:rPr>
          <w:rFonts w:ascii="Arial" w:hAnsi="Arial" w:cs="Arial"/>
          <w:sz w:val="24"/>
          <w:szCs w:val="24"/>
        </w:rPr>
        <w:t xml:space="preserve">, D. and Bano, M. (2025). AI governance: a systematic literature review. AI and Ethics, 5. </w:t>
      </w:r>
      <w:proofErr w:type="spellStart"/>
      <w:r w:rsidRPr="006F00FD">
        <w:rPr>
          <w:rFonts w:ascii="Arial" w:hAnsi="Arial" w:cs="Arial"/>
          <w:sz w:val="24"/>
          <w:szCs w:val="24"/>
        </w:rPr>
        <w:t>doi</w:t>
      </w:r>
      <w:proofErr w:type="spellEnd"/>
      <w:r w:rsidRPr="006F00FD">
        <w:rPr>
          <w:rFonts w:ascii="Arial" w:hAnsi="Arial" w:cs="Arial"/>
          <w:sz w:val="24"/>
          <w:szCs w:val="24"/>
        </w:rPr>
        <w:t>: https://doi.org/10.1007/s43681-024-00653-w</w:t>
      </w:r>
    </w:p>
    <w:p w14:paraId="06ABAE6B" w14:textId="77777777"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 xml:space="preserve">Bichler, M., Durmann, J. and </w:t>
      </w:r>
      <w:proofErr w:type="spellStart"/>
      <w:r w:rsidRPr="006F00FD">
        <w:rPr>
          <w:rFonts w:ascii="Arial" w:hAnsi="Arial" w:cs="Arial"/>
          <w:sz w:val="24"/>
          <w:szCs w:val="24"/>
        </w:rPr>
        <w:t>Oberlechner</w:t>
      </w:r>
      <w:proofErr w:type="spellEnd"/>
      <w:r w:rsidRPr="006F00FD">
        <w:rPr>
          <w:rFonts w:ascii="Arial" w:hAnsi="Arial" w:cs="Arial"/>
          <w:sz w:val="24"/>
          <w:szCs w:val="24"/>
        </w:rPr>
        <w:t xml:space="preserve">, M. (2025). Algorithmic Pricing and Algorithmic Collusion. Business and Information Systems Engineering. </w:t>
      </w:r>
      <w:proofErr w:type="spellStart"/>
      <w:r w:rsidRPr="006F00FD">
        <w:rPr>
          <w:rFonts w:ascii="Arial" w:hAnsi="Arial" w:cs="Arial"/>
          <w:sz w:val="24"/>
          <w:szCs w:val="24"/>
        </w:rPr>
        <w:t>doi</w:t>
      </w:r>
      <w:proofErr w:type="spellEnd"/>
      <w:r w:rsidRPr="006F00FD">
        <w:rPr>
          <w:rFonts w:ascii="Arial" w:hAnsi="Arial" w:cs="Arial"/>
          <w:sz w:val="24"/>
          <w:szCs w:val="24"/>
        </w:rPr>
        <w:t>: https://doi.org/10.1007/s12599-025-00965-z</w:t>
      </w:r>
    </w:p>
    <w:p w14:paraId="034EE17E" w14:textId="58FB452C"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 xml:space="preserve">Blomker, J. and Albrecht, C.-M. (2025). A path from multichannel customer data to real-time </w:t>
      </w:r>
      <w:proofErr w:type="spellStart"/>
      <w:r w:rsidR="005414EB" w:rsidRPr="006F00FD">
        <w:rPr>
          <w:rFonts w:ascii="Arial" w:hAnsi="Arial" w:cs="Arial"/>
          <w:sz w:val="24"/>
          <w:szCs w:val="24"/>
        </w:rPr>
        <w:t>personalisation</w:t>
      </w:r>
      <w:proofErr w:type="spellEnd"/>
      <w:r w:rsidRPr="006F00FD">
        <w:rPr>
          <w:rFonts w:ascii="Arial" w:hAnsi="Arial" w:cs="Arial"/>
          <w:sz w:val="24"/>
          <w:szCs w:val="24"/>
        </w:rPr>
        <w:t xml:space="preserve">: Predicting customers' psychological traits through machine learning. Journal of Retailing and Consumer Services, 87, p.104349. </w:t>
      </w:r>
      <w:proofErr w:type="spellStart"/>
      <w:r w:rsidRPr="006F00FD">
        <w:rPr>
          <w:rFonts w:ascii="Arial" w:hAnsi="Arial" w:cs="Arial"/>
          <w:sz w:val="24"/>
          <w:szCs w:val="24"/>
        </w:rPr>
        <w:t>doi</w:t>
      </w:r>
      <w:proofErr w:type="spellEnd"/>
      <w:r w:rsidRPr="006F00FD">
        <w:rPr>
          <w:rFonts w:ascii="Arial" w:hAnsi="Arial" w:cs="Arial"/>
          <w:sz w:val="24"/>
          <w:szCs w:val="24"/>
        </w:rPr>
        <w:t>: https://doi.org/10.1016/j.jretconser.2025.104349</w:t>
      </w:r>
    </w:p>
    <w:p w14:paraId="042D4F1B" w14:textId="0C7DB4A3"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 xml:space="preserve">Burmeister, F., Kurtz, C. and Schirmer, I. (2025). Governing information privacy in data ecosystems with architectural thinking. Electronic Markets, 35(1). </w:t>
      </w:r>
      <w:proofErr w:type="spellStart"/>
      <w:r w:rsidRPr="006F00FD">
        <w:rPr>
          <w:rFonts w:ascii="Arial" w:hAnsi="Arial" w:cs="Arial"/>
          <w:sz w:val="24"/>
          <w:szCs w:val="24"/>
        </w:rPr>
        <w:t>doi</w:t>
      </w:r>
      <w:proofErr w:type="spellEnd"/>
      <w:r w:rsidRPr="006F00FD">
        <w:rPr>
          <w:rFonts w:ascii="Arial" w:hAnsi="Arial" w:cs="Arial"/>
          <w:sz w:val="24"/>
          <w:szCs w:val="24"/>
        </w:rPr>
        <w:t xml:space="preserve">: </w:t>
      </w:r>
      <w:hyperlink r:id="rId9" w:history="1">
        <w:r w:rsidR="0000481C" w:rsidRPr="006F00FD">
          <w:rPr>
            <w:rStyle w:val="Hyperlink"/>
            <w:rFonts w:ascii="Arial" w:hAnsi="Arial" w:cs="Arial"/>
            <w:sz w:val="24"/>
            <w:szCs w:val="24"/>
          </w:rPr>
          <w:t>https://doi.org/10.1007/s12525-025-00808-5</w:t>
        </w:r>
      </w:hyperlink>
    </w:p>
    <w:p w14:paraId="380EC978" w14:textId="129DBE1A" w:rsidR="0000481C" w:rsidRPr="006F00FD" w:rsidRDefault="0000481C" w:rsidP="003347C2">
      <w:pPr>
        <w:spacing w:line="360" w:lineRule="auto"/>
        <w:jc w:val="both"/>
        <w:rPr>
          <w:rFonts w:ascii="Arial" w:hAnsi="Arial" w:cs="Arial"/>
          <w:sz w:val="24"/>
          <w:szCs w:val="24"/>
        </w:rPr>
      </w:pPr>
      <w:proofErr w:type="spellStart"/>
      <w:r w:rsidRPr="006F00FD">
        <w:rPr>
          <w:rFonts w:ascii="Arial" w:hAnsi="Arial" w:cs="Arial"/>
          <w:sz w:val="24"/>
          <w:szCs w:val="24"/>
        </w:rPr>
        <w:t>Canhoto</w:t>
      </w:r>
      <w:proofErr w:type="spellEnd"/>
      <w:r w:rsidRPr="006F00FD">
        <w:rPr>
          <w:rFonts w:ascii="Arial" w:hAnsi="Arial" w:cs="Arial"/>
          <w:sz w:val="24"/>
          <w:szCs w:val="24"/>
        </w:rPr>
        <w:t xml:space="preserve">, A.I., Keegan, B.J. and </w:t>
      </w:r>
      <w:proofErr w:type="spellStart"/>
      <w:r w:rsidRPr="006F00FD">
        <w:rPr>
          <w:rFonts w:ascii="Arial" w:hAnsi="Arial" w:cs="Arial"/>
          <w:sz w:val="24"/>
          <w:szCs w:val="24"/>
        </w:rPr>
        <w:t>Ryzhikh</w:t>
      </w:r>
      <w:proofErr w:type="spellEnd"/>
      <w:r w:rsidRPr="006F00FD">
        <w:rPr>
          <w:rFonts w:ascii="Arial" w:hAnsi="Arial" w:cs="Arial"/>
          <w:sz w:val="24"/>
          <w:szCs w:val="24"/>
        </w:rPr>
        <w:t xml:space="preserve">, M. (2023). Snakes and Ladders: Unpacking the </w:t>
      </w:r>
      <w:proofErr w:type="spellStart"/>
      <w:r w:rsidRPr="006F00FD">
        <w:rPr>
          <w:rFonts w:ascii="Arial" w:hAnsi="Arial" w:cs="Arial"/>
          <w:sz w:val="24"/>
          <w:szCs w:val="24"/>
        </w:rPr>
        <w:t>Personalisation</w:t>
      </w:r>
      <w:proofErr w:type="spellEnd"/>
      <w:r w:rsidRPr="006F00FD">
        <w:rPr>
          <w:rFonts w:ascii="Arial" w:hAnsi="Arial" w:cs="Arial"/>
          <w:sz w:val="24"/>
          <w:szCs w:val="24"/>
        </w:rPr>
        <w:t xml:space="preserve">-Privacy Paradox in the Context of AI-Enabled </w:t>
      </w:r>
      <w:proofErr w:type="spellStart"/>
      <w:r w:rsidRPr="006F00FD">
        <w:rPr>
          <w:rFonts w:ascii="Arial" w:hAnsi="Arial" w:cs="Arial"/>
          <w:sz w:val="24"/>
          <w:szCs w:val="24"/>
        </w:rPr>
        <w:t>Personalisation</w:t>
      </w:r>
      <w:proofErr w:type="spellEnd"/>
      <w:r w:rsidRPr="006F00FD">
        <w:rPr>
          <w:rFonts w:ascii="Arial" w:hAnsi="Arial" w:cs="Arial"/>
          <w:sz w:val="24"/>
          <w:szCs w:val="24"/>
        </w:rPr>
        <w:t xml:space="preserve"> in the Physical Retail Environment. </w:t>
      </w:r>
      <w:r w:rsidRPr="006F00FD">
        <w:rPr>
          <w:rFonts w:ascii="Arial" w:hAnsi="Arial" w:cs="Arial"/>
          <w:i/>
          <w:iCs/>
          <w:sz w:val="24"/>
          <w:szCs w:val="24"/>
        </w:rPr>
        <w:t>Information Systems Frontiers</w:t>
      </w:r>
      <w:r w:rsidRPr="006F00FD">
        <w:rPr>
          <w:rFonts w:ascii="Arial" w:hAnsi="Arial" w:cs="Arial"/>
          <w:sz w:val="24"/>
          <w:szCs w:val="24"/>
        </w:rPr>
        <w:t xml:space="preserve">, 26. </w:t>
      </w:r>
      <w:proofErr w:type="spellStart"/>
      <w:r w:rsidRPr="006F00FD">
        <w:rPr>
          <w:rFonts w:ascii="Arial" w:hAnsi="Arial" w:cs="Arial"/>
          <w:sz w:val="24"/>
          <w:szCs w:val="24"/>
        </w:rPr>
        <w:t>doi:https</w:t>
      </w:r>
      <w:proofErr w:type="spellEnd"/>
      <w:r w:rsidRPr="006F00FD">
        <w:rPr>
          <w:rFonts w:ascii="Arial" w:hAnsi="Arial" w:cs="Arial"/>
          <w:sz w:val="24"/>
          <w:szCs w:val="24"/>
        </w:rPr>
        <w:t>://doi.org/10.1007/s10796-023-10369-7.</w:t>
      </w:r>
    </w:p>
    <w:p w14:paraId="5940785B" w14:textId="77777777"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 xml:space="preserve">Calvin </w:t>
      </w:r>
      <w:proofErr w:type="spellStart"/>
      <w:r w:rsidRPr="006F00FD">
        <w:rPr>
          <w:rFonts w:ascii="Arial" w:hAnsi="Arial" w:cs="Arial"/>
          <w:sz w:val="24"/>
          <w:szCs w:val="24"/>
        </w:rPr>
        <w:t>Wai</w:t>
      </w:r>
      <w:proofErr w:type="spellEnd"/>
      <w:r w:rsidRPr="006F00FD">
        <w:rPr>
          <w:rFonts w:ascii="Arial" w:hAnsi="Arial" w:cs="Arial"/>
          <w:sz w:val="24"/>
          <w:szCs w:val="24"/>
        </w:rPr>
        <w:t xml:space="preserve">-Loon Ho and </w:t>
      </w:r>
      <w:proofErr w:type="spellStart"/>
      <w:r w:rsidRPr="006F00FD">
        <w:rPr>
          <w:rFonts w:ascii="Arial" w:hAnsi="Arial" w:cs="Arial"/>
          <w:sz w:val="24"/>
          <w:szCs w:val="24"/>
        </w:rPr>
        <w:t>Caals</w:t>
      </w:r>
      <w:proofErr w:type="spellEnd"/>
      <w:r w:rsidRPr="006F00FD">
        <w:rPr>
          <w:rFonts w:ascii="Arial" w:hAnsi="Arial" w:cs="Arial"/>
          <w:sz w:val="24"/>
          <w:szCs w:val="24"/>
        </w:rPr>
        <w:t xml:space="preserve">, K. (2024). How the EU AI Act Seeks to Establish an Epistemic Environment of Trust. Asian Bioethics Review, 16(3), pp.345-372. </w:t>
      </w:r>
      <w:proofErr w:type="spellStart"/>
      <w:r w:rsidRPr="006F00FD">
        <w:rPr>
          <w:rFonts w:ascii="Arial" w:hAnsi="Arial" w:cs="Arial"/>
          <w:sz w:val="24"/>
          <w:szCs w:val="24"/>
        </w:rPr>
        <w:t>doi</w:t>
      </w:r>
      <w:proofErr w:type="spellEnd"/>
      <w:r w:rsidRPr="006F00FD">
        <w:rPr>
          <w:rFonts w:ascii="Arial" w:hAnsi="Arial" w:cs="Arial"/>
          <w:sz w:val="24"/>
          <w:szCs w:val="24"/>
        </w:rPr>
        <w:t>: https://doi.org/10.1007/s41649-024-00304-6</w:t>
      </w:r>
    </w:p>
    <w:p w14:paraId="195618B6" w14:textId="77777777" w:rsidR="000C7C08" w:rsidRPr="006F00FD" w:rsidRDefault="009822E0" w:rsidP="003347C2">
      <w:pPr>
        <w:spacing w:line="360" w:lineRule="auto"/>
        <w:jc w:val="both"/>
        <w:rPr>
          <w:rFonts w:ascii="Arial" w:hAnsi="Arial" w:cs="Arial"/>
          <w:sz w:val="24"/>
          <w:szCs w:val="24"/>
        </w:rPr>
      </w:pPr>
      <w:proofErr w:type="spellStart"/>
      <w:r w:rsidRPr="006F00FD">
        <w:rPr>
          <w:rFonts w:ascii="Arial" w:hAnsi="Arial" w:cs="Arial"/>
          <w:sz w:val="24"/>
          <w:szCs w:val="24"/>
        </w:rPr>
        <w:t>Cancela-Outeda</w:t>
      </w:r>
      <w:proofErr w:type="spellEnd"/>
      <w:r w:rsidRPr="006F00FD">
        <w:rPr>
          <w:rFonts w:ascii="Arial" w:hAnsi="Arial" w:cs="Arial"/>
          <w:sz w:val="24"/>
          <w:szCs w:val="24"/>
        </w:rPr>
        <w:t xml:space="preserve">, C. (2024). The EU's AI act: A framework for collaborative governance. Internet of Things, 27, pp.101291-101291. </w:t>
      </w:r>
      <w:proofErr w:type="spellStart"/>
      <w:r w:rsidRPr="006F00FD">
        <w:rPr>
          <w:rFonts w:ascii="Arial" w:hAnsi="Arial" w:cs="Arial"/>
          <w:sz w:val="24"/>
          <w:szCs w:val="24"/>
        </w:rPr>
        <w:t>doi</w:t>
      </w:r>
      <w:proofErr w:type="spellEnd"/>
      <w:r w:rsidRPr="006F00FD">
        <w:rPr>
          <w:rFonts w:ascii="Arial" w:hAnsi="Arial" w:cs="Arial"/>
          <w:sz w:val="24"/>
          <w:szCs w:val="24"/>
        </w:rPr>
        <w:t>: https://doi.org/10.1016/j.iot.2024.101291</w:t>
      </w:r>
    </w:p>
    <w:p w14:paraId="16FECA9F" w14:textId="77777777" w:rsidR="000C7C08" w:rsidRPr="006F00FD" w:rsidRDefault="009822E0" w:rsidP="003347C2">
      <w:pPr>
        <w:spacing w:line="360" w:lineRule="auto"/>
        <w:jc w:val="both"/>
        <w:rPr>
          <w:rFonts w:ascii="Arial" w:hAnsi="Arial" w:cs="Arial"/>
          <w:sz w:val="24"/>
          <w:szCs w:val="24"/>
        </w:rPr>
      </w:pPr>
      <w:proofErr w:type="spellStart"/>
      <w:r w:rsidRPr="006F00FD">
        <w:rPr>
          <w:rFonts w:ascii="Arial" w:hAnsi="Arial" w:cs="Arial"/>
          <w:sz w:val="24"/>
          <w:szCs w:val="24"/>
        </w:rPr>
        <w:t>Canhoto</w:t>
      </w:r>
      <w:proofErr w:type="spellEnd"/>
      <w:r w:rsidRPr="006F00FD">
        <w:rPr>
          <w:rFonts w:ascii="Arial" w:hAnsi="Arial" w:cs="Arial"/>
          <w:sz w:val="24"/>
          <w:szCs w:val="24"/>
        </w:rPr>
        <w:t xml:space="preserve">, A.I., Keegan, B.J. and </w:t>
      </w:r>
      <w:proofErr w:type="spellStart"/>
      <w:r w:rsidRPr="006F00FD">
        <w:rPr>
          <w:rFonts w:ascii="Arial" w:hAnsi="Arial" w:cs="Arial"/>
          <w:sz w:val="24"/>
          <w:szCs w:val="24"/>
        </w:rPr>
        <w:t>Ryzhikh</w:t>
      </w:r>
      <w:proofErr w:type="spellEnd"/>
      <w:r w:rsidRPr="006F00FD">
        <w:rPr>
          <w:rFonts w:ascii="Arial" w:hAnsi="Arial" w:cs="Arial"/>
          <w:sz w:val="24"/>
          <w:szCs w:val="24"/>
        </w:rPr>
        <w:t xml:space="preserve">, M. (2023). Snakes and Ladders: Unpacking the </w:t>
      </w:r>
      <w:proofErr w:type="spellStart"/>
      <w:r w:rsidRPr="006F00FD">
        <w:rPr>
          <w:rFonts w:ascii="Arial" w:hAnsi="Arial" w:cs="Arial"/>
          <w:sz w:val="24"/>
          <w:szCs w:val="24"/>
        </w:rPr>
        <w:t>Personalisation</w:t>
      </w:r>
      <w:proofErr w:type="spellEnd"/>
      <w:r w:rsidRPr="006F00FD">
        <w:rPr>
          <w:rFonts w:ascii="Arial" w:hAnsi="Arial" w:cs="Arial"/>
          <w:sz w:val="24"/>
          <w:szCs w:val="24"/>
        </w:rPr>
        <w:t xml:space="preserve">-Privacy Paradox in the Context of AI-Enabled </w:t>
      </w:r>
      <w:proofErr w:type="spellStart"/>
      <w:r w:rsidRPr="006F00FD">
        <w:rPr>
          <w:rFonts w:ascii="Arial" w:hAnsi="Arial" w:cs="Arial"/>
          <w:sz w:val="24"/>
          <w:szCs w:val="24"/>
        </w:rPr>
        <w:t>Personalisation</w:t>
      </w:r>
      <w:proofErr w:type="spellEnd"/>
      <w:r w:rsidRPr="006F00FD">
        <w:rPr>
          <w:rFonts w:ascii="Arial" w:hAnsi="Arial" w:cs="Arial"/>
          <w:sz w:val="24"/>
          <w:szCs w:val="24"/>
        </w:rPr>
        <w:t xml:space="preserve"> in the Physical Retail Environment. Information Systems Frontiers, 26. </w:t>
      </w:r>
      <w:proofErr w:type="spellStart"/>
      <w:r w:rsidRPr="006F00FD">
        <w:rPr>
          <w:rFonts w:ascii="Arial" w:hAnsi="Arial" w:cs="Arial"/>
          <w:sz w:val="24"/>
          <w:szCs w:val="24"/>
        </w:rPr>
        <w:t>doi</w:t>
      </w:r>
      <w:proofErr w:type="spellEnd"/>
      <w:r w:rsidRPr="006F00FD">
        <w:rPr>
          <w:rFonts w:ascii="Arial" w:hAnsi="Arial" w:cs="Arial"/>
          <w:sz w:val="24"/>
          <w:szCs w:val="24"/>
        </w:rPr>
        <w:t>: https://doi.org/10.1007/s10796-023-10369-7</w:t>
      </w:r>
    </w:p>
    <w:p w14:paraId="47AFFAB2" w14:textId="77777777"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 xml:space="preserve">Dahlin, E. (2025). Trust in AI. AI and Society. </w:t>
      </w:r>
      <w:proofErr w:type="spellStart"/>
      <w:r w:rsidRPr="006F00FD">
        <w:rPr>
          <w:rFonts w:ascii="Arial" w:hAnsi="Arial" w:cs="Arial"/>
          <w:sz w:val="24"/>
          <w:szCs w:val="24"/>
        </w:rPr>
        <w:t>doi</w:t>
      </w:r>
      <w:proofErr w:type="spellEnd"/>
      <w:r w:rsidRPr="006F00FD">
        <w:rPr>
          <w:rFonts w:ascii="Arial" w:hAnsi="Arial" w:cs="Arial"/>
          <w:sz w:val="24"/>
          <w:szCs w:val="24"/>
        </w:rPr>
        <w:t>: https://doi.org/10.1007/s00146-025-02429-0</w:t>
      </w:r>
    </w:p>
    <w:p w14:paraId="45315CB3" w14:textId="77777777"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lastRenderedPageBreak/>
        <w:t xml:space="preserve">Decker, M.C., Wegner, L. and Leicht-Scholten, C. (2024). Procedural fairness in algorithmic decision-making: the role of public engagement. Ethics and Information Technology, 27(1). </w:t>
      </w:r>
      <w:proofErr w:type="spellStart"/>
      <w:r w:rsidRPr="006F00FD">
        <w:rPr>
          <w:rFonts w:ascii="Arial" w:hAnsi="Arial" w:cs="Arial"/>
          <w:sz w:val="24"/>
          <w:szCs w:val="24"/>
        </w:rPr>
        <w:t>doi</w:t>
      </w:r>
      <w:proofErr w:type="spellEnd"/>
      <w:r w:rsidRPr="006F00FD">
        <w:rPr>
          <w:rFonts w:ascii="Arial" w:hAnsi="Arial" w:cs="Arial"/>
          <w:sz w:val="24"/>
          <w:szCs w:val="24"/>
        </w:rPr>
        <w:t>: https://doi.org/10.1007/s10676-024-09811-4</w:t>
      </w:r>
    </w:p>
    <w:p w14:paraId="11BE174C" w14:textId="0C09B44E"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 xml:space="preserve">Dixit, R.S., Choudhary, S.L. and Govil, N. (2025). </w:t>
      </w:r>
      <w:proofErr w:type="spellStart"/>
      <w:r w:rsidR="005414EB" w:rsidRPr="006F00FD">
        <w:rPr>
          <w:rFonts w:ascii="Arial" w:hAnsi="Arial" w:cs="Arial"/>
          <w:sz w:val="24"/>
          <w:szCs w:val="24"/>
        </w:rPr>
        <w:t>Analysing</w:t>
      </w:r>
      <w:proofErr w:type="spellEnd"/>
      <w:r w:rsidRPr="006F00FD">
        <w:rPr>
          <w:rFonts w:ascii="Arial" w:hAnsi="Arial" w:cs="Arial"/>
          <w:sz w:val="24"/>
          <w:szCs w:val="24"/>
        </w:rPr>
        <w:t xml:space="preserve"> the impact of artificial intelligence on the online purchase decision-making process through the lens of the UTAUT 2 model. 28(1). </w:t>
      </w:r>
      <w:proofErr w:type="spellStart"/>
      <w:r w:rsidRPr="006F00FD">
        <w:rPr>
          <w:rFonts w:ascii="Arial" w:hAnsi="Arial" w:cs="Arial"/>
          <w:sz w:val="24"/>
          <w:szCs w:val="24"/>
        </w:rPr>
        <w:t>doi</w:t>
      </w:r>
      <w:proofErr w:type="spellEnd"/>
      <w:r w:rsidRPr="006F00FD">
        <w:rPr>
          <w:rFonts w:ascii="Arial" w:hAnsi="Arial" w:cs="Arial"/>
          <w:sz w:val="24"/>
          <w:szCs w:val="24"/>
        </w:rPr>
        <w:t>: https://doi.org/10.1007/s10791-025-09575-5</w:t>
      </w:r>
    </w:p>
    <w:p w14:paraId="44907109" w14:textId="5F6517A6"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 xml:space="preserve">European Union (2024). Regulation (EU) 2024/1689 of the European Parliament and of the Council </w:t>
      </w:r>
      <w:r w:rsidR="00337E1F" w:rsidRPr="006F00FD">
        <w:rPr>
          <w:rFonts w:ascii="Arial" w:hAnsi="Arial" w:cs="Arial"/>
          <w:sz w:val="24"/>
          <w:szCs w:val="24"/>
        </w:rPr>
        <w:t>-</w:t>
      </w:r>
      <w:r w:rsidRPr="006F00FD">
        <w:rPr>
          <w:rFonts w:ascii="Arial" w:hAnsi="Arial" w:cs="Arial"/>
          <w:sz w:val="24"/>
          <w:szCs w:val="24"/>
        </w:rPr>
        <w:t xml:space="preserve"> Artificial Intelligence Act. EUR-Lex. Available at: https://eur-lex.europa.eu/eli/reg/2024/1689/oj/eng</w:t>
      </w:r>
    </w:p>
    <w:p w14:paraId="744D4979" w14:textId="77777777"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 xml:space="preserve">Gibin, M., Krasanakis, E. and </w:t>
      </w:r>
      <w:proofErr w:type="spellStart"/>
      <w:r w:rsidRPr="006F00FD">
        <w:rPr>
          <w:rFonts w:ascii="Arial" w:hAnsi="Arial" w:cs="Arial"/>
          <w:sz w:val="24"/>
          <w:szCs w:val="24"/>
        </w:rPr>
        <w:t>Grumodas</w:t>
      </w:r>
      <w:proofErr w:type="spellEnd"/>
      <w:r w:rsidRPr="006F00FD">
        <w:rPr>
          <w:rFonts w:ascii="Arial" w:hAnsi="Arial" w:cs="Arial"/>
          <w:sz w:val="24"/>
          <w:szCs w:val="24"/>
        </w:rPr>
        <w:t xml:space="preserve">, K. (2025). Negotiating AI fairness: a call for rebalancing power relations. AI and Society. </w:t>
      </w:r>
      <w:proofErr w:type="spellStart"/>
      <w:r w:rsidRPr="006F00FD">
        <w:rPr>
          <w:rFonts w:ascii="Arial" w:hAnsi="Arial" w:cs="Arial"/>
          <w:sz w:val="24"/>
          <w:szCs w:val="24"/>
        </w:rPr>
        <w:t>doi</w:t>
      </w:r>
      <w:proofErr w:type="spellEnd"/>
      <w:r w:rsidRPr="006F00FD">
        <w:rPr>
          <w:rFonts w:ascii="Arial" w:hAnsi="Arial" w:cs="Arial"/>
          <w:sz w:val="24"/>
          <w:szCs w:val="24"/>
        </w:rPr>
        <w:t>: https://doi.org/10.1007/s00146-025-02653-8</w:t>
      </w:r>
    </w:p>
    <w:p w14:paraId="540893AD" w14:textId="1D664B22"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 xml:space="preserve">Greene, T., Goethals, S., Martens, D. and Shmueli, G. (2025). </w:t>
      </w:r>
      <w:proofErr w:type="spellStart"/>
      <w:r w:rsidR="005414EB" w:rsidRPr="006F00FD">
        <w:rPr>
          <w:rFonts w:ascii="Arial" w:hAnsi="Arial" w:cs="Arial"/>
          <w:sz w:val="24"/>
          <w:szCs w:val="24"/>
        </w:rPr>
        <w:t>Monetisation</w:t>
      </w:r>
      <w:proofErr w:type="spellEnd"/>
      <w:r w:rsidRPr="006F00FD">
        <w:rPr>
          <w:rFonts w:ascii="Arial" w:hAnsi="Arial" w:cs="Arial"/>
          <w:sz w:val="24"/>
          <w:szCs w:val="24"/>
        </w:rPr>
        <w:t xml:space="preserve"> could corrupt algorithmic explanations. AI and Society. </w:t>
      </w:r>
      <w:proofErr w:type="spellStart"/>
      <w:r w:rsidRPr="006F00FD">
        <w:rPr>
          <w:rFonts w:ascii="Arial" w:hAnsi="Arial" w:cs="Arial"/>
          <w:sz w:val="24"/>
          <w:szCs w:val="24"/>
        </w:rPr>
        <w:t>doi</w:t>
      </w:r>
      <w:proofErr w:type="spellEnd"/>
      <w:r w:rsidRPr="006F00FD">
        <w:rPr>
          <w:rFonts w:ascii="Arial" w:hAnsi="Arial" w:cs="Arial"/>
          <w:sz w:val="24"/>
          <w:szCs w:val="24"/>
        </w:rPr>
        <w:t>: https://doi.org/10.1007/s00146-025-02352-4</w:t>
      </w:r>
    </w:p>
    <w:p w14:paraId="68164344" w14:textId="77777777" w:rsidR="000C7C08" w:rsidRPr="006F00FD" w:rsidRDefault="009822E0" w:rsidP="003347C2">
      <w:pPr>
        <w:spacing w:line="360" w:lineRule="auto"/>
        <w:jc w:val="both"/>
        <w:rPr>
          <w:rFonts w:ascii="Arial" w:hAnsi="Arial" w:cs="Arial"/>
          <w:sz w:val="24"/>
          <w:szCs w:val="24"/>
        </w:rPr>
      </w:pPr>
      <w:proofErr w:type="spellStart"/>
      <w:r w:rsidRPr="006F00FD">
        <w:rPr>
          <w:rFonts w:ascii="Arial" w:hAnsi="Arial" w:cs="Arial"/>
          <w:sz w:val="24"/>
          <w:szCs w:val="24"/>
        </w:rPr>
        <w:t>Gstrein</w:t>
      </w:r>
      <w:proofErr w:type="spellEnd"/>
      <w:r w:rsidRPr="006F00FD">
        <w:rPr>
          <w:rFonts w:ascii="Arial" w:hAnsi="Arial" w:cs="Arial"/>
          <w:sz w:val="24"/>
          <w:szCs w:val="24"/>
        </w:rPr>
        <w:t xml:space="preserve">, O.J., </w:t>
      </w:r>
      <w:proofErr w:type="spellStart"/>
      <w:r w:rsidRPr="006F00FD">
        <w:rPr>
          <w:rFonts w:ascii="Arial" w:hAnsi="Arial" w:cs="Arial"/>
          <w:sz w:val="24"/>
          <w:szCs w:val="24"/>
        </w:rPr>
        <w:t>Haleem</w:t>
      </w:r>
      <w:proofErr w:type="spellEnd"/>
      <w:r w:rsidRPr="006F00FD">
        <w:rPr>
          <w:rFonts w:ascii="Arial" w:hAnsi="Arial" w:cs="Arial"/>
          <w:sz w:val="24"/>
          <w:szCs w:val="24"/>
        </w:rPr>
        <w:t xml:space="preserve">, N. and </w:t>
      </w:r>
      <w:proofErr w:type="spellStart"/>
      <w:r w:rsidRPr="006F00FD">
        <w:rPr>
          <w:rFonts w:ascii="Arial" w:hAnsi="Arial" w:cs="Arial"/>
          <w:sz w:val="24"/>
          <w:szCs w:val="24"/>
        </w:rPr>
        <w:t>Zwitter</w:t>
      </w:r>
      <w:proofErr w:type="spellEnd"/>
      <w:r w:rsidRPr="006F00FD">
        <w:rPr>
          <w:rFonts w:ascii="Arial" w:hAnsi="Arial" w:cs="Arial"/>
          <w:sz w:val="24"/>
          <w:szCs w:val="24"/>
        </w:rPr>
        <w:t xml:space="preserve">, A. (2024). General-purpose AI regulation and the European Union AI Act. Internet Policy Review, 13(3). </w:t>
      </w:r>
      <w:proofErr w:type="spellStart"/>
      <w:r w:rsidRPr="006F00FD">
        <w:rPr>
          <w:rFonts w:ascii="Arial" w:hAnsi="Arial" w:cs="Arial"/>
          <w:sz w:val="24"/>
          <w:szCs w:val="24"/>
        </w:rPr>
        <w:t>doi</w:t>
      </w:r>
      <w:proofErr w:type="spellEnd"/>
      <w:r w:rsidRPr="006F00FD">
        <w:rPr>
          <w:rFonts w:ascii="Arial" w:hAnsi="Arial" w:cs="Arial"/>
          <w:sz w:val="24"/>
          <w:szCs w:val="24"/>
        </w:rPr>
        <w:t>: https://doi.org/10.14763/2024.3.1790</w:t>
      </w:r>
    </w:p>
    <w:p w14:paraId="391F655D" w14:textId="77777777"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 xml:space="preserve">Hartmann, D., de Pereira, J.R.L., </w:t>
      </w:r>
      <w:proofErr w:type="spellStart"/>
      <w:r w:rsidRPr="006F00FD">
        <w:rPr>
          <w:rFonts w:ascii="Arial" w:hAnsi="Arial" w:cs="Arial"/>
          <w:sz w:val="24"/>
          <w:szCs w:val="24"/>
        </w:rPr>
        <w:t>Streitborger</w:t>
      </w:r>
      <w:proofErr w:type="spellEnd"/>
      <w:r w:rsidRPr="006F00FD">
        <w:rPr>
          <w:rFonts w:ascii="Arial" w:hAnsi="Arial" w:cs="Arial"/>
          <w:sz w:val="24"/>
          <w:szCs w:val="24"/>
        </w:rPr>
        <w:t xml:space="preserve">, C. and Berendt, B. (2024). Addressing the regulatory gap: moving towards an EU AI audit ecosystem beyond the AI Act by including civil society. AI and Ethics. </w:t>
      </w:r>
      <w:proofErr w:type="spellStart"/>
      <w:r w:rsidRPr="006F00FD">
        <w:rPr>
          <w:rFonts w:ascii="Arial" w:hAnsi="Arial" w:cs="Arial"/>
          <w:sz w:val="24"/>
          <w:szCs w:val="24"/>
        </w:rPr>
        <w:t>doi</w:t>
      </w:r>
      <w:proofErr w:type="spellEnd"/>
      <w:r w:rsidRPr="006F00FD">
        <w:rPr>
          <w:rFonts w:ascii="Arial" w:hAnsi="Arial" w:cs="Arial"/>
          <w:sz w:val="24"/>
          <w:szCs w:val="24"/>
        </w:rPr>
        <w:t>: https://doi.org/10.1007/s43681-024-00595-3</w:t>
      </w:r>
    </w:p>
    <w:p w14:paraId="04807C94" w14:textId="77777777"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Hassan, N., Abdelraouf, M. and El-</w:t>
      </w:r>
      <w:proofErr w:type="spellStart"/>
      <w:r w:rsidRPr="006F00FD">
        <w:rPr>
          <w:rFonts w:ascii="Arial" w:hAnsi="Arial" w:cs="Arial"/>
          <w:sz w:val="24"/>
          <w:szCs w:val="24"/>
        </w:rPr>
        <w:t>Shihy</w:t>
      </w:r>
      <w:proofErr w:type="spellEnd"/>
      <w:r w:rsidRPr="006F00FD">
        <w:rPr>
          <w:rFonts w:ascii="Arial" w:hAnsi="Arial" w:cs="Arial"/>
          <w:sz w:val="24"/>
          <w:szCs w:val="24"/>
        </w:rPr>
        <w:t xml:space="preserve">, D. (2025). The Moderating Role of Personalized Recommendations in the Trust-satisfaction-loyalty relationship: an Empirical Study of AI-driven e-commerce. Future Business Journal, 11(1). </w:t>
      </w:r>
      <w:proofErr w:type="spellStart"/>
      <w:r w:rsidRPr="006F00FD">
        <w:rPr>
          <w:rFonts w:ascii="Arial" w:hAnsi="Arial" w:cs="Arial"/>
          <w:sz w:val="24"/>
          <w:szCs w:val="24"/>
        </w:rPr>
        <w:t>doi</w:t>
      </w:r>
      <w:proofErr w:type="spellEnd"/>
      <w:r w:rsidRPr="006F00FD">
        <w:rPr>
          <w:rFonts w:ascii="Arial" w:hAnsi="Arial" w:cs="Arial"/>
          <w:sz w:val="24"/>
          <w:szCs w:val="24"/>
        </w:rPr>
        <w:t>: https://doi.org/10.1186/s43093-025-00476-z</w:t>
      </w:r>
    </w:p>
    <w:p w14:paraId="5037DA6F" w14:textId="77777777"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 xml:space="preserve">Henriksen, E.S., Folstad, A. and </w:t>
      </w:r>
      <w:proofErr w:type="spellStart"/>
      <w:r w:rsidRPr="006F00FD">
        <w:rPr>
          <w:rFonts w:ascii="Arial" w:hAnsi="Arial" w:cs="Arial"/>
          <w:sz w:val="24"/>
          <w:szCs w:val="24"/>
        </w:rPr>
        <w:t>Boletsis</w:t>
      </w:r>
      <w:proofErr w:type="spellEnd"/>
      <w:r w:rsidRPr="006F00FD">
        <w:rPr>
          <w:rFonts w:ascii="Arial" w:hAnsi="Arial" w:cs="Arial"/>
          <w:sz w:val="24"/>
          <w:szCs w:val="24"/>
        </w:rPr>
        <w:t xml:space="preserve">, K. (2025). Exploring users' privacy decision making in retail: insights and challenges for HCI research. Quality and User Experience, 10(1). </w:t>
      </w:r>
      <w:proofErr w:type="spellStart"/>
      <w:r w:rsidRPr="006F00FD">
        <w:rPr>
          <w:rFonts w:ascii="Arial" w:hAnsi="Arial" w:cs="Arial"/>
          <w:sz w:val="24"/>
          <w:szCs w:val="24"/>
        </w:rPr>
        <w:t>doi</w:t>
      </w:r>
      <w:proofErr w:type="spellEnd"/>
      <w:r w:rsidRPr="006F00FD">
        <w:rPr>
          <w:rFonts w:ascii="Arial" w:hAnsi="Arial" w:cs="Arial"/>
          <w:sz w:val="24"/>
          <w:szCs w:val="24"/>
        </w:rPr>
        <w:t>: https://doi.org/10.1007/s41233-025-00074-5</w:t>
      </w:r>
    </w:p>
    <w:p w14:paraId="09C3B5A9" w14:textId="77777777"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 xml:space="preserve">Huynh, M.-T. and </w:t>
      </w:r>
      <w:proofErr w:type="spellStart"/>
      <w:r w:rsidRPr="006F00FD">
        <w:rPr>
          <w:rFonts w:ascii="Arial" w:hAnsi="Arial" w:cs="Arial"/>
          <w:sz w:val="24"/>
          <w:szCs w:val="24"/>
        </w:rPr>
        <w:t>Aichner</w:t>
      </w:r>
      <w:proofErr w:type="spellEnd"/>
      <w:r w:rsidRPr="006F00FD">
        <w:rPr>
          <w:rFonts w:ascii="Arial" w:hAnsi="Arial" w:cs="Arial"/>
          <w:sz w:val="24"/>
          <w:szCs w:val="24"/>
        </w:rPr>
        <w:t xml:space="preserve">, T. (2025). In generative artificial intelligence we trust: unpacking determinants and outcomes for cognitive trust. AI and Society. </w:t>
      </w:r>
      <w:proofErr w:type="spellStart"/>
      <w:r w:rsidRPr="006F00FD">
        <w:rPr>
          <w:rFonts w:ascii="Arial" w:hAnsi="Arial" w:cs="Arial"/>
          <w:sz w:val="24"/>
          <w:szCs w:val="24"/>
        </w:rPr>
        <w:t>doi</w:t>
      </w:r>
      <w:proofErr w:type="spellEnd"/>
      <w:r w:rsidRPr="006F00FD">
        <w:rPr>
          <w:rFonts w:ascii="Arial" w:hAnsi="Arial" w:cs="Arial"/>
          <w:sz w:val="24"/>
          <w:szCs w:val="24"/>
        </w:rPr>
        <w:t>: https://doi.org/10.1007/s00146-025-02378-8</w:t>
      </w:r>
    </w:p>
    <w:p w14:paraId="341CC600" w14:textId="77777777"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 xml:space="preserve">Jansen, B.J., Jung, S. and Salminen, J. (2023). Finetuning Analytics Information Systems for a Better Understanding of Users: Evidence of Personification Bias on </w:t>
      </w:r>
      <w:r w:rsidRPr="006F00FD">
        <w:rPr>
          <w:rFonts w:ascii="Arial" w:hAnsi="Arial" w:cs="Arial"/>
          <w:sz w:val="24"/>
          <w:szCs w:val="24"/>
        </w:rPr>
        <w:lastRenderedPageBreak/>
        <w:t xml:space="preserve">Multiple Digital Channels. Information Systems Frontiers. </w:t>
      </w:r>
      <w:proofErr w:type="spellStart"/>
      <w:r w:rsidRPr="006F00FD">
        <w:rPr>
          <w:rFonts w:ascii="Arial" w:hAnsi="Arial" w:cs="Arial"/>
          <w:sz w:val="24"/>
          <w:szCs w:val="24"/>
        </w:rPr>
        <w:t>doi</w:t>
      </w:r>
      <w:proofErr w:type="spellEnd"/>
      <w:r w:rsidRPr="006F00FD">
        <w:rPr>
          <w:rFonts w:ascii="Arial" w:hAnsi="Arial" w:cs="Arial"/>
          <w:sz w:val="24"/>
          <w:szCs w:val="24"/>
        </w:rPr>
        <w:t>: https://doi.org/10.1007/s10796-023-10395-5</w:t>
      </w:r>
    </w:p>
    <w:p w14:paraId="4EE4AAEB" w14:textId="77777777"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 xml:space="preserve">Knight, S., Shibani, A. and Vincent, N. (2024). Ethical AI governance: mapping a research ecosystem. AI and Ethics. </w:t>
      </w:r>
      <w:proofErr w:type="spellStart"/>
      <w:r w:rsidRPr="006F00FD">
        <w:rPr>
          <w:rFonts w:ascii="Arial" w:hAnsi="Arial" w:cs="Arial"/>
          <w:sz w:val="24"/>
          <w:szCs w:val="24"/>
        </w:rPr>
        <w:t>doi</w:t>
      </w:r>
      <w:proofErr w:type="spellEnd"/>
      <w:r w:rsidRPr="006F00FD">
        <w:rPr>
          <w:rFonts w:ascii="Arial" w:hAnsi="Arial" w:cs="Arial"/>
          <w:sz w:val="24"/>
          <w:szCs w:val="24"/>
        </w:rPr>
        <w:t>: https://doi.org/10.1007/s43681-023-00416-z</w:t>
      </w:r>
    </w:p>
    <w:p w14:paraId="357DC6B3" w14:textId="77777777"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 xml:space="preserve">Larsson, S. and </w:t>
      </w:r>
      <w:proofErr w:type="spellStart"/>
      <w:r w:rsidRPr="006F00FD">
        <w:rPr>
          <w:rFonts w:ascii="Arial" w:hAnsi="Arial" w:cs="Arial"/>
          <w:sz w:val="24"/>
          <w:szCs w:val="24"/>
        </w:rPr>
        <w:t>Haresamudram</w:t>
      </w:r>
      <w:proofErr w:type="spellEnd"/>
      <w:r w:rsidRPr="006F00FD">
        <w:rPr>
          <w:rFonts w:ascii="Arial" w:hAnsi="Arial" w:cs="Arial"/>
          <w:sz w:val="24"/>
          <w:szCs w:val="24"/>
        </w:rPr>
        <w:t xml:space="preserve">, K. (2023). Consumer Trust and </w:t>
      </w:r>
      <w:proofErr w:type="spellStart"/>
      <w:r w:rsidRPr="006F00FD">
        <w:rPr>
          <w:rFonts w:ascii="Arial" w:hAnsi="Arial" w:cs="Arial"/>
          <w:sz w:val="24"/>
          <w:szCs w:val="24"/>
        </w:rPr>
        <w:t>Platformised</w:t>
      </w:r>
      <w:proofErr w:type="spellEnd"/>
      <w:r w:rsidRPr="006F00FD">
        <w:rPr>
          <w:rFonts w:ascii="Arial" w:hAnsi="Arial" w:cs="Arial"/>
          <w:sz w:val="24"/>
          <w:szCs w:val="24"/>
        </w:rPr>
        <w:t xml:space="preserve"> Retail </w:t>
      </w:r>
      <w:proofErr w:type="spellStart"/>
      <w:r w:rsidRPr="006F00FD">
        <w:rPr>
          <w:rFonts w:ascii="Arial" w:hAnsi="Arial" w:cs="Arial"/>
          <w:sz w:val="24"/>
          <w:szCs w:val="24"/>
        </w:rPr>
        <w:t>Personalisation</w:t>
      </w:r>
      <w:proofErr w:type="spellEnd"/>
      <w:r w:rsidRPr="006F00FD">
        <w:rPr>
          <w:rFonts w:ascii="Arial" w:hAnsi="Arial" w:cs="Arial"/>
          <w:sz w:val="24"/>
          <w:szCs w:val="24"/>
        </w:rPr>
        <w:t xml:space="preserve">. Springer eBooks, pp.77-94. </w:t>
      </w:r>
      <w:proofErr w:type="spellStart"/>
      <w:r w:rsidRPr="006F00FD">
        <w:rPr>
          <w:rFonts w:ascii="Arial" w:hAnsi="Arial" w:cs="Arial"/>
          <w:sz w:val="24"/>
          <w:szCs w:val="24"/>
        </w:rPr>
        <w:t>doi</w:t>
      </w:r>
      <w:proofErr w:type="spellEnd"/>
      <w:r w:rsidRPr="006F00FD">
        <w:rPr>
          <w:rFonts w:ascii="Arial" w:hAnsi="Arial" w:cs="Arial"/>
          <w:sz w:val="24"/>
          <w:szCs w:val="24"/>
        </w:rPr>
        <w:t>: https://doi.org/10.1007/978-3-031-33246-3_5</w:t>
      </w:r>
    </w:p>
    <w:p w14:paraId="353C85E3" w14:textId="77777777"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 xml:space="preserve">Laux, J., Wachter, S. and Mittelstadt, B. (2023). Trustworthy artificial intelligence and the European Union AI act: On the conflation of trustworthiness and acceptability of risk. Regulation and Governance, 18(1). </w:t>
      </w:r>
      <w:proofErr w:type="spellStart"/>
      <w:r w:rsidRPr="006F00FD">
        <w:rPr>
          <w:rFonts w:ascii="Arial" w:hAnsi="Arial" w:cs="Arial"/>
          <w:sz w:val="24"/>
          <w:szCs w:val="24"/>
        </w:rPr>
        <w:t>doi</w:t>
      </w:r>
      <w:proofErr w:type="spellEnd"/>
      <w:r w:rsidRPr="006F00FD">
        <w:rPr>
          <w:rFonts w:ascii="Arial" w:hAnsi="Arial" w:cs="Arial"/>
          <w:sz w:val="24"/>
          <w:szCs w:val="24"/>
        </w:rPr>
        <w:t>: https://doi.org/10.1111/rego.12512</w:t>
      </w:r>
    </w:p>
    <w:p w14:paraId="6DE92C87" w14:textId="62A7F0DB"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 xml:space="preserve">Leschanowsky, A., Rech, S., Popp, B. and Backstrom, T. (2024). Evaluating privacy, security, and trust perceptions in conversational AI: A systematic review. Computers in Human </w:t>
      </w:r>
      <w:proofErr w:type="spellStart"/>
      <w:r w:rsidR="005414EB" w:rsidRPr="006F00FD">
        <w:rPr>
          <w:rFonts w:ascii="Arial" w:hAnsi="Arial" w:cs="Arial"/>
          <w:sz w:val="24"/>
          <w:szCs w:val="24"/>
        </w:rPr>
        <w:t>Behaviour</w:t>
      </w:r>
      <w:proofErr w:type="spellEnd"/>
      <w:r w:rsidRPr="006F00FD">
        <w:rPr>
          <w:rFonts w:ascii="Arial" w:hAnsi="Arial" w:cs="Arial"/>
          <w:sz w:val="24"/>
          <w:szCs w:val="24"/>
        </w:rPr>
        <w:t xml:space="preserve">, 159, p.108344. </w:t>
      </w:r>
      <w:proofErr w:type="spellStart"/>
      <w:r w:rsidRPr="006F00FD">
        <w:rPr>
          <w:rFonts w:ascii="Arial" w:hAnsi="Arial" w:cs="Arial"/>
          <w:sz w:val="24"/>
          <w:szCs w:val="24"/>
        </w:rPr>
        <w:t>doi</w:t>
      </w:r>
      <w:proofErr w:type="spellEnd"/>
      <w:r w:rsidRPr="006F00FD">
        <w:rPr>
          <w:rFonts w:ascii="Arial" w:hAnsi="Arial" w:cs="Arial"/>
          <w:sz w:val="24"/>
          <w:szCs w:val="24"/>
        </w:rPr>
        <w:t>: https://doi.org/10.1016/j.chb.2024.108344</w:t>
      </w:r>
    </w:p>
    <w:p w14:paraId="255E39CB" w14:textId="77777777"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 xml:space="preserve">Lopes, J.M., Gomes, S., Nogueira, E. and Trancoso, T. (2024). AI's invisible touch: how effortless browsing shapes customer perception, experience and engagement in online retail. Cogent Business and Management, 12(1). </w:t>
      </w:r>
      <w:proofErr w:type="spellStart"/>
      <w:r w:rsidRPr="006F00FD">
        <w:rPr>
          <w:rFonts w:ascii="Arial" w:hAnsi="Arial" w:cs="Arial"/>
          <w:sz w:val="24"/>
          <w:szCs w:val="24"/>
        </w:rPr>
        <w:t>doi</w:t>
      </w:r>
      <w:proofErr w:type="spellEnd"/>
      <w:r w:rsidRPr="006F00FD">
        <w:rPr>
          <w:rFonts w:ascii="Arial" w:hAnsi="Arial" w:cs="Arial"/>
          <w:sz w:val="24"/>
          <w:szCs w:val="24"/>
        </w:rPr>
        <w:t>: https://doi.org/10.1080/23311975.2024.2440628</w:t>
      </w:r>
    </w:p>
    <w:p w14:paraId="2ADBF93D" w14:textId="77777777"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 xml:space="preserve">Meske, C., Abedin, B., Klier, M. and Rabhi, F. (2022). Explainable and responsible artificial intelligence. Electronic Markets, 32(4), pp.2103-2106. </w:t>
      </w:r>
      <w:proofErr w:type="spellStart"/>
      <w:r w:rsidRPr="006F00FD">
        <w:rPr>
          <w:rFonts w:ascii="Arial" w:hAnsi="Arial" w:cs="Arial"/>
          <w:sz w:val="24"/>
          <w:szCs w:val="24"/>
        </w:rPr>
        <w:t>doi</w:t>
      </w:r>
      <w:proofErr w:type="spellEnd"/>
      <w:r w:rsidRPr="006F00FD">
        <w:rPr>
          <w:rFonts w:ascii="Arial" w:hAnsi="Arial" w:cs="Arial"/>
          <w:sz w:val="24"/>
          <w:szCs w:val="24"/>
        </w:rPr>
        <w:t>: https://doi.org/10.1007/s12525-022-00607-2</w:t>
      </w:r>
    </w:p>
    <w:p w14:paraId="53F5607E" w14:textId="77777777" w:rsidR="000C7C08" w:rsidRPr="006F00FD" w:rsidRDefault="009822E0" w:rsidP="003347C2">
      <w:pPr>
        <w:spacing w:line="360" w:lineRule="auto"/>
        <w:jc w:val="both"/>
        <w:rPr>
          <w:rFonts w:ascii="Arial" w:hAnsi="Arial" w:cs="Arial"/>
          <w:sz w:val="24"/>
          <w:szCs w:val="24"/>
        </w:rPr>
      </w:pPr>
      <w:proofErr w:type="spellStart"/>
      <w:r w:rsidRPr="006F00FD">
        <w:rPr>
          <w:rFonts w:ascii="Arial" w:hAnsi="Arial" w:cs="Arial"/>
          <w:sz w:val="24"/>
          <w:szCs w:val="24"/>
        </w:rPr>
        <w:t>Mirbabaie</w:t>
      </w:r>
      <w:proofErr w:type="spellEnd"/>
      <w:r w:rsidRPr="006F00FD">
        <w:rPr>
          <w:rFonts w:ascii="Arial" w:hAnsi="Arial" w:cs="Arial"/>
          <w:sz w:val="24"/>
          <w:szCs w:val="24"/>
        </w:rPr>
        <w:t xml:space="preserve">, M., Langer, M., Rieskamp, J. and Hofeditz, L. (2025). Transparency Fallacy: Perceived Fairness in Algorithmic Management. Business and Information Systems Engineering. </w:t>
      </w:r>
      <w:proofErr w:type="spellStart"/>
      <w:r w:rsidRPr="006F00FD">
        <w:rPr>
          <w:rFonts w:ascii="Arial" w:hAnsi="Arial" w:cs="Arial"/>
          <w:sz w:val="24"/>
          <w:szCs w:val="24"/>
        </w:rPr>
        <w:t>doi</w:t>
      </w:r>
      <w:proofErr w:type="spellEnd"/>
      <w:r w:rsidRPr="006F00FD">
        <w:rPr>
          <w:rFonts w:ascii="Arial" w:hAnsi="Arial" w:cs="Arial"/>
          <w:sz w:val="24"/>
          <w:szCs w:val="24"/>
        </w:rPr>
        <w:t>: https://doi.org/10.1007/s12599-025-00963-1</w:t>
      </w:r>
    </w:p>
    <w:p w14:paraId="0783989E" w14:textId="6E385666"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 xml:space="preserve">Misra, S., Barik, K. and Kvalvik, P. (2025). Trust in Digital Sovereignty: A Review of Security, Privacy, and Governance Challenges. Public </w:t>
      </w:r>
      <w:proofErr w:type="spellStart"/>
      <w:r w:rsidR="005414EB" w:rsidRPr="006F00FD">
        <w:rPr>
          <w:rFonts w:ascii="Arial" w:hAnsi="Arial" w:cs="Arial"/>
          <w:sz w:val="24"/>
          <w:szCs w:val="24"/>
        </w:rPr>
        <w:t>Organisation</w:t>
      </w:r>
      <w:proofErr w:type="spellEnd"/>
      <w:r w:rsidRPr="006F00FD">
        <w:rPr>
          <w:rFonts w:ascii="Arial" w:hAnsi="Arial" w:cs="Arial"/>
          <w:sz w:val="24"/>
          <w:szCs w:val="24"/>
        </w:rPr>
        <w:t xml:space="preserve"> Review. </w:t>
      </w:r>
      <w:proofErr w:type="spellStart"/>
      <w:r w:rsidRPr="006F00FD">
        <w:rPr>
          <w:rFonts w:ascii="Arial" w:hAnsi="Arial" w:cs="Arial"/>
          <w:sz w:val="24"/>
          <w:szCs w:val="24"/>
        </w:rPr>
        <w:t>doi</w:t>
      </w:r>
      <w:proofErr w:type="spellEnd"/>
      <w:r w:rsidRPr="006F00FD">
        <w:rPr>
          <w:rFonts w:ascii="Arial" w:hAnsi="Arial" w:cs="Arial"/>
          <w:sz w:val="24"/>
          <w:szCs w:val="24"/>
        </w:rPr>
        <w:t>: https://doi.org/10.1007/s11115-025-00968-0</w:t>
      </w:r>
    </w:p>
    <w:p w14:paraId="5E82ACE1" w14:textId="77777777"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 xml:space="preserve">Nogueira, E., Lopes, J.M. and Gomes, S. (2025). The new era of Artificial Intelligence in consumption: theoretical framing, review and research agenda. Management Review Quarterly. </w:t>
      </w:r>
      <w:proofErr w:type="spellStart"/>
      <w:r w:rsidRPr="006F00FD">
        <w:rPr>
          <w:rFonts w:ascii="Arial" w:hAnsi="Arial" w:cs="Arial"/>
          <w:sz w:val="24"/>
          <w:szCs w:val="24"/>
        </w:rPr>
        <w:t>doi</w:t>
      </w:r>
      <w:proofErr w:type="spellEnd"/>
      <w:r w:rsidRPr="006F00FD">
        <w:rPr>
          <w:rFonts w:ascii="Arial" w:hAnsi="Arial" w:cs="Arial"/>
          <w:sz w:val="24"/>
          <w:szCs w:val="24"/>
        </w:rPr>
        <w:t>: https://doi.org/10.1007/s11301-025-00531-7</w:t>
      </w:r>
    </w:p>
    <w:p w14:paraId="562F1884" w14:textId="77777777"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 xml:space="preserve">Pant, A., Hoda, R., </w:t>
      </w:r>
      <w:proofErr w:type="spellStart"/>
      <w:r w:rsidRPr="006F00FD">
        <w:rPr>
          <w:rFonts w:ascii="Arial" w:hAnsi="Arial" w:cs="Arial"/>
          <w:sz w:val="24"/>
          <w:szCs w:val="24"/>
        </w:rPr>
        <w:t>Tantithamthavorn</w:t>
      </w:r>
      <w:proofErr w:type="spellEnd"/>
      <w:r w:rsidRPr="006F00FD">
        <w:rPr>
          <w:rFonts w:ascii="Arial" w:hAnsi="Arial" w:cs="Arial"/>
          <w:sz w:val="24"/>
          <w:szCs w:val="24"/>
        </w:rPr>
        <w:t xml:space="preserve">, C. and Turhan, B. (2025). Navigating fairness: practitioners' understanding, challenges, and strategies in AI/ML development. Empirical Software Engineering, 30(3). </w:t>
      </w:r>
      <w:proofErr w:type="spellStart"/>
      <w:r w:rsidRPr="006F00FD">
        <w:rPr>
          <w:rFonts w:ascii="Arial" w:hAnsi="Arial" w:cs="Arial"/>
          <w:sz w:val="24"/>
          <w:szCs w:val="24"/>
        </w:rPr>
        <w:t>doi</w:t>
      </w:r>
      <w:proofErr w:type="spellEnd"/>
      <w:r w:rsidRPr="006F00FD">
        <w:rPr>
          <w:rFonts w:ascii="Arial" w:hAnsi="Arial" w:cs="Arial"/>
          <w:sz w:val="24"/>
          <w:szCs w:val="24"/>
        </w:rPr>
        <w:t>: https://doi.org/10.1007/s10664-025-10650-0</w:t>
      </w:r>
    </w:p>
    <w:p w14:paraId="67CC658E" w14:textId="65B4276D"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lastRenderedPageBreak/>
        <w:t xml:space="preserve">Pink, S., Quilty, E., Grundy, J. and Hoda, R. (2024). Trust, artificial intelligence and software practitioners: an interdisciplinary agenda. AI and Society. </w:t>
      </w:r>
      <w:proofErr w:type="spellStart"/>
      <w:r w:rsidRPr="006F00FD">
        <w:rPr>
          <w:rFonts w:ascii="Arial" w:hAnsi="Arial" w:cs="Arial"/>
          <w:sz w:val="24"/>
          <w:szCs w:val="24"/>
        </w:rPr>
        <w:t>doi</w:t>
      </w:r>
      <w:proofErr w:type="spellEnd"/>
      <w:r w:rsidRPr="006F00FD">
        <w:rPr>
          <w:rFonts w:ascii="Arial" w:hAnsi="Arial" w:cs="Arial"/>
          <w:sz w:val="24"/>
          <w:szCs w:val="24"/>
        </w:rPr>
        <w:t xml:space="preserve">: </w:t>
      </w:r>
      <w:hyperlink r:id="rId10" w:history="1">
        <w:r w:rsidR="0000481C" w:rsidRPr="006F00FD">
          <w:rPr>
            <w:rStyle w:val="Hyperlink"/>
            <w:rFonts w:ascii="Arial" w:hAnsi="Arial" w:cs="Arial"/>
            <w:sz w:val="24"/>
            <w:szCs w:val="24"/>
          </w:rPr>
          <w:t>https://doi.org/10.1007/s00146-024-01882-7</w:t>
        </w:r>
      </w:hyperlink>
    </w:p>
    <w:p w14:paraId="3FA7AA36" w14:textId="502E47A9" w:rsidR="0000481C" w:rsidRPr="006F00FD" w:rsidRDefault="0000481C" w:rsidP="003347C2">
      <w:pPr>
        <w:spacing w:line="360" w:lineRule="auto"/>
        <w:jc w:val="both"/>
        <w:rPr>
          <w:rFonts w:ascii="Arial" w:hAnsi="Arial" w:cs="Arial"/>
          <w:sz w:val="24"/>
          <w:szCs w:val="24"/>
        </w:rPr>
      </w:pPr>
      <w:r w:rsidRPr="006F00FD">
        <w:rPr>
          <w:rFonts w:ascii="Arial" w:hAnsi="Arial" w:cs="Arial"/>
          <w:sz w:val="24"/>
          <w:szCs w:val="24"/>
        </w:rPr>
        <w:t>Porter, M. (2008). The Five Competitive Forces That Shape Strategy. [online] Harvard Business Review. Available at: https://hbr.org/2008/01/the-five-competitive-forces-that-shape-strategy.</w:t>
      </w:r>
    </w:p>
    <w:p w14:paraId="2760DE1E" w14:textId="58D2C521"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 xml:space="preserve">Rajesh, D. and Gurme, V. (2025). Artificial Intelligence and Consumer </w:t>
      </w:r>
      <w:proofErr w:type="spellStart"/>
      <w:r w:rsidRPr="006F00FD">
        <w:rPr>
          <w:rFonts w:ascii="Arial" w:hAnsi="Arial" w:cs="Arial"/>
          <w:sz w:val="24"/>
          <w:szCs w:val="24"/>
        </w:rPr>
        <w:t>Behaviour</w:t>
      </w:r>
      <w:proofErr w:type="spellEnd"/>
      <w:r w:rsidRPr="006F00FD">
        <w:rPr>
          <w:rFonts w:ascii="Arial" w:hAnsi="Arial" w:cs="Arial"/>
          <w:sz w:val="24"/>
          <w:szCs w:val="24"/>
        </w:rPr>
        <w:t xml:space="preserve"> on Social Media: A Study of </w:t>
      </w:r>
      <w:proofErr w:type="spellStart"/>
      <w:r w:rsidR="005414EB" w:rsidRPr="006F00FD">
        <w:rPr>
          <w:rFonts w:ascii="Arial" w:hAnsi="Arial" w:cs="Arial"/>
          <w:sz w:val="24"/>
          <w:szCs w:val="24"/>
        </w:rPr>
        <w:t>Personalisation</w:t>
      </w:r>
      <w:proofErr w:type="spellEnd"/>
      <w:r w:rsidRPr="006F00FD">
        <w:rPr>
          <w:rFonts w:ascii="Arial" w:hAnsi="Arial" w:cs="Arial"/>
          <w:sz w:val="24"/>
          <w:szCs w:val="24"/>
        </w:rPr>
        <w:t xml:space="preserve">, Trust, and Privacy. Measurement </w:t>
      </w:r>
      <w:proofErr w:type="spellStart"/>
      <w:r w:rsidR="005414EB" w:rsidRPr="006F00FD">
        <w:rPr>
          <w:rFonts w:ascii="Arial" w:hAnsi="Arial" w:cs="Arial"/>
          <w:sz w:val="24"/>
          <w:szCs w:val="24"/>
        </w:rPr>
        <w:t>Digitalisation</w:t>
      </w:r>
      <w:proofErr w:type="spellEnd"/>
      <w:r w:rsidRPr="006F00FD">
        <w:rPr>
          <w:rFonts w:ascii="Arial" w:hAnsi="Arial" w:cs="Arial"/>
          <w:sz w:val="24"/>
          <w:szCs w:val="24"/>
        </w:rPr>
        <w:t xml:space="preserve">, pp.100021-100021. </w:t>
      </w:r>
      <w:proofErr w:type="spellStart"/>
      <w:r w:rsidRPr="006F00FD">
        <w:rPr>
          <w:rFonts w:ascii="Arial" w:hAnsi="Arial" w:cs="Arial"/>
          <w:sz w:val="24"/>
          <w:szCs w:val="24"/>
        </w:rPr>
        <w:t>doi</w:t>
      </w:r>
      <w:proofErr w:type="spellEnd"/>
      <w:r w:rsidRPr="006F00FD">
        <w:rPr>
          <w:rFonts w:ascii="Arial" w:hAnsi="Arial" w:cs="Arial"/>
          <w:sz w:val="24"/>
          <w:szCs w:val="24"/>
        </w:rPr>
        <w:t>: https://doi.org/10.1016/j.meadig.2025.100021</w:t>
      </w:r>
    </w:p>
    <w:p w14:paraId="4A35DD18" w14:textId="77777777"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 xml:space="preserve">Register, C., Khan, M.A., Giubilini, A., Earp, B.D. and Savulescu, J. (2025). Privacy and Human-AI Relationships. Philosophy and Technology, 38(4). </w:t>
      </w:r>
      <w:proofErr w:type="spellStart"/>
      <w:r w:rsidRPr="006F00FD">
        <w:rPr>
          <w:rFonts w:ascii="Arial" w:hAnsi="Arial" w:cs="Arial"/>
          <w:sz w:val="24"/>
          <w:szCs w:val="24"/>
        </w:rPr>
        <w:t>doi</w:t>
      </w:r>
      <w:proofErr w:type="spellEnd"/>
      <w:r w:rsidRPr="006F00FD">
        <w:rPr>
          <w:rFonts w:ascii="Arial" w:hAnsi="Arial" w:cs="Arial"/>
          <w:sz w:val="24"/>
          <w:szCs w:val="24"/>
        </w:rPr>
        <w:t>: https://doi.org/10.1007/s13347-025-00978-2</w:t>
      </w:r>
    </w:p>
    <w:p w14:paraId="0F6FC467" w14:textId="569647C4"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 xml:space="preserve">Ribeiro, A., Rivero, A.J.L. and Abrantes, J.L. (2025). The impact of artificial intelligence on consumer </w:t>
      </w:r>
      <w:proofErr w:type="spellStart"/>
      <w:r w:rsidR="005414EB" w:rsidRPr="006F00FD">
        <w:rPr>
          <w:rFonts w:ascii="Arial" w:hAnsi="Arial" w:cs="Arial"/>
          <w:sz w:val="24"/>
          <w:szCs w:val="24"/>
        </w:rPr>
        <w:t>behaviour</w:t>
      </w:r>
      <w:proofErr w:type="spellEnd"/>
      <w:r w:rsidRPr="006F00FD">
        <w:rPr>
          <w:rFonts w:ascii="Arial" w:hAnsi="Arial" w:cs="Arial"/>
          <w:sz w:val="24"/>
          <w:szCs w:val="24"/>
        </w:rPr>
        <w:t xml:space="preserve"> towards brands: a systematic review. Electronic Commerce Research. </w:t>
      </w:r>
      <w:proofErr w:type="spellStart"/>
      <w:r w:rsidRPr="006F00FD">
        <w:rPr>
          <w:rFonts w:ascii="Arial" w:hAnsi="Arial" w:cs="Arial"/>
          <w:sz w:val="24"/>
          <w:szCs w:val="24"/>
        </w:rPr>
        <w:t>doi</w:t>
      </w:r>
      <w:proofErr w:type="spellEnd"/>
      <w:r w:rsidRPr="006F00FD">
        <w:rPr>
          <w:rFonts w:ascii="Arial" w:hAnsi="Arial" w:cs="Arial"/>
          <w:sz w:val="24"/>
          <w:szCs w:val="24"/>
        </w:rPr>
        <w:t>: https://doi.org/10.1007/s10660-025-10063-7</w:t>
      </w:r>
    </w:p>
    <w:p w14:paraId="4DCE5F5C" w14:textId="77777777"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 xml:space="preserve">Rohden, S.F. and </w:t>
      </w:r>
      <w:proofErr w:type="spellStart"/>
      <w:r w:rsidRPr="006F00FD">
        <w:rPr>
          <w:rFonts w:ascii="Arial" w:hAnsi="Arial" w:cs="Arial"/>
          <w:sz w:val="24"/>
          <w:szCs w:val="24"/>
        </w:rPr>
        <w:t>Espartel</w:t>
      </w:r>
      <w:proofErr w:type="spellEnd"/>
      <w:r w:rsidRPr="006F00FD">
        <w:rPr>
          <w:rFonts w:ascii="Arial" w:hAnsi="Arial" w:cs="Arial"/>
          <w:sz w:val="24"/>
          <w:szCs w:val="24"/>
        </w:rPr>
        <w:t xml:space="preserve">, L.B. (2024). Consumer reactions to technology in retail: choice uncertainty and reduced perceived control in decisions assisted by recommendation agents. Electronic Commerce Research. </w:t>
      </w:r>
      <w:proofErr w:type="spellStart"/>
      <w:r w:rsidRPr="006F00FD">
        <w:rPr>
          <w:rFonts w:ascii="Arial" w:hAnsi="Arial" w:cs="Arial"/>
          <w:sz w:val="24"/>
          <w:szCs w:val="24"/>
        </w:rPr>
        <w:t>doi</w:t>
      </w:r>
      <w:proofErr w:type="spellEnd"/>
      <w:r w:rsidRPr="006F00FD">
        <w:rPr>
          <w:rFonts w:ascii="Arial" w:hAnsi="Arial" w:cs="Arial"/>
          <w:sz w:val="24"/>
          <w:szCs w:val="24"/>
        </w:rPr>
        <w:t>: https://doi.org/10.1007/s10660-024-09808-7</w:t>
      </w:r>
    </w:p>
    <w:p w14:paraId="012D3241" w14:textId="77777777"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 xml:space="preserve">Rott, P. (2025). Digital Fairness and the Burden of Proof. Journal of Consumer Policy. </w:t>
      </w:r>
      <w:proofErr w:type="spellStart"/>
      <w:r w:rsidRPr="006F00FD">
        <w:rPr>
          <w:rFonts w:ascii="Arial" w:hAnsi="Arial" w:cs="Arial"/>
          <w:sz w:val="24"/>
          <w:szCs w:val="24"/>
        </w:rPr>
        <w:t>doi</w:t>
      </w:r>
      <w:proofErr w:type="spellEnd"/>
      <w:r w:rsidRPr="006F00FD">
        <w:rPr>
          <w:rFonts w:ascii="Arial" w:hAnsi="Arial" w:cs="Arial"/>
          <w:sz w:val="24"/>
          <w:szCs w:val="24"/>
        </w:rPr>
        <w:t>: https://doi.org/10.1007/s10603-025-09583-4</w:t>
      </w:r>
    </w:p>
    <w:p w14:paraId="3DED9552" w14:textId="77777777"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 xml:space="preserve">Sanchez-Cartas, J.M. and </w:t>
      </w:r>
      <w:proofErr w:type="spellStart"/>
      <w:r w:rsidRPr="006F00FD">
        <w:rPr>
          <w:rFonts w:ascii="Arial" w:hAnsi="Arial" w:cs="Arial"/>
          <w:sz w:val="24"/>
          <w:szCs w:val="24"/>
        </w:rPr>
        <w:t>Katsamakas</w:t>
      </w:r>
      <w:proofErr w:type="spellEnd"/>
      <w:r w:rsidRPr="006F00FD">
        <w:rPr>
          <w:rFonts w:ascii="Arial" w:hAnsi="Arial" w:cs="Arial"/>
          <w:sz w:val="24"/>
          <w:szCs w:val="24"/>
        </w:rPr>
        <w:t xml:space="preserve">, E. (2024). AI pricing algorithms under platform competition. Electronic Commerce Research. </w:t>
      </w:r>
      <w:proofErr w:type="spellStart"/>
      <w:r w:rsidRPr="006F00FD">
        <w:rPr>
          <w:rFonts w:ascii="Arial" w:hAnsi="Arial" w:cs="Arial"/>
          <w:sz w:val="24"/>
          <w:szCs w:val="24"/>
        </w:rPr>
        <w:t>doi</w:t>
      </w:r>
      <w:proofErr w:type="spellEnd"/>
      <w:r w:rsidRPr="006F00FD">
        <w:rPr>
          <w:rFonts w:ascii="Arial" w:hAnsi="Arial" w:cs="Arial"/>
          <w:sz w:val="24"/>
          <w:szCs w:val="24"/>
        </w:rPr>
        <w:t>: https://doi.org/10.1007/s10660-024-09821-w</w:t>
      </w:r>
    </w:p>
    <w:p w14:paraId="5E863CFC" w14:textId="77777777"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 xml:space="preserve">Santos, A.M. and Antonio, N. (2025). Improving trust in online reviews: a machine learning approach to detecting artificial intelligence-generated reviews. Information Technology and Tourism. </w:t>
      </w:r>
      <w:proofErr w:type="spellStart"/>
      <w:r w:rsidRPr="006F00FD">
        <w:rPr>
          <w:rFonts w:ascii="Arial" w:hAnsi="Arial" w:cs="Arial"/>
          <w:sz w:val="24"/>
          <w:szCs w:val="24"/>
        </w:rPr>
        <w:t>doi</w:t>
      </w:r>
      <w:proofErr w:type="spellEnd"/>
      <w:r w:rsidRPr="006F00FD">
        <w:rPr>
          <w:rFonts w:ascii="Arial" w:hAnsi="Arial" w:cs="Arial"/>
          <w:sz w:val="24"/>
          <w:szCs w:val="24"/>
        </w:rPr>
        <w:t>: https://doi.org/10.1007/s40558-025-00329-z</w:t>
      </w:r>
    </w:p>
    <w:p w14:paraId="5EDE7ED0" w14:textId="6A83319E"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 xml:space="preserve">Schubert, K.D. and Barrett, D. (2024). Data Governance, Privacy, and Ethics. Technology, Work and </w:t>
      </w:r>
      <w:proofErr w:type="spellStart"/>
      <w:r w:rsidR="005414EB" w:rsidRPr="006F00FD">
        <w:rPr>
          <w:rFonts w:ascii="Arial" w:hAnsi="Arial" w:cs="Arial"/>
          <w:sz w:val="24"/>
          <w:szCs w:val="24"/>
        </w:rPr>
        <w:t>Globalisation</w:t>
      </w:r>
      <w:proofErr w:type="spellEnd"/>
      <w:r w:rsidRPr="006F00FD">
        <w:rPr>
          <w:rFonts w:ascii="Arial" w:hAnsi="Arial" w:cs="Arial"/>
          <w:sz w:val="24"/>
          <w:szCs w:val="24"/>
        </w:rPr>
        <w:t xml:space="preserve">, pp.87-110. </w:t>
      </w:r>
      <w:proofErr w:type="spellStart"/>
      <w:r w:rsidRPr="006F00FD">
        <w:rPr>
          <w:rFonts w:ascii="Arial" w:hAnsi="Arial" w:cs="Arial"/>
          <w:sz w:val="24"/>
          <w:szCs w:val="24"/>
        </w:rPr>
        <w:t>doi</w:t>
      </w:r>
      <w:proofErr w:type="spellEnd"/>
      <w:r w:rsidRPr="006F00FD">
        <w:rPr>
          <w:rFonts w:ascii="Arial" w:hAnsi="Arial" w:cs="Arial"/>
          <w:sz w:val="24"/>
          <w:szCs w:val="24"/>
        </w:rPr>
        <w:t>: https://doi.org/10.1007/978-3-031-51063-2_5</w:t>
      </w:r>
    </w:p>
    <w:p w14:paraId="18B3E7A7" w14:textId="77777777"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Tesco Plc (2025). Tesco PLC Annual Report and Financial Statements. Available at: https://www.tescoplc.com/media/ky0bfwpo/tesco_ar25_interactive.pdf</w:t>
      </w:r>
    </w:p>
    <w:p w14:paraId="48CAAF55" w14:textId="77777777"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lastRenderedPageBreak/>
        <w:t xml:space="preserve">Upreti, R., Lind, P.G., </w:t>
      </w:r>
      <w:proofErr w:type="spellStart"/>
      <w:r w:rsidRPr="006F00FD">
        <w:rPr>
          <w:rFonts w:ascii="Arial" w:hAnsi="Arial" w:cs="Arial"/>
          <w:sz w:val="24"/>
          <w:szCs w:val="24"/>
        </w:rPr>
        <w:t>Elmokashfi</w:t>
      </w:r>
      <w:proofErr w:type="spellEnd"/>
      <w:r w:rsidRPr="006F00FD">
        <w:rPr>
          <w:rFonts w:ascii="Arial" w:hAnsi="Arial" w:cs="Arial"/>
          <w:sz w:val="24"/>
          <w:szCs w:val="24"/>
        </w:rPr>
        <w:t xml:space="preserve">, A. and Yazidi, A. (2024). Trustworthy machine learning in the context of security and privacy. International Journal of Information Security. </w:t>
      </w:r>
      <w:proofErr w:type="spellStart"/>
      <w:r w:rsidRPr="006F00FD">
        <w:rPr>
          <w:rFonts w:ascii="Arial" w:hAnsi="Arial" w:cs="Arial"/>
          <w:sz w:val="24"/>
          <w:szCs w:val="24"/>
        </w:rPr>
        <w:t>doi</w:t>
      </w:r>
      <w:proofErr w:type="spellEnd"/>
      <w:r w:rsidRPr="006F00FD">
        <w:rPr>
          <w:rFonts w:ascii="Arial" w:hAnsi="Arial" w:cs="Arial"/>
          <w:sz w:val="24"/>
          <w:szCs w:val="24"/>
        </w:rPr>
        <w:t>: https://doi.org/10.1007/s10207-024-00813-3</w:t>
      </w:r>
    </w:p>
    <w:p w14:paraId="22B53C87" w14:textId="77777777"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 xml:space="preserve">Wachter, S., Mittelstadt, B. and Russell, C. (2021). Why fairness cannot be automated: bridging the gap between EU non-discrimination law and AI. Computer Law and Security Review, 41, p.105567. </w:t>
      </w:r>
      <w:proofErr w:type="spellStart"/>
      <w:r w:rsidRPr="006F00FD">
        <w:rPr>
          <w:rFonts w:ascii="Arial" w:hAnsi="Arial" w:cs="Arial"/>
          <w:sz w:val="24"/>
          <w:szCs w:val="24"/>
        </w:rPr>
        <w:t>doi</w:t>
      </w:r>
      <w:proofErr w:type="spellEnd"/>
      <w:r w:rsidRPr="006F00FD">
        <w:rPr>
          <w:rFonts w:ascii="Arial" w:hAnsi="Arial" w:cs="Arial"/>
          <w:sz w:val="24"/>
          <w:szCs w:val="24"/>
        </w:rPr>
        <w:t>: https://doi.org/10.1016/j.clsr.2021.105567</w:t>
      </w:r>
    </w:p>
    <w:p w14:paraId="1DDFC90F" w14:textId="389FF01F" w:rsidR="000C7C08" w:rsidRPr="006F00FD" w:rsidRDefault="009822E0" w:rsidP="003347C2">
      <w:pPr>
        <w:spacing w:line="360" w:lineRule="auto"/>
        <w:jc w:val="both"/>
        <w:rPr>
          <w:rFonts w:ascii="Arial" w:hAnsi="Arial" w:cs="Arial"/>
          <w:sz w:val="24"/>
          <w:szCs w:val="24"/>
        </w:rPr>
      </w:pPr>
      <w:r w:rsidRPr="006F00FD">
        <w:rPr>
          <w:rFonts w:ascii="Arial" w:hAnsi="Arial" w:cs="Arial"/>
          <w:sz w:val="24"/>
          <w:szCs w:val="24"/>
        </w:rPr>
        <w:t xml:space="preserve">Xu, M., Rossi, A. and Tamo-Larrieux, A. (2025). The Future of </w:t>
      </w:r>
      <w:proofErr w:type="spellStart"/>
      <w:r w:rsidR="005414EB" w:rsidRPr="006F00FD">
        <w:rPr>
          <w:rFonts w:ascii="Arial" w:hAnsi="Arial" w:cs="Arial"/>
          <w:sz w:val="24"/>
          <w:szCs w:val="24"/>
        </w:rPr>
        <w:t>Personalised</w:t>
      </w:r>
      <w:proofErr w:type="spellEnd"/>
      <w:r w:rsidRPr="006F00FD">
        <w:rPr>
          <w:rFonts w:ascii="Arial" w:hAnsi="Arial" w:cs="Arial"/>
          <w:sz w:val="24"/>
          <w:szCs w:val="24"/>
        </w:rPr>
        <w:t xml:space="preserve"> Privacy Assistants: Gathering of Expert Opinions. 4(3). </w:t>
      </w:r>
      <w:proofErr w:type="spellStart"/>
      <w:r w:rsidRPr="006F00FD">
        <w:rPr>
          <w:rFonts w:ascii="Arial" w:hAnsi="Arial" w:cs="Arial"/>
          <w:sz w:val="24"/>
          <w:szCs w:val="24"/>
        </w:rPr>
        <w:t>doi</w:t>
      </w:r>
      <w:proofErr w:type="spellEnd"/>
      <w:r w:rsidRPr="006F00FD">
        <w:rPr>
          <w:rFonts w:ascii="Arial" w:hAnsi="Arial" w:cs="Arial"/>
          <w:sz w:val="24"/>
          <w:szCs w:val="24"/>
        </w:rPr>
        <w:t>: https://doi.org/10.1007/s44206-025-00232-4</w:t>
      </w:r>
    </w:p>
    <w:p w14:paraId="1AADA570" w14:textId="44E2B507" w:rsidR="00492E3B" w:rsidRPr="006F00FD" w:rsidRDefault="00492E3B" w:rsidP="003347C2">
      <w:pPr>
        <w:spacing w:line="360" w:lineRule="auto"/>
        <w:rPr>
          <w:rFonts w:ascii="Arial" w:hAnsi="Arial" w:cs="Arial"/>
          <w:sz w:val="24"/>
          <w:szCs w:val="24"/>
        </w:rPr>
      </w:pPr>
    </w:p>
    <w:sectPr w:rsidR="00492E3B" w:rsidRPr="006F00FD" w:rsidSect="00425B11">
      <w:footerReference w:type="default" r:id="rId11"/>
      <w:pgSz w:w="11906" w:h="16838" w:code="9"/>
      <w:pgMar w:top="1260" w:right="1260" w:bottom="1260" w:left="1260" w:header="708" w:footer="70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147225" w14:textId="77777777" w:rsidR="00553D6D" w:rsidRDefault="00553D6D" w:rsidP="00130048">
      <w:r>
        <w:separator/>
      </w:r>
    </w:p>
  </w:endnote>
  <w:endnote w:type="continuationSeparator" w:id="0">
    <w:p w14:paraId="0F1A3CEA" w14:textId="77777777" w:rsidR="00553D6D" w:rsidRDefault="00553D6D" w:rsidP="001300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070322"/>
      <w:docPartObj>
        <w:docPartGallery w:val="Page Numbers (Bottom of Page)"/>
        <w:docPartUnique/>
      </w:docPartObj>
    </w:sdtPr>
    <w:sdtEndPr>
      <w:rPr>
        <w:noProof/>
      </w:rPr>
    </w:sdtEndPr>
    <w:sdtContent>
      <w:p w14:paraId="780F0AD4" w14:textId="56BD56FD" w:rsidR="005C16AD" w:rsidRDefault="005C16AD" w:rsidP="00425B11">
        <w:pPr>
          <w:pStyle w:val="Footer"/>
          <w:jc w:val="right"/>
        </w:pPr>
        <w:r>
          <w:t>Page-</w:t>
        </w:r>
        <w:r>
          <w:fldChar w:fldCharType="begin"/>
        </w:r>
        <w:r>
          <w:instrText xml:space="preserve"> PAGE   \* MERGEFORMAT </w:instrText>
        </w:r>
        <w:r>
          <w:fldChar w:fldCharType="separate"/>
        </w:r>
        <w:r w:rsidR="00BB40E8">
          <w:rPr>
            <w:noProof/>
          </w:rPr>
          <w:t>2</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72A932" w14:textId="77777777" w:rsidR="00553D6D" w:rsidRDefault="00553D6D" w:rsidP="00130048">
      <w:r>
        <w:separator/>
      </w:r>
    </w:p>
  </w:footnote>
  <w:footnote w:type="continuationSeparator" w:id="0">
    <w:p w14:paraId="3C63F705" w14:textId="77777777" w:rsidR="00553D6D" w:rsidRDefault="00553D6D" w:rsidP="001300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D6715B"/>
    <w:multiLevelType w:val="hybridMultilevel"/>
    <w:tmpl w:val="0A7C7524"/>
    <w:lvl w:ilvl="0" w:tplc="7602CC24">
      <w:start w:val="1"/>
      <w:numFmt w:val="bullet"/>
      <w:lvlText w:val="●"/>
      <w:lvlJc w:val="left"/>
      <w:pPr>
        <w:ind w:left="720" w:hanging="360"/>
      </w:pPr>
    </w:lvl>
    <w:lvl w:ilvl="1" w:tplc="F6D26558">
      <w:start w:val="1"/>
      <w:numFmt w:val="bullet"/>
      <w:lvlText w:val="○"/>
      <w:lvlJc w:val="left"/>
      <w:pPr>
        <w:ind w:left="1440" w:hanging="360"/>
      </w:pPr>
    </w:lvl>
    <w:lvl w:ilvl="2" w:tplc="3FA6211E">
      <w:start w:val="1"/>
      <w:numFmt w:val="bullet"/>
      <w:lvlText w:val="■"/>
      <w:lvlJc w:val="left"/>
      <w:pPr>
        <w:ind w:left="2160" w:hanging="360"/>
      </w:pPr>
    </w:lvl>
    <w:lvl w:ilvl="3" w:tplc="D0AACB00">
      <w:start w:val="1"/>
      <w:numFmt w:val="bullet"/>
      <w:lvlText w:val="●"/>
      <w:lvlJc w:val="left"/>
      <w:pPr>
        <w:ind w:left="2880" w:hanging="360"/>
      </w:pPr>
    </w:lvl>
    <w:lvl w:ilvl="4" w:tplc="51405BFA">
      <w:start w:val="1"/>
      <w:numFmt w:val="bullet"/>
      <w:lvlText w:val="○"/>
      <w:lvlJc w:val="left"/>
      <w:pPr>
        <w:ind w:left="3600" w:hanging="360"/>
      </w:pPr>
    </w:lvl>
    <w:lvl w:ilvl="5" w:tplc="F4D0676A">
      <w:start w:val="1"/>
      <w:numFmt w:val="bullet"/>
      <w:lvlText w:val="■"/>
      <w:lvlJc w:val="left"/>
      <w:pPr>
        <w:ind w:left="4320" w:hanging="360"/>
      </w:pPr>
    </w:lvl>
    <w:lvl w:ilvl="6" w:tplc="A75AD332">
      <w:start w:val="1"/>
      <w:numFmt w:val="bullet"/>
      <w:lvlText w:val="●"/>
      <w:lvlJc w:val="left"/>
      <w:pPr>
        <w:ind w:left="5040" w:hanging="360"/>
      </w:pPr>
    </w:lvl>
    <w:lvl w:ilvl="7" w:tplc="AB4C2490">
      <w:start w:val="1"/>
      <w:numFmt w:val="bullet"/>
      <w:lvlText w:val="●"/>
      <w:lvlJc w:val="left"/>
      <w:pPr>
        <w:ind w:left="5760" w:hanging="360"/>
      </w:pPr>
    </w:lvl>
    <w:lvl w:ilvl="8" w:tplc="F88A71F8">
      <w:start w:val="1"/>
      <w:numFmt w:val="bullet"/>
      <w:lvlText w:val="●"/>
      <w:lvlJc w:val="left"/>
      <w:pPr>
        <w:ind w:left="6480" w:hanging="360"/>
      </w:pPr>
    </w:lvl>
  </w:abstractNum>
  <w:abstractNum w:abstractNumId="1">
    <w:nsid w:val="46881582"/>
    <w:multiLevelType w:val="hybridMultilevel"/>
    <w:tmpl w:val="4F1C3B58"/>
    <w:lvl w:ilvl="0" w:tplc="62804202">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4A1A0140"/>
    <w:multiLevelType w:val="hybridMultilevel"/>
    <w:tmpl w:val="90267C1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59FA2500"/>
    <w:multiLevelType w:val="hybridMultilevel"/>
    <w:tmpl w:val="FF96DC14"/>
    <w:lvl w:ilvl="0" w:tplc="AB0A35B8">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7A7B231E"/>
    <w:multiLevelType w:val="multilevel"/>
    <w:tmpl w:val="C694B66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lvlOverride w:ilvl="0">
      <w:startOverride w:val="1"/>
    </w:lvlOverride>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C08"/>
    <w:rsid w:val="0000453A"/>
    <w:rsid w:val="0000481C"/>
    <w:rsid w:val="000066FA"/>
    <w:rsid w:val="00025F19"/>
    <w:rsid w:val="000712E8"/>
    <w:rsid w:val="000745E9"/>
    <w:rsid w:val="000B4798"/>
    <w:rsid w:val="000C069F"/>
    <w:rsid w:val="000C7C08"/>
    <w:rsid w:val="000F2BE0"/>
    <w:rsid w:val="000F7C03"/>
    <w:rsid w:val="00130048"/>
    <w:rsid w:val="0016547A"/>
    <w:rsid w:val="00213EF8"/>
    <w:rsid w:val="002775F6"/>
    <w:rsid w:val="002A5091"/>
    <w:rsid w:val="002D2787"/>
    <w:rsid w:val="002D30C9"/>
    <w:rsid w:val="002F11EF"/>
    <w:rsid w:val="00314856"/>
    <w:rsid w:val="003347C2"/>
    <w:rsid w:val="00337E1F"/>
    <w:rsid w:val="00383B3F"/>
    <w:rsid w:val="003B14CD"/>
    <w:rsid w:val="003C3CAF"/>
    <w:rsid w:val="00415D11"/>
    <w:rsid w:val="00425B11"/>
    <w:rsid w:val="00427AFF"/>
    <w:rsid w:val="0048418D"/>
    <w:rsid w:val="00492E3B"/>
    <w:rsid w:val="004A3782"/>
    <w:rsid w:val="004B35CF"/>
    <w:rsid w:val="004E1A5C"/>
    <w:rsid w:val="005414EB"/>
    <w:rsid w:val="005431FB"/>
    <w:rsid w:val="00553D6D"/>
    <w:rsid w:val="00570E73"/>
    <w:rsid w:val="00596294"/>
    <w:rsid w:val="005C16AD"/>
    <w:rsid w:val="005F4620"/>
    <w:rsid w:val="0061145D"/>
    <w:rsid w:val="00627B19"/>
    <w:rsid w:val="00633D9E"/>
    <w:rsid w:val="0063454B"/>
    <w:rsid w:val="00683CFB"/>
    <w:rsid w:val="006F00FD"/>
    <w:rsid w:val="00702EBB"/>
    <w:rsid w:val="00783F69"/>
    <w:rsid w:val="007B00AB"/>
    <w:rsid w:val="007E2F7B"/>
    <w:rsid w:val="008200E3"/>
    <w:rsid w:val="008615BA"/>
    <w:rsid w:val="008751DD"/>
    <w:rsid w:val="008925CE"/>
    <w:rsid w:val="008B4CE9"/>
    <w:rsid w:val="008C2025"/>
    <w:rsid w:val="008C6AAA"/>
    <w:rsid w:val="009167C5"/>
    <w:rsid w:val="0093494B"/>
    <w:rsid w:val="009822E0"/>
    <w:rsid w:val="00985C53"/>
    <w:rsid w:val="009F64C4"/>
    <w:rsid w:val="009F6575"/>
    <w:rsid w:val="00A04FF3"/>
    <w:rsid w:val="00A26D28"/>
    <w:rsid w:val="00A42130"/>
    <w:rsid w:val="00AA7AE4"/>
    <w:rsid w:val="00AE46C5"/>
    <w:rsid w:val="00BA0203"/>
    <w:rsid w:val="00BA3EC6"/>
    <w:rsid w:val="00BA6B39"/>
    <w:rsid w:val="00BB40E8"/>
    <w:rsid w:val="00C4100E"/>
    <w:rsid w:val="00CC7B65"/>
    <w:rsid w:val="00CD0F17"/>
    <w:rsid w:val="00CF755B"/>
    <w:rsid w:val="00D25E4B"/>
    <w:rsid w:val="00D805D1"/>
    <w:rsid w:val="00E102D4"/>
    <w:rsid w:val="00EA62BD"/>
    <w:rsid w:val="00EE757D"/>
    <w:rsid w:val="00F068F8"/>
    <w:rsid w:val="00F23B96"/>
    <w:rsid w:val="00F37677"/>
    <w:rsid w:val="00F413B1"/>
    <w:rsid w:val="00F4544D"/>
    <w:rsid w:val="00F672E9"/>
    <w:rsid w:val="00F71841"/>
    <w:rsid w:val="00FB472A"/>
    <w:rsid w:val="00FE05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A36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eorgia" w:eastAsia="Georgia" w:hAnsi="Georgia" w:cs="Georgia"/>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utoRedefine/>
    <w:uiPriority w:val="9"/>
    <w:qFormat/>
    <w:rsid w:val="000066FA"/>
    <w:pPr>
      <w:numPr>
        <w:numId w:val="3"/>
      </w:numPr>
      <w:shd w:val="clear" w:color="auto" w:fill="1F3864"/>
      <w:spacing w:line="360" w:lineRule="auto"/>
      <w:ind w:right="200"/>
      <w:outlineLvl w:val="0"/>
    </w:pPr>
    <w:rPr>
      <w:rFonts w:ascii="Arial" w:eastAsia="Arial" w:hAnsi="Arial" w:cs="Arial"/>
      <w:b/>
      <w:bCs/>
      <w:color w:val="FFFFFF"/>
      <w:sz w:val="28"/>
      <w:szCs w:val="24"/>
    </w:rPr>
  </w:style>
  <w:style w:type="paragraph" w:styleId="Heading2">
    <w:name w:val="heading 2"/>
    <w:autoRedefine/>
    <w:uiPriority w:val="9"/>
    <w:unhideWhenUsed/>
    <w:qFormat/>
    <w:rsid w:val="004A3782"/>
    <w:pPr>
      <w:numPr>
        <w:ilvl w:val="1"/>
        <w:numId w:val="3"/>
      </w:numPr>
      <w:spacing w:line="360" w:lineRule="auto"/>
      <w:outlineLvl w:val="1"/>
    </w:pPr>
    <w:rPr>
      <w:rFonts w:ascii="Arial" w:eastAsia="Arial" w:hAnsi="Arial" w:cs="Arial"/>
      <w:b/>
      <w:bCs/>
      <w:color w:val="2E5DA8"/>
      <w:sz w:val="24"/>
      <w:szCs w:val="24"/>
    </w:rPr>
  </w:style>
  <w:style w:type="paragraph" w:styleId="Heading3">
    <w:name w:val="heading 3"/>
    <w:uiPriority w:val="9"/>
    <w:semiHidden/>
    <w:unhideWhenUsed/>
    <w:qFormat/>
    <w:pPr>
      <w:numPr>
        <w:ilvl w:val="2"/>
        <w:numId w:val="3"/>
      </w:numPr>
      <w:outlineLvl w:val="2"/>
    </w:pPr>
    <w:rPr>
      <w:color w:val="1F4D78"/>
      <w:sz w:val="24"/>
      <w:szCs w:val="24"/>
    </w:rPr>
  </w:style>
  <w:style w:type="paragraph" w:styleId="Heading4">
    <w:name w:val="heading 4"/>
    <w:uiPriority w:val="9"/>
    <w:semiHidden/>
    <w:unhideWhenUsed/>
    <w:qFormat/>
    <w:pPr>
      <w:numPr>
        <w:ilvl w:val="3"/>
        <w:numId w:val="3"/>
      </w:numPr>
      <w:outlineLvl w:val="3"/>
    </w:pPr>
    <w:rPr>
      <w:i/>
      <w:iCs/>
      <w:color w:val="2E74B5"/>
    </w:rPr>
  </w:style>
  <w:style w:type="paragraph" w:styleId="Heading5">
    <w:name w:val="heading 5"/>
    <w:uiPriority w:val="9"/>
    <w:semiHidden/>
    <w:unhideWhenUsed/>
    <w:qFormat/>
    <w:pPr>
      <w:numPr>
        <w:ilvl w:val="4"/>
        <w:numId w:val="3"/>
      </w:numPr>
      <w:outlineLvl w:val="4"/>
    </w:pPr>
    <w:rPr>
      <w:color w:val="2E74B5"/>
    </w:rPr>
  </w:style>
  <w:style w:type="paragraph" w:styleId="Heading6">
    <w:name w:val="heading 6"/>
    <w:uiPriority w:val="9"/>
    <w:semiHidden/>
    <w:unhideWhenUsed/>
    <w:qFormat/>
    <w:pPr>
      <w:numPr>
        <w:ilvl w:val="5"/>
        <w:numId w:val="3"/>
      </w:numPr>
      <w:outlineLvl w:val="5"/>
    </w:pPr>
    <w:rPr>
      <w:color w:val="1F4D78"/>
    </w:rPr>
  </w:style>
  <w:style w:type="paragraph" w:styleId="Heading7">
    <w:name w:val="heading 7"/>
    <w:basedOn w:val="Normal"/>
    <w:next w:val="Normal"/>
    <w:link w:val="Heading7Char"/>
    <w:uiPriority w:val="9"/>
    <w:semiHidden/>
    <w:unhideWhenUsed/>
    <w:qFormat/>
    <w:rsid w:val="009F6575"/>
    <w:pPr>
      <w:keepNext/>
      <w:keepLines/>
      <w:numPr>
        <w:ilvl w:val="6"/>
        <w:numId w:val="3"/>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F6575"/>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F6575"/>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Caption">
    <w:name w:val="caption"/>
    <w:basedOn w:val="Normal"/>
    <w:next w:val="Normal"/>
    <w:uiPriority w:val="35"/>
    <w:unhideWhenUsed/>
    <w:qFormat/>
    <w:rsid w:val="002A5091"/>
    <w:pPr>
      <w:spacing w:after="200"/>
    </w:pPr>
    <w:rPr>
      <w:i/>
      <w:iCs/>
      <w:color w:val="44546A" w:themeColor="text2"/>
      <w:sz w:val="18"/>
      <w:szCs w:val="18"/>
    </w:rPr>
  </w:style>
  <w:style w:type="character" w:customStyle="1" w:styleId="Heading7Char">
    <w:name w:val="Heading 7 Char"/>
    <w:basedOn w:val="DefaultParagraphFont"/>
    <w:link w:val="Heading7"/>
    <w:uiPriority w:val="9"/>
    <w:semiHidden/>
    <w:rsid w:val="009F657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9F657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F6575"/>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702EBB"/>
    <w:pPr>
      <w:keepNext/>
      <w:keepLines/>
      <w:numPr>
        <w:numId w:val="0"/>
      </w:numPr>
      <w:shd w:val="clear" w:color="auto" w:fill="auto"/>
      <w:spacing w:before="240" w:line="259" w:lineRule="auto"/>
      <w:ind w:right="0"/>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702EBB"/>
    <w:pPr>
      <w:spacing w:after="100"/>
    </w:pPr>
  </w:style>
  <w:style w:type="paragraph" w:styleId="TOC2">
    <w:name w:val="toc 2"/>
    <w:basedOn w:val="Normal"/>
    <w:next w:val="Normal"/>
    <w:autoRedefine/>
    <w:uiPriority w:val="39"/>
    <w:unhideWhenUsed/>
    <w:rsid w:val="00702EBB"/>
    <w:pPr>
      <w:spacing w:after="100"/>
      <w:ind w:left="220"/>
    </w:pPr>
  </w:style>
  <w:style w:type="character" w:customStyle="1" w:styleId="UnresolvedMention">
    <w:name w:val="Unresolved Mention"/>
    <w:basedOn w:val="DefaultParagraphFont"/>
    <w:uiPriority w:val="99"/>
    <w:semiHidden/>
    <w:unhideWhenUsed/>
    <w:rsid w:val="0000481C"/>
    <w:rPr>
      <w:color w:val="605E5C"/>
      <w:shd w:val="clear" w:color="auto" w:fill="E1DFDD"/>
    </w:rPr>
  </w:style>
  <w:style w:type="table" w:customStyle="1" w:styleId="GridTableLight">
    <w:name w:val="Grid Table Light"/>
    <w:basedOn w:val="TableNormal"/>
    <w:uiPriority w:val="40"/>
    <w:rsid w:val="00627B19"/>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PlainTable1">
    <w:name w:val="Plain Table 1"/>
    <w:basedOn w:val="TableNormal"/>
    <w:uiPriority w:val="41"/>
    <w:rsid w:val="00627B19"/>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130048"/>
    <w:pPr>
      <w:tabs>
        <w:tab w:val="center" w:pos="4680"/>
        <w:tab w:val="right" w:pos="9360"/>
      </w:tabs>
    </w:pPr>
  </w:style>
  <w:style w:type="character" w:customStyle="1" w:styleId="HeaderChar">
    <w:name w:val="Header Char"/>
    <w:basedOn w:val="DefaultParagraphFont"/>
    <w:link w:val="Header"/>
    <w:uiPriority w:val="99"/>
    <w:rsid w:val="00130048"/>
  </w:style>
  <w:style w:type="paragraph" w:styleId="Footer">
    <w:name w:val="footer"/>
    <w:basedOn w:val="Normal"/>
    <w:link w:val="FooterChar"/>
    <w:uiPriority w:val="99"/>
    <w:unhideWhenUsed/>
    <w:rsid w:val="00130048"/>
    <w:pPr>
      <w:tabs>
        <w:tab w:val="center" w:pos="4680"/>
        <w:tab w:val="right" w:pos="9360"/>
      </w:tabs>
    </w:pPr>
  </w:style>
  <w:style w:type="character" w:customStyle="1" w:styleId="FooterChar">
    <w:name w:val="Footer Char"/>
    <w:basedOn w:val="DefaultParagraphFont"/>
    <w:link w:val="Footer"/>
    <w:uiPriority w:val="99"/>
    <w:rsid w:val="00130048"/>
  </w:style>
  <w:style w:type="paragraph" w:styleId="BalloonText">
    <w:name w:val="Balloon Text"/>
    <w:basedOn w:val="Normal"/>
    <w:link w:val="BalloonTextChar"/>
    <w:uiPriority w:val="99"/>
    <w:semiHidden/>
    <w:unhideWhenUsed/>
    <w:rsid w:val="00BB40E8"/>
    <w:rPr>
      <w:rFonts w:ascii="Tahoma" w:hAnsi="Tahoma" w:cs="Tahoma"/>
      <w:sz w:val="16"/>
      <w:szCs w:val="16"/>
    </w:rPr>
  </w:style>
  <w:style w:type="character" w:customStyle="1" w:styleId="BalloonTextChar">
    <w:name w:val="Balloon Text Char"/>
    <w:basedOn w:val="DefaultParagraphFont"/>
    <w:link w:val="BalloonText"/>
    <w:uiPriority w:val="99"/>
    <w:semiHidden/>
    <w:rsid w:val="00BB40E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eorgia" w:eastAsia="Georgia" w:hAnsi="Georgia" w:cs="Georgia"/>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utoRedefine/>
    <w:uiPriority w:val="9"/>
    <w:qFormat/>
    <w:rsid w:val="000066FA"/>
    <w:pPr>
      <w:numPr>
        <w:numId w:val="3"/>
      </w:numPr>
      <w:shd w:val="clear" w:color="auto" w:fill="1F3864"/>
      <w:spacing w:line="360" w:lineRule="auto"/>
      <w:ind w:right="200"/>
      <w:outlineLvl w:val="0"/>
    </w:pPr>
    <w:rPr>
      <w:rFonts w:ascii="Arial" w:eastAsia="Arial" w:hAnsi="Arial" w:cs="Arial"/>
      <w:b/>
      <w:bCs/>
      <w:color w:val="FFFFFF"/>
      <w:sz w:val="28"/>
      <w:szCs w:val="24"/>
    </w:rPr>
  </w:style>
  <w:style w:type="paragraph" w:styleId="Heading2">
    <w:name w:val="heading 2"/>
    <w:autoRedefine/>
    <w:uiPriority w:val="9"/>
    <w:unhideWhenUsed/>
    <w:qFormat/>
    <w:rsid w:val="004A3782"/>
    <w:pPr>
      <w:numPr>
        <w:ilvl w:val="1"/>
        <w:numId w:val="3"/>
      </w:numPr>
      <w:spacing w:line="360" w:lineRule="auto"/>
      <w:outlineLvl w:val="1"/>
    </w:pPr>
    <w:rPr>
      <w:rFonts w:ascii="Arial" w:eastAsia="Arial" w:hAnsi="Arial" w:cs="Arial"/>
      <w:b/>
      <w:bCs/>
      <w:color w:val="2E5DA8"/>
      <w:sz w:val="24"/>
      <w:szCs w:val="24"/>
    </w:rPr>
  </w:style>
  <w:style w:type="paragraph" w:styleId="Heading3">
    <w:name w:val="heading 3"/>
    <w:uiPriority w:val="9"/>
    <w:semiHidden/>
    <w:unhideWhenUsed/>
    <w:qFormat/>
    <w:pPr>
      <w:numPr>
        <w:ilvl w:val="2"/>
        <w:numId w:val="3"/>
      </w:numPr>
      <w:outlineLvl w:val="2"/>
    </w:pPr>
    <w:rPr>
      <w:color w:val="1F4D78"/>
      <w:sz w:val="24"/>
      <w:szCs w:val="24"/>
    </w:rPr>
  </w:style>
  <w:style w:type="paragraph" w:styleId="Heading4">
    <w:name w:val="heading 4"/>
    <w:uiPriority w:val="9"/>
    <w:semiHidden/>
    <w:unhideWhenUsed/>
    <w:qFormat/>
    <w:pPr>
      <w:numPr>
        <w:ilvl w:val="3"/>
        <w:numId w:val="3"/>
      </w:numPr>
      <w:outlineLvl w:val="3"/>
    </w:pPr>
    <w:rPr>
      <w:i/>
      <w:iCs/>
      <w:color w:val="2E74B5"/>
    </w:rPr>
  </w:style>
  <w:style w:type="paragraph" w:styleId="Heading5">
    <w:name w:val="heading 5"/>
    <w:uiPriority w:val="9"/>
    <w:semiHidden/>
    <w:unhideWhenUsed/>
    <w:qFormat/>
    <w:pPr>
      <w:numPr>
        <w:ilvl w:val="4"/>
        <w:numId w:val="3"/>
      </w:numPr>
      <w:outlineLvl w:val="4"/>
    </w:pPr>
    <w:rPr>
      <w:color w:val="2E74B5"/>
    </w:rPr>
  </w:style>
  <w:style w:type="paragraph" w:styleId="Heading6">
    <w:name w:val="heading 6"/>
    <w:uiPriority w:val="9"/>
    <w:semiHidden/>
    <w:unhideWhenUsed/>
    <w:qFormat/>
    <w:pPr>
      <w:numPr>
        <w:ilvl w:val="5"/>
        <w:numId w:val="3"/>
      </w:numPr>
      <w:outlineLvl w:val="5"/>
    </w:pPr>
    <w:rPr>
      <w:color w:val="1F4D78"/>
    </w:rPr>
  </w:style>
  <w:style w:type="paragraph" w:styleId="Heading7">
    <w:name w:val="heading 7"/>
    <w:basedOn w:val="Normal"/>
    <w:next w:val="Normal"/>
    <w:link w:val="Heading7Char"/>
    <w:uiPriority w:val="9"/>
    <w:semiHidden/>
    <w:unhideWhenUsed/>
    <w:qFormat/>
    <w:rsid w:val="009F6575"/>
    <w:pPr>
      <w:keepNext/>
      <w:keepLines/>
      <w:numPr>
        <w:ilvl w:val="6"/>
        <w:numId w:val="3"/>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F6575"/>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F6575"/>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Caption">
    <w:name w:val="caption"/>
    <w:basedOn w:val="Normal"/>
    <w:next w:val="Normal"/>
    <w:uiPriority w:val="35"/>
    <w:unhideWhenUsed/>
    <w:qFormat/>
    <w:rsid w:val="002A5091"/>
    <w:pPr>
      <w:spacing w:after="200"/>
    </w:pPr>
    <w:rPr>
      <w:i/>
      <w:iCs/>
      <w:color w:val="44546A" w:themeColor="text2"/>
      <w:sz w:val="18"/>
      <w:szCs w:val="18"/>
    </w:rPr>
  </w:style>
  <w:style w:type="character" w:customStyle="1" w:styleId="Heading7Char">
    <w:name w:val="Heading 7 Char"/>
    <w:basedOn w:val="DefaultParagraphFont"/>
    <w:link w:val="Heading7"/>
    <w:uiPriority w:val="9"/>
    <w:semiHidden/>
    <w:rsid w:val="009F657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9F657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F6575"/>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702EBB"/>
    <w:pPr>
      <w:keepNext/>
      <w:keepLines/>
      <w:numPr>
        <w:numId w:val="0"/>
      </w:numPr>
      <w:shd w:val="clear" w:color="auto" w:fill="auto"/>
      <w:spacing w:before="240" w:line="259" w:lineRule="auto"/>
      <w:ind w:right="0"/>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702EBB"/>
    <w:pPr>
      <w:spacing w:after="100"/>
    </w:pPr>
  </w:style>
  <w:style w:type="paragraph" w:styleId="TOC2">
    <w:name w:val="toc 2"/>
    <w:basedOn w:val="Normal"/>
    <w:next w:val="Normal"/>
    <w:autoRedefine/>
    <w:uiPriority w:val="39"/>
    <w:unhideWhenUsed/>
    <w:rsid w:val="00702EBB"/>
    <w:pPr>
      <w:spacing w:after="100"/>
      <w:ind w:left="220"/>
    </w:pPr>
  </w:style>
  <w:style w:type="character" w:customStyle="1" w:styleId="UnresolvedMention">
    <w:name w:val="Unresolved Mention"/>
    <w:basedOn w:val="DefaultParagraphFont"/>
    <w:uiPriority w:val="99"/>
    <w:semiHidden/>
    <w:unhideWhenUsed/>
    <w:rsid w:val="0000481C"/>
    <w:rPr>
      <w:color w:val="605E5C"/>
      <w:shd w:val="clear" w:color="auto" w:fill="E1DFDD"/>
    </w:rPr>
  </w:style>
  <w:style w:type="table" w:customStyle="1" w:styleId="GridTableLight">
    <w:name w:val="Grid Table Light"/>
    <w:basedOn w:val="TableNormal"/>
    <w:uiPriority w:val="40"/>
    <w:rsid w:val="00627B19"/>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PlainTable1">
    <w:name w:val="Plain Table 1"/>
    <w:basedOn w:val="TableNormal"/>
    <w:uiPriority w:val="41"/>
    <w:rsid w:val="00627B19"/>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130048"/>
    <w:pPr>
      <w:tabs>
        <w:tab w:val="center" w:pos="4680"/>
        <w:tab w:val="right" w:pos="9360"/>
      </w:tabs>
    </w:pPr>
  </w:style>
  <w:style w:type="character" w:customStyle="1" w:styleId="HeaderChar">
    <w:name w:val="Header Char"/>
    <w:basedOn w:val="DefaultParagraphFont"/>
    <w:link w:val="Header"/>
    <w:uiPriority w:val="99"/>
    <w:rsid w:val="00130048"/>
  </w:style>
  <w:style w:type="paragraph" w:styleId="Footer">
    <w:name w:val="footer"/>
    <w:basedOn w:val="Normal"/>
    <w:link w:val="FooterChar"/>
    <w:uiPriority w:val="99"/>
    <w:unhideWhenUsed/>
    <w:rsid w:val="00130048"/>
    <w:pPr>
      <w:tabs>
        <w:tab w:val="center" w:pos="4680"/>
        <w:tab w:val="right" w:pos="9360"/>
      </w:tabs>
    </w:pPr>
  </w:style>
  <w:style w:type="character" w:customStyle="1" w:styleId="FooterChar">
    <w:name w:val="Footer Char"/>
    <w:basedOn w:val="DefaultParagraphFont"/>
    <w:link w:val="Footer"/>
    <w:uiPriority w:val="99"/>
    <w:rsid w:val="00130048"/>
  </w:style>
  <w:style w:type="paragraph" w:styleId="BalloonText">
    <w:name w:val="Balloon Text"/>
    <w:basedOn w:val="Normal"/>
    <w:link w:val="BalloonTextChar"/>
    <w:uiPriority w:val="99"/>
    <w:semiHidden/>
    <w:unhideWhenUsed/>
    <w:rsid w:val="00BB40E8"/>
    <w:rPr>
      <w:rFonts w:ascii="Tahoma" w:hAnsi="Tahoma" w:cs="Tahoma"/>
      <w:sz w:val="16"/>
      <w:szCs w:val="16"/>
    </w:rPr>
  </w:style>
  <w:style w:type="character" w:customStyle="1" w:styleId="BalloonTextChar">
    <w:name w:val="Balloon Text Char"/>
    <w:basedOn w:val="DefaultParagraphFont"/>
    <w:link w:val="BalloonText"/>
    <w:uiPriority w:val="99"/>
    <w:semiHidden/>
    <w:rsid w:val="00BB40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1007/s00146-024-01882-7" TargetMode="External"/><Relationship Id="rId4" Type="http://schemas.openxmlformats.org/officeDocument/2006/relationships/settings" Target="settings.xml"/><Relationship Id="rId9" Type="http://schemas.openxmlformats.org/officeDocument/2006/relationships/hyperlink" Target="https://doi.org/10.1007/s12525-025-0080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8781</Words>
  <Characters>50053</Characters>
  <Application>Microsoft Office Word</Application>
  <DocSecurity>0</DocSecurity>
  <Lines>417</Lines>
  <Paragraphs>117</Paragraphs>
  <ScaleCrop>false</ScaleCrop>
  <Company/>
  <LinksUpToDate>false</LinksUpToDate>
  <CharactersWithSpaces>58717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2026-04-25T18:43:00Z</dcterms:created>
  <dcterms:modified xsi:type="dcterms:W3CDTF">2026-04-26T20:43:00Z</dcterms:modified>
</cp:coreProperties>
</file>