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9FB6D4" w14:textId="77777777" w:rsidR="00B77D19" w:rsidRPr="004C540C" w:rsidRDefault="00B77D19" w:rsidP="004C540C">
      <w:pPr>
        <w:jc w:val="center"/>
        <w:rPr>
          <w:rFonts w:ascii="Arial" w:hAnsi="Arial" w:cs="Arial"/>
          <w:b/>
          <w:bCs/>
          <w:sz w:val="28"/>
          <w:szCs w:val="28"/>
          <w:lang w:val="en-GB"/>
        </w:rPr>
      </w:pPr>
    </w:p>
    <w:p w14:paraId="72359238" w14:textId="77777777" w:rsidR="00B77D19" w:rsidRPr="004C540C" w:rsidRDefault="00B77D19" w:rsidP="004C540C">
      <w:pPr>
        <w:jc w:val="center"/>
        <w:rPr>
          <w:rFonts w:ascii="Arial" w:hAnsi="Arial" w:cs="Arial"/>
          <w:b/>
          <w:bCs/>
          <w:sz w:val="28"/>
          <w:szCs w:val="28"/>
          <w:lang w:val="en-GB"/>
        </w:rPr>
      </w:pPr>
      <w:r w:rsidRPr="004C540C">
        <w:rPr>
          <w:rFonts w:ascii="Arial" w:hAnsi="Arial" w:cs="Arial"/>
          <w:b/>
          <w:bCs/>
          <w:noProof/>
          <w:sz w:val="28"/>
          <w:szCs w:val="28"/>
          <w:lang w:eastAsia="en-IN"/>
        </w:rPr>
        <w:drawing>
          <wp:inline distT="0" distB="0" distL="0" distR="0" wp14:anchorId="02A5E24C" wp14:editId="30E728C5">
            <wp:extent cx="2209800" cy="781738"/>
            <wp:effectExtent l="0" t="0" r="0" b="0"/>
            <wp:docPr id="3064262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57157" cy="798491"/>
                    </a:xfrm>
                    <a:prstGeom prst="rect">
                      <a:avLst/>
                    </a:prstGeom>
                    <a:noFill/>
                    <a:ln>
                      <a:noFill/>
                    </a:ln>
                  </pic:spPr>
                </pic:pic>
              </a:graphicData>
            </a:graphic>
          </wp:inline>
        </w:drawing>
      </w:r>
    </w:p>
    <w:p w14:paraId="0C3758D2" w14:textId="77777777" w:rsidR="00B77D19" w:rsidRPr="004C540C" w:rsidRDefault="00B77D19" w:rsidP="004C540C">
      <w:pPr>
        <w:jc w:val="center"/>
        <w:rPr>
          <w:rFonts w:ascii="Arial" w:hAnsi="Arial" w:cs="Arial"/>
          <w:b/>
          <w:bCs/>
          <w:sz w:val="28"/>
          <w:szCs w:val="28"/>
          <w:lang w:val="en-GB"/>
        </w:rPr>
      </w:pPr>
    </w:p>
    <w:p w14:paraId="4257281C" w14:textId="77777777" w:rsidR="00B77D19" w:rsidRPr="004C540C" w:rsidRDefault="00B77D19" w:rsidP="004C540C">
      <w:pPr>
        <w:pStyle w:val="NoSpacing"/>
        <w:jc w:val="center"/>
        <w:rPr>
          <w:rFonts w:ascii="Arial" w:hAnsi="Arial" w:cs="Arial"/>
          <w:sz w:val="32"/>
          <w:szCs w:val="32"/>
        </w:rPr>
      </w:pPr>
      <w:r w:rsidRPr="004C540C">
        <w:rPr>
          <w:rFonts w:ascii="Arial" w:hAnsi="Arial" w:cs="Arial"/>
          <w:b/>
          <w:bCs/>
          <w:sz w:val="32"/>
          <w:szCs w:val="32"/>
        </w:rPr>
        <w:t>Student Name</w:t>
      </w:r>
      <w:r w:rsidRPr="004C540C">
        <w:rPr>
          <w:rFonts w:ascii="Arial" w:hAnsi="Arial" w:cs="Arial"/>
          <w:sz w:val="32"/>
          <w:szCs w:val="32"/>
        </w:rPr>
        <w:t>: HIRALBEN YUVRAJSINH DABHI</w:t>
      </w:r>
    </w:p>
    <w:p w14:paraId="24AAA060" w14:textId="77777777" w:rsidR="00B77D19" w:rsidRPr="004C540C" w:rsidRDefault="00B77D19" w:rsidP="004C540C">
      <w:pPr>
        <w:pStyle w:val="NoSpacing"/>
        <w:jc w:val="center"/>
        <w:rPr>
          <w:rFonts w:ascii="Arial" w:hAnsi="Arial" w:cs="Arial"/>
          <w:sz w:val="32"/>
          <w:szCs w:val="32"/>
        </w:rPr>
      </w:pPr>
    </w:p>
    <w:p w14:paraId="40D7536C" w14:textId="77777777" w:rsidR="00B77D19" w:rsidRPr="004C540C" w:rsidRDefault="00B77D19" w:rsidP="004C540C">
      <w:pPr>
        <w:pStyle w:val="NoSpacing"/>
        <w:jc w:val="center"/>
        <w:rPr>
          <w:rFonts w:ascii="Arial" w:hAnsi="Arial" w:cs="Arial"/>
          <w:b/>
          <w:bCs/>
          <w:sz w:val="32"/>
          <w:szCs w:val="32"/>
        </w:rPr>
      </w:pPr>
    </w:p>
    <w:p w14:paraId="1FA83A31" w14:textId="77777777" w:rsidR="00B77D19" w:rsidRPr="004C540C" w:rsidRDefault="00B77D19" w:rsidP="004C540C">
      <w:pPr>
        <w:pStyle w:val="NoSpacing"/>
        <w:jc w:val="center"/>
        <w:rPr>
          <w:rFonts w:ascii="Arial" w:hAnsi="Arial" w:cs="Arial"/>
          <w:sz w:val="32"/>
          <w:szCs w:val="32"/>
        </w:rPr>
      </w:pPr>
      <w:r w:rsidRPr="004C540C">
        <w:rPr>
          <w:rFonts w:ascii="Arial" w:hAnsi="Arial" w:cs="Arial"/>
          <w:b/>
          <w:bCs/>
          <w:sz w:val="32"/>
          <w:szCs w:val="32"/>
        </w:rPr>
        <w:t>Student ID</w:t>
      </w:r>
      <w:r w:rsidRPr="004C540C">
        <w:rPr>
          <w:rFonts w:ascii="Arial" w:hAnsi="Arial" w:cs="Arial"/>
          <w:sz w:val="32"/>
          <w:szCs w:val="32"/>
        </w:rPr>
        <w:t>:2539211</w:t>
      </w:r>
    </w:p>
    <w:p w14:paraId="13CD291E" w14:textId="77777777" w:rsidR="00B77D19" w:rsidRPr="004C540C" w:rsidRDefault="00B77D19" w:rsidP="004C540C">
      <w:pPr>
        <w:pStyle w:val="NoSpacing"/>
        <w:jc w:val="center"/>
        <w:rPr>
          <w:rFonts w:ascii="Arial" w:hAnsi="Arial" w:cs="Arial"/>
          <w:sz w:val="32"/>
          <w:szCs w:val="32"/>
        </w:rPr>
      </w:pPr>
    </w:p>
    <w:p w14:paraId="40AF2A08" w14:textId="77777777" w:rsidR="00B77D19" w:rsidRPr="004C540C" w:rsidRDefault="00B77D19" w:rsidP="004C540C">
      <w:pPr>
        <w:pStyle w:val="NoSpacing"/>
        <w:jc w:val="center"/>
        <w:rPr>
          <w:rFonts w:ascii="Arial" w:hAnsi="Arial" w:cs="Arial"/>
          <w:b/>
          <w:bCs/>
          <w:sz w:val="32"/>
          <w:szCs w:val="32"/>
        </w:rPr>
      </w:pPr>
    </w:p>
    <w:p w14:paraId="1AEC4F59" w14:textId="7846E446" w:rsidR="00B77D19" w:rsidRPr="004C540C" w:rsidRDefault="00B77D19" w:rsidP="004C540C">
      <w:pPr>
        <w:pStyle w:val="NoSpacing"/>
        <w:jc w:val="center"/>
        <w:rPr>
          <w:rFonts w:ascii="Arial" w:hAnsi="Arial" w:cs="Arial"/>
          <w:sz w:val="32"/>
          <w:szCs w:val="32"/>
        </w:rPr>
      </w:pPr>
      <w:r w:rsidRPr="004C540C">
        <w:rPr>
          <w:rFonts w:ascii="Arial" w:hAnsi="Arial" w:cs="Arial"/>
          <w:b/>
          <w:bCs/>
          <w:sz w:val="32"/>
          <w:szCs w:val="32"/>
        </w:rPr>
        <w:t>Module Name</w:t>
      </w:r>
      <w:r w:rsidRPr="004C540C">
        <w:rPr>
          <w:rFonts w:ascii="Arial" w:hAnsi="Arial" w:cs="Arial"/>
          <w:sz w:val="32"/>
          <w:szCs w:val="32"/>
        </w:rPr>
        <w:t xml:space="preserve">: </w:t>
      </w:r>
      <w:r w:rsidR="00E32F79" w:rsidRPr="004C540C">
        <w:rPr>
          <w:rFonts w:ascii="Arial" w:hAnsi="Arial" w:cs="Arial"/>
          <w:sz w:val="32"/>
          <w:szCs w:val="32"/>
        </w:rPr>
        <w:t>Financial</w:t>
      </w:r>
      <w:r w:rsidRPr="004C540C">
        <w:rPr>
          <w:rFonts w:ascii="Arial" w:hAnsi="Arial" w:cs="Arial"/>
          <w:sz w:val="32"/>
          <w:szCs w:val="32"/>
        </w:rPr>
        <w:t xml:space="preserve"> Management</w:t>
      </w:r>
    </w:p>
    <w:p w14:paraId="76ACC605" w14:textId="77777777" w:rsidR="00B77D19" w:rsidRPr="004C540C" w:rsidRDefault="00B77D19" w:rsidP="004C540C">
      <w:pPr>
        <w:pStyle w:val="NoSpacing"/>
        <w:jc w:val="center"/>
        <w:rPr>
          <w:rFonts w:ascii="Arial" w:hAnsi="Arial" w:cs="Arial"/>
          <w:sz w:val="32"/>
          <w:szCs w:val="32"/>
        </w:rPr>
      </w:pPr>
    </w:p>
    <w:p w14:paraId="5D35B2F6" w14:textId="77777777" w:rsidR="00B77D19" w:rsidRPr="004C540C" w:rsidRDefault="00B77D19" w:rsidP="004C540C">
      <w:pPr>
        <w:pStyle w:val="NoSpacing"/>
        <w:jc w:val="center"/>
        <w:rPr>
          <w:rFonts w:ascii="Arial" w:hAnsi="Arial" w:cs="Arial"/>
          <w:b/>
          <w:bCs/>
          <w:sz w:val="32"/>
          <w:szCs w:val="32"/>
        </w:rPr>
      </w:pPr>
    </w:p>
    <w:p w14:paraId="701F7F06" w14:textId="37420C02" w:rsidR="00B77D19" w:rsidRPr="004C540C" w:rsidRDefault="00B77D19" w:rsidP="004C540C">
      <w:pPr>
        <w:pStyle w:val="NoSpacing"/>
        <w:jc w:val="center"/>
        <w:rPr>
          <w:rFonts w:ascii="Arial" w:hAnsi="Arial" w:cs="Arial"/>
          <w:sz w:val="32"/>
          <w:szCs w:val="32"/>
        </w:rPr>
      </w:pPr>
      <w:r w:rsidRPr="004C540C">
        <w:rPr>
          <w:rFonts w:ascii="Arial" w:hAnsi="Arial" w:cs="Arial"/>
          <w:b/>
          <w:bCs/>
          <w:sz w:val="32"/>
          <w:szCs w:val="32"/>
        </w:rPr>
        <w:t>Module Code</w:t>
      </w:r>
      <w:r w:rsidRPr="004C540C">
        <w:rPr>
          <w:rFonts w:ascii="Arial" w:hAnsi="Arial" w:cs="Arial"/>
          <w:sz w:val="32"/>
          <w:szCs w:val="32"/>
        </w:rPr>
        <w:t>: LCMB</w:t>
      </w:r>
      <w:r w:rsidR="000969BD" w:rsidRPr="004C540C">
        <w:rPr>
          <w:rFonts w:ascii="Arial" w:hAnsi="Arial" w:cs="Arial"/>
          <w:sz w:val="32"/>
          <w:szCs w:val="32"/>
        </w:rPr>
        <w:t>7002</w:t>
      </w:r>
    </w:p>
    <w:p w14:paraId="4EC60E20" w14:textId="77777777" w:rsidR="00CA252F" w:rsidRPr="004C540C" w:rsidRDefault="00CA252F" w:rsidP="004C540C">
      <w:pPr>
        <w:pStyle w:val="NoSpacing"/>
        <w:jc w:val="center"/>
        <w:rPr>
          <w:rFonts w:ascii="Arial" w:hAnsi="Arial" w:cs="Arial"/>
          <w:sz w:val="32"/>
          <w:szCs w:val="32"/>
        </w:rPr>
      </w:pPr>
    </w:p>
    <w:p w14:paraId="03590C75" w14:textId="77777777" w:rsidR="00B77D19" w:rsidRPr="004C540C" w:rsidRDefault="00B77D19" w:rsidP="004C540C">
      <w:pPr>
        <w:pStyle w:val="NoSpacing"/>
        <w:jc w:val="center"/>
        <w:rPr>
          <w:rFonts w:ascii="Arial" w:hAnsi="Arial" w:cs="Arial"/>
          <w:sz w:val="32"/>
          <w:szCs w:val="32"/>
        </w:rPr>
      </w:pPr>
    </w:p>
    <w:p w14:paraId="0A3FA0FA" w14:textId="77777777" w:rsidR="00B77D19" w:rsidRPr="004C540C" w:rsidRDefault="00B77D19" w:rsidP="004C540C">
      <w:pPr>
        <w:pStyle w:val="NoSpacing"/>
        <w:jc w:val="center"/>
        <w:rPr>
          <w:rFonts w:ascii="Arial" w:hAnsi="Arial" w:cs="Arial"/>
          <w:b/>
          <w:bCs/>
          <w:sz w:val="32"/>
          <w:szCs w:val="32"/>
        </w:rPr>
      </w:pPr>
    </w:p>
    <w:p w14:paraId="460F3A56" w14:textId="6F9F57E6" w:rsidR="00B77D19" w:rsidRPr="004C540C" w:rsidRDefault="00B77D19" w:rsidP="004C540C">
      <w:pPr>
        <w:pStyle w:val="NoSpacing"/>
        <w:jc w:val="center"/>
        <w:rPr>
          <w:rFonts w:ascii="Arial" w:hAnsi="Arial" w:cs="Arial"/>
          <w:sz w:val="32"/>
          <w:szCs w:val="32"/>
        </w:rPr>
      </w:pPr>
      <w:r w:rsidRPr="004C540C">
        <w:rPr>
          <w:rFonts w:ascii="Arial" w:hAnsi="Arial" w:cs="Arial"/>
          <w:b/>
          <w:bCs/>
          <w:sz w:val="32"/>
          <w:szCs w:val="32"/>
        </w:rPr>
        <w:t>Lecturer’s Name</w:t>
      </w:r>
      <w:r w:rsidRPr="004C540C">
        <w:rPr>
          <w:rFonts w:ascii="Arial" w:hAnsi="Arial" w:cs="Arial"/>
          <w:sz w:val="32"/>
          <w:szCs w:val="32"/>
        </w:rPr>
        <w:t xml:space="preserve">: </w:t>
      </w:r>
      <w:r w:rsidR="005B1A37" w:rsidRPr="004C540C">
        <w:rPr>
          <w:rFonts w:ascii="Arial" w:hAnsi="Arial" w:cs="Arial"/>
          <w:sz w:val="32"/>
          <w:szCs w:val="32"/>
        </w:rPr>
        <w:t>M.D.</w:t>
      </w:r>
      <w:r w:rsidR="00926CDA" w:rsidRPr="004C540C">
        <w:rPr>
          <w:rFonts w:ascii="Arial" w:hAnsi="Arial" w:cs="Arial"/>
          <w:sz w:val="32"/>
          <w:szCs w:val="32"/>
        </w:rPr>
        <w:t>Kalam</w:t>
      </w:r>
    </w:p>
    <w:p w14:paraId="513DD2D4" w14:textId="77777777" w:rsidR="00B77D19" w:rsidRPr="004C540C" w:rsidRDefault="00B77D19" w:rsidP="004C540C">
      <w:pPr>
        <w:pStyle w:val="NoSpacing"/>
        <w:jc w:val="center"/>
        <w:rPr>
          <w:rFonts w:ascii="Arial" w:hAnsi="Arial" w:cs="Arial"/>
          <w:b/>
          <w:bCs/>
          <w:sz w:val="32"/>
          <w:szCs w:val="32"/>
        </w:rPr>
      </w:pPr>
    </w:p>
    <w:p w14:paraId="4BCDE3D6" w14:textId="77777777" w:rsidR="00B77D19" w:rsidRPr="004C540C" w:rsidRDefault="00B77D19" w:rsidP="004C540C">
      <w:pPr>
        <w:pStyle w:val="NoSpacing"/>
        <w:jc w:val="center"/>
        <w:rPr>
          <w:rFonts w:ascii="Arial" w:hAnsi="Arial" w:cs="Arial"/>
          <w:b/>
          <w:bCs/>
          <w:sz w:val="32"/>
          <w:szCs w:val="32"/>
        </w:rPr>
      </w:pPr>
    </w:p>
    <w:p w14:paraId="2BA93DA6" w14:textId="2ACF6CE8" w:rsidR="00B77D19" w:rsidRPr="004C540C" w:rsidRDefault="00B77D19" w:rsidP="004C540C">
      <w:pPr>
        <w:pStyle w:val="NoSpacing"/>
        <w:jc w:val="center"/>
        <w:rPr>
          <w:rFonts w:ascii="Arial" w:hAnsi="Arial" w:cs="Arial"/>
          <w:b/>
          <w:bCs/>
          <w:sz w:val="32"/>
          <w:szCs w:val="32"/>
        </w:rPr>
      </w:pPr>
      <w:r w:rsidRPr="004C540C">
        <w:rPr>
          <w:rFonts w:ascii="Arial" w:hAnsi="Arial" w:cs="Arial"/>
          <w:b/>
          <w:bCs/>
          <w:sz w:val="32"/>
          <w:szCs w:val="32"/>
        </w:rPr>
        <w:t>Term 1</w:t>
      </w:r>
    </w:p>
    <w:p w14:paraId="5BF19C67" w14:textId="457B0625" w:rsidR="00960E0B" w:rsidRPr="004C540C" w:rsidRDefault="00960E0B" w:rsidP="004C540C">
      <w:pPr>
        <w:pStyle w:val="NoSpacing"/>
        <w:jc w:val="both"/>
        <w:rPr>
          <w:rFonts w:ascii="Arial" w:hAnsi="Arial" w:cs="Arial"/>
          <w:b/>
          <w:bCs/>
          <w:sz w:val="32"/>
          <w:szCs w:val="32"/>
        </w:rPr>
      </w:pPr>
    </w:p>
    <w:p w14:paraId="255FEC47" w14:textId="015F4E47" w:rsidR="00926CDA" w:rsidRPr="004C540C" w:rsidRDefault="00926CDA" w:rsidP="004C540C">
      <w:pPr>
        <w:jc w:val="both"/>
        <w:rPr>
          <w:rFonts w:ascii="Arial" w:hAnsi="Arial" w:cs="Arial"/>
          <w:b/>
          <w:bCs/>
          <w:sz w:val="32"/>
          <w:szCs w:val="32"/>
        </w:rPr>
      </w:pPr>
    </w:p>
    <w:p w14:paraId="33ADFB67" w14:textId="77777777" w:rsidR="00833418" w:rsidRPr="004C540C" w:rsidRDefault="00833418" w:rsidP="004C540C">
      <w:pPr>
        <w:jc w:val="both"/>
        <w:rPr>
          <w:rFonts w:ascii="Arial" w:hAnsi="Arial" w:cs="Arial"/>
          <w:b/>
          <w:bCs/>
          <w:sz w:val="32"/>
          <w:szCs w:val="32"/>
        </w:rPr>
      </w:pPr>
    </w:p>
    <w:p w14:paraId="6EA135BD" w14:textId="77777777" w:rsidR="00833418" w:rsidRPr="004C540C" w:rsidRDefault="00833418" w:rsidP="004C540C">
      <w:pPr>
        <w:jc w:val="both"/>
        <w:rPr>
          <w:rFonts w:ascii="Arial" w:hAnsi="Arial" w:cs="Arial"/>
          <w:b/>
          <w:bCs/>
          <w:sz w:val="32"/>
          <w:szCs w:val="32"/>
        </w:rPr>
      </w:pPr>
      <w:r w:rsidRPr="004C540C">
        <w:rPr>
          <w:rFonts w:ascii="Arial" w:hAnsi="Arial" w:cs="Arial"/>
          <w:b/>
          <w:bCs/>
          <w:sz w:val="32"/>
          <w:szCs w:val="32"/>
        </w:rPr>
        <w:br w:type="page"/>
      </w:r>
    </w:p>
    <w:p w14:paraId="381FE52A" w14:textId="77777777" w:rsidR="003C01D6" w:rsidRPr="004C540C" w:rsidRDefault="003C01D6" w:rsidP="004C540C">
      <w:pPr>
        <w:jc w:val="both"/>
        <w:rPr>
          <w:rFonts w:ascii="Arial" w:hAnsi="Arial" w:cs="Arial"/>
          <w:b/>
          <w:bCs/>
          <w:sz w:val="28"/>
          <w:szCs w:val="28"/>
        </w:rPr>
      </w:pPr>
      <w:r w:rsidRPr="004C540C">
        <w:rPr>
          <w:rFonts w:ascii="Arial" w:hAnsi="Arial" w:cs="Arial"/>
          <w:b/>
          <w:bCs/>
          <w:sz w:val="28"/>
          <w:szCs w:val="28"/>
        </w:rPr>
        <w:lastRenderedPageBreak/>
        <w:t>EXECUTIVE SUMMARY</w:t>
      </w:r>
    </w:p>
    <w:p w14:paraId="4D8B4BC2" w14:textId="77777777" w:rsidR="00B7698C" w:rsidRPr="004C540C" w:rsidRDefault="00833418" w:rsidP="004C540C">
      <w:pPr>
        <w:jc w:val="both"/>
        <w:rPr>
          <w:rFonts w:ascii="Arial" w:hAnsi="Arial" w:cs="Arial"/>
          <w:sz w:val="24"/>
          <w:szCs w:val="24"/>
        </w:rPr>
      </w:pPr>
      <w:r w:rsidRPr="004C540C">
        <w:rPr>
          <w:rFonts w:ascii="Arial" w:hAnsi="Arial" w:cs="Arial"/>
          <w:sz w:val="32"/>
          <w:szCs w:val="32"/>
        </w:rPr>
        <w:br/>
      </w:r>
      <w:r w:rsidR="00B7698C" w:rsidRPr="004C540C">
        <w:rPr>
          <w:rFonts w:ascii="Arial" w:hAnsi="Arial" w:cs="Arial"/>
          <w:sz w:val="24"/>
          <w:szCs w:val="24"/>
        </w:rPr>
        <w:t xml:space="preserve">This report appraises InterContinental Hotels Group (IHG) to 2021-2025 focusing on financial performance, working-capital management, strategic financial restructuring and capital investment appraisal. IHG's recovery and growth was strong over this period, with total revenue growing from $2.9bn to $5.2bn, operating profit from $494m to $1,198m and profit for the year from $265m to $759m. </w:t>
      </w:r>
    </w:p>
    <w:p w14:paraId="73E61D4D" w14:textId="77777777" w:rsidR="00B7698C" w:rsidRPr="004C540C" w:rsidRDefault="00B7698C" w:rsidP="004C540C">
      <w:pPr>
        <w:jc w:val="both"/>
        <w:rPr>
          <w:rFonts w:ascii="Arial" w:hAnsi="Arial" w:cs="Arial"/>
          <w:sz w:val="24"/>
          <w:szCs w:val="24"/>
        </w:rPr>
      </w:pPr>
      <w:r w:rsidRPr="004C540C">
        <w:rPr>
          <w:rFonts w:ascii="Arial" w:hAnsi="Arial" w:cs="Arial"/>
          <w:sz w:val="24"/>
          <w:szCs w:val="24"/>
        </w:rPr>
        <w:t xml:space="preserve">A key strength was the asset-light business model, which strengthened fee-based revenue to $1,897m from $1,144m and fee margin from 49.6% to 64.8% to achieve scalable, capital efficient growth and cash flows. </w:t>
      </w:r>
    </w:p>
    <w:p w14:paraId="5DFF0C48" w14:textId="77777777" w:rsidR="00B7698C" w:rsidRPr="004C540C" w:rsidRDefault="00B7698C" w:rsidP="004C540C">
      <w:pPr>
        <w:jc w:val="both"/>
        <w:rPr>
          <w:rFonts w:ascii="Arial" w:hAnsi="Arial" w:cs="Arial"/>
          <w:sz w:val="24"/>
          <w:szCs w:val="24"/>
        </w:rPr>
      </w:pPr>
      <w:r w:rsidRPr="004C540C">
        <w:rPr>
          <w:rFonts w:ascii="Arial" w:hAnsi="Arial" w:cs="Arial"/>
          <w:sz w:val="24"/>
          <w:szCs w:val="24"/>
        </w:rPr>
        <w:t>Profitability and efficiency were increased generally, operating and net margins improved (operating margin peaking at c.23.1%), receivable days remained broadly stable (around 46-50 days) and cash conversion cycle became slightly positive and around 0 by 2025.</w:t>
      </w:r>
    </w:p>
    <w:p w14:paraId="1C8702FF" w14:textId="77777777" w:rsidR="00B7698C" w:rsidRPr="004C540C" w:rsidRDefault="00B7698C" w:rsidP="004C540C">
      <w:pPr>
        <w:jc w:val="both"/>
        <w:rPr>
          <w:rFonts w:ascii="Arial" w:hAnsi="Arial" w:cs="Arial"/>
          <w:sz w:val="24"/>
          <w:szCs w:val="24"/>
        </w:rPr>
      </w:pPr>
      <w:r w:rsidRPr="004C540C">
        <w:rPr>
          <w:rFonts w:ascii="Arial" w:hAnsi="Arial" w:cs="Arial"/>
          <w:sz w:val="24"/>
          <w:szCs w:val="24"/>
        </w:rPr>
        <w:t xml:space="preserve">The current ratio fell to around 0.98 by 2025, and net debt grew from $1,881m to $3,333m, with the net debt/adjusted EBITDA ratio moving to around 2.5x which can be managed with disciplined debt management as the EBITDA becomes stronger. </w:t>
      </w:r>
    </w:p>
    <w:p w14:paraId="028AA624" w14:textId="77777777" w:rsidR="00B7698C" w:rsidRPr="004C540C" w:rsidRDefault="00B7698C" w:rsidP="004C540C">
      <w:pPr>
        <w:jc w:val="both"/>
        <w:rPr>
          <w:rFonts w:ascii="Arial" w:hAnsi="Arial" w:cs="Arial"/>
          <w:sz w:val="24"/>
          <w:szCs w:val="24"/>
        </w:rPr>
      </w:pPr>
      <w:r w:rsidRPr="004C540C">
        <w:rPr>
          <w:rFonts w:ascii="Arial" w:hAnsi="Arial" w:cs="Arial"/>
          <w:sz w:val="24"/>
          <w:szCs w:val="24"/>
        </w:rPr>
        <w:t xml:space="preserve">The operating cash generation recovered (the net cash from operations increased from $636m to $898m) and the adjusted free cash flow increased, which allowed for returns to shareholders and selective investments. There are three projects with appraisal values of £50m, with project C being financially acceptable (NPV ≈ +£0.86m, PI ≈ 1.017, IRR ≈ 8.59%), whereas projects A and B are financially unacceptable (NPV &lt; 0 and below the required return, IRR &lt; 0). </w:t>
      </w:r>
    </w:p>
    <w:p w14:paraId="404AA6E6" w14:textId="1C145AB8" w:rsidR="00926CDA" w:rsidRPr="004C540C" w:rsidRDefault="00B7698C" w:rsidP="004C540C">
      <w:pPr>
        <w:jc w:val="both"/>
        <w:rPr>
          <w:rFonts w:ascii="Arial" w:hAnsi="Arial" w:cs="Arial"/>
          <w:sz w:val="32"/>
          <w:szCs w:val="32"/>
        </w:rPr>
      </w:pPr>
      <w:r w:rsidRPr="004C540C">
        <w:rPr>
          <w:rFonts w:ascii="Arial" w:hAnsi="Arial" w:cs="Arial"/>
          <w:sz w:val="24"/>
          <w:szCs w:val="24"/>
        </w:rPr>
        <w:t>The report suggests that the asset-light approach to expansion through franchise and management agreements should continue, investments in digitalization and loyalty programs should be made, and the debt refinancing and liquidity management exercise should be carried out in a disciplined manner. Project C should only be pursued if financing it with adequate leverage is not required, and ESG and international compliance needs to be kept strong.</w:t>
      </w:r>
      <w:r w:rsidR="00926CDA" w:rsidRPr="004C540C">
        <w:rPr>
          <w:rFonts w:ascii="Arial" w:hAnsi="Arial" w:cs="Arial"/>
          <w:sz w:val="32"/>
          <w:szCs w:val="32"/>
        </w:rPr>
        <w:br w:type="page"/>
      </w:r>
    </w:p>
    <w:sdt>
      <w:sdtPr>
        <w:rPr>
          <w:rFonts w:ascii="Arial" w:eastAsiaTheme="minorHAnsi" w:hAnsi="Arial" w:cs="Arial"/>
          <w:color w:val="auto"/>
          <w:sz w:val="22"/>
          <w:szCs w:val="22"/>
          <w:lang w:val="en-IN" w:bidi="gu-IN"/>
        </w:rPr>
        <w:id w:val="-1529251025"/>
        <w:docPartObj>
          <w:docPartGallery w:val="Table of Contents"/>
          <w:docPartUnique/>
        </w:docPartObj>
      </w:sdtPr>
      <w:sdtEndPr>
        <w:rPr>
          <w:b/>
          <w:bCs/>
          <w:noProof/>
        </w:rPr>
      </w:sdtEndPr>
      <w:sdtContent>
        <w:p w14:paraId="7EE42050" w14:textId="0739E0AD" w:rsidR="00CE5EEF" w:rsidRPr="004C540C" w:rsidRDefault="00CE5EEF" w:rsidP="004C540C">
          <w:pPr>
            <w:pStyle w:val="TOCHeading"/>
            <w:jc w:val="both"/>
            <w:rPr>
              <w:rFonts w:ascii="Arial" w:hAnsi="Arial" w:cs="Arial"/>
            </w:rPr>
          </w:pPr>
          <w:r w:rsidRPr="004C540C">
            <w:rPr>
              <w:rFonts w:ascii="Arial" w:hAnsi="Arial" w:cs="Arial"/>
            </w:rPr>
            <w:t>Contents</w:t>
          </w:r>
        </w:p>
        <w:p w14:paraId="64A07A84" w14:textId="6B4325D5" w:rsidR="00CE5EEF" w:rsidRPr="004C540C" w:rsidRDefault="00CE5EEF" w:rsidP="004C540C">
          <w:pPr>
            <w:pStyle w:val="TOC1"/>
            <w:tabs>
              <w:tab w:val="right" w:leader="dot" w:pos="9016"/>
            </w:tabs>
            <w:jc w:val="both"/>
            <w:rPr>
              <w:rFonts w:ascii="Arial" w:eastAsiaTheme="minorEastAsia" w:hAnsi="Arial" w:cs="Arial"/>
              <w:noProof/>
              <w:kern w:val="2"/>
              <w:sz w:val="24"/>
              <w:szCs w:val="24"/>
              <w:lang w:eastAsia="en-IN" w:bidi="ar-SA"/>
              <w14:ligatures w14:val="standardContextual"/>
            </w:rPr>
          </w:pPr>
          <w:r w:rsidRPr="004C540C">
            <w:rPr>
              <w:rFonts w:ascii="Arial" w:hAnsi="Arial" w:cs="Arial"/>
            </w:rPr>
            <w:fldChar w:fldCharType="begin"/>
          </w:r>
          <w:r w:rsidRPr="004C540C">
            <w:rPr>
              <w:rFonts w:ascii="Arial" w:hAnsi="Arial" w:cs="Arial"/>
            </w:rPr>
            <w:instrText xml:space="preserve"> TOC \o "1-3" \h \z \u </w:instrText>
          </w:r>
          <w:r w:rsidRPr="004C540C">
            <w:rPr>
              <w:rFonts w:ascii="Arial" w:hAnsi="Arial" w:cs="Arial"/>
            </w:rPr>
            <w:fldChar w:fldCharType="separate"/>
          </w:r>
          <w:hyperlink w:anchor="_Toc237378346" w:history="1">
            <w:r w:rsidRPr="004C540C">
              <w:rPr>
                <w:rStyle w:val="Hyperlink"/>
                <w:rFonts w:ascii="Arial" w:eastAsia="Times New Roman" w:hAnsi="Arial" w:cs="Arial"/>
                <w:b/>
                <w:bCs/>
                <w:noProof/>
                <w:lang w:eastAsia="en-IN"/>
              </w:rPr>
              <w:t>1. Financial Analysis, Strategic Evaluation, and Investment Appraisal of InterContinental Hotels Group (IHG)</w:t>
            </w:r>
            <w:r w:rsidRPr="004C540C">
              <w:rPr>
                <w:rFonts w:ascii="Arial" w:hAnsi="Arial" w:cs="Arial"/>
                <w:noProof/>
                <w:webHidden/>
              </w:rPr>
              <w:tab/>
            </w:r>
            <w:r w:rsidRPr="004C540C">
              <w:rPr>
                <w:rFonts w:ascii="Arial" w:hAnsi="Arial" w:cs="Arial"/>
                <w:noProof/>
                <w:webHidden/>
              </w:rPr>
              <w:fldChar w:fldCharType="begin"/>
            </w:r>
            <w:r w:rsidRPr="004C540C">
              <w:rPr>
                <w:rFonts w:ascii="Arial" w:hAnsi="Arial" w:cs="Arial"/>
                <w:noProof/>
                <w:webHidden/>
              </w:rPr>
              <w:instrText xml:space="preserve"> PAGEREF _Toc237378346 \h </w:instrText>
            </w:r>
            <w:r w:rsidRPr="004C540C">
              <w:rPr>
                <w:rFonts w:ascii="Arial" w:hAnsi="Arial" w:cs="Arial"/>
                <w:noProof/>
                <w:webHidden/>
              </w:rPr>
            </w:r>
            <w:r w:rsidRPr="004C540C">
              <w:rPr>
                <w:rFonts w:ascii="Arial" w:hAnsi="Arial" w:cs="Arial"/>
                <w:noProof/>
                <w:webHidden/>
              </w:rPr>
              <w:fldChar w:fldCharType="separate"/>
            </w:r>
            <w:r w:rsidRPr="004C540C">
              <w:rPr>
                <w:rFonts w:ascii="Arial" w:hAnsi="Arial" w:cs="Arial"/>
                <w:noProof/>
                <w:webHidden/>
              </w:rPr>
              <w:t>4</w:t>
            </w:r>
            <w:r w:rsidRPr="004C540C">
              <w:rPr>
                <w:rFonts w:ascii="Arial" w:hAnsi="Arial" w:cs="Arial"/>
                <w:noProof/>
                <w:webHidden/>
              </w:rPr>
              <w:fldChar w:fldCharType="end"/>
            </w:r>
          </w:hyperlink>
        </w:p>
        <w:p w14:paraId="7B88F9DC" w14:textId="0A6DF128" w:rsidR="00CE5EEF" w:rsidRPr="004C540C" w:rsidRDefault="00CE5EEF" w:rsidP="004C540C">
          <w:pPr>
            <w:pStyle w:val="TOC2"/>
            <w:tabs>
              <w:tab w:val="right" w:leader="dot" w:pos="9016"/>
            </w:tabs>
            <w:jc w:val="both"/>
            <w:rPr>
              <w:rFonts w:ascii="Arial" w:eastAsiaTheme="minorEastAsia" w:hAnsi="Arial" w:cs="Arial"/>
              <w:noProof/>
              <w:kern w:val="2"/>
              <w:sz w:val="24"/>
              <w:szCs w:val="24"/>
              <w:lang w:eastAsia="en-IN" w:bidi="ar-SA"/>
              <w14:ligatures w14:val="standardContextual"/>
            </w:rPr>
          </w:pPr>
          <w:hyperlink w:anchor="_Toc237378347" w:history="1">
            <w:r w:rsidRPr="004C540C">
              <w:rPr>
                <w:rStyle w:val="Hyperlink"/>
                <w:rFonts w:ascii="Arial" w:hAnsi="Arial" w:cs="Arial"/>
                <w:noProof/>
              </w:rPr>
              <w:t>Introduction</w:t>
            </w:r>
            <w:r w:rsidRPr="004C540C">
              <w:rPr>
                <w:rFonts w:ascii="Arial" w:hAnsi="Arial" w:cs="Arial"/>
                <w:noProof/>
                <w:webHidden/>
              </w:rPr>
              <w:tab/>
            </w:r>
            <w:r w:rsidRPr="004C540C">
              <w:rPr>
                <w:rFonts w:ascii="Arial" w:hAnsi="Arial" w:cs="Arial"/>
                <w:noProof/>
                <w:webHidden/>
              </w:rPr>
              <w:fldChar w:fldCharType="begin"/>
            </w:r>
            <w:r w:rsidRPr="004C540C">
              <w:rPr>
                <w:rFonts w:ascii="Arial" w:hAnsi="Arial" w:cs="Arial"/>
                <w:noProof/>
                <w:webHidden/>
              </w:rPr>
              <w:instrText xml:space="preserve"> PAGEREF _Toc237378347 \h </w:instrText>
            </w:r>
            <w:r w:rsidRPr="004C540C">
              <w:rPr>
                <w:rFonts w:ascii="Arial" w:hAnsi="Arial" w:cs="Arial"/>
                <w:noProof/>
                <w:webHidden/>
              </w:rPr>
            </w:r>
            <w:r w:rsidRPr="004C540C">
              <w:rPr>
                <w:rFonts w:ascii="Arial" w:hAnsi="Arial" w:cs="Arial"/>
                <w:noProof/>
                <w:webHidden/>
              </w:rPr>
              <w:fldChar w:fldCharType="separate"/>
            </w:r>
            <w:r w:rsidRPr="004C540C">
              <w:rPr>
                <w:rFonts w:ascii="Arial" w:hAnsi="Arial" w:cs="Arial"/>
                <w:noProof/>
                <w:webHidden/>
              </w:rPr>
              <w:t>4</w:t>
            </w:r>
            <w:r w:rsidRPr="004C540C">
              <w:rPr>
                <w:rFonts w:ascii="Arial" w:hAnsi="Arial" w:cs="Arial"/>
                <w:noProof/>
                <w:webHidden/>
              </w:rPr>
              <w:fldChar w:fldCharType="end"/>
            </w:r>
          </w:hyperlink>
        </w:p>
        <w:p w14:paraId="375E4D2B" w14:textId="2ADFBAB9" w:rsidR="00CE5EEF" w:rsidRPr="004C540C" w:rsidRDefault="00CE5EEF" w:rsidP="004C540C">
          <w:pPr>
            <w:pStyle w:val="TOC2"/>
            <w:tabs>
              <w:tab w:val="right" w:leader="dot" w:pos="9016"/>
            </w:tabs>
            <w:jc w:val="both"/>
            <w:rPr>
              <w:rFonts w:ascii="Arial" w:eastAsiaTheme="minorEastAsia" w:hAnsi="Arial" w:cs="Arial"/>
              <w:noProof/>
              <w:kern w:val="2"/>
              <w:sz w:val="24"/>
              <w:szCs w:val="24"/>
              <w:lang w:eastAsia="en-IN" w:bidi="ar-SA"/>
              <w14:ligatures w14:val="standardContextual"/>
            </w:rPr>
          </w:pPr>
          <w:hyperlink w:anchor="_Toc237378348" w:history="1">
            <w:r w:rsidRPr="004C540C">
              <w:rPr>
                <w:rStyle w:val="Hyperlink"/>
                <w:rFonts w:ascii="Arial" w:hAnsi="Arial" w:cs="Arial"/>
                <w:noProof/>
              </w:rPr>
              <w:t>1.1 Financial Performance Overview (2021–2025)</w:t>
            </w:r>
            <w:r w:rsidRPr="004C540C">
              <w:rPr>
                <w:rFonts w:ascii="Arial" w:hAnsi="Arial" w:cs="Arial"/>
                <w:noProof/>
                <w:webHidden/>
              </w:rPr>
              <w:tab/>
            </w:r>
            <w:r w:rsidRPr="004C540C">
              <w:rPr>
                <w:rFonts w:ascii="Arial" w:hAnsi="Arial" w:cs="Arial"/>
                <w:noProof/>
                <w:webHidden/>
              </w:rPr>
              <w:fldChar w:fldCharType="begin"/>
            </w:r>
            <w:r w:rsidRPr="004C540C">
              <w:rPr>
                <w:rFonts w:ascii="Arial" w:hAnsi="Arial" w:cs="Arial"/>
                <w:noProof/>
                <w:webHidden/>
              </w:rPr>
              <w:instrText xml:space="preserve"> PAGEREF _Toc237378348 \h </w:instrText>
            </w:r>
            <w:r w:rsidRPr="004C540C">
              <w:rPr>
                <w:rFonts w:ascii="Arial" w:hAnsi="Arial" w:cs="Arial"/>
                <w:noProof/>
                <w:webHidden/>
              </w:rPr>
            </w:r>
            <w:r w:rsidRPr="004C540C">
              <w:rPr>
                <w:rFonts w:ascii="Arial" w:hAnsi="Arial" w:cs="Arial"/>
                <w:noProof/>
                <w:webHidden/>
              </w:rPr>
              <w:fldChar w:fldCharType="separate"/>
            </w:r>
            <w:r w:rsidRPr="004C540C">
              <w:rPr>
                <w:rFonts w:ascii="Arial" w:hAnsi="Arial" w:cs="Arial"/>
                <w:noProof/>
                <w:webHidden/>
              </w:rPr>
              <w:t>4</w:t>
            </w:r>
            <w:r w:rsidRPr="004C540C">
              <w:rPr>
                <w:rFonts w:ascii="Arial" w:hAnsi="Arial" w:cs="Arial"/>
                <w:noProof/>
                <w:webHidden/>
              </w:rPr>
              <w:fldChar w:fldCharType="end"/>
            </w:r>
          </w:hyperlink>
        </w:p>
        <w:p w14:paraId="53207E25" w14:textId="14ED6C45" w:rsidR="00CE5EEF" w:rsidRPr="004C540C" w:rsidRDefault="00CE5EEF" w:rsidP="004C540C">
          <w:pPr>
            <w:pStyle w:val="TOC2"/>
            <w:tabs>
              <w:tab w:val="right" w:leader="dot" w:pos="9016"/>
            </w:tabs>
            <w:jc w:val="both"/>
            <w:rPr>
              <w:rFonts w:ascii="Arial" w:eastAsiaTheme="minorEastAsia" w:hAnsi="Arial" w:cs="Arial"/>
              <w:noProof/>
              <w:kern w:val="2"/>
              <w:sz w:val="24"/>
              <w:szCs w:val="24"/>
              <w:lang w:eastAsia="en-IN" w:bidi="ar-SA"/>
              <w14:ligatures w14:val="standardContextual"/>
            </w:rPr>
          </w:pPr>
          <w:hyperlink w:anchor="_Toc237378356" w:history="1">
            <w:r w:rsidRPr="004C540C">
              <w:rPr>
                <w:rStyle w:val="Hyperlink"/>
                <w:rFonts w:ascii="Arial" w:hAnsi="Arial" w:cs="Arial"/>
                <w:noProof/>
              </w:rPr>
              <w:t>1.2 Profitability Analysis</w:t>
            </w:r>
            <w:r w:rsidRPr="004C540C">
              <w:rPr>
                <w:rFonts w:ascii="Arial" w:hAnsi="Arial" w:cs="Arial"/>
                <w:noProof/>
                <w:webHidden/>
              </w:rPr>
              <w:tab/>
            </w:r>
            <w:r w:rsidRPr="004C540C">
              <w:rPr>
                <w:rFonts w:ascii="Arial" w:hAnsi="Arial" w:cs="Arial"/>
                <w:noProof/>
                <w:webHidden/>
              </w:rPr>
              <w:fldChar w:fldCharType="begin"/>
            </w:r>
            <w:r w:rsidRPr="004C540C">
              <w:rPr>
                <w:rFonts w:ascii="Arial" w:hAnsi="Arial" w:cs="Arial"/>
                <w:noProof/>
                <w:webHidden/>
              </w:rPr>
              <w:instrText xml:space="preserve"> PAGEREF _Toc237378356 \h </w:instrText>
            </w:r>
            <w:r w:rsidRPr="004C540C">
              <w:rPr>
                <w:rFonts w:ascii="Arial" w:hAnsi="Arial" w:cs="Arial"/>
                <w:noProof/>
                <w:webHidden/>
              </w:rPr>
            </w:r>
            <w:r w:rsidRPr="004C540C">
              <w:rPr>
                <w:rFonts w:ascii="Arial" w:hAnsi="Arial" w:cs="Arial"/>
                <w:noProof/>
                <w:webHidden/>
              </w:rPr>
              <w:fldChar w:fldCharType="separate"/>
            </w:r>
            <w:r w:rsidRPr="004C540C">
              <w:rPr>
                <w:rFonts w:ascii="Arial" w:hAnsi="Arial" w:cs="Arial"/>
                <w:noProof/>
                <w:webHidden/>
              </w:rPr>
              <w:t>5</w:t>
            </w:r>
            <w:r w:rsidRPr="004C540C">
              <w:rPr>
                <w:rFonts w:ascii="Arial" w:hAnsi="Arial" w:cs="Arial"/>
                <w:noProof/>
                <w:webHidden/>
              </w:rPr>
              <w:fldChar w:fldCharType="end"/>
            </w:r>
          </w:hyperlink>
        </w:p>
        <w:p w14:paraId="1806B87F" w14:textId="0581CAFB" w:rsidR="00CE5EEF" w:rsidRPr="004C540C" w:rsidRDefault="00CE5EEF" w:rsidP="004C540C">
          <w:pPr>
            <w:pStyle w:val="TOC2"/>
            <w:tabs>
              <w:tab w:val="right" w:leader="dot" w:pos="9016"/>
            </w:tabs>
            <w:jc w:val="both"/>
            <w:rPr>
              <w:rFonts w:ascii="Arial" w:eastAsiaTheme="minorEastAsia" w:hAnsi="Arial" w:cs="Arial"/>
              <w:noProof/>
              <w:kern w:val="2"/>
              <w:sz w:val="24"/>
              <w:szCs w:val="24"/>
              <w:lang w:eastAsia="en-IN" w:bidi="ar-SA"/>
              <w14:ligatures w14:val="standardContextual"/>
            </w:rPr>
          </w:pPr>
          <w:hyperlink w:anchor="_Toc237378359" w:history="1">
            <w:r w:rsidRPr="004C540C">
              <w:rPr>
                <w:rStyle w:val="Hyperlink"/>
                <w:rFonts w:ascii="Arial" w:hAnsi="Arial" w:cs="Arial"/>
                <w:noProof/>
              </w:rPr>
              <w:t>1.3 Liquidity Analysis (2021–2025)</w:t>
            </w:r>
            <w:r w:rsidRPr="004C540C">
              <w:rPr>
                <w:rFonts w:ascii="Arial" w:hAnsi="Arial" w:cs="Arial"/>
                <w:noProof/>
                <w:webHidden/>
              </w:rPr>
              <w:tab/>
            </w:r>
            <w:r w:rsidRPr="004C540C">
              <w:rPr>
                <w:rFonts w:ascii="Arial" w:hAnsi="Arial" w:cs="Arial"/>
                <w:noProof/>
                <w:webHidden/>
              </w:rPr>
              <w:fldChar w:fldCharType="begin"/>
            </w:r>
            <w:r w:rsidRPr="004C540C">
              <w:rPr>
                <w:rFonts w:ascii="Arial" w:hAnsi="Arial" w:cs="Arial"/>
                <w:noProof/>
                <w:webHidden/>
              </w:rPr>
              <w:instrText xml:space="preserve"> PAGEREF _Toc237378359 \h </w:instrText>
            </w:r>
            <w:r w:rsidRPr="004C540C">
              <w:rPr>
                <w:rFonts w:ascii="Arial" w:hAnsi="Arial" w:cs="Arial"/>
                <w:noProof/>
                <w:webHidden/>
              </w:rPr>
            </w:r>
            <w:r w:rsidRPr="004C540C">
              <w:rPr>
                <w:rFonts w:ascii="Arial" w:hAnsi="Arial" w:cs="Arial"/>
                <w:noProof/>
                <w:webHidden/>
              </w:rPr>
              <w:fldChar w:fldCharType="separate"/>
            </w:r>
            <w:r w:rsidRPr="004C540C">
              <w:rPr>
                <w:rFonts w:ascii="Arial" w:hAnsi="Arial" w:cs="Arial"/>
                <w:noProof/>
                <w:webHidden/>
              </w:rPr>
              <w:t>7</w:t>
            </w:r>
            <w:r w:rsidRPr="004C540C">
              <w:rPr>
                <w:rFonts w:ascii="Arial" w:hAnsi="Arial" w:cs="Arial"/>
                <w:noProof/>
                <w:webHidden/>
              </w:rPr>
              <w:fldChar w:fldCharType="end"/>
            </w:r>
          </w:hyperlink>
        </w:p>
        <w:p w14:paraId="54E09436" w14:textId="1612A49C" w:rsidR="00CE5EEF" w:rsidRPr="004C540C" w:rsidRDefault="00CE5EEF" w:rsidP="004C540C">
          <w:pPr>
            <w:pStyle w:val="TOC2"/>
            <w:tabs>
              <w:tab w:val="right" w:leader="dot" w:pos="9016"/>
            </w:tabs>
            <w:jc w:val="both"/>
            <w:rPr>
              <w:rFonts w:ascii="Arial" w:eastAsiaTheme="minorEastAsia" w:hAnsi="Arial" w:cs="Arial"/>
              <w:noProof/>
              <w:kern w:val="2"/>
              <w:sz w:val="24"/>
              <w:szCs w:val="24"/>
              <w:lang w:eastAsia="en-IN" w:bidi="ar-SA"/>
              <w14:ligatures w14:val="standardContextual"/>
            </w:rPr>
          </w:pPr>
          <w:hyperlink w:anchor="_Toc237378362" w:history="1">
            <w:r w:rsidRPr="004C540C">
              <w:rPr>
                <w:rStyle w:val="Hyperlink"/>
                <w:rFonts w:ascii="Arial" w:hAnsi="Arial" w:cs="Arial"/>
                <w:noProof/>
              </w:rPr>
              <w:t>1.4 Efficiency Analysis (2021–2025)</w:t>
            </w:r>
            <w:r w:rsidRPr="004C540C">
              <w:rPr>
                <w:rFonts w:ascii="Arial" w:hAnsi="Arial" w:cs="Arial"/>
                <w:noProof/>
                <w:webHidden/>
              </w:rPr>
              <w:tab/>
            </w:r>
            <w:r w:rsidRPr="004C540C">
              <w:rPr>
                <w:rFonts w:ascii="Arial" w:hAnsi="Arial" w:cs="Arial"/>
                <w:noProof/>
                <w:webHidden/>
              </w:rPr>
              <w:fldChar w:fldCharType="begin"/>
            </w:r>
            <w:r w:rsidRPr="004C540C">
              <w:rPr>
                <w:rFonts w:ascii="Arial" w:hAnsi="Arial" w:cs="Arial"/>
                <w:noProof/>
                <w:webHidden/>
              </w:rPr>
              <w:instrText xml:space="preserve"> PAGEREF _Toc237378362 \h </w:instrText>
            </w:r>
            <w:r w:rsidRPr="004C540C">
              <w:rPr>
                <w:rFonts w:ascii="Arial" w:hAnsi="Arial" w:cs="Arial"/>
                <w:noProof/>
                <w:webHidden/>
              </w:rPr>
            </w:r>
            <w:r w:rsidRPr="004C540C">
              <w:rPr>
                <w:rFonts w:ascii="Arial" w:hAnsi="Arial" w:cs="Arial"/>
                <w:noProof/>
                <w:webHidden/>
              </w:rPr>
              <w:fldChar w:fldCharType="separate"/>
            </w:r>
            <w:r w:rsidRPr="004C540C">
              <w:rPr>
                <w:rFonts w:ascii="Arial" w:hAnsi="Arial" w:cs="Arial"/>
                <w:noProof/>
                <w:webHidden/>
              </w:rPr>
              <w:t>8</w:t>
            </w:r>
            <w:r w:rsidRPr="004C540C">
              <w:rPr>
                <w:rFonts w:ascii="Arial" w:hAnsi="Arial" w:cs="Arial"/>
                <w:noProof/>
                <w:webHidden/>
              </w:rPr>
              <w:fldChar w:fldCharType="end"/>
            </w:r>
          </w:hyperlink>
        </w:p>
        <w:p w14:paraId="46A2BEAC" w14:textId="46C6D0F0" w:rsidR="00CE5EEF" w:rsidRPr="004C540C" w:rsidRDefault="00CE5EEF" w:rsidP="004C540C">
          <w:pPr>
            <w:pStyle w:val="TOC2"/>
            <w:tabs>
              <w:tab w:val="right" w:leader="dot" w:pos="9016"/>
            </w:tabs>
            <w:jc w:val="both"/>
            <w:rPr>
              <w:rFonts w:ascii="Arial" w:eastAsiaTheme="minorEastAsia" w:hAnsi="Arial" w:cs="Arial"/>
              <w:noProof/>
              <w:kern w:val="2"/>
              <w:sz w:val="24"/>
              <w:szCs w:val="24"/>
              <w:lang w:eastAsia="en-IN" w:bidi="ar-SA"/>
              <w14:ligatures w14:val="standardContextual"/>
            </w:rPr>
          </w:pPr>
          <w:hyperlink w:anchor="_Toc237378363" w:history="1">
            <w:r w:rsidRPr="004C540C">
              <w:rPr>
                <w:rStyle w:val="Hyperlink"/>
                <w:rFonts w:ascii="Arial" w:hAnsi="Arial" w:cs="Arial"/>
                <w:noProof/>
              </w:rPr>
              <w:t>1.5 Gearing and Financial Risk</w:t>
            </w:r>
            <w:r w:rsidRPr="004C540C">
              <w:rPr>
                <w:rFonts w:ascii="Arial" w:hAnsi="Arial" w:cs="Arial"/>
                <w:noProof/>
                <w:webHidden/>
              </w:rPr>
              <w:tab/>
            </w:r>
            <w:r w:rsidRPr="004C540C">
              <w:rPr>
                <w:rFonts w:ascii="Arial" w:hAnsi="Arial" w:cs="Arial"/>
                <w:noProof/>
                <w:webHidden/>
              </w:rPr>
              <w:fldChar w:fldCharType="begin"/>
            </w:r>
            <w:r w:rsidRPr="004C540C">
              <w:rPr>
                <w:rFonts w:ascii="Arial" w:hAnsi="Arial" w:cs="Arial"/>
                <w:noProof/>
                <w:webHidden/>
              </w:rPr>
              <w:instrText xml:space="preserve"> PAGEREF _Toc237378363 \h </w:instrText>
            </w:r>
            <w:r w:rsidRPr="004C540C">
              <w:rPr>
                <w:rFonts w:ascii="Arial" w:hAnsi="Arial" w:cs="Arial"/>
                <w:noProof/>
                <w:webHidden/>
              </w:rPr>
            </w:r>
            <w:r w:rsidRPr="004C540C">
              <w:rPr>
                <w:rFonts w:ascii="Arial" w:hAnsi="Arial" w:cs="Arial"/>
                <w:noProof/>
                <w:webHidden/>
              </w:rPr>
              <w:fldChar w:fldCharType="separate"/>
            </w:r>
            <w:r w:rsidRPr="004C540C">
              <w:rPr>
                <w:rFonts w:ascii="Arial" w:hAnsi="Arial" w:cs="Arial"/>
                <w:noProof/>
                <w:webHidden/>
              </w:rPr>
              <w:t>9</w:t>
            </w:r>
            <w:r w:rsidRPr="004C540C">
              <w:rPr>
                <w:rFonts w:ascii="Arial" w:hAnsi="Arial" w:cs="Arial"/>
                <w:noProof/>
                <w:webHidden/>
              </w:rPr>
              <w:fldChar w:fldCharType="end"/>
            </w:r>
          </w:hyperlink>
        </w:p>
        <w:p w14:paraId="12AC474B" w14:textId="1149492A" w:rsidR="00CE5EEF" w:rsidRPr="004C540C" w:rsidRDefault="00CE5EEF" w:rsidP="004C540C">
          <w:pPr>
            <w:pStyle w:val="TOC2"/>
            <w:tabs>
              <w:tab w:val="right" w:leader="dot" w:pos="9016"/>
            </w:tabs>
            <w:jc w:val="both"/>
            <w:rPr>
              <w:rFonts w:ascii="Arial" w:eastAsiaTheme="minorEastAsia" w:hAnsi="Arial" w:cs="Arial"/>
              <w:noProof/>
              <w:kern w:val="2"/>
              <w:sz w:val="24"/>
              <w:szCs w:val="24"/>
              <w:lang w:eastAsia="en-IN" w:bidi="ar-SA"/>
              <w14:ligatures w14:val="standardContextual"/>
            </w:rPr>
          </w:pPr>
          <w:hyperlink w:anchor="_Toc237378364" w:history="1">
            <w:r w:rsidRPr="004C540C">
              <w:rPr>
                <w:rStyle w:val="Hyperlink"/>
                <w:rFonts w:ascii="Arial" w:hAnsi="Arial" w:cs="Arial"/>
                <w:noProof/>
              </w:rPr>
              <w:t>1.6 Cash Flow Analysis</w:t>
            </w:r>
            <w:r w:rsidRPr="004C540C">
              <w:rPr>
                <w:rFonts w:ascii="Arial" w:hAnsi="Arial" w:cs="Arial"/>
                <w:noProof/>
                <w:webHidden/>
              </w:rPr>
              <w:tab/>
            </w:r>
            <w:r w:rsidRPr="004C540C">
              <w:rPr>
                <w:rFonts w:ascii="Arial" w:hAnsi="Arial" w:cs="Arial"/>
                <w:noProof/>
                <w:webHidden/>
              </w:rPr>
              <w:fldChar w:fldCharType="begin"/>
            </w:r>
            <w:r w:rsidRPr="004C540C">
              <w:rPr>
                <w:rFonts w:ascii="Arial" w:hAnsi="Arial" w:cs="Arial"/>
                <w:noProof/>
                <w:webHidden/>
              </w:rPr>
              <w:instrText xml:space="preserve"> PAGEREF _Toc237378364 \h </w:instrText>
            </w:r>
            <w:r w:rsidRPr="004C540C">
              <w:rPr>
                <w:rFonts w:ascii="Arial" w:hAnsi="Arial" w:cs="Arial"/>
                <w:noProof/>
                <w:webHidden/>
              </w:rPr>
            </w:r>
            <w:r w:rsidRPr="004C540C">
              <w:rPr>
                <w:rFonts w:ascii="Arial" w:hAnsi="Arial" w:cs="Arial"/>
                <w:noProof/>
                <w:webHidden/>
              </w:rPr>
              <w:fldChar w:fldCharType="separate"/>
            </w:r>
            <w:r w:rsidRPr="004C540C">
              <w:rPr>
                <w:rFonts w:ascii="Arial" w:hAnsi="Arial" w:cs="Arial"/>
                <w:noProof/>
                <w:webHidden/>
              </w:rPr>
              <w:t>10</w:t>
            </w:r>
            <w:r w:rsidRPr="004C540C">
              <w:rPr>
                <w:rFonts w:ascii="Arial" w:hAnsi="Arial" w:cs="Arial"/>
                <w:noProof/>
                <w:webHidden/>
              </w:rPr>
              <w:fldChar w:fldCharType="end"/>
            </w:r>
          </w:hyperlink>
        </w:p>
        <w:p w14:paraId="5294009A" w14:textId="095BB40A" w:rsidR="00CE5EEF" w:rsidRPr="004C540C" w:rsidRDefault="00CE5EEF" w:rsidP="004C540C">
          <w:pPr>
            <w:pStyle w:val="TOC2"/>
            <w:tabs>
              <w:tab w:val="right" w:leader="dot" w:pos="9016"/>
            </w:tabs>
            <w:jc w:val="both"/>
            <w:rPr>
              <w:rFonts w:ascii="Arial" w:eastAsiaTheme="minorEastAsia" w:hAnsi="Arial" w:cs="Arial"/>
              <w:noProof/>
              <w:kern w:val="2"/>
              <w:sz w:val="24"/>
              <w:szCs w:val="24"/>
              <w:lang w:eastAsia="en-IN" w:bidi="ar-SA"/>
              <w14:ligatures w14:val="standardContextual"/>
            </w:rPr>
          </w:pPr>
          <w:hyperlink w:anchor="_Toc237378366" w:history="1">
            <w:r w:rsidRPr="004C540C">
              <w:rPr>
                <w:rStyle w:val="Hyperlink"/>
                <w:rFonts w:ascii="Arial" w:hAnsi="Arial" w:cs="Arial"/>
                <w:noProof/>
              </w:rPr>
              <w:t>1.7 Overall Financial Position (2021-2025)</w:t>
            </w:r>
            <w:r w:rsidRPr="004C540C">
              <w:rPr>
                <w:rFonts w:ascii="Arial" w:hAnsi="Arial" w:cs="Arial"/>
                <w:noProof/>
                <w:webHidden/>
              </w:rPr>
              <w:tab/>
            </w:r>
            <w:r w:rsidRPr="004C540C">
              <w:rPr>
                <w:rFonts w:ascii="Arial" w:hAnsi="Arial" w:cs="Arial"/>
                <w:noProof/>
                <w:webHidden/>
              </w:rPr>
              <w:fldChar w:fldCharType="begin"/>
            </w:r>
            <w:r w:rsidRPr="004C540C">
              <w:rPr>
                <w:rFonts w:ascii="Arial" w:hAnsi="Arial" w:cs="Arial"/>
                <w:noProof/>
                <w:webHidden/>
              </w:rPr>
              <w:instrText xml:space="preserve"> PAGEREF _Toc237378366 \h </w:instrText>
            </w:r>
            <w:r w:rsidRPr="004C540C">
              <w:rPr>
                <w:rFonts w:ascii="Arial" w:hAnsi="Arial" w:cs="Arial"/>
                <w:noProof/>
                <w:webHidden/>
              </w:rPr>
            </w:r>
            <w:r w:rsidRPr="004C540C">
              <w:rPr>
                <w:rFonts w:ascii="Arial" w:hAnsi="Arial" w:cs="Arial"/>
                <w:noProof/>
                <w:webHidden/>
              </w:rPr>
              <w:fldChar w:fldCharType="separate"/>
            </w:r>
            <w:r w:rsidRPr="004C540C">
              <w:rPr>
                <w:rFonts w:ascii="Arial" w:hAnsi="Arial" w:cs="Arial"/>
                <w:noProof/>
                <w:webHidden/>
              </w:rPr>
              <w:t>11</w:t>
            </w:r>
            <w:r w:rsidRPr="004C540C">
              <w:rPr>
                <w:rFonts w:ascii="Arial" w:hAnsi="Arial" w:cs="Arial"/>
                <w:noProof/>
                <w:webHidden/>
              </w:rPr>
              <w:fldChar w:fldCharType="end"/>
            </w:r>
          </w:hyperlink>
        </w:p>
        <w:p w14:paraId="12E803F7" w14:textId="19167F16" w:rsidR="00CE5EEF" w:rsidRPr="004C540C" w:rsidRDefault="00CE5EEF" w:rsidP="004C540C">
          <w:pPr>
            <w:pStyle w:val="TOC1"/>
            <w:tabs>
              <w:tab w:val="right" w:leader="dot" w:pos="9016"/>
            </w:tabs>
            <w:jc w:val="both"/>
            <w:rPr>
              <w:rFonts w:ascii="Arial" w:eastAsiaTheme="minorEastAsia" w:hAnsi="Arial" w:cs="Arial"/>
              <w:noProof/>
              <w:kern w:val="2"/>
              <w:sz w:val="24"/>
              <w:szCs w:val="24"/>
              <w:lang w:eastAsia="en-IN" w:bidi="ar-SA"/>
              <w14:ligatures w14:val="standardContextual"/>
            </w:rPr>
          </w:pPr>
          <w:hyperlink w:anchor="_Toc237378368" w:history="1">
            <w:r w:rsidRPr="004C540C">
              <w:rPr>
                <w:rStyle w:val="Hyperlink"/>
                <w:rFonts w:ascii="Arial" w:hAnsi="Arial" w:cs="Arial"/>
                <w:b/>
                <w:bCs/>
                <w:noProof/>
              </w:rPr>
              <w:t>2. Working Capital Management Analysis (2021–2025)</w:t>
            </w:r>
            <w:r w:rsidRPr="004C540C">
              <w:rPr>
                <w:rFonts w:ascii="Arial" w:hAnsi="Arial" w:cs="Arial"/>
                <w:noProof/>
                <w:webHidden/>
              </w:rPr>
              <w:tab/>
            </w:r>
            <w:r w:rsidRPr="004C540C">
              <w:rPr>
                <w:rFonts w:ascii="Arial" w:hAnsi="Arial" w:cs="Arial"/>
                <w:noProof/>
                <w:webHidden/>
              </w:rPr>
              <w:fldChar w:fldCharType="begin"/>
            </w:r>
            <w:r w:rsidRPr="004C540C">
              <w:rPr>
                <w:rFonts w:ascii="Arial" w:hAnsi="Arial" w:cs="Arial"/>
                <w:noProof/>
                <w:webHidden/>
              </w:rPr>
              <w:instrText xml:space="preserve"> PAGEREF _Toc237378368 \h </w:instrText>
            </w:r>
            <w:r w:rsidRPr="004C540C">
              <w:rPr>
                <w:rFonts w:ascii="Arial" w:hAnsi="Arial" w:cs="Arial"/>
                <w:noProof/>
                <w:webHidden/>
              </w:rPr>
            </w:r>
            <w:r w:rsidRPr="004C540C">
              <w:rPr>
                <w:rFonts w:ascii="Arial" w:hAnsi="Arial" w:cs="Arial"/>
                <w:noProof/>
                <w:webHidden/>
              </w:rPr>
              <w:fldChar w:fldCharType="separate"/>
            </w:r>
            <w:r w:rsidRPr="004C540C">
              <w:rPr>
                <w:rFonts w:ascii="Arial" w:hAnsi="Arial" w:cs="Arial"/>
                <w:noProof/>
                <w:webHidden/>
              </w:rPr>
              <w:t>11</w:t>
            </w:r>
            <w:r w:rsidRPr="004C540C">
              <w:rPr>
                <w:rFonts w:ascii="Arial" w:hAnsi="Arial" w:cs="Arial"/>
                <w:noProof/>
                <w:webHidden/>
              </w:rPr>
              <w:fldChar w:fldCharType="end"/>
            </w:r>
          </w:hyperlink>
        </w:p>
        <w:p w14:paraId="69ECE369" w14:textId="5F54C5D7" w:rsidR="00CE5EEF" w:rsidRPr="004C540C" w:rsidRDefault="00CE5EEF" w:rsidP="004C540C">
          <w:pPr>
            <w:pStyle w:val="TOC2"/>
            <w:tabs>
              <w:tab w:val="right" w:leader="dot" w:pos="9016"/>
            </w:tabs>
            <w:jc w:val="both"/>
            <w:rPr>
              <w:rFonts w:ascii="Arial" w:eastAsiaTheme="minorEastAsia" w:hAnsi="Arial" w:cs="Arial"/>
              <w:noProof/>
              <w:kern w:val="2"/>
              <w:sz w:val="24"/>
              <w:szCs w:val="24"/>
              <w:lang w:eastAsia="en-IN" w:bidi="ar-SA"/>
              <w14:ligatures w14:val="standardContextual"/>
            </w:rPr>
          </w:pPr>
          <w:hyperlink w:anchor="_Toc237378369" w:history="1">
            <w:r w:rsidRPr="004C540C">
              <w:rPr>
                <w:rStyle w:val="Hyperlink"/>
                <w:rFonts w:ascii="Arial" w:hAnsi="Arial" w:cs="Arial"/>
                <w:noProof/>
              </w:rPr>
              <w:t>2.1 Cash Operating Cycle</w:t>
            </w:r>
            <w:r w:rsidRPr="004C540C">
              <w:rPr>
                <w:rFonts w:ascii="Arial" w:hAnsi="Arial" w:cs="Arial"/>
                <w:noProof/>
                <w:webHidden/>
              </w:rPr>
              <w:tab/>
            </w:r>
            <w:r w:rsidRPr="004C540C">
              <w:rPr>
                <w:rFonts w:ascii="Arial" w:hAnsi="Arial" w:cs="Arial"/>
                <w:noProof/>
                <w:webHidden/>
              </w:rPr>
              <w:fldChar w:fldCharType="begin"/>
            </w:r>
            <w:r w:rsidRPr="004C540C">
              <w:rPr>
                <w:rFonts w:ascii="Arial" w:hAnsi="Arial" w:cs="Arial"/>
                <w:noProof/>
                <w:webHidden/>
              </w:rPr>
              <w:instrText xml:space="preserve"> PAGEREF _Toc237378369 \h </w:instrText>
            </w:r>
            <w:r w:rsidRPr="004C540C">
              <w:rPr>
                <w:rFonts w:ascii="Arial" w:hAnsi="Arial" w:cs="Arial"/>
                <w:noProof/>
                <w:webHidden/>
              </w:rPr>
            </w:r>
            <w:r w:rsidRPr="004C540C">
              <w:rPr>
                <w:rFonts w:ascii="Arial" w:hAnsi="Arial" w:cs="Arial"/>
                <w:noProof/>
                <w:webHidden/>
              </w:rPr>
              <w:fldChar w:fldCharType="separate"/>
            </w:r>
            <w:r w:rsidRPr="004C540C">
              <w:rPr>
                <w:rFonts w:ascii="Arial" w:hAnsi="Arial" w:cs="Arial"/>
                <w:noProof/>
                <w:webHidden/>
              </w:rPr>
              <w:t>11</w:t>
            </w:r>
            <w:r w:rsidRPr="004C540C">
              <w:rPr>
                <w:rFonts w:ascii="Arial" w:hAnsi="Arial" w:cs="Arial"/>
                <w:noProof/>
                <w:webHidden/>
              </w:rPr>
              <w:fldChar w:fldCharType="end"/>
            </w:r>
          </w:hyperlink>
        </w:p>
        <w:p w14:paraId="3FDD1454" w14:textId="19B91A2D" w:rsidR="00CE5EEF" w:rsidRPr="004C540C" w:rsidRDefault="00CE5EEF" w:rsidP="004C540C">
          <w:pPr>
            <w:pStyle w:val="TOC2"/>
            <w:tabs>
              <w:tab w:val="right" w:leader="dot" w:pos="9016"/>
            </w:tabs>
            <w:jc w:val="both"/>
            <w:rPr>
              <w:rFonts w:ascii="Arial" w:eastAsiaTheme="minorEastAsia" w:hAnsi="Arial" w:cs="Arial"/>
              <w:noProof/>
              <w:kern w:val="2"/>
              <w:sz w:val="24"/>
              <w:szCs w:val="24"/>
              <w:lang w:eastAsia="en-IN" w:bidi="ar-SA"/>
              <w14:ligatures w14:val="standardContextual"/>
            </w:rPr>
          </w:pPr>
          <w:hyperlink w:anchor="_Toc237378370" w:history="1">
            <w:r w:rsidRPr="004C540C">
              <w:rPr>
                <w:rStyle w:val="Hyperlink"/>
                <w:rFonts w:ascii="Arial" w:hAnsi="Arial" w:cs="Arial"/>
                <w:noProof/>
              </w:rPr>
              <w:t>2.2 Strategies to Improve Liquidity</w:t>
            </w:r>
            <w:r w:rsidRPr="004C540C">
              <w:rPr>
                <w:rFonts w:ascii="Arial" w:hAnsi="Arial" w:cs="Arial"/>
                <w:noProof/>
                <w:webHidden/>
              </w:rPr>
              <w:tab/>
            </w:r>
            <w:r w:rsidRPr="004C540C">
              <w:rPr>
                <w:rFonts w:ascii="Arial" w:hAnsi="Arial" w:cs="Arial"/>
                <w:noProof/>
                <w:webHidden/>
              </w:rPr>
              <w:fldChar w:fldCharType="begin"/>
            </w:r>
            <w:r w:rsidRPr="004C540C">
              <w:rPr>
                <w:rFonts w:ascii="Arial" w:hAnsi="Arial" w:cs="Arial"/>
                <w:noProof/>
                <w:webHidden/>
              </w:rPr>
              <w:instrText xml:space="preserve"> PAGEREF _Toc237378370 \h </w:instrText>
            </w:r>
            <w:r w:rsidRPr="004C540C">
              <w:rPr>
                <w:rFonts w:ascii="Arial" w:hAnsi="Arial" w:cs="Arial"/>
                <w:noProof/>
                <w:webHidden/>
              </w:rPr>
            </w:r>
            <w:r w:rsidRPr="004C540C">
              <w:rPr>
                <w:rFonts w:ascii="Arial" w:hAnsi="Arial" w:cs="Arial"/>
                <w:noProof/>
                <w:webHidden/>
              </w:rPr>
              <w:fldChar w:fldCharType="separate"/>
            </w:r>
            <w:r w:rsidRPr="004C540C">
              <w:rPr>
                <w:rFonts w:ascii="Arial" w:hAnsi="Arial" w:cs="Arial"/>
                <w:noProof/>
                <w:webHidden/>
              </w:rPr>
              <w:t>13</w:t>
            </w:r>
            <w:r w:rsidRPr="004C540C">
              <w:rPr>
                <w:rFonts w:ascii="Arial" w:hAnsi="Arial" w:cs="Arial"/>
                <w:noProof/>
                <w:webHidden/>
              </w:rPr>
              <w:fldChar w:fldCharType="end"/>
            </w:r>
          </w:hyperlink>
        </w:p>
        <w:p w14:paraId="1F61A48C" w14:textId="181EDE12" w:rsidR="00CE5EEF" w:rsidRPr="004C540C" w:rsidRDefault="00CE5EEF" w:rsidP="004C540C">
          <w:pPr>
            <w:pStyle w:val="TOC2"/>
            <w:tabs>
              <w:tab w:val="right" w:leader="dot" w:pos="9016"/>
            </w:tabs>
            <w:jc w:val="both"/>
            <w:rPr>
              <w:rFonts w:ascii="Arial" w:eastAsiaTheme="minorEastAsia" w:hAnsi="Arial" w:cs="Arial"/>
              <w:noProof/>
              <w:kern w:val="2"/>
              <w:sz w:val="24"/>
              <w:szCs w:val="24"/>
              <w:lang w:eastAsia="en-IN" w:bidi="ar-SA"/>
              <w14:ligatures w14:val="standardContextual"/>
            </w:rPr>
          </w:pPr>
          <w:hyperlink w:anchor="_Toc237378371" w:history="1">
            <w:r w:rsidRPr="004C540C">
              <w:rPr>
                <w:rStyle w:val="Hyperlink"/>
                <w:rFonts w:ascii="Arial" w:hAnsi="Arial" w:cs="Arial"/>
                <w:noProof/>
              </w:rPr>
              <w:t>2.3 Financing Options</w:t>
            </w:r>
            <w:r w:rsidRPr="004C540C">
              <w:rPr>
                <w:rFonts w:ascii="Arial" w:hAnsi="Arial" w:cs="Arial"/>
                <w:noProof/>
                <w:webHidden/>
              </w:rPr>
              <w:tab/>
            </w:r>
            <w:r w:rsidRPr="004C540C">
              <w:rPr>
                <w:rFonts w:ascii="Arial" w:hAnsi="Arial" w:cs="Arial"/>
                <w:noProof/>
                <w:webHidden/>
              </w:rPr>
              <w:fldChar w:fldCharType="begin"/>
            </w:r>
            <w:r w:rsidRPr="004C540C">
              <w:rPr>
                <w:rFonts w:ascii="Arial" w:hAnsi="Arial" w:cs="Arial"/>
                <w:noProof/>
                <w:webHidden/>
              </w:rPr>
              <w:instrText xml:space="preserve"> PAGEREF _Toc237378371 \h </w:instrText>
            </w:r>
            <w:r w:rsidRPr="004C540C">
              <w:rPr>
                <w:rFonts w:ascii="Arial" w:hAnsi="Arial" w:cs="Arial"/>
                <w:noProof/>
                <w:webHidden/>
              </w:rPr>
            </w:r>
            <w:r w:rsidRPr="004C540C">
              <w:rPr>
                <w:rFonts w:ascii="Arial" w:hAnsi="Arial" w:cs="Arial"/>
                <w:noProof/>
                <w:webHidden/>
              </w:rPr>
              <w:fldChar w:fldCharType="separate"/>
            </w:r>
            <w:r w:rsidRPr="004C540C">
              <w:rPr>
                <w:rFonts w:ascii="Arial" w:hAnsi="Arial" w:cs="Arial"/>
                <w:noProof/>
                <w:webHidden/>
              </w:rPr>
              <w:t>13</w:t>
            </w:r>
            <w:r w:rsidRPr="004C540C">
              <w:rPr>
                <w:rFonts w:ascii="Arial" w:hAnsi="Arial" w:cs="Arial"/>
                <w:noProof/>
                <w:webHidden/>
              </w:rPr>
              <w:fldChar w:fldCharType="end"/>
            </w:r>
          </w:hyperlink>
        </w:p>
        <w:p w14:paraId="7FF25404" w14:textId="19135747" w:rsidR="00CE5EEF" w:rsidRPr="004C540C" w:rsidRDefault="00CE5EEF" w:rsidP="004C540C">
          <w:pPr>
            <w:pStyle w:val="TOC1"/>
            <w:tabs>
              <w:tab w:val="right" w:leader="dot" w:pos="9016"/>
            </w:tabs>
            <w:jc w:val="both"/>
            <w:rPr>
              <w:rFonts w:ascii="Arial" w:eastAsiaTheme="minorEastAsia" w:hAnsi="Arial" w:cs="Arial"/>
              <w:noProof/>
              <w:kern w:val="2"/>
              <w:sz w:val="24"/>
              <w:szCs w:val="24"/>
              <w:lang w:eastAsia="en-IN" w:bidi="ar-SA"/>
              <w14:ligatures w14:val="standardContextual"/>
            </w:rPr>
          </w:pPr>
          <w:hyperlink w:anchor="_Toc237378372" w:history="1">
            <w:r w:rsidRPr="004C540C">
              <w:rPr>
                <w:rStyle w:val="Hyperlink"/>
                <w:rFonts w:ascii="Arial" w:hAnsi="Arial" w:cs="Arial"/>
                <w:b/>
                <w:bCs/>
                <w:noProof/>
              </w:rPr>
              <w:t>3. Strategic Financial Restructuring Plan (2021–2025)</w:t>
            </w:r>
            <w:r w:rsidRPr="004C540C">
              <w:rPr>
                <w:rFonts w:ascii="Arial" w:hAnsi="Arial" w:cs="Arial"/>
                <w:noProof/>
                <w:webHidden/>
              </w:rPr>
              <w:tab/>
            </w:r>
            <w:r w:rsidRPr="004C540C">
              <w:rPr>
                <w:rFonts w:ascii="Arial" w:hAnsi="Arial" w:cs="Arial"/>
                <w:noProof/>
                <w:webHidden/>
              </w:rPr>
              <w:fldChar w:fldCharType="begin"/>
            </w:r>
            <w:r w:rsidRPr="004C540C">
              <w:rPr>
                <w:rFonts w:ascii="Arial" w:hAnsi="Arial" w:cs="Arial"/>
                <w:noProof/>
                <w:webHidden/>
              </w:rPr>
              <w:instrText xml:space="preserve"> PAGEREF _Toc237378372 \h </w:instrText>
            </w:r>
            <w:r w:rsidRPr="004C540C">
              <w:rPr>
                <w:rFonts w:ascii="Arial" w:hAnsi="Arial" w:cs="Arial"/>
                <w:noProof/>
                <w:webHidden/>
              </w:rPr>
            </w:r>
            <w:r w:rsidRPr="004C540C">
              <w:rPr>
                <w:rFonts w:ascii="Arial" w:hAnsi="Arial" w:cs="Arial"/>
                <w:noProof/>
                <w:webHidden/>
              </w:rPr>
              <w:fldChar w:fldCharType="separate"/>
            </w:r>
            <w:r w:rsidRPr="004C540C">
              <w:rPr>
                <w:rFonts w:ascii="Arial" w:hAnsi="Arial" w:cs="Arial"/>
                <w:noProof/>
                <w:webHidden/>
              </w:rPr>
              <w:t>15</w:t>
            </w:r>
            <w:r w:rsidRPr="004C540C">
              <w:rPr>
                <w:rFonts w:ascii="Arial" w:hAnsi="Arial" w:cs="Arial"/>
                <w:noProof/>
                <w:webHidden/>
              </w:rPr>
              <w:fldChar w:fldCharType="end"/>
            </w:r>
          </w:hyperlink>
        </w:p>
        <w:p w14:paraId="7B17BEBE" w14:textId="5CEB0507" w:rsidR="00CE5EEF" w:rsidRPr="004C540C" w:rsidRDefault="00CE5EEF" w:rsidP="004C540C">
          <w:pPr>
            <w:pStyle w:val="TOC2"/>
            <w:tabs>
              <w:tab w:val="right" w:leader="dot" w:pos="9016"/>
            </w:tabs>
            <w:jc w:val="both"/>
            <w:rPr>
              <w:rFonts w:ascii="Arial" w:eastAsiaTheme="minorEastAsia" w:hAnsi="Arial" w:cs="Arial"/>
              <w:noProof/>
              <w:kern w:val="2"/>
              <w:sz w:val="24"/>
              <w:szCs w:val="24"/>
              <w:lang w:eastAsia="en-IN" w:bidi="ar-SA"/>
              <w14:ligatures w14:val="standardContextual"/>
            </w:rPr>
          </w:pPr>
          <w:hyperlink w:anchor="_Toc237378373" w:history="1">
            <w:r w:rsidRPr="004C540C">
              <w:rPr>
                <w:rStyle w:val="Hyperlink"/>
                <w:rFonts w:ascii="Arial" w:hAnsi="Arial" w:cs="Arial"/>
                <w:noProof/>
              </w:rPr>
              <w:t>3.1 Recommended Strategies</w:t>
            </w:r>
            <w:r w:rsidRPr="004C540C">
              <w:rPr>
                <w:rFonts w:ascii="Arial" w:hAnsi="Arial" w:cs="Arial"/>
                <w:noProof/>
                <w:webHidden/>
              </w:rPr>
              <w:tab/>
            </w:r>
            <w:r w:rsidRPr="004C540C">
              <w:rPr>
                <w:rFonts w:ascii="Arial" w:hAnsi="Arial" w:cs="Arial"/>
                <w:noProof/>
                <w:webHidden/>
              </w:rPr>
              <w:fldChar w:fldCharType="begin"/>
            </w:r>
            <w:r w:rsidRPr="004C540C">
              <w:rPr>
                <w:rFonts w:ascii="Arial" w:hAnsi="Arial" w:cs="Arial"/>
                <w:noProof/>
                <w:webHidden/>
              </w:rPr>
              <w:instrText xml:space="preserve"> PAGEREF _Toc237378373 \h </w:instrText>
            </w:r>
            <w:r w:rsidRPr="004C540C">
              <w:rPr>
                <w:rFonts w:ascii="Arial" w:hAnsi="Arial" w:cs="Arial"/>
                <w:noProof/>
                <w:webHidden/>
              </w:rPr>
            </w:r>
            <w:r w:rsidRPr="004C540C">
              <w:rPr>
                <w:rFonts w:ascii="Arial" w:hAnsi="Arial" w:cs="Arial"/>
                <w:noProof/>
                <w:webHidden/>
              </w:rPr>
              <w:fldChar w:fldCharType="separate"/>
            </w:r>
            <w:r w:rsidRPr="004C540C">
              <w:rPr>
                <w:rFonts w:ascii="Arial" w:hAnsi="Arial" w:cs="Arial"/>
                <w:noProof/>
                <w:webHidden/>
              </w:rPr>
              <w:t>15</w:t>
            </w:r>
            <w:r w:rsidRPr="004C540C">
              <w:rPr>
                <w:rFonts w:ascii="Arial" w:hAnsi="Arial" w:cs="Arial"/>
                <w:noProof/>
                <w:webHidden/>
              </w:rPr>
              <w:fldChar w:fldCharType="end"/>
            </w:r>
          </w:hyperlink>
        </w:p>
        <w:p w14:paraId="58FD66DF" w14:textId="5A10535B" w:rsidR="00CE5EEF" w:rsidRPr="004C540C" w:rsidRDefault="00CE5EEF" w:rsidP="004C540C">
          <w:pPr>
            <w:pStyle w:val="TOC2"/>
            <w:tabs>
              <w:tab w:val="right" w:leader="dot" w:pos="9016"/>
            </w:tabs>
            <w:jc w:val="both"/>
            <w:rPr>
              <w:rFonts w:ascii="Arial" w:eastAsiaTheme="minorEastAsia" w:hAnsi="Arial" w:cs="Arial"/>
              <w:noProof/>
              <w:kern w:val="2"/>
              <w:sz w:val="24"/>
              <w:szCs w:val="24"/>
              <w:lang w:eastAsia="en-IN" w:bidi="ar-SA"/>
              <w14:ligatures w14:val="standardContextual"/>
            </w:rPr>
          </w:pPr>
          <w:hyperlink w:anchor="_Toc237378375" w:history="1">
            <w:r w:rsidRPr="004C540C">
              <w:rPr>
                <w:rStyle w:val="Hyperlink"/>
                <w:rFonts w:ascii="Arial" w:hAnsi="Arial" w:cs="Arial"/>
                <w:noProof/>
              </w:rPr>
              <w:t>3.2 Expected Impact on Financial Performance</w:t>
            </w:r>
            <w:r w:rsidRPr="004C540C">
              <w:rPr>
                <w:rFonts w:ascii="Arial" w:hAnsi="Arial" w:cs="Arial"/>
                <w:noProof/>
                <w:webHidden/>
              </w:rPr>
              <w:tab/>
            </w:r>
            <w:r w:rsidRPr="004C540C">
              <w:rPr>
                <w:rFonts w:ascii="Arial" w:hAnsi="Arial" w:cs="Arial"/>
                <w:noProof/>
                <w:webHidden/>
              </w:rPr>
              <w:fldChar w:fldCharType="begin"/>
            </w:r>
            <w:r w:rsidRPr="004C540C">
              <w:rPr>
                <w:rFonts w:ascii="Arial" w:hAnsi="Arial" w:cs="Arial"/>
                <w:noProof/>
                <w:webHidden/>
              </w:rPr>
              <w:instrText xml:space="preserve"> PAGEREF _Toc237378375 \h </w:instrText>
            </w:r>
            <w:r w:rsidRPr="004C540C">
              <w:rPr>
                <w:rFonts w:ascii="Arial" w:hAnsi="Arial" w:cs="Arial"/>
                <w:noProof/>
                <w:webHidden/>
              </w:rPr>
            </w:r>
            <w:r w:rsidRPr="004C540C">
              <w:rPr>
                <w:rFonts w:ascii="Arial" w:hAnsi="Arial" w:cs="Arial"/>
                <w:noProof/>
                <w:webHidden/>
              </w:rPr>
              <w:fldChar w:fldCharType="separate"/>
            </w:r>
            <w:r w:rsidRPr="004C540C">
              <w:rPr>
                <w:rFonts w:ascii="Arial" w:hAnsi="Arial" w:cs="Arial"/>
                <w:noProof/>
                <w:webHidden/>
              </w:rPr>
              <w:t>16</w:t>
            </w:r>
            <w:r w:rsidRPr="004C540C">
              <w:rPr>
                <w:rFonts w:ascii="Arial" w:hAnsi="Arial" w:cs="Arial"/>
                <w:noProof/>
                <w:webHidden/>
              </w:rPr>
              <w:fldChar w:fldCharType="end"/>
            </w:r>
          </w:hyperlink>
        </w:p>
        <w:p w14:paraId="0C606FED" w14:textId="15B8846D" w:rsidR="00CE5EEF" w:rsidRPr="004C540C" w:rsidRDefault="00CE5EEF" w:rsidP="004C540C">
          <w:pPr>
            <w:pStyle w:val="TOC2"/>
            <w:tabs>
              <w:tab w:val="right" w:leader="dot" w:pos="9016"/>
            </w:tabs>
            <w:jc w:val="both"/>
            <w:rPr>
              <w:rFonts w:ascii="Arial" w:eastAsiaTheme="minorEastAsia" w:hAnsi="Arial" w:cs="Arial"/>
              <w:noProof/>
              <w:kern w:val="2"/>
              <w:sz w:val="24"/>
              <w:szCs w:val="24"/>
              <w:lang w:eastAsia="en-IN" w:bidi="ar-SA"/>
              <w14:ligatures w14:val="standardContextual"/>
            </w:rPr>
          </w:pPr>
          <w:hyperlink w:anchor="_Toc237378376" w:history="1">
            <w:r w:rsidRPr="004C540C">
              <w:rPr>
                <w:rStyle w:val="Hyperlink"/>
                <w:rFonts w:ascii="Arial" w:hAnsi="Arial" w:cs="Arial"/>
                <w:noProof/>
              </w:rPr>
              <w:t>3.3 International and Ethical Considerations (2021–2025)</w:t>
            </w:r>
            <w:r w:rsidRPr="004C540C">
              <w:rPr>
                <w:rFonts w:ascii="Arial" w:hAnsi="Arial" w:cs="Arial"/>
                <w:noProof/>
                <w:webHidden/>
              </w:rPr>
              <w:tab/>
            </w:r>
            <w:r w:rsidRPr="004C540C">
              <w:rPr>
                <w:rFonts w:ascii="Arial" w:hAnsi="Arial" w:cs="Arial"/>
                <w:noProof/>
                <w:webHidden/>
              </w:rPr>
              <w:fldChar w:fldCharType="begin"/>
            </w:r>
            <w:r w:rsidRPr="004C540C">
              <w:rPr>
                <w:rFonts w:ascii="Arial" w:hAnsi="Arial" w:cs="Arial"/>
                <w:noProof/>
                <w:webHidden/>
              </w:rPr>
              <w:instrText xml:space="preserve"> PAGEREF _Toc237378376 \h </w:instrText>
            </w:r>
            <w:r w:rsidRPr="004C540C">
              <w:rPr>
                <w:rFonts w:ascii="Arial" w:hAnsi="Arial" w:cs="Arial"/>
                <w:noProof/>
                <w:webHidden/>
              </w:rPr>
            </w:r>
            <w:r w:rsidRPr="004C540C">
              <w:rPr>
                <w:rFonts w:ascii="Arial" w:hAnsi="Arial" w:cs="Arial"/>
                <w:noProof/>
                <w:webHidden/>
              </w:rPr>
              <w:fldChar w:fldCharType="separate"/>
            </w:r>
            <w:r w:rsidRPr="004C540C">
              <w:rPr>
                <w:rFonts w:ascii="Arial" w:hAnsi="Arial" w:cs="Arial"/>
                <w:noProof/>
                <w:webHidden/>
              </w:rPr>
              <w:t>16</w:t>
            </w:r>
            <w:r w:rsidRPr="004C540C">
              <w:rPr>
                <w:rFonts w:ascii="Arial" w:hAnsi="Arial" w:cs="Arial"/>
                <w:noProof/>
                <w:webHidden/>
              </w:rPr>
              <w:fldChar w:fldCharType="end"/>
            </w:r>
          </w:hyperlink>
        </w:p>
        <w:p w14:paraId="6AB294B0" w14:textId="06A77AB1" w:rsidR="00CE5EEF" w:rsidRPr="004C540C" w:rsidRDefault="00CE5EEF" w:rsidP="004C540C">
          <w:pPr>
            <w:pStyle w:val="TOC1"/>
            <w:tabs>
              <w:tab w:val="right" w:leader="dot" w:pos="9016"/>
            </w:tabs>
            <w:jc w:val="both"/>
            <w:rPr>
              <w:rFonts w:ascii="Arial" w:eastAsiaTheme="minorEastAsia" w:hAnsi="Arial" w:cs="Arial"/>
              <w:noProof/>
              <w:kern w:val="2"/>
              <w:sz w:val="24"/>
              <w:szCs w:val="24"/>
              <w:lang w:eastAsia="en-IN" w:bidi="ar-SA"/>
              <w14:ligatures w14:val="standardContextual"/>
            </w:rPr>
          </w:pPr>
          <w:hyperlink w:anchor="_Toc237378377" w:history="1">
            <w:r w:rsidRPr="004C540C">
              <w:rPr>
                <w:rStyle w:val="Hyperlink"/>
                <w:rFonts w:ascii="Arial" w:hAnsi="Arial" w:cs="Arial"/>
                <w:b/>
                <w:bCs/>
                <w:noProof/>
              </w:rPr>
              <w:t>4. Investment Appraisal and Capital Budgeting (2021–2025)</w:t>
            </w:r>
            <w:r w:rsidRPr="004C540C">
              <w:rPr>
                <w:rFonts w:ascii="Arial" w:hAnsi="Arial" w:cs="Arial"/>
                <w:noProof/>
                <w:webHidden/>
              </w:rPr>
              <w:tab/>
            </w:r>
            <w:r w:rsidRPr="004C540C">
              <w:rPr>
                <w:rFonts w:ascii="Arial" w:hAnsi="Arial" w:cs="Arial"/>
                <w:noProof/>
                <w:webHidden/>
              </w:rPr>
              <w:fldChar w:fldCharType="begin"/>
            </w:r>
            <w:r w:rsidRPr="004C540C">
              <w:rPr>
                <w:rFonts w:ascii="Arial" w:hAnsi="Arial" w:cs="Arial"/>
                <w:noProof/>
                <w:webHidden/>
              </w:rPr>
              <w:instrText xml:space="preserve"> PAGEREF _Toc237378377 \h </w:instrText>
            </w:r>
            <w:r w:rsidRPr="004C540C">
              <w:rPr>
                <w:rFonts w:ascii="Arial" w:hAnsi="Arial" w:cs="Arial"/>
                <w:noProof/>
                <w:webHidden/>
              </w:rPr>
            </w:r>
            <w:r w:rsidRPr="004C540C">
              <w:rPr>
                <w:rFonts w:ascii="Arial" w:hAnsi="Arial" w:cs="Arial"/>
                <w:noProof/>
                <w:webHidden/>
              </w:rPr>
              <w:fldChar w:fldCharType="separate"/>
            </w:r>
            <w:r w:rsidRPr="004C540C">
              <w:rPr>
                <w:rFonts w:ascii="Arial" w:hAnsi="Arial" w:cs="Arial"/>
                <w:noProof/>
                <w:webHidden/>
              </w:rPr>
              <w:t>17</w:t>
            </w:r>
            <w:r w:rsidRPr="004C540C">
              <w:rPr>
                <w:rFonts w:ascii="Arial" w:hAnsi="Arial" w:cs="Arial"/>
                <w:noProof/>
                <w:webHidden/>
              </w:rPr>
              <w:fldChar w:fldCharType="end"/>
            </w:r>
          </w:hyperlink>
        </w:p>
        <w:p w14:paraId="5FFF099D" w14:textId="2ED8C9D2" w:rsidR="00CE5EEF" w:rsidRPr="004C540C" w:rsidRDefault="00CE5EEF" w:rsidP="004C540C">
          <w:pPr>
            <w:pStyle w:val="TOC2"/>
            <w:tabs>
              <w:tab w:val="right" w:leader="dot" w:pos="9016"/>
            </w:tabs>
            <w:jc w:val="both"/>
            <w:rPr>
              <w:rFonts w:ascii="Arial" w:eastAsiaTheme="minorEastAsia" w:hAnsi="Arial" w:cs="Arial"/>
              <w:noProof/>
              <w:kern w:val="2"/>
              <w:sz w:val="24"/>
              <w:szCs w:val="24"/>
              <w:lang w:eastAsia="en-IN" w:bidi="ar-SA"/>
              <w14:ligatures w14:val="standardContextual"/>
            </w:rPr>
          </w:pPr>
          <w:hyperlink w:anchor="_Toc237378378" w:history="1">
            <w:r w:rsidRPr="004C540C">
              <w:rPr>
                <w:rStyle w:val="Hyperlink"/>
                <w:rFonts w:ascii="Arial" w:hAnsi="Arial" w:cs="Arial"/>
                <w:b/>
                <w:bCs/>
                <w:noProof/>
              </w:rPr>
              <w:t>4.1 Evaluation of Investment Projects</w:t>
            </w:r>
            <w:r w:rsidRPr="004C540C">
              <w:rPr>
                <w:rFonts w:ascii="Arial" w:hAnsi="Arial" w:cs="Arial"/>
                <w:noProof/>
                <w:webHidden/>
              </w:rPr>
              <w:tab/>
            </w:r>
            <w:r w:rsidRPr="004C540C">
              <w:rPr>
                <w:rFonts w:ascii="Arial" w:hAnsi="Arial" w:cs="Arial"/>
                <w:noProof/>
                <w:webHidden/>
              </w:rPr>
              <w:fldChar w:fldCharType="begin"/>
            </w:r>
            <w:r w:rsidRPr="004C540C">
              <w:rPr>
                <w:rFonts w:ascii="Arial" w:hAnsi="Arial" w:cs="Arial"/>
                <w:noProof/>
                <w:webHidden/>
              </w:rPr>
              <w:instrText xml:space="preserve"> PAGEREF _Toc237378378 \h </w:instrText>
            </w:r>
            <w:r w:rsidRPr="004C540C">
              <w:rPr>
                <w:rFonts w:ascii="Arial" w:hAnsi="Arial" w:cs="Arial"/>
                <w:noProof/>
                <w:webHidden/>
              </w:rPr>
            </w:r>
            <w:r w:rsidRPr="004C540C">
              <w:rPr>
                <w:rFonts w:ascii="Arial" w:hAnsi="Arial" w:cs="Arial"/>
                <w:noProof/>
                <w:webHidden/>
              </w:rPr>
              <w:fldChar w:fldCharType="separate"/>
            </w:r>
            <w:r w:rsidRPr="004C540C">
              <w:rPr>
                <w:rFonts w:ascii="Arial" w:hAnsi="Arial" w:cs="Arial"/>
                <w:noProof/>
                <w:webHidden/>
              </w:rPr>
              <w:t>17</w:t>
            </w:r>
            <w:r w:rsidRPr="004C540C">
              <w:rPr>
                <w:rFonts w:ascii="Arial" w:hAnsi="Arial" w:cs="Arial"/>
                <w:noProof/>
                <w:webHidden/>
              </w:rPr>
              <w:fldChar w:fldCharType="end"/>
            </w:r>
          </w:hyperlink>
        </w:p>
        <w:p w14:paraId="5620B888" w14:textId="581DD3BD" w:rsidR="00CE5EEF" w:rsidRPr="004C540C" w:rsidRDefault="00CE5EEF" w:rsidP="004C540C">
          <w:pPr>
            <w:pStyle w:val="TOC2"/>
            <w:tabs>
              <w:tab w:val="right" w:leader="dot" w:pos="9016"/>
            </w:tabs>
            <w:jc w:val="both"/>
            <w:rPr>
              <w:rFonts w:ascii="Arial" w:eastAsiaTheme="minorEastAsia" w:hAnsi="Arial" w:cs="Arial"/>
              <w:noProof/>
              <w:kern w:val="2"/>
              <w:sz w:val="24"/>
              <w:szCs w:val="24"/>
              <w:lang w:eastAsia="en-IN" w:bidi="ar-SA"/>
              <w14:ligatures w14:val="standardContextual"/>
            </w:rPr>
          </w:pPr>
          <w:hyperlink w:anchor="_Toc237378379" w:history="1">
            <w:r w:rsidRPr="004C540C">
              <w:rPr>
                <w:rStyle w:val="Hyperlink"/>
                <w:rFonts w:ascii="Arial" w:hAnsi="Arial" w:cs="Arial"/>
                <w:b/>
                <w:bCs/>
                <w:noProof/>
              </w:rPr>
              <w:t>Payback Period</w:t>
            </w:r>
            <w:r w:rsidRPr="004C540C">
              <w:rPr>
                <w:rFonts w:ascii="Arial" w:hAnsi="Arial" w:cs="Arial"/>
                <w:noProof/>
                <w:webHidden/>
              </w:rPr>
              <w:tab/>
            </w:r>
            <w:r w:rsidRPr="004C540C">
              <w:rPr>
                <w:rFonts w:ascii="Arial" w:hAnsi="Arial" w:cs="Arial"/>
                <w:noProof/>
                <w:webHidden/>
              </w:rPr>
              <w:fldChar w:fldCharType="begin"/>
            </w:r>
            <w:r w:rsidRPr="004C540C">
              <w:rPr>
                <w:rFonts w:ascii="Arial" w:hAnsi="Arial" w:cs="Arial"/>
                <w:noProof/>
                <w:webHidden/>
              </w:rPr>
              <w:instrText xml:space="preserve"> PAGEREF _Toc237378379 \h </w:instrText>
            </w:r>
            <w:r w:rsidRPr="004C540C">
              <w:rPr>
                <w:rFonts w:ascii="Arial" w:hAnsi="Arial" w:cs="Arial"/>
                <w:noProof/>
                <w:webHidden/>
              </w:rPr>
            </w:r>
            <w:r w:rsidRPr="004C540C">
              <w:rPr>
                <w:rFonts w:ascii="Arial" w:hAnsi="Arial" w:cs="Arial"/>
                <w:noProof/>
                <w:webHidden/>
              </w:rPr>
              <w:fldChar w:fldCharType="separate"/>
            </w:r>
            <w:r w:rsidRPr="004C540C">
              <w:rPr>
                <w:rFonts w:ascii="Arial" w:hAnsi="Arial" w:cs="Arial"/>
                <w:noProof/>
                <w:webHidden/>
              </w:rPr>
              <w:t>18</w:t>
            </w:r>
            <w:r w:rsidRPr="004C540C">
              <w:rPr>
                <w:rFonts w:ascii="Arial" w:hAnsi="Arial" w:cs="Arial"/>
                <w:noProof/>
                <w:webHidden/>
              </w:rPr>
              <w:fldChar w:fldCharType="end"/>
            </w:r>
          </w:hyperlink>
        </w:p>
        <w:p w14:paraId="405413D8" w14:textId="39ABA632" w:rsidR="00CE5EEF" w:rsidRPr="004C540C" w:rsidRDefault="00CE5EEF" w:rsidP="004C540C">
          <w:pPr>
            <w:pStyle w:val="TOC2"/>
            <w:tabs>
              <w:tab w:val="right" w:leader="dot" w:pos="9016"/>
            </w:tabs>
            <w:jc w:val="both"/>
            <w:rPr>
              <w:rFonts w:ascii="Arial" w:eastAsiaTheme="minorEastAsia" w:hAnsi="Arial" w:cs="Arial"/>
              <w:noProof/>
              <w:kern w:val="2"/>
              <w:sz w:val="24"/>
              <w:szCs w:val="24"/>
              <w:lang w:eastAsia="en-IN" w:bidi="ar-SA"/>
              <w14:ligatures w14:val="standardContextual"/>
            </w:rPr>
          </w:pPr>
          <w:hyperlink w:anchor="_Toc237378380" w:history="1">
            <w:r w:rsidRPr="004C540C">
              <w:rPr>
                <w:rStyle w:val="Hyperlink"/>
                <w:rFonts w:ascii="Arial" w:hAnsi="Arial" w:cs="Arial"/>
                <w:b/>
                <w:bCs/>
                <w:noProof/>
              </w:rPr>
              <w:t>Accounting Rate of Return</w:t>
            </w:r>
            <w:r w:rsidRPr="004C540C">
              <w:rPr>
                <w:rFonts w:ascii="Arial" w:hAnsi="Arial" w:cs="Arial"/>
                <w:noProof/>
                <w:webHidden/>
              </w:rPr>
              <w:tab/>
            </w:r>
            <w:r w:rsidRPr="004C540C">
              <w:rPr>
                <w:rFonts w:ascii="Arial" w:hAnsi="Arial" w:cs="Arial"/>
                <w:noProof/>
                <w:webHidden/>
              </w:rPr>
              <w:fldChar w:fldCharType="begin"/>
            </w:r>
            <w:r w:rsidRPr="004C540C">
              <w:rPr>
                <w:rFonts w:ascii="Arial" w:hAnsi="Arial" w:cs="Arial"/>
                <w:noProof/>
                <w:webHidden/>
              </w:rPr>
              <w:instrText xml:space="preserve"> PAGEREF _Toc237378380 \h </w:instrText>
            </w:r>
            <w:r w:rsidRPr="004C540C">
              <w:rPr>
                <w:rFonts w:ascii="Arial" w:hAnsi="Arial" w:cs="Arial"/>
                <w:noProof/>
                <w:webHidden/>
              </w:rPr>
            </w:r>
            <w:r w:rsidRPr="004C540C">
              <w:rPr>
                <w:rFonts w:ascii="Arial" w:hAnsi="Arial" w:cs="Arial"/>
                <w:noProof/>
                <w:webHidden/>
              </w:rPr>
              <w:fldChar w:fldCharType="separate"/>
            </w:r>
            <w:r w:rsidRPr="004C540C">
              <w:rPr>
                <w:rFonts w:ascii="Arial" w:hAnsi="Arial" w:cs="Arial"/>
                <w:noProof/>
                <w:webHidden/>
              </w:rPr>
              <w:t>18</w:t>
            </w:r>
            <w:r w:rsidRPr="004C540C">
              <w:rPr>
                <w:rFonts w:ascii="Arial" w:hAnsi="Arial" w:cs="Arial"/>
                <w:noProof/>
                <w:webHidden/>
              </w:rPr>
              <w:fldChar w:fldCharType="end"/>
            </w:r>
          </w:hyperlink>
        </w:p>
        <w:p w14:paraId="748A2885" w14:textId="4F8140CE" w:rsidR="00CE5EEF" w:rsidRPr="004C540C" w:rsidRDefault="00CE5EEF" w:rsidP="004C540C">
          <w:pPr>
            <w:pStyle w:val="TOC2"/>
            <w:tabs>
              <w:tab w:val="right" w:leader="dot" w:pos="9016"/>
            </w:tabs>
            <w:jc w:val="both"/>
            <w:rPr>
              <w:rFonts w:ascii="Arial" w:eastAsiaTheme="minorEastAsia" w:hAnsi="Arial" w:cs="Arial"/>
              <w:noProof/>
              <w:kern w:val="2"/>
              <w:sz w:val="24"/>
              <w:szCs w:val="24"/>
              <w:lang w:eastAsia="en-IN" w:bidi="ar-SA"/>
              <w14:ligatures w14:val="standardContextual"/>
            </w:rPr>
          </w:pPr>
          <w:hyperlink w:anchor="_Toc237378381" w:history="1">
            <w:r w:rsidRPr="004C540C">
              <w:rPr>
                <w:rStyle w:val="Hyperlink"/>
                <w:rFonts w:ascii="Arial" w:hAnsi="Arial" w:cs="Arial"/>
                <w:b/>
                <w:bCs/>
                <w:noProof/>
              </w:rPr>
              <w:t>Net Present Value</w:t>
            </w:r>
            <w:r w:rsidRPr="004C540C">
              <w:rPr>
                <w:rFonts w:ascii="Arial" w:hAnsi="Arial" w:cs="Arial"/>
                <w:noProof/>
                <w:webHidden/>
              </w:rPr>
              <w:tab/>
            </w:r>
            <w:r w:rsidRPr="004C540C">
              <w:rPr>
                <w:rFonts w:ascii="Arial" w:hAnsi="Arial" w:cs="Arial"/>
                <w:noProof/>
                <w:webHidden/>
              </w:rPr>
              <w:fldChar w:fldCharType="begin"/>
            </w:r>
            <w:r w:rsidRPr="004C540C">
              <w:rPr>
                <w:rFonts w:ascii="Arial" w:hAnsi="Arial" w:cs="Arial"/>
                <w:noProof/>
                <w:webHidden/>
              </w:rPr>
              <w:instrText xml:space="preserve"> PAGEREF _Toc237378381 \h </w:instrText>
            </w:r>
            <w:r w:rsidRPr="004C540C">
              <w:rPr>
                <w:rFonts w:ascii="Arial" w:hAnsi="Arial" w:cs="Arial"/>
                <w:noProof/>
                <w:webHidden/>
              </w:rPr>
            </w:r>
            <w:r w:rsidRPr="004C540C">
              <w:rPr>
                <w:rFonts w:ascii="Arial" w:hAnsi="Arial" w:cs="Arial"/>
                <w:noProof/>
                <w:webHidden/>
              </w:rPr>
              <w:fldChar w:fldCharType="separate"/>
            </w:r>
            <w:r w:rsidRPr="004C540C">
              <w:rPr>
                <w:rFonts w:ascii="Arial" w:hAnsi="Arial" w:cs="Arial"/>
                <w:noProof/>
                <w:webHidden/>
              </w:rPr>
              <w:t>19</w:t>
            </w:r>
            <w:r w:rsidRPr="004C540C">
              <w:rPr>
                <w:rFonts w:ascii="Arial" w:hAnsi="Arial" w:cs="Arial"/>
                <w:noProof/>
                <w:webHidden/>
              </w:rPr>
              <w:fldChar w:fldCharType="end"/>
            </w:r>
          </w:hyperlink>
        </w:p>
        <w:p w14:paraId="73417B76" w14:textId="115E67A6" w:rsidR="00CE5EEF" w:rsidRPr="004C540C" w:rsidRDefault="00CE5EEF" w:rsidP="004C540C">
          <w:pPr>
            <w:pStyle w:val="TOC2"/>
            <w:tabs>
              <w:tab w:val="right" w:leader="dot" w:pos="9016"/>
            </w:tabs>
            <w:jc w:val="both"/>
            <w:rPr>
              <w:rFonts w:ascii="Arial" w:eastAsiaTheme="minorEastAsia" w:hAnsi="Arial" w:cs="Arial"/>
              <w:noProof/>
              <w:kern w:val="2"/>
              <w:sz w:val="24"/>
              <w:szCs w:val="24"/>
              <w:lang w:eastAsia="en-IN" w:bidi="ar-SA"/>
              <w14:ligatures w14:val="standardContextual"/>
            </w:rPr>
          </w:pPr>
          <w:hyperlink w:anchor="_Toc237378382" w:history="1">
            <w:r w:rsidRPr="004C540C">
              <w:rPr>
                <w:rStyle w:val="Hyperlink"/>
                <w:rFonts w:ascii="Arial" w:hAnsi="Arial" w:cs="Arial"/>
                <w:b/>
                <w:bCs/>
                <w:noProof/>
              </w:rPr>
              <w:t>Profitability Index</w:t>
            </w:r>
            <w:r w:rsidRPr="004C540C">
              <w:rPr>
                <w:rFonts w:ascii="Arial" w:hAnsi="Arial" w:cs="Arial"/>
                <w:noProof/>
                <w:webHidden/>
              </w:rPr>
              <w:tab/>
            </w:r>
            <w:r w:rsidRPr="004C540C">
              <w:rPr>
                <w:rFonts w:ascii="Arial" w:hAnsi="Arial" w:cs="Arial"/>
                <w:noProof/>
                <w:webHidden/>
              </w:rPr>
              <w:fldChar w:fldCharType="begin"/>
            </w:r>
            <w:r w:rsidRPr="004C540C">
              <w:rPr>
                <w:rFonts w:ascii="Arial" w:hAnsi="Arial" w:cs="Arial"/>
                <w:noProof/>
                <w:webHidden/>
              </w:rPr>
              <w:instrText xml:space="preserve"> PAGEREF _Toc237378382 \h </w:instrText>
            </w:r>
            <w:r w:rsidRPr="004C540C">
              <w:rPr>
                <w:rFonts w:ascii="Arial" w:hAnsi="Arial" w:cs="Arial"/>
                <w:noProof/>
                <w:webHidden/>
              </w:rPr>
            </w:r>
            <w:r w:rsidRPr="004C540C">
              <w:rPr>
                <w:rFonts w:ascii="Arial" w:hAnsi="Arial" w:cs="Arial"/>
                <w:noProof/>
                <w:webHidden/>
              </w:rPr>
              <w:fldChar w:fldCharType="separate"/>
            </w:r>
            <w:r w:rsidRPr="004C540C">
              <w:rPr>
                <w:rFonts w:ascii="Arial" w:hAnsi="Arial" w:cs="Arial"/>
                <w:noProof/>
                <w:webHidden/>
              </w:rPr>
              <w:t>19</w:t>
            </w:r>
            <w:r w:rsidRPr="004C540C">
              <w:rPr>
                <w:rFonts w:ascii="Arial" w:hAnsi="Arial" w:cs="Arial"/>
                <w:noProof/>
                <w:webHidden/>
              </w:rPr>
              <w:fldChar w:fldCharType="end"/>
            </w:r>
          </w:hyperlink>
        </w:p>
        <w:p w14:paraId="322A5587" w14:textId="3D73464C" w:rsidR="00CE5EEF" w:rsidRPr="004C540C" w:rsidRDefault="00CE5EEF" w:rsidP="004C540C">
          <w:pPr>
            <w:pStyle w:val="TOC2"/>
            <w:tabs>
              <w:tab w:val="right" w:leader="dot" w:pos="9016"/>
            </w:tabs>
            <w:jc w:val="both"/>
            <w:rPr>
              <w:rFonts w:ascii="Arial" w:eastAsiaTheme="minorEastAsia" w:hAnsi="Arial" w:cs="Arial"/>
              <w:noProof/>
              <w:kern w:val="2"/>
              <w:sz w:val="24"/>
              <w:szCs w:val="24"/>
              <w:lang w:eastAsia="en-IN" w:bidi="ar-SA"/>
              <w14:ligatures w14:val="standardContextual"/>
            </w:rPr>
          </w:pPr>
          <w:hyperlink w:anchor="_Toc237378383" w:history="1">
            <w:r w:rsidRPr="004C540C">
              <w:rPr>
                <w:rStyle w:val="Hyperlink"/>
                <w:rFonts w:ascii="Arial" w:hAnsi="Arial" w:cs="Arial"/>
                <w:b/>
                <w:bCs/>
                <w:noProof/>
              </w:rPr>
              <w:t>Internal Rate of Return</w:t>
            </w:r>
            <w:r w:rsidRPr="004C540C">
              <w:rPr>
                <w:rFonts w:ascii="Arial" w:hAnsi="Arial" w:cs="Arial"/>
                <w:noProof/>
                <w:webHidden/>
              </w:rPr>
              <w:tab/>
            </w:r>
            <w:r w:rsidRPr="004C540C">
              <w:rPr>
                <w:rFonts w:ascii="Arial" w:hAnsi="Arial" w:cs="Arial"/>
                <w:noProof/>
                <w:webHidden/>
              </w:rPr>
              <w:fldChar w:fldCharType="begin"/>
            </w:r>
            <w:r w:rsidRPr="004C540C">
              <w:rPr>
                <w:rFonts w:ascii="Arial" w:hAnsi="Arial" w:cs="Arial"/>
                <w:noProof/>
                <w:webHidden/>
              </w:rPr>
              <w:instrText xml:space="preserve"> PAGEREF _Toc237378383 \h </w:instrText>
            </w:r>
            <w:r w:rsidRPr="004C540C">
              <w:rPr>
                <w:rFonts w:ascii="Arial" w:hAnsi="Arial" w:cs="Arial"/>
                <w:noProof/>
                <w:webHidden/>
              </w:rPr>
            </w:r>
            <w:r w:rsidRPr="004C540C">
              <w:rPr>
                <w:rFonts w:ascii="Arial" w:hAnsi="Arial" w:cs="Arial"/>
                <w:noProof/>
                <w:webHidden/>
              </w:rPr>
              <w:fldChar w:fldCharType="separate"/>
            </w:r>
            <w:r w:rsidRPr="004C540C">
              <w:rPr>
                <w:rFonts w:ascii="Arial" w:hAnsi="Arial" w:cs="Arial"/>
                <w:noProof/>
                <w:webHidden/>
              </w:rPr>
              <w:t>19</w:t>
            </w:r>
            <w:r w:rsidRPr="004C540C">
              <w:rPr>
                <w:rFonts w:ascii="Arial" w:hAnsi="Arial" w:cs="Arial"/>
                <w:noProof/>
                <w:webHidden/>
              </w:rPr>
              <w:fldChar w:fldCharType="end"/>
            </w:r>
          </w:hyperlink>
        </w:p>
        <w:p w14:paraId="1D1FF908" w14:textId="209D2747" w:rsidR="00CE5EEF" w:rsidRPr="004C540C" w:rsidRDefault="00CE5EEF" w:rsidP="004C540C">
          <w:pPr>
            <w:pStyle w:val="TOC2"/>
            <w:tabs>
              <w:tab w:val="right" w:leader="dot" w:pos="9016"/>
            </w:tabs>
            <w:jc w:val="both"/>
            <w:rPr>
              <w:rFonts w:ascii="Arial" w:eastAsiaTheme="minorEastAsia" w:hAnsi="Arial" w:cs="Arial"/>
              <w:noProof/>
              <w:kern w:val="2"/>
              <w:sz w:val="24"/>
              <w:szCs w:val="24"/>
              <w:lang w:eastAsia="en-IN" w:bidi="ar-SA"/>
              <w14:ligatures w14:val="standardContextual"/>
            </w:rPr>
          </w:pPr>
          <w:hyperlink w:anchor="_Toc237378384" w:history="1">
            <w:r w:rsidRPr="004C540C">
              <w:rPr>
                <w:rStyle w:val="Hyperlink"/>
                <w:rFonts w:ascii="Arial" w:hAnsi="Arial" w:cs="Arial"/>
                <w:b/>
                <w:bCs/>
                <w:noProof/>
              </w:rPr>
              <w:t>4.2 Recommended Investment</w:t>
            </w:r>
            <w:r w:rsidRPr="004C540C">
              <w:rPr>
                <w:rFonts w:ascii="Arial" w:hAnsi="Arial" w:cs="Arial"/>
                <w:noProof/>
                <w:webHidden/>
              </w:rPr>
              <w:tab/>
            </w:r>
            <w:r w:rsidRPr="004C540C">
              <w:rPr>
                <w:rFonts w:ascii="Arial" w:hAnsi="Arial" w:cs="Arial"/>
                <w:noProof/>
                <w:webHidden/>
              </w:rPr>
              <w:fldChar w:fldCharType="begin"/>
            </w:r>
            <w:r w:rsidRPr="004C540C">
              <w:rPr>
                <w:rFonts w:ascii="Arial" w:hAnsi="Arial" w:cs="Arial"/>
                <w:noProof/>
                <w:webHidden/>
              </w:rPr>
              <w:instrText xml:space="preserve"> PAGEREF _Toc237378384 \h </w:instrText>
            </w:r>
            <w:r w:rsidRPr="004C540C">
              <w:rPr>
                <w:rFonts w:ascii="Arial" w:hAnsi="Arial" w:cs="Arial"/>
                <w:noProof/>
                <w:webHidden/>
              </w:rPr>
            </w:r>
            <w:r w:rsidRPr="004C540C">
              <w:rPr>
                <w:rFonts w:ascii="Arial" w:hAnsi="Arial" w:cs="Arial"/>
                <w:noProof/>
                <w:webHidden/>
              </w:rPr>
              <w:fldChar w:fldCharType="separate"/>
            </w:r>
            <w:r w:rsidRPr="004C540C">
              <w:rPr>
                <w:rFonts w:ascii="Arial" w:hAnsi="Arial" w:cs="Arial"/>
                <w:noProof/>
                <w:webHidden/>
              </w:rPr>
              <w:t>19</w:t>
            </w:r>
            <w:r w:rsidRPr="004C540C">
              <w:rPr>
                <w:rFonts w:ascii="Arial" w:hAnsi="Arial" w:cs="Arial"/>
                <w:noProof/>
                <w:webHidden/>
              </w:rPr>
              <w:fldChar w:fldCharType="end"/>
            </w:r>
          </w:hyperlink>
        </w:p>
        <w:p w14:paraId="6EA16B57" w14:textId="27A3F4F5" w:rsidR="00CE5EEF" w:rsidRPr="004C540C" w:rsidRDefault="00CE5EEF" w:rsidP="004C540C">
          <w:pPr>
            <w:pStyle w:val="TOC2"/>
            <w:tabs>
              <w:tab w:val="right" w:leader="dot" w:pos="9016"/>
            </w:tabs>
            <w:jc w:val="both"/>
            <w:rPr>
              <w:rFonts w:ascii="Arial" w:eastAsiaTheme="minorEastAsia" w:hAnsi="Arial" w:cs="Arial"/>
              <w:noProof/>
              <w:kern w:val="2"/>
              <w:sz w:val="24"/>
              <w:szCs w:val="24"/>
              <w:lang w:eastAsia="en-IN" w:bidi="ar-SA"/>
              <w14:ligatures w14:val="standardContextual"/>
            </w:rPr>
          </w:pPr>
          <w:hyperlink w:anchor="_Toc237378385" w:history="1">
            <w:r w:rsidRPr="004C540C">
              <w:rPr>
                <w:rStyle w:val="Hyperlink"/>
                <w:rFonts w:ascii="Arial" w:hAnsi="Arial" w:cs="Arial"/>
                <w:b/>
                <w:bCs/>
                <w:noProof/>
              </w:rPr>
              <w:t>4.3 Capital Rationing</w:t>
            </w:r>
            <w:r w:rsidRPr="004C540C">
              <w:rPr>
                <w:rFonts w:ascii="Arial" w:hAnsi="Arial" w:cs="Arial"/>
                <w:noProof/>
                <w:webHidden/>
              </w:rPr>
              <w:tab/>
            </w:r>
            <w:r w:rsidRPr="004C540C">
              <w:rPr>
                <w:rFonts w:ascii="Arial" w:hAnsi="Arial" w:cs="Arial"/>
                <w:noProof/>
                <w:webHidden/>
              </w:rPr>
              <w:fldChar w:fldCharType="begin"/>
            </w:r>
            <w:r w:rsidRPr="004C540C">
              <w:rPr>
                <w:rFonts w:ascii="Arial" w:hAnsi="Arial" w:cs="Arial"/>
                <w:noProof/>
                <w:webHidden/>
              </w:rPr>
              <w:instrText xml:space="preserve"> PAGEREF _Toc237378385 \h </w:instrText>
            </w:r>
            <w:r w:rsidRPr="004C540C">
              <w:rPr>
                <w:rFonts w:ascii="Arial" w:hAnsi="Arial" w:cs="Arial"/>
                <w:noProof/>
                <w:webHidden/>
              </w:rPr>
            </w:r>
            <w:r w:rsidRPr="004C540C">
              <w:rPr>
                <w:rFonts w:ascii="Arial" w:hAnsi="Arial" w:cs="Arial"/>
                <w:noProof/>
                <w:webHidden/>
              </w:rPr>
              <w:fldChar w:fldCharType="separate"/>
            </w:r>
            <w:r w:rsidRPr="004C540C">
              <w:rPr>
                <w:rFonts w:ascii="Arial" w:hAnsi="Arial" w:cs="Arial"/>
                <w:noProof/>
                <w:webHidden/>
              </w:rPr>
              <w:t>20</w:t>
            </w:r>
            <w:r w:rsidRPr="004C540C">
              <w:rPr>
                <w:rFonts w:ascii="Arial" w:hAnsi="Arial" w:cs="Arial"/>
                <w:noProof/>
                <w:webHidden/>
              </w:rPr>
              <w:fldChar w:fldCharType="end"/>
            </w:r>
          </w:hyperlink>
        </w:p>
        <w:p w14:paraId="419FD4BA" w14:textId="0E3396BB" w:rsidR="00CE5EEF" w:rsidRPr="004C540C" w:rsidRDefault="00CE5EEF" w:rsidP="004C540C">
          <w:pPr>
            <w:pStyle w:val="TOC2"/>
            <w:tabs>
              <w:tab w:val="right" w:leader="dot" w:pos="9016"/>
            </w:tabs>
            <w:jc w:val="both"/>
            <w:rPr>
              <w:rFonts w:ascii="Arial" w:eastAsiaTheme="minorEastAsia" w:hAnsi="Arial" w:cs="Arial"/>
              <w:noProof/>
              <w:kern w:val="2"/>
              <w:sz w:val="24"/>
              <w:szCs w:val="24"/>
              <w:lang w:eastAsia="en-IN" w:bidi="ar-SA"/>
              <w14:ligatures w14:val="standardContextual"/>
            </w:rPr>
          </w:pPr>
          <w:hyperlink w:anchor="_Toc237378386" w:history="1">
            <w:r w:rsidRPr="004C540C">
              <w:rPr>
                <w:rStyle w:val="Hyperlink"/>
                <w:rFonts w:ascii="Arial" w:hAnsi="Arial" w:cs="Arial"/>
                <w:b/>
                <w:bCs/>
                <w:noProof/>
              </w:rPr>
              <w:t>4.4 Non-Financial Considerations and Risks</w:t>
            </w:r>
            <w:r w:rsidRPr="004C540C">
              <w:rPr>
                <w:rFonts w:ascii="Arial" w:hAnsi="Arial" w:cs="Arial"/>
                <w:noProof/>
                <w:webHidden/>
              </w:rPr>
              <w:tab/>
            </w:r>
            <w:r w:rsidRPr="004C540C">
              <w:rPr>
                <w:rFonts w:ascii="Arial" w:hAnsi="Arial" w:cs="Arial"/>
                <w:noProof/>
                <w:webHidden/>
              </w:rPr>
              <w:fldChar w:fldCharType="begin"/>
            </w:r>
            <w:r w:rsidRPr="004C540C">
              <w:rPr>
                <w:rFonts w:ascii="Arial" w:hAnsi="Arial" w:cs="Arial"/>
                <w:noProof/>
                <w:webHidden/>
              </w:rPr>
              <w:instrText xml:space="preserve"> PAGEREF _Toc237378386 \h </w:instrText>
            </w:r>
            <w:r w:rsidRPr="004C540C">
              <w:rPr>
                <w:rFonts w:ascii="Arial" w:hAnsi="Arial" w:cs="Arial"/>
                <w:noProof/>
                <w:webHidden/>
              </w:rPr>
            </w:r>
            <w:r w:rsidRPr="004C540C">
              <w:rPr>
                <w:rFonts w:ascii="Arial" w:hAnsi="Arial" w:cs="Arial"/>
                <w:noProof/>
                <w:webHidden/>
              </w:rPr>
              <w:fldChar w:fldCharType="separate"/>
            </w:r>
            <w:r w:rsidRPr="004C540C">
              <w:rPr>
                <w:rFonts w:ascii="Arial" w:hAnsi="Arial" w:cs="Arial"/>
                <w:noProof/>
                <w:webHidden/>
              </w:rPr>
              <w:t>20</w:t>
            </w:r>
            <w:r w:rsidRPr="004C540C">
              <w:rPr>
                <w:rFonts w:ascii="Arial" w:hAnsi="Arial" w:cs="Arial"/>
                <w:noProof/>
                <w:webHidden/>
              </w:rPr>
              <w:fldChar w:fldCharType="end"/>
            </w:r>
          </w:hyperlink>
        </w:p>
        <w:p w14:paraId="2BB0C19B" w14:textId="2B65BFC4" w:rsidR="00CE5EEF" w:rsidRPr="004C540C" w:rsidRDefault="00CE5EEF" w:rsidP="004C540C">
          <w:pPr>
            <w:pStyle w:val="TOC1"/>
            <w:tabs>
              <w:tab w:val="right" w:leader="dot" w:pos="9016"/>
            </w:tabs>
            <w:jc w:val="both"/>
            <w:rPr>
              <w:rFonts w:ascii="Arial" w:eastAsiaTheme="minorEastAsia" w:hAnsi="Arial" w:cs="Arial"/>
              <w:noProof/>
              <w:kern w:val="2"/>
              <w:sz w:val="24"/>
              <w:szCs w:val="24"/>
              <w:lang w:eastAsia="en-IN" w:bidi="ar-SA"/>
              <w14:ligatures w14:val="standardContextual"/>
            </w:rPr>
          </w:pPr>
          <w:hyperlink w:anchor="_Toc237378387" w:history="1">
            <w:r w:rsidRPr="004C540C">
              <w:rPr>
                <w:rStyle w:val="Hyperlink"/>
                <w:rFonts w:ascii="Arial" w:hAnsi="Arial" w:cs="Arial"/>
                <w:b/>
                <w:bCs/>
                <w:noProof/>
              </w:rPr>
              <w:t>5. Critical Reflection on AI Usage</w:t>
            </w:r>
            <w:r w:rsidRPr="004C540C">
              <w:rPr>
                <w:rFonts w:ascii="Arial" w:hAnsi="Arial" w:cs="Arial"/>
                <w:noProof/>
                <w:webHidden/>
              </w:rPr>
              <w:tab/>
            </w:r>
            <w:r w:rsidRPr="004C540C">
              <w:rPr>
                <w:rFonts w:ascii="Arial" w:hAnsi="Arial" w:cs="Arial"/>
                <w:noProof/>
                <w:webHidden/>
              </w:rPr>
              <w:fldChar w:fldCharType="begin"/>
            </w:r>
            <w:r w:rsidRPr="004C540C">
              <w:rPr>
                <w:rFonts w:ascii="Arial" w:hAnsi="Arial" w:cs="Arial"/>
                <w:noProof/>
                <w:webHidden/>
              </w:rPr>
              <w:instrText xml:space="preserve"> PAGEREF _Toc237378387 \h </w:instrText>
            </w:r>
            <w:r w:rsidRPr="004C540C">
              <w:rPr>
                <w:rFonts w:ascii="Arial" w:hAnsi="Arial" w:cs="Arial"/>
                <w:noProof/>
                <w:webHidden/>
              </w:rPr>
            </w:r>
            <w:r w:rsidRPr="004C540C">
              <w:rPr>
                <w:rFonts w:ascii="Arial" w:hAnsi="Arial" w:cs="Arial"/>
                <w:noProof/>
                <w:webHidden/>
              </w:rPr>
              <w:fldChar w:fldCharType="separate"/>
            </w:r>
            <w:r w:rsidRPr="004C540C">
              <w:rPr>
                <w:rFonts w:ascii="Arial" w:hAnsi="Arial" w:cs="Arial"/>
                <w:noProof/>
                <w:webHidden/>
              </w:rPr>
              <w:t>22</w:t>
            </w:r>
            <w:r w:rsidRPr="004C540C">
              <w:rPr>
                <w:rFonts w:ascii="Arial" w:hAnsi="Arial" w:cs="Arial"/>
                <w:noProof/>
                <w:webHidden/>
              </w:rPr>
              <w:fldChar w:fldCharType="end"/>
            </w:r>
          </w:hyperlink>
        </w:p>
        <w:p w14:paraId="37002F93" w14:textId="6CB346D8" w:rsidR="00CE5EEF" w:rsidRPr="004C540C" w:rsidRDefault="00CE5EEF" w:rsidP="004C540C">
          <w:pPr>
            <w:pStyle w:val="TOC2"/>
            <w:tabs>
              <w:tab w:val="right" w:leader="dot" w:pos="9016"/>
            </w:tabs>
            <w:jc w:val="both"/>
            <w:rPr>
              <w:rFonts w:ascii="Arial" w:eastAsiaTheme="minorEastAsia" w:hAnsi="Arial" w:cs="Arial"/>
              <w:noProof/>
              <w:kern w:val="2"/>
              <w:sz w:val="24"/>
              <w:szCs w:val="24"/>
              <w:lang w:eastAsia="en-IN" w:bidi="ar-SA"/>
              <w14:ligatures w14:val="standardContextual"/>
            </w:rPr>
          </w:pPr>
          <w:hyperlink w:anchor="_Toc237378388" w:history="1">
            <w:r w:rsidRPr="004C540C">
              <w:rPr>
                <w:rStyle w:val="Hyperlink"/>
                <w:rFonts w:ascii="Arial" w:hAnsi="Arial" w:cs="Arial"/>
                <w:b/>
                <w:bCs/>
                <w:noProof/>
              </w:rPr>
              <w:t>5.1 Tool Disclosure</w:t>
            </w:r>
            <w:r w:rsidRPr="004C540C">
              <w:rPr>
                <w:rFonts w:ascii="Arial" w:hAnsi="Arial" w:cs="Arial"/>
                <w:noProof/>
                <w:webHidden/>
              </w:rPr>
              <w:tab/>
            </w:r>
            <w:r w:rsidRPr="004C540C">
              <w:rPr>
                <w:rFonts w:ascii="Arial" w:hAnsi="Arial" w:cs="Arial"/>
                <w:noProof/>
                <w:webHidden/>
              </w:rPr>
              <w:fldChar w:fldCharType="begin"/>
            </w:r>
            <w:r w:rsidRPr="004C540C">
              <w:rPr>
                <w:rFonts w:ascii="Arial" w:hAnsi="Arial" w:cs="Arial"/>
                <w:noProof/>
                <w:webHidden/>
              </w:rPr>
              <w:instrText xml:space="preserve"> PAGEREF _Toc237378388 \h </w:instrText>
            </w:r>
            <w:r w:rsidRPr="004C540C">
              <w:rPr>
                <w:rFonts w:ascii="Arial" w:hAnsi="Arial" w:cs="Arial"/>
                <w:noProof/>
                <w:webHidden/>
              </w:rPr>
            </w:r>
            <w:r w:rsidRPr="004C540C">
              <w:rPr>
                <w:rFonts w:ascii="Arial" w:hAnsi="Arial" w:cs="Arial"/>
                <w:noProof/>
                <w:webHidden/>
              </w:rPr>
              <w:fldChar w:fldCharType="separate"/>
            </w:r>
            <w:r w:rsidRPr="004C540C">
              <w:rPr>
                <w:rFonts w:ascii="Arial" w:hAnsi="Arial" w:cs="Arial"/>
                <w:noProof/>
                <w:webHidden/>
              </w:rPr>
              <w:t>22</w:t>
            </w:r>
            <w:r w:rsidRPr="004C540C">
              <w:rPr>
                <w:rFonts w:ascii="Arial" w:hAnsi="Arial" w:cs="Arial"/>
                <w:noProof/>
                <w:webHidden/>
              </w:rPr>
              <w:fldChar w:fldCharType="end"/>
            </w:r>
          </w:hyperlink>
        </w:p>
        <w:p w14:paraId="1D2DF332" w14:textId="1F7C687B" w:rsidR="00CE5EEF" w:rsidRPr="004C540C" w:rsidRDefault="00CE5EEF" w:rsidP="004C540C">
          <w:pPr>
            <w:pStyle w:val="TOC2"/>
            <w:tabs>
              <w:tab w:val="right" w:leader="dot" w:pos="9016"/>
            </w:tabs>
            <w:jc w:val="both"/>
            <w:rPr>
              <w:rFonts w:ascii="Arial" w:eastAsiaTheme="minorEastAsia" w:hAnsi="Arial" w:cs="Arial"/>
              <w:noProof/>
              <w:kern w:val="2"/>
              <w:sz w:val="24"/>
              <w:szCs w:val="24"/>
              <w:lang w:eastAsia="en-IN" w:bidi="ar-SA"/>
              <w14:ligatures w14:val="standardContextual"/>
            </w:rPr>
          </w:pPr>
          <w:hyperlink w:anchor="_Toc237378389" w:history="1">
            <w:r w:rsidRPr="004C540C">
              <w:rPr>
                <w:rStyle w:val="Hyperlink"/>
                <w:rFonts w:ascii="Arial" w:hAnsi="Arial" w:cs="Arial"/>
                <w:b/>
                <w:bCs/>
                <w:noProof/>
              </w:rPr>
              <w:t>5.2 Critical Evaluation and Verification of AI Output</w:t>
            </w:r>
            <w:r w:rsidRPr="004C540C">
              <w:rPr>
                <w:rFonts w:ascii="Arial" w:hAnsi="Arial" w:cs="Arial"/>
                <w:noProof/>
                <w:webHidden/>
              </w:rPr>
              <w:tab/>
            </w:r>
            <w:r w:rsidRPr="004C540C">
              <w:rPr>
                <w:rFonts w:ascii="Arial" w:hAnsi="Arial" w:cs="Arial"/>
                <w:noProof/>
                <w:webHidden/>
              </w:rPr>
              <w:fldChar w:fldCharType="begin"/>
            </w:r>
            <w:r w:rsidRPr="004C540C">
              <w:rPr>
                <w:rFonts w:ascii="Arial" w:hAnsi="Arial" w:cs="Arial"/>
                <w:noProof/>
                <w:webHidden/>
              </w:rPr>
              <w:instrText xml:space="preserve"> PAGEREF _Toc237378389 \h </w:instrText>
            </w:r>
            <w:r w:rsidRPr="004C540C">
              <w:rPr>
                <w:rFonts w:ascii="Arial" w:hAnsi="Arial" w:cs="Arial"/>
                <w:noProof/>
                <w:webHidden/>
              </w:rPr>
            </w:r>
            <w:r w:rsidRPr="004C540C">
              <w:rPr>
                <w:rFonts w:ascii="Arial" w:hAnsi="Arial" w:cs="Arial"/>
                <w:noProof/>
                <w:webHidden/>
              </w:rPr>
              <w:fldChar w:fldCharType="separate"/>
            </w:r>
            <w:r w:rsidRPr="004C540C">
              <w:rPr>
                <w:rFonts w:ascii="Arial" w:hAnsi="Arial" w:cs="Arial"/>
                <w:noProof/>
                <w:webHidden/>
              </w:rPr>
              <w:t>22</w:t>
            </w:r>
            <w:r w:rsidRPr="004C540C">
              <w:rPr>
                <w:rFonts w:ascii="Arial" w:hAnsi="Arial" w:cs="Arial"/>
                <w:noProof/>
                <w:webHidden/>
              </w:rPr>
              <w:fldChar w:fldCharType="end"/>
            </w:r>
          </w:hyperlink>
        </w:p>
        <w:p w14:paraId="06D78202" w14:textId="412872EF" w:rsidR="00CE5EEF" w:rsidRPr="004C540C" w:rsidRDefault="00CE5EEF" w:rsidP="004C540C">
          <w:pPr>
            <w:pStyle w:val="TOC2"/>
            <w:tabs>
              <w:tab w:val="right" w:leader="dot" w:pos="9016"/>
            </w:tabs>
            <w:jc w:val="both"/>
            <w:rPr>
              <w:rFonts w:ascii="Arial" w:eastAsiaTheme="minorEastAsia" w:hAnsi="Arial" w:cs="Arial"/>
              <w:noProof/>
              <w:kern w:val="2"/>
              <w:sz w:val="24"/>
              <w:szCs w:val="24"/>
              <w:lang w:eastAsia="en-IN" w:bidi="ar-SA"/>
              <w14:ligatures w14:val="standardContextual"/>
            </w:rPr>
          </w:pPr>
          <w:hyperlink w:anchor="_Toc237378390" w:history="1">
            <w:r w:rsidRPr="004C540C">
              <w:rPr>
                <w:rStyle w:val="Hyperlink"/>
                <w:rFonts w:ascii="Arial" w:hAnsi="Arial" w:cs="Arial"/>
                <w:b/>
                <w:bCs/>
                <w:noProof/>
              </w:rPr>
              <w:t>5.3 Contribution Analysis</w:t>
            </w:r>
            <w:r w:rsidRPr="004C540C">
              <w:rPr>
                <w:rFonts w:ascii="Arial" w:hAnsi="Arial" w:cs="Arial"/>
                <w:noProof/>
                <w:webHidden/>
              </w:rPr>
              <w:tab/>
            </w:r>
            <w:r w:rsidRPr="004C540C">
              <w:rPr>
                <w:rFonts w:ascii="Arial" w:hAnsi="Arial" w:cs="Arial"/>
                <w:noProof/>
                <w:webHidden/>
              </w:rPr>
              <w:fldChar w:fldCharType="begin"/>
            </w:r>
            <w:r w:rsidRPr="004C540C">
              <w:rPr>
                <w:rFonts w:ascii="Arial" w:hAnsi="Arial" w:cs="Arial"/>
                <w:noProof/>
                <w:webHidden/>
              </w:rPr>
              <w:instrText xml:space="preserve"> PAGEREF _Toc237378390 \h </w:instrText>
            </w:r>
            <w:r w:rsidRPr="004C540C">
              <w:rPr>
                <w:rFonts w:ascii="Arial" w:hAnsi="Arial" w:cs="Arial"/>
                <w:noProof/>
                <w:webHidden/>
              </w:rPr>
            </w:r>
            <w:r w:rsidRPr="004C540C">
              <w:rPr>
                <w:rFonts w:ascii="Arial" w:hAnsi="Arial" w:cs="Arial"/>
                <w:noProof/>
                <w:webHidden/>
              </w:rPr>
              <w:fldChar w:fldCharType="separate"/>
            </w:r>
            <w:r w:rsidRPr="004C540C">
              <w:rPr>
                <w:rFonts w:ascii="Arial" w:hAnsi="Arial" w:cs="Arial"/>
                <w:noProof/>
                <w:webHidden/>
              </w:rPr>
              <w:t>23</w:t>
            </w:r>
            <w:r w:rsidRPr="004C540C">
              <w:rPr>
                <w:rFonts w:ascii="Arial" w:hAnsi="Arial" w:cs="Arial"/>
                <w:noProof/>
                <w:webHidden/>
              </w:rPr>
              <w:fldChar w:fldCharType="end"/>
            </w:r>
          </w:hyperlink>
        </w:p>
        <w:p w14:paraId="14A34D16" w14:textId="466C1869" w:rsidR="00CE5EEF" w:rsidRPr="004C540C" w:rsidRDefault="00CE5EEF" w:rsidP="004C540C">
          <w:pPr>
            <w:pStyle w:val="TOC2"/>
            <w:tabs>
              <w:tab w:val="right" w:leader="dot" w:pos="9016"/>
            </w:tabs>
            <w:jc w:val="both"/>
            <w:rPr>
              <w:rFonts w:ascii="Arial" w:eastAsiaTheme="minorEastAsia" w:hAnsi="Arial" w:cs="Arial"/>
              <w:noProof/>
              <w:kern w:val="2"/>
              <w:sz w:val="24"/>
              <w:szCs w:val="24"/>
              <w:lang w:eastAsia="en-IN" w:bidi="ar-SA"/>
              <w14:ligatures w14:val="standardContextual"/>
            </w:rPr>
          </w:pPr>
          <w:hyperlink w:anchor="_Toc237378391" w:history="1">
            <w:r w:rsidRPr="004C540C">
              <w:rPr>
                <w:rStyle w:val="Hyperlink"/>
                <w:rFonts w:ascii="Arial" w:hAnsi="Arial" w:cs="Arial"/>
                <w:b/>
                <w:bCs/>
                <w:noProof/>
              </w:rPr>
              <w:t>5.4 Ethical and Professional Reflection</w:t>
            </w:r>
            <w:r w:rsidRPr="004C540C">
              <w:rPr>
                <w:rFonts w:ascii="Arial" w:hAnsi="Arial" w:cs="Arial"/>
                <w:noProof/>
                <w:webHidden/>
              </w:rPr>
              <w:tab/>
            </w:r>
            <w:r w:rsidRPr="004C540C">
              <w:rPr>
                <w:rFonts w:ascii="Arial" w:hAnsi="Arial" w:cs="Arial"/>
                <w:noProof/>
                <w:webHidden/>
              </w:rPr>
              <w:fldChar w:fldCharType="begin"/>
            </w:r>
            <w:r w:rsidRPr="004C540C">
              <w:rPr>
                <w:rFonts w:ascii="Arial" w:hAnsi="Arial" w:cs="Arial"/>
                <w:noProof/>
                <w:webHidden/>
              </w:rPr>
              <w:instrText xml:space="preserve"> PAGEREF _Toc237378391 \h </w:instrText>
            </w:r>
            <w:r w:rsidRPr="004C540C">
              <w:rPr>
                <w:rFonts w:ascii="Arial" w:hAnsi="Arial" w:cs="Arial"/>
                <w:noProof/>
                <w:webHidden/>
              </w:rPr>
            </w:r>
            <w:r w:rsidRPr="004C540C">
              <w:rPr>
                <w:rFonts w:ascii="Arial" w:hAnsi="Arial" w:cs="Arial"/>
                <w:noProof/>
                <w:webHidden/>
              </w:rPr>
              <w:fldChar w:fldCharType="separate"/>
            </w:r>
            <w:r w:rsidRPr="004C540C">
              <w:rPr>
                <w:rFonts w:ascii="Arial" w:hAnsi="Arial" w:cs="Arial"/>
                <w:noProof/>
                <w:webHidden/>
              </w:rPr>
              <w:t>23</w:t>
            </w:r>
            <w:r w:rsidRPr="004C540C">
              <w:rPr>
                <w:rFonts w:ascii="Arial" w:hAnsi="Arial" w:cs="Arial"/>
                <w:noProof/>
                <w:webHidden/>
              </w:rPr>
              <w:fldChar w:fldCharType="end"/>
            </w:r>
          </w:hyperlink>
        </w:p>
        <w:p w14:paraId="57D10DF9" w14:textId="3177E32C" w:rsidR="00CE5EEF" w:rsidRPr="004C540C" w:rsidRDefault="00CE5EEF" w:rsidP="004C540C">
          <w:pPr>
            <w:pStyle w:val="TOC1"/>
            <w:tabs>
              <w:tab w:val="right" w:leader="dot" w:pos="9016"/>
            </w:tabs>
            <w:jc w:val="both"/>
            <w:rPr>
              <w:rFonts w:ascii="Arial" w:eastAsiaTheme="minorEastAsia" w:hAnsi="Arial" w:cs="Arial"/>
              <w:noProof/>
              <w:kern w:val="2"/>
              <w:sz w:val="24"/>
              <w:szCs w:val="24"/>
              <w:lang w:eastAsia="en-IN" w:bidi="ar-SA"/>
              <w14:ligatures w14:val="standardContextual"/>
            </w:rPr>
          </w:pPr>
          <w:hyperlink w:anchor="_Toc237378392" w:history="1">
            <w:r w:rsidRPr="004C540C">
              <w:rPr>
                <w:rStyle w:val="Hyperlink"/>
                <w:rFonts w:ascii="Arial" w:eastAsia="Times New Roman" w:hAnsi="Arial" w:cs="Arial"/>
                <w:b/>
                <w:bCs/>
                <w:noProof/>
                <w:lang w:eastAsia="en-IN"/>
              </w:rPr>
              <w:t>Conclusion</w:t>
            </w:r>
            <w:r w:rsidRPr="004C540C">
              <w:rPr>
                <w:rFonts w:ascii="Arial" w:hAnsi="Arial" w:cs="Arial"/>
                <w:noProof/>
                <w:webHidden/>
              </w:rPr>
              <w:tab/>
            </w:r>
            <w:r w:rsidRPr="004C540C">
              <w:rPr>
                <w:rFonts w:ascii="Arial" w:hAnsi="Arial" w:cs="Arial"/>
                <w:noProof/>
                <w:webHidden/>
              </w:rPr>
              <w:fldChar w:fldCharType="begin"/>
            </w:r>
            <w:r w:rsidRPr="004C540C">
              <w:rPr>
                <w:rFonts w:ascii="Arial" w:hAnsi="Arial" w:cs="Arial"/>
                <w:noProof/>
                <w:webHidden/>
              </w:rPr>
              <w:instrText xml:space="preserve"> PAGEREF _Toc237378392 \h </w:instrText>
            </w:r>
            <w:r w:rsidRPr="004C540C">
              <w:rPr>
                <w:rFonts w:ascii="Arial" w:hAnsi="Arial" w:cs="Arial"/>
                <w:noProof/>
                <w:webHidden/>
              </w:rPr>
            </w:r>
            <w:r w:rsidRPr="004C540C">
              <w:rPr>
                <w:rFonts w:ascii="Arial" w:hAnsi="Arial" w:cs="Arial"/>
                <w:noProof/>
                <w:webHidden/>
              </w:rPr>
              <w:fldChar w:fldCharType="separate"/>
            </w:r>
            <w:r w:rsidRPr="004C540C">
              <w:rPr>
                <w:rFonts w:ascii="Arial" w:hAnsi="Arial" w:cs="Arial"/>
                <w:noProof/>
                <w:webHidden/>
              </w:rPr>
              <w:t>23</w:t>
            </w:r>
            <w:r w:rsidRPr="004C540C">
              <w:rPr>
                <w:rFonts w:ascii="Arial" w:hAnsi="Arial" w:cs="Arial"/>
                <w:noProof/>
                <w:webHidden/>
              </w:rPr>
              <w:fldChar w:fldCharType="end"/>
            </w:r>
          </w:hyperlink>
        </w:p>
        <w:p w14:paraId="49E8F22E" w14:textId="5E6D8CB6" w:rsidR="00B77D19" w:rsidRPr="004C540C" w:rsidRDefault="00CE5EEF" w:rsidP="004C540C">
          <w:pPr>
            <w:jc w:val="both"/>
            <w:rPr>
              <w:rFonts w:ascii="Arial" w:hAnsi="Arial" w:cs="Arial"/>
            </w:rPr>
          </w:pPr>
          <w:r w:rsidRPr="004C540C">
            <w:rPr>
              <w:rFonts w:ascii="Arial" w:hAnsi="Arial" w:cs="Arial"/>
              <w:b/>
              <w:bCs/>
              <w:noProof/>
            </w:rPr>
            <w:fldChar w:fldCharType="end"/>
          </w:r>
        </w:p>
      </w:sdtContent>
    </w:sdt>
    <w:p w14:paraId="7E8D4345" w14:textId="033908ED" w:rsidR="00027FA9" w:rsidRPr="004C540C" w:rsidRDefault="007D28AC" w:rsidP="004C540C">
      <w:pPr>
        <w:pStyle w:val="Heading1"/>
        <w:jc w:val="both"/>
        <w:rPr>
          <w:rFonts w:ascii="Arial" w:eastAsia="Times New Roman" w:hAnsi="Arial" w:cs="Arial"/>
          <w:sz w:val="28"/>
          <w:szCs w:val="28"/>
          <w:lang w:eastAsia="en-IN"/>
        </w:rPr>
      </w:pPr>
      <w:bookmarkStart w:id="0" w:name="_Toc237377434"/>
      <w:bookmarkStart w:id="1" w:name="_Toc237378346"/>
      <w:r w:rsidRPr="004C540C">
        <w:rPr>
          <w:rFonts w:ascii="Arial" w:eastAsia="Times New Roman" w:hAnsi="Arial" w:cs="Arial"/>
          <w:b/>
          <w:bCs/>
          <w:sz w:val="28"/>
          <w:szCs w:val="28"/>
          <w:lang w:eastAsia="en-IN"/>
        </w:rPr>
        <w:lastRenderedPageBreak/>
        <w:t xml:space="preserve">1. </w:t>
      </w:r>
      <w:r w:rsidR="00027FA9" w:rsidRPr="004C540C">
        <w:rPr>
          <w:rFonts w:ascii="Arial" w:eastAsia="Times New Roman" w:hAnsi="Arial" w:cs="Arial"/>
          <w:b/>
          <w:bCs/>
          <w:sz w:val="28"/>
          <w:szCs w:val="28"/>
          <w:lang w:eastAsia="en-IN"/>
        </w:rPr>
        <w:t>Financial Analysis, Strategic Evaluation, and Investment Appraisal of InterContinental Hotels Group (IHG)</w:t>
      </w:r>
      <w:bookmarkEnd w:id="0"/>
      <w:bookmarkEnd w:id="1"/>
    </w:p>
    <w:p w14:paraId="0C5AA235" w14:textId="77777777" w:rsidR="00E82EDB" w:rsidRPr="004C540C" w:rsidRDefault="00C714A8" w:rsidP="004C540C">
      <w:pPr>
        <w:pStyle w:val="Heading2"/>
        <w:jc w:val="both"/>
        <w:rPr>
          <w:rFonts w:ascii="Arial" w:hAnsi="Arial" w:cs="Arial"/>
          <w:sz w:val="28"/>
          <w:szCs w:val="28"/>
        </w:rPr>
      </w:pPr>
      <w:bookmarkStart w:id="2" w:name="_Toc237377435"/>
      <w:bookmarkStart w:id="3" w:name="_Toc237378347"/>
      <w:r w:rsidRPr="004C540C">
        <w:rPr>
          <w:rFonts w:ascii="Arial" w:hAnsi="Arial" w:cs="Arial"/>
          <w:sz w:val="28"/>
          <w:szCs w:val="28"/>
        </w:rPr>
        <w:t>Introduction</w:t>
      </w:r>
      <w:bookmarkEnd w:id="2"/>
      <w:bookmarkEnd w:id="3"/>
    </w:p>
    <w:p w14:paraId="79F022ED" w14:textId="77777777" w:rsidR="008D26F2" w:rsidRPr="004C540C" w:rsidRDefault="008D26F2" w:rsidP="004C540C">
      <w:pPr>
        <w:pStyle w:val="Heading2"/>
        <w:jc w:val="both"/>
        <w:rPr>
          <w:rFonts w:ascii="Arial" w:eastAsiaTheme="minorHAnsi" w:hAnsi="Arial" w:cs="Arial"/>
          <w:b w:val="0"/>
          <w:bCs w:val="0"/>
          <w:sz w:val="24"/>
          <w:szCs w:val="24"/>
          <w:lang w:eastAsia="en-US"/>
        </w:rPr>
      </w:pPr>
      <w:bookmarkStart w:id="4" w:name="_Toc237376682"/>
      <w:bookmarkStart w:id="5" w:name="_Toc237377332"/>
      <w:bookmarkStart w:id="6" w:name="_Toc237377437"/>
      <w:bookmarkStart w:id="7" w:name="_Toc237378349"/>
      <w:r w:rsidRPr="004C540C">
        <w:rPr>
          <w:rFonts w:ascii="Arial" w:eastAsiaTheme="minorHAnsi" w:hAnsi="Arial" w:cs="Arial"/>
          <w:b w:val="0"/>
          <w:bCs w:val="0"/>
          <w:sz w:val="24"/>
          <w:szCs w:val="24"/>
          <w:lang w:eastAsia="en-US"/>
        </w:rPr>
        <w:t>IHG is one of the UK's biggest and most successful multinational hospitality groups operating in more than 100 countries worldwide, and boasting thousands of properties across its diverse international brands, including InterContinental, Crowne Plaza, Holiday Inn, Holiday Inn Express and Hotel Indigo. The strategic position is based primarily on its asset-light business model, focused more on franchise than on a large number of properties owned and operated by InterContinental Hotels Group (2025).</w:t>
      </w:r>
    </w:p>
    <w:p w14:paraId="0C78DA55" w14:textId="77777777" w:rsidR="008D26F2" w:rsidRPr="004C540C" w:rsidRDefault="008D26F2" w:rsidP="004C540C">
      <w:pPr>
        <w:pStyle w:val="Heading2"/>
        <w:jc w:val="both"/>
        <w:rPr>
          <w:rFonts w:ascii="Arial" w:eastAsiaTheme="minorHAnsi" w:hAnsi="Arial" w:cs="Arial"/>
          <w:b w:val="0"/>
          <w:bCs w:val="0"/>
          <w:sz w:val="24"/>
          <w:szCs w:val="24"/>
          <w:lang w:eastAsia="en-US"/>
        </w:rPr>
      </w:pPr>
      <w:r w:rsidRPr="004C540C">
        <w:rPr>
          <w:rFonts w:ascii="Arial" w:eastAsiaTheme="minorHAnsi" w:hAnsi="Arial" w:cs="Arial"/>
          <w:b w:val="0"/>
          <w:bCs w:val="0"/>
          <w:sz w:val="24"/>
          <w:szCs w:val="24"/>
          <w:lang w:eastAsia="en-US"/>
        </w:rPr>
        <w:t>The global hospitality industry faces a variety of factors that impact its macro-economic environment, geopolitical events, evolving consumer tastes and international travel trends. The pandemic had a significant impact on the industry from 2021 to 2025. The hospitality sector had an uplift as travel restrictions were gradually eased as international travels picked up and the demand for leisure travel increased with a gradual resumption of business travel (UNWTO, 2023; WTTC, 2024).</w:t>
      </w:r>
    </w:p>
    <w:p w14:paraId="135CA8A7" w14:textId="77777777" w:rsidR="008D26F2" w:rsidRPr="004C540C" w:rsidRDefault="008D26F2" w:rsidP="004C540C">
      <w:pPr>
        <w:pStyle w:val="Heading2"/>
        <w:jc w:val="both"/>
        <w:rPr>
          <w:rFonts w:ascii="Arial" w:eastAsiaTheme="minorHAnsi" w:hAnsi="Arial" w:cs="Arial"/>
          <w:sz w:val="28"/>
          <w:szCs w:val="28"/>
          <w:lang w:eastAsia="en-US"/>
        </w:rPr>
      </w:pPr>
      <w:r w:rsidRPr="004C540C">
        <w:rPr>
          <w:rFonts w:ascii="Arial" w:eastAsiaTheme="minorHAnsi" w:hAnsi="Arial" w:cs="Arial"/>
          <w:sz w:val="28"/>
          <w:szCs w:val="28"/>
          <w:lang w:eastAsia="en-US"/>
        </w:rPr>
        <w:t>1.1 Financial Performance Overview (2021–2025)</w:t>
      </w:r>
    </w:p>
    <w:p w14:paraId="70332E72" w14:textId="77777777" w:rsidR="009405F1" w:rsidRPr="004C540C" w:rsidRDefault="008D26F2" w:rsidP="004C540C">
      <w:pPr>
        <w:pStyle w:val="Heading2"/>
        <w:jc w:val="both"/>
        <w:rPr>
          <w:rFonts w:ascii="Arial" w:eastAsiaTheme="minorHAnsi" w:hAnsi="Arial" w:cs="Arial"/>
          <w:b w:val="0"/>
          <w:bCs w:val="0"/>
          <w:sz w:val="24"/>
          <w:szCs w:val="24"/>
          <w:lang w:eastAsia="en-US"/>
        </w:rPr>
      </w:pPr>
      <w:r w:rsidRPr="004C540C">
        <w:rPr>
          <w:rFonts w:ascii="Arial" w:eastAsiaTheme="minorHAnsi" w:hAnsi="Arial" w:cs="Arial"/>
          <w:b w:val="0"/>
          <w:bCs w:val="0"/>
          <w:sz w:val="24"/>
          <w:szCs w:val="24"/>
          <w:lang w:eastAsia="en-US"/>
        </w:rPr>
        <w:t>InterContinental Hotels Group (IHG) 2021-25 financial results reflect a vital period for recovery, transformation and ongoing growth in the wake of the significant disruption from the COVID-19 pandemic. The COVID pandemic has created an enormous financial burden for IHG as international travel was limited, business travel dropped and hotel occupancy was reduced worldwide (InterContinental Hotels Group, 2022).</w:t>
      </w:r>
    </w:p>
    <w:p w14:paraId="716D4195" w14:textId="15621E5A" w:rsidR="00662908" w:rsidRPr="004C540C" w:rsidRDefault="00662908" w:rsidP="004C540C">
      <w:pPr>
        <w:pStyle w:val="Heading2"/>
        <w:jc w:val="both"/>
        <w:rPr>
          <w:rFonts w:ascii="Arial" w:hAnsi="Arial" w:cs="Arial"/>
          <w:sz w:val="24"/>
          <w:szCs w:val="24"/>
        </w:rPr>
      </w:pPr>
      <w:r w:rsidRPr="004C540C">
        <w:rPr>
          <w:rFonts w:ascii="Arial" w:hAnsi="Arial" w:cs="Arial"/>
          <w:sz w:val="24"/>
          <w:szCs w:val="24"/>
        </w:rPr>
        <w:t>Table 1: IHG Financial Performance, 2021–2025</w:t>
      </w:r>
      <w:bookmarkEnd w:id="4"/>
      <w:bookmarkEnd w:id="5"/>
      <w:bookmarkEnd w:id="6"/>
      <w:bookmarkEnd w:id="7"/>
    </w:p>
    <w:p w14:paraId="0779DA55" w14:textId="77777777" w:rsidR="00662908" w:rsidRPr="004C540C" w:rsidRDefault="00662908" w:rsidP="004C540C">
      <w:pPr>
        <w:pStyle w:val="NormalWeb"/>
        <w:jc w:val="both"/>
        <w:rPr>
          <w:rFonts w:ascii="Arial" w:hAnsi="Arial" w:cs="Arial"/>
        </w:rPr>
      </w:pPr>
      <w:r w:rsidRPr="004C540C">
        <w:rPr>
          <w:rStyle w:val="Strong"/>
          <w:rFonts w:ascii="Arial" w:hAnsi="Arial" w:cs="Arial"/>
        </w:rPr>
        <w:t>US$ million, except margins and EPS</w:t>
      </w:r>
    </w:p>
    <w:tbl>
      <w:tblPr>
        <w:tblStyle w:val="GridTable4-Accent5"/>
        <w:tblW w:w="5000" w:type="pct"/>
        <w:tblLook w:val="04A0" w:firstRow="1" w:lastRow="0" w:firstColumn="1" w:lastColumn="0" w:noHBand="0" w:noVBand="1"/>
      </w:tblPr>
      <w:tblGrid>
        <w:gridCol w:w="3223"/>
        <w:gridCol w:w="1160"/>
        <w:gridCol w:w="1159"/>
        <w:gridCol w:w="1159"/>
        <w:gridCol w:w="1159"/>
        <w:gridCol w:w="1156"/>
      </w:tblGrid>
      <w:tr w:rsidR="00662908" w:rsidRPr="004C540C" w14:paraId="5C1DD4FC" w14:textId="77777777" w:rsidTr="0066290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7" w:type="pct"/>
            <w:vAlign w:val="center"/>
            <w:hideMark/>
          </w:tcPr>
          <w:p w14:paraId="68B9A340" w14:textId="77777777" w:rsidR="00662908" w:rsidRPr="004C540C" w:rsidRDefault="00662908" w:rsidP="004C540C">
            <w:pPr>
              <w:jc w:val="both"/>
              <w:rPr>
                <w:rFonts w:ascii="Arial" w:hAnsi="Arial" w:cs="Arial"/>
                <w:sz w:val="24"/>
                <w:szCs w:val="24"/>
              </w:rPr>
            </w:pPr>
            <w:r w:rsidRPr="004C540C">
              <w:rPr>
                <w:rFonts w:ascii="Arial" w:hAnsi="Arial" w:cs="Arial"/>
                <w:b w:val="0"/>
                <w:bCs w:val="0"/>
                <w:sz w:val="24"/>
                <w:szCs w:val="24"/>
              </w:rPr>
              <w:t>Financial measure</w:t>
            </w:r>
          </w:p>
        </w:tc>
        <w:tc>
          <w:tcPr>
            <w:tcW w:w="643" w:type="pct"/>
            <w:vAlign w:val="center"/>
            <w:hideMark/>
          </w:tcPr>
          <w:p w14:paraId="34B8CD2E" w14:textId="77777777" w:rsidR="00662908" w:rsidRPr="004C540C" w:rsidRDefault="00662908" w:rsidP="004C540C">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4C540C">
              <w:rPr>
                <w:rFonts w:ascii="Arial" w:hAnsi="Arial" w:cs="Arial"/>
                <w:b w:val="0"/>
                <w:bCs w:val="0"/>
                <w:sz w:val="24"/>
                <w:szCs w:val="24"/>
              </w:rPr>
              <w:t>2021</w:t>
            </w:r>
          </w:p>
        </w:tc>
        <w:tc>
          <w:tcPr>
            <w:tcW w:w="643" w:type="pct"/>
            <w:vAlign w:val="center"/>
            <w:hideMark/>
          </w:tcPr>
          <w:p w14:paraId="30A42C03" w14:textId="77777777" w:rsidR="00662908" w:rsidRPr="004C540C" w:rsidRDefault="00662908" w:rsidP="004C540C">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4C540C">
              <w:rPr>
                <w:rFonts w:ascii="Arial" w:hAnsi="Arial" w:cs="Arial"/>
                <w:b w:val="0"/>
                <w:bCs w:val="0"/>
                <w:sz w:val="24"/>
                <w:szCs w:val="24"/>
              </w:rPr>
              <w:t>2022</w:t>
            </w:r>
          </w:p>
        </w:tc>
        <w:tc>
          <w:tcPr>
            <w:tcW w:w="643" w:type="pct"/>
            <w:vAlign w:val="center"/>
            <w:hideMark/>
          </w:tcPr>
          <w:p w14:paraId="253941D0" w14:textId="77777777" w:rsidR="00662908" w:rsidRPr="004C540C" w:rsidRDefault="00662908" w:rsidP="004C540C">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4C540C">
              <w:rPr>
                <w:rFonts w:ascii="Arial" w:hAnsi="Arial" w:cs="Arial"/>
                <w:b w:val="0"/>
                <w:bCs w:val="0"/>
                <w:sz w:val="24"/>
                <w:szCs w:val="24"/>
              </w:rPr>
              <w:t>2023</w:t>
            </w:r>
          </w:p>
        </w:tc>
        <w:tc>
          <w:tcPr>
            <w:tcW w:w="643" w:type="pct"/>
            <w:vAlign w:val="center"/>
            <w:hideMark/>
          </w:tcPr>
          <w:p w14:paraId="209E906C" w14:textId="77777777" w:rsidR="00662908" w:rsidRPr="004C540C" w:rsidRDefault="00662908" w:rsidP="004C540C">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4C540C">
              <w:rPr>
                <w:rFonts w:ascii="Arial" w:hAnsi="Arial" w:cs="Arial"/>
                <w:b w:val="0"/>
                <w:bCs w:val="0"/>
                <w:sz w:val="24"/>
                <w:szCs w:val="24"/>
              </w:rPr>
              <w:t>2024</w:t>
            </w:r>
          </w:p>
        </w:tc>
        <w:tc>
          <w:tcPr>
            <w:tcW w:w="643" w:type="pct"/>
            <w:vAlign w:val="center"/>
            <w:hideMark/>
          </w:tcPr>
          <w:p w14:paraId="7E173A20" w14:textId="77777777" w:rsidR="00662908" w:rsidRPr="004C540C" w:rsidRDefault="00662908" w:rsidP="004C540C">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4C540C">
              <w:rPr>
                <w:rFonts w:ascii="Arial" w:hAnsi="Arial" w:cs="Arial"/>
                <w:b w:val="0"/>
                <w:bCs w:val="0"/>
                <w:sz w:val="24"/>
                <w:szCs w:val="24"/>
              </w:rPr>
              <w:t>2025</w:t>
            </w:r>
          </w:p>
        </w:tc>
      </w:tr>
      <w:tr w:rsidR="00662908" w:rsidRPr="004C540C" w14:paraId="5FB2D706" w14:textId="77777777" w:rsidTr="006629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7" w:type="pct"/>
            <w:vAlign w:val="center"/>
            <w:hideMark/>
          </w:tcPr>
          <w:p w14:paraId="7F80AF05" w14:textId="77777777" w:rsidR="00662908" w:rsidRPr="004C540C" w:rsidRDefault="00662908" w:rsidP="004C540C">
            <w:pPr>
              <w:jc w:val="both"/>
              <w:rPr>
                <w:rFonts w:ascii="Arial" w:hAnsi="Arial" w:cs="Arial"/>
                <w:b w:val="0"/>
                <w:bCs w:val="0"/>
                <w:sz w:val="24"/>
                <w:szCs w:val="24"/>
              </w:rPr>
            </w:pPr>
            <w:r w:rsidRPr="004C540C">
              <w:rPr>
                <w:rFonts w:ascii="Arial" w:hAnsi="Arial" w:cs="Arial"/>
                <w:sz w:val="24"/>
                <w:szCs w:val="24"/>
              </w:rPr>
              <w:t>Total revenue</w:t>
            </w:r>
          </w:p>
        </w:tc>
        <w:tc>
          <w:tcPr>
            <w:tcW w:w="643" w:type="pct"/>
            <w:vAlign w:val="center"/>
            <w:hideMark/>
          </w:tcPr>
          <w:p w14:paraId="06C74D1A" w14:textId="77777777" w:rsidR="00662908" w:rsidRPr="004C540C" w:rsidRDefault="00662908" w:rsidP="004C540C">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2,907</w:t>
            </w:r>
          </w:p>
        </w:tc>
        <w:tc>
          <w:tcPr>
            <w:tcW w:w="643" w:type="pct"/>
            <w:vAlign w:val="center"/>
            <w:hideMark/>
          </w:tcPr>
          <w:p w14:paraId="26E5A2B5" w14:textId="77777777" w:rsidR="00662908" w:rsidRPr="004C540C" w:rsidRDefault="00662908" w:rsidP="004C540C">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3,892</w:t>
            </w:r>
          </w:p>
        </w:tc>
        <w:tc>
          <w:tcPr>
            <w:tcW w:w="643" w:type="pct"/>
            <w:vAlign w:val="center"/>
            <w:hideMark/>
          </w:tcPr>
          <w:p w14:paraId="529FBF70" w14:textId="77777777" w:rsidR="00662908" w:rsidRPr="004C540C" w:rsidRDefault="00662908" w:rsidP="004C540C">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4,624</w:t>
            </w:r>
          </w:p>
        </w:tc>
        <w:tc>
          <w:tcPr>
            <w:tcW w:w="643" w:type="pct"/>
            <w:vAlign w:val="center"/>
            <w:hideMark/>
          </w:tcPr>
          <w:p w14:paraId="558002AE" w14:textId="77777777" w:rsidR="00662908" w:rsidRPr="004C540C" w:rsidRDefault="00662908" w:rsidP="004C540C">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4,923</w:t>
            </w:r>
          </w:p>
        </w:tc>
        <w:tc>
          <w:tcPr>
            <w:tcW w:w="643" w:type="pct"/>
            <w:vAlign w:val="center"/>
            <w:hideMark/>
          </w:tcPr>
          <w:p w14:paraId="2AF3A2A1" w14:textId="77777777" w:rsidR="00662908" w:rsidRPr="004C540C" w:rsidRDefault="00662908" w:rsidP="004C540C">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5,189</w:t>
            </w:r>
          </w:p>
        </w:tc>
      </w:tr>
      <w:tr w:rsidR="00662908" w:rsidRPr="004C540C" w14:paraId="15F6ACE6" w14:textId="77777777" w:rsidTr="00662908">
        <w:tc>
          <w:tcPr>
            <w:cnfStyle w:val="001000000000" w:firstRow="0" w:lastRow="0" w:firstColumn="1" w:lastColumn="0" w:oddVBand="0" w:evenVBand="0" w:oddHBand="0" w:evenHBand="0" w:firstRowFirstColumn="0" w:firstRowLastColumn="0" w:lastRowFirstColumn="0" w:lastRowLastColumn="0"/>
            <w:tcW w:w="1787" w:type="pct"/>
            <w:vAlign w:val="center"/>
            <w:hideMark/>
          </w:tcPr>
          <w:p w14:paraId="6AEFE788" w14:textId="77777777" w:rsidR="00662908" w:rsidRPr="004C540C" w:rsidRDefault="00662908" w:rsidP="004C540C">
            <w:pPr>
              <w:jc w:val="both"/>
              <w:rPr>
                <w:rFonts w:ascii="Arial" w:hAnsi="Arial" w:cs="Arial"/>
                <w:sz w:val="24"/>
                <w:szCs w:val="24"/>
              </w:rPr>
            </w:pPr>
            <w:r w:rsidRPr="004C540C">
              <w:rPr>
                <w:rFonts w:ascii="Arial" w:hAnsi="Arial" w:cs="Arial"/>
                <w:sz w:val="24"/>
                <w:szCs w:val="24"/>
              </w:rPr>
              <w:t>Revenue from fee business</w:t>
            </w:r>
          </w:p>
        </w:tc>
        <w:tc>
          <w:tcPr>
            <w:tcW w:w="643" w:type="pct"/>
            <w:vAlign w:val="center"/>
            <w:hideMark/>
          </w:tcPr>
          <w:p w14:paraId="10922AE5" w14:textId="77777777" w:rsidR="00662908" w:rsidRPr="004C540C" w:rsidRDefault="00662908" w:rsidP="004C540C">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1,144</w:t>
            </w:r>
          </w:p>
        </w:tc>
        <w:tc>
          <w:tcPr>
            <w:tcW w:w="643" w:type="pct"/>
            <w:vAlign w:val="center"/>
            <w:hideMark/>
          </w:tcPr>
          <w:p w14:paraId="5284489D" w14:textId="77777777" w:rsidR="00662908" w:rsidRPr="004C540C" w:rsidRDefault="00662908" w:rsidP="004C540C">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1,434</w:t>
            </w:r>
          </w:p>
        </w:tc>
        <w:tc>
          <w:tcPr>
            <w:tcW w:w="643" w:type="pct"/>
            <w:vAlign w:val="center"/>
            <w:hideMark/>
          </w:tcPr>
          <w:p w14:paraId="37E29C6E" w14:textId="77777777" w:rsidR="00662908" w:rsidRPr="004C540C" w:rsidRDefault="00662908" w:rsidP="004C540C">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1,672</w:t>
            </w:r>
          </w:p>
        </w:tc>
        <w:tc>
          <w:tcPr>
            <w:tcW w:w="643" w:type="pct"/>
            <w:vAlign w:val="center"/>
            <w:hideMark/>
          </w:tcPr>
          <w:p w14:paraId="0B98094C" w14:textId="77777777" w:rsidR="00662908" w:rsidRPr="004C540C" w:rsidRDefault="00662908" w:rsidP="004C540C">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1,774</w:t>
            </w:r>
          </w:p>
        </w:tc>
        <w:tc>
          <w:tcPr>
            <w:tcW w:w="643" w:type="pct"/>
            <w:vAlign w:val="center"/>
            <w:hideMark/>
          </w:tcPr>
          <w:p w14:paraId="62A95A36" w14:textId="77777777" w:rsidR="00662908" w:rsidRPr="004C540C" w:rsidRDefault="00662908" w:rsidP="004C540C">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1,897</w:t>
            </w:r>
          </w:p>
        </w:tc>
      </w:tr>
      <w:tr w:rsidR="00662908" w:rsidRPr="004C540C" w14:paraId="2CD3CD51" w14:textId="77777777" w:rsidTr="006629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7" w:type="pct"/>
            <w:vAlign w:val="center"/>
            <w:hideMark/>
          </w:tcPr>
          <w:p w14:paraId="3353C0E2" w14:textId="77777777" w:rsidR="00662908" w:rsidRPr="004C540C" w:rsidRDefault="00662908" w:rsidP="004C540C">
            <w:pPr>
              <w:jc w:val="both"/>
              <w:rPr>
                <w:rFonts w:ascii="Arial" w:hAnsi="Arial" w:cs="Arial"/>
                <w:sz w:val="24"/>
                <w:szCs w:val="24"/>
              </w:rPr>
            </w:pPr>
            <w:r w:rsidRPr="004C540C">
              <w:rPr>
                <w:rFonts w:ascii="Arial" w:hAnsi="Arial" w:cs="Arial"/>
                <w:sz w:val="24"/>
                <w:szCs w:val="24"/>
              </w:rPr>
              <w:t>Operating profit</w:t>
            </w:r>
          </w:p>
        </w:tc>
        <w:tc>
          <w:tcPr>
            <w:tcW w:w="643" w:type="pct"/>
            <w:vAlign w:val="center"/>
            <w:hideMark/>
          </w:tcPr>
          <w:p w14:paraId="2F1B62F6" w14:textId="77777777" w:rsidR="00662908" w:rsidRPr="004C540C" w:rsidRDefault="00662908" w:rsidP="004C540C">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494</w:t>
            </w:r>
          </w:p>
        </w:tc>
        <w:tc>
          <w:tcPr>
            <w:tcW w:w="643" w:type="pct"/>
            <w:vAlign w:val="center"/>
            <w:hideMark/>
          </w:tcPr>
          <w:p w14:paraId="48B04E6F" w14:textId="77777777" w:rsidR="00662908" w:rsidRPr="004C540C" w:rsidRDefault="00662908" w:rsidP="004C540C">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628</w:t>
            </w:r>
          </w:p>
        </w:tc>
        <w:tc>
          <w:tcPr>
            <w:tcW w:w="643" w:type="pct"/>
            <w:vAlign w:val="center"/>
            <w:hideMark/>
          </w:tcPr>
          <w:p w14:paraId="2EBDD4B6" w14:textId="77777777" w:rsidR="00662908" w:rsidRPr="004C540C" w:rsidRDefault="00662908" w:rsidP="004C540C">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1,066</w:t>
            </w:r>
          </w:p>
        </w:tc>
        <w:tc>
          <w:tcPr>
            <w:tcW w:w="643" w:type="pct"/>
            <w:vAlign w:val="center"/>
            <w:hideMark/>
          </w:tcPr>
          <w:p w14:paraId="43962288" w14:textId="77777777" w:rsidR="00662908" w:rsidRPr="004C540C" w:rsidRDefault="00662908" w:rsidP="004C540C">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1,041</w:t>
            </w:r>
          </w:p>
        </w:tc>
        <w:tc>
          <w:tcPr>
            <w:tcW w:w="643" w:type="pct"/>
            <w:vAlign w:val="center"/>
            <w:hideMark/>
          </w:tcPr>
          <w:p w14:paraId="71B7A221" w14:textId="77777777" w:rsidR="00662908" w:rsidRPr="004C540C" w:rsidRDefault="00662908" w:rsidP="004C540C">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1,198</w:t>
            </w:r>
          </w:p>
        </w:tc>
      </w:tr>
      <w:tr w:rsidR="00662908" w:rsidRPr="004C540C" w14:paraId="30E7AEBB" w14:textId="77777777" w:rsidTr="00662908">
        <w:tc>
          <w:tcPr>
            <w:cnfStyle w:val="001000000000" w:firstRow="0" w:lastRow="0" w:firstColumn="1" w:lastColumn="0" w:oddVBand="0" w:evenVBand="0" w:oddHBand="0" w:evenHBand="0" w:firstRowFirstColumn="0" w:firstRowLastColumn="0" w:lastRowFirstColumn="0" w:lastRowLastColumn="0"/>
            <w:tcW w:w="1787" w:type="pct"/>
            <w:vAlign w:val="center"/>
            <w:hideMark/>
          </w:tcPr>
          <w:p w14:paraId="547863AF" w14:textId="77777777" w:rsidR="00662908" w:rsidRPr="004C540C" w:rsidRDefault="00662908" w:rsidP="004C540C">
            <w:pPr>
              <w:jc w:val="both"/>
              <w:rPr>
                <w:rFonts w:ascii="Arial" w:hAnsi="Arial" w:cs="Arial"/>
                <w:sz w:val="24"/>
                <w:szCs w:val="24"/>
              </w:rPr>
            </w:pPr>
            <w:r w:rsidRPr="004C540C">
              <w:rPr>
                <w:rFonts w:ascii="Arial" w:hAnsi="Arial" w:cs="Arial"/>
                <w:sz w:val="24"/>
                <w:szCs w:val="24"/>
              </w:rPr>
              <w:t>Profit for the year</w:t>
            </w:r>
          </w:p>
        </w:tc>
        <w:tc>
          <w:tcPr>
            <w:tcW w:w="643" w:type="pct"/>
            <w:vAlign w:val="center"/>
            <w:hideMark/>
          </w:tcPr>
          <w:p w14:paraId="29950073" w14:textId="77777777" w:rsidR="00662908" w:rsidRPr="004C540C" w:rsidRDefault="00662908" w:rsidP="004C540C">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265</w:t>
            </w:r>
          </w:p>
        </w:tc>
        <w:tc>
          <w:tcPr>
            <w:tcW w:w="643" w:type="pct"/>
            <w:vAlign w:val="center"/>
            <w:hideMark/>
          </w:tcPr>
          <w:p w14:paraId="543F0761" w14:textId="77777777" w:rsidR="00662908" w:rsidRPr="004C540C" w:rsidRDefault="00662908" w:rsidP="004C540C">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376</w:t>
            </w:r>
          </w:p>
        </w:tc>
        <w:tc>
          <w:tcPr>
            <w:tcW w:w="643" w:type="pct"/>
            <w:vAlign w:val="center"/>
            <w:hideMark/>
          </w:tcPr>
          <w:p w14:paraId="110AF8A5" w14:textId="77777777" w:rsidR="00662908" w:rsidRPr="004C540C" w:rsidRDefault="00662908" w:rsidP="004C540C">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750</w:t>
            </w:r>
          </w:p>
        </w:tc>
        <w:tc>
          <w:tcPr>
            <w:tcW w:w="643" w:type="pct"/>
            <w:vAlign w:val="center"/>
            <w:hideMark/>
          </w:tcPr>
          <w:p w14:paraId="6CF194B3" w14:textId="77777777" w:rsidR="00662908" w:rsidRPr="004C540C" w:rsidRDefault="00662908" w:rsidP="004C540C">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628</w:t>
            </w:r>
          </w:p>
        </w:tc>
        <w:tc>
          <w:tcPr>
            <w:tcW w:w="643" w:type="pct"/>
            <w:vAlign w:val="center"/>
            <w:hideMark/>
          </w:tcPr>
          <w:p w14:paraId="0AE2912A" w14:textId="77777777" w:rsidR="00662908" w:rsidRPr="004C540C" w:rsidRDefault="00662908" w:rsidP="004C540C">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759</w:t>
            </w:r>
          </w:p>
        </w:tc>
      </w:tr>
      <w:tr w:rsidR="00662908" w:rsidRPr="004C540C" w14:paraId="0F634CC1" w14:textId="77777777" w:rsidTr="006629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7" w:type="pct"/>
            <w:vAlign w:val="center"/>
            <w:hideMark/>
          </w:tcPr>
          <w:p w14:paraId="432717CC" w14:textId="77777777" w:rsidR="00662908" w:rsidRPr="004C540C" w:rsidRDefault="00662908" w:rsidP="004C540C">
            <w:pPr>
              <w:jc w:val="both"/>
              <w:rPr>
                <w:rFonts w:ascii="Arial" w:hAnsi="Arial" w:cs="Arial"/>
                <w:sz w:val="24"/>
                <w:szCs w:val="24"/>
              </w:rPr>
            </w:pPr>
            <w:r w:rsidRPr="004C540C">
              <w:rPr>
                <w:rFonts w:ascii="Arial" w:hAnsi="Arial" w:cs="Arial"/>
                <w:sz w:val="24"/>
                <w:szCs w:val="24"/>
              </w:rPr>
              <w:t>Operating profit margin</w:t>
            </w:r>
          </w:p>
        </w:tc>
        <w:tc>
          <w:tcPr>
            <w:tcW w:w="643" w:type="pct"/>
            <w:vAlign w:val="center"/>
            <w:hideMark/>
          </w:tcPr>
          <w:p w14:paraId="4DC8BB1C" w14:textId="77777777" w:rsidR="00662908" w:rsidRPr="004C540C" w:rsidRDefault="00662908" w:rsidP="004C540C">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17.0%</w:t>
            </w:r>
          </w:p>
        </w:tc>
        <w:tc>
          <w:tcPr>
            <w:tcW w:w="643" w:type="pct"/>
            <w:vAlign w:val="center"/>
            <w:hideMark/>
          </w:tcPr>
          <w:p w14:paraId="28BEFE62" w14:textId="77777777" w:rsidR="00662908" w:rsidRPr="004C540C" w:rsidRDefault="00662908" w:rsidP="004C540C">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16.1%</w:t>
            </w:r>
          </w:p>
        </w:tc>
        <w:tc>
          <w:tcPr>
            <w:tcW w:w="643" w:type="pct"/>
            <w:vAlign w:val="center"/>
            <w:hideMark/>
          </w:tcPr>
          <w:p w14:paraId="4231CDF1" w14:textId="77777777" w:rsidR="00662908" w:rsidRPr="004C540C" w:rsidRDefault="00662908" w:rsidP="004C540C">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23.1%</w:t>
            </w:r>
          </w:p>
        </w:tc>
        <w:tc>
          <w:tcPr>
            <w:tcW w:w="643" w:type="pct"/>
            <w:vAlign w:val="center"/>
            <w:hideMark/>
          </w:tcPr>
          <w:p w14:paraId="0BB67650" w14:textId="77777777" w:rsidR="00662908" w:rsidRPr="004C540C" w:rsidRDefault="00662908" w:rsidP="004C540C">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21.1%</w:t>
            </w:r>
          </w:p>
        </w:tc>
        <w:tc>
          <w:tcPr>
            <w:tcW w:w="643" w:type="pct"/>
            <w:vAlign w:val="center"/>
            <w:hideMark/>
          </w:tcPr>
          <w:p w14:paraId="71E593C8" w14:textId="77777777" w:rsidR="00662908" w:rsidRPr="004C540C" w:rsidRDefault="00662908" w:rsidP="004C540C">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23.1%</w:t>
            </w:r>
          </w:p>
        </w:tc>
      </w:tr>
      <w:tr w:rsidR="00662908" w:rsidRPr="004C540C" w14:paraId="3A505DCD" w14:textId="77777777" w:rsidTr="00662908">
        <w:tc>
          <w:tcPr>
            <w:cnfStyle w:val="001000000000" w:firstRow="0" w:lastRow="0" w:firstColumn="1" w:lastColumn="0" w:oddVBand="0" w:evenVBand="0" w:oddHBand="0" w:evenHBand="0" w:firstRowFirstColumn="0" w:firstRowLastColumn="0" w:lastRowFirstColumn="0" w:lastRowLastColumn="0"/>
            <w:tcW w:w="1787" w:type="pct"/>
            <w:vAlign w:val="center"/>
            <w:hideMark/>
          </w:tcPr>
          <w:p w14:paraId="6F844D92" w14:textId="77777777" w:rsidR="00662908" w:rsidRPr="004C540C" w:rsidRDefault="00662908" w:rsidP="004C540C">
            <w:pPr>
              <w:jc w:val="both"/>
              <w:rPr>
                <w:rFonts w:ascii="Arial" w:hAnsi="Arial" w:cs="Arial"/>
                <w:sz w:val="24"/>
                <w:szCs w:val="24"/>
              </w:rPr>
            </w:pPr>
            <w:r w:rsidRPr="004C540C">
              <w:rPr>
                <w:rFonts w:ascii="Arial" w:hAnsi="Arial" w:cs="Arial"/>
                <w:sz w:val="24"/>
                <w:szCs w:val="24"/>
              </w:rPr>
              <w:t>Net profit margin</w:t>
            </w:r>
          </w:p>
        </w:tc>
        <w:tc>
          <w:tcPr>
            <w:tcW w:w="643" w:type="pct"/>
            <w:vAlign w:val="center"/>
            <w:hideMark/>
          </w:tcPr>
          <w:p w14:paraId="41A0C27D" w14:textId="77777777" w:rsidR="00662908" w:rsidRPr="004C540C" w:rsidRDefault="00662908" w:rsidP="004C540C">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9.1%</w:t>
            </w:r>
          </w:p>
        </w:tc>
        <w:tc>
          <w:tcPr>
            <w:tcW w:w="643" w:type="pct"/>
            <w:vAlign w:val="center"/>
            <w:hideMark/>
          </w:tcPr>
          <w:p w14:paraId="4F521757" w14:textId="77777777" w:rsidR="00662908" w:rsidRPr="004C540C" w:rsidRDefault="00662908" w:rsidP="004C540C">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9.7%</w:t>
            </w:r>
          </w:p>
        </w:tc>
        <w:tc>
          <w:tcPr>
            <w:tcW w:w="643" w:type="pct"/>
            <w:vAlign w:val="center"/>
            <w:hideMark/>
          </w:tcPr>
          <w:p w14:paraId="1B564DF5" w14:textId="77777777" w:rsidR="00662908" w:rsidRPr="004C540C" w:rsidRDefault="00662908" w:rsidP="004C540C">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16.2%</w:t>
            </w:r>
          </w:p>
        </w:tc>
        <w:tc>
          <w:tcPr>
            <w:tcW w:w="643" w:type="pct"/>
            <w:vAlign w:val="center"/>
            <w:hideMark/>
          </w:tcPr>
          <w:p w14:paraId="58F97250" w14:textId="77777777" w:rsidR="00662908" w:rsidRPr="004C540C" w:rsidRDefault="00662908" w:rsidP="004C540C">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12.8%</w:t>
            </w:r>
          </w:p>
        </w:tc>
        <w:tc>
          <w:tcPr>
            <w:tcW w:w="643" w:type="pct"/>
            <w:vAlign w:val="center"/>
            <w:hideMark/>
          </w:tcPr>
          <w:p w14:paraId="74A35DBF" w14:textId="77777777" w:rsidR="00662908" w:rsidRPr="004C540C" w:rsidRDefault="00662908" w:rsidP="004C540C">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14.6%</w:t>
            </w:r>
          </w:p>
        </w:tc>
      </w:tr>
      <w:tr w:rsidR="00662908" w:rsidRPr="004C540C" w14:paraId="32DF2639" w14:textId="77777777" w:rsidTr="006629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7" w:type="pct"/>
            <w:vAlign w:val="center"/>
            <w:hideMark/>
          </w:tcPr>
          <w:p w14:paraId="382B4D3A" w14:textId="77777777" w:rsidR="00662908" w:rsidRPr="004C540C" w:rsidRDefault="00662908" w:rsidP="004C540C">
            <w:pPr>
              <w:jc w:val="both"/>
              <w:rPr>
                <w:rFonts w:ascii="Arial" w:hAnsi="Arial" w:cs="Arial"/>
                <w:sz w:val="24"/>
                <w:szCs w:val="24"/>
              </w:rPr>
            </w:pPr>
            <w:r w:rsidRPr="004C540C">
              <w:rPr>
                <w:rFonts w:ascii="Arial" w:hAnsi="Arial" w:cs="Arial"/>
                <w:sz w:val="24"/>
                <w:szCs w:val="24"/>
              </w:rPr>
              <w:t>Basic EPS (cents)</w:t>
            </w:r>
          </w:p>
        </w:tc>
        <w:tc>
          <w:tcPr>
            <w:tcW w:w="643" w:type="pct"/>
            <w:vAlign w:val="center"/>
            <w:hideMark/>
          </w:tcPr>
          <w:p w14:paraId="703E760C" w14:textId="77777777" w:rsidR="00662908" w:rsidRPr="004C540C" w:rsidRDefault="00662908" w:rsidP="004C540C">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145.4</w:t>
            </w:r>
          </w:p>
        </w:tc>
        <w:tc>
          <w:tcPr>
            <w:tcW w:w="643" w:type="pct"/>
            <w:vAlign w:val="center"/>
            <w:hideMark/>
          </w:tcPr>
          <w:p w14:paraId="27438B3E" w14:textId="77777777" w:rsidR="00662908" w:rsidRPr="004C540C" w:rsidRDefault="00662908" w:rsidP="004C540C">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207.2</w:t>
            </w:r>
          </w:p>
        </w:tc>
        <w:tc>
          <w:tcPr>
            <w:tcW w:w="643" w:type="pct"/>
            <w:vAlign w:val="center"/>
            <w:hideMark/>
          </w:tcPr>
          <w:p w14:paraId="65419E1E" w14:textId="77777777" w:rsidR="00662908" w:rsidRPr="004C540C" w:rsidRDefault="00662908" w:rsidP="004C540C">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443.8</w:t>
            </w:r>
          </w:p>
        </w:tc>
        <w:tc>
          <w:tcPr>
            <w:tcW w:w="643" w:type="pct"/>
            <w:vAlign w:val="center"/>
            <w:hideMark/>
          </w:tcPr>
          <w:p w14:paraId="215BC183" w14:textId="77777777" w:rsidR="00662908" w:rsidRPr="004C540C" w:rsidRDefault="00662908" w:rsidP="004C540C">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389.6</w:t>
            </w:r>
          </w:p>
        </w:tc>
        <w:tc>
          <w:tcPr>
            <w:tcW w:w="643" w:type="pct"/>
            <w:vAlign w:val="center"/>
            <w:hideMark/>
          </w:tcPr>
          <w:p w14:paraId="581B858C" w14:textId="77777777" w:rsidR="00662908" w:rsidRPr="004C540C" w:rsidRDefault="00662908" w:rsidP="004C540C">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490.9</w:t>
            </w:r>
          </w:p>
        </w:tc>
      </w:tr>
      <w:tr w:rsidR="00662908" w:rsidRPr="004C540C" w14:paraId="74D11C6B" w14:textId="77777777" w:rsidTr="00662908">
        <w:tc>
          <w:tcPr>
            <w:cnfStyle w:val="001000000000" w:firstRow="0" w:lastRow="0" w:firstColumn="1" w:lastColumn="0" w:oddVBand="0" w:evenVBand="0" w:oddHBand="0" w:evenHBand="0" w:firstRowFirstColumn="0" w:firstRowLastColumn="0" w:lastRowFirstColumn="0" w:lastRowLastColumn="0"/>
            <w:tcW w:w="1787" w:type="pct"/>
            <w:vAlign w:val="center"/>
            <w:hideMark/>
          </w:tcPr>
          <w:p w14:paraId="35CA34CB" w14:textId="77777777" w:rsidR="00662908" w:rsidRPr="004C540C" w:rsidRDefault="00662908" w:rsidP="004C540C">
            <w:pPr>
              <w:jc w:val="both"/>
              <w:rPr>
                <w:rFonts w:ascii="Arial" w:hAnsi="Arial" w:cs="Arial"/>
                <w:sz w:val="24"/>
                <w:szCs w:val="24"/>
              </w:rPr>
            </w:pPr>
            <w:r w:rsidRPr="004C540C">
              <w:rPr>
                <w:rFonts w:ascii="Arial" w:hAnsi="Arial" w:cs="Arial"/>
                <w:sz w:val="24"/>
                <w:szCs w:val="24"/>
              </w:rPr>
              <w:t>Net debt</w:t>
            </w:r>
          </w:p>
        </w:tc>
        <w:tc>
          <w:tcPr>
            <w:tcW w:w="643" w:type="pct"/>
            <w:vAlign w:val="center"/>
            <w:hideMark/>
          </w:tcPr>
          <w:p w14:paraId="295832A7" w14:textId="77777777" w:rsidR="00662908" w:rsidRPr="004C540C" w:rsidRDefault="00662908" w:rsidP="004C540C">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1,881</w:t>
            </w:r>
          </w:p>
        </w:tc>
        <w:tc>
          <w:tcPr>
            <w:tcW w:w="643" w:type="pct"/>
            <w:vAlign w:val="center"/>
            <w:hideMark/>
          </w:tcPr>
          <w:p w14:paraId="379C0184" w14:textId="77777777" w:rsidR="00662908" w:rsidRPr="004C540C" w:rsidRDefault="00662908" w:rsidP="004C540C">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1,851</w:t>
            </w:r>
          </w:p>
        </w:tc>
        <w:tc>
          <w:tcPr>
            <w:tcW w:w="643" w:type="pct"/>
            <w:vAlign w:val="center"/>
            <w:hideMark/>
          </w:tcPr>
          <w:p w14:paraId="76F2FE6A" w14:textId="77777777" w:rsidR="00662908" w:rsidRPr="004C540C" w:rsidRDefault="00662908" w:rsidP="004C540C">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2,272</w:t>
            </w:r>
          </w:p>
        </w:tc>
        <w:tc>
          <w:tcPr>
            <w:tcW w:w="643" w:type="pct"/>
            <w:vAlign w:val="center"/>
            <w:hideMark/>
          </w:tcPr>
          <w:p w14:paraId="63172410" w14:textId="77777777" w:rsidR="00662908" w:rsidRPr="004C540C" w:rsidRDefault="00662908" w:rsidP="004C540C">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2,782</w:t>
            </w:r>
          </w:p>
        </w:tc>
        <w:tc>
          <w:tcPr>
            <w:tcW w:w="643" w:type="pct"/>
            <w:vAlign w:val="center"/>
            <w:hideMark/>
          </w:tcPr>
          <w:p w14:paraId="09CF67E3" w14:textId="77777777" w:rsidR="00662908" w:rsidRPr="004C540C" w:rsidRDefault="00662908" w:rsidP="004C540C">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3,333</w:t>
            </w:r>
          </w:p>
        </w:tc>
      </w:tr>
    </w:tbl>
    <w:p w14:paraId="153C347A" w14:textId="77777777" w:rsidR="00662908" w:rsidRPr="004C540C" w:rsidRDefault="00662908" w:rsidP="004C540C">
      <w:pPr>
        <w:pStyle w:val="NormalWeb"/>
        <w:jc w:val="both"/>
        <w:rPr>
          <w:rFonts w:ascii="Arial" w:hAnsi="Arial" w:cs="Arial"/>
        </w:rPr>
      </w:pPr>
      <w:r w:rsidRPr="004C540C">
        <w:rPr>
          <w:rStyle w:val="Strong"/>
          <w:rFonts w:ascii="Arial" w:hAnsi="Arial" w:cs="Arial"/>
        </w:rPr>
        <w:t>Source:</w:t>
      </w:r>
      <w:r w:rsidRPr="004C540C">
        <w:rPr>
          <w:rFonts w:ascii="Arial" w:hAnsi="Arial" w:cs="Arial"/>
        </w:rPr>
        <w:t xml:space="preserve"> IHG Annual Reports and Group financial statements. The 2021–2023 figures are reported in IHG's 2023 Annual Report, while 2024–2025 are reported in the 2025 Annual Report. </w:t>
      </w:r>
    </w:p>
    <w:p w14:paraId="29A2DF21" w14:textId="77777777" w:rsidR="00D05D5F" w:rsidRPr="004C540C" w:rsidRDefault="00D05D5F" w:rsidP="004C540C">
      <w:pPr>
        <w:spacing w:before="100" w:beforeAutospacing="1" w:after="100" w:afterAutospacing="1" w:line="240" w:lineRule="auto"/>
        <w:jc w:val="both"/>
        <w:outlineLvl w:val="2"/>
        <w:rPr>
          <w:rFonts w:ascii="Arial" w:eastAsia="Times New Roman" w:hAnsi="Arial" w:cs="Arial"/>
          <w:sz w:val="24"/>
          <w:szCs w:val="24"/>
          <w:lang w:eastAsia="en-IN"/>
        </w:rPr>
      </w:pPr>
      <w:bookmarkStart w:id="8" w:name="_Toc237376688"/>
      <w:bookmarkStart w:id="9" w:name="_Toc237377338"/>
      <w:bookmarkStart w:id="10" w:name="_Toc237377443"/>
      <w:bookmarkStart w:id="11" w:name="_Toc237378355"/>
      <w:r w:rsidRPr="004C540C">
        <w:rPr>
          <w:rFonts w:ascii="Arial" w:eastAsia="Times New Roman" w:hAnsi="Arial" w:cs="Arial"/>
          <w:sz w:val="24"/>
          <w:szCs w:val="24"/>
          <w:lang w:eastAsia="en-IN"/>
        </w:rPr>
        <w:t xml:space="preserve">IHG was placed in 'early recovery' in 2021 as travel restrictions are slowly easing in critical markets and vaccination programmes are increasing throughout the globe. Revenue grew to be approximately $2.9 billion, up from a significant drop in 2020 </w:t>
      </w:r>
      <w:r w:rsidRPr="004C540C">
        <w:rPr>
          <w:rFonts w:ascii="Arial" w:eastAsia="Times New Roman" w:hAnsi="Arial" w:cs="Arial"/>
          <w:sz w:val="24"/>
          <w:szCs w:val="24"/>
          <w:lang w:eastAsia="en-IN"/>
        </w:rPr>
        <w:lastRenderedPageBreak/>
        <w:t>during the COVID-19 pandemic.  IHG contributed income from several brands such as Holiday Inn, Holiday Inn Express, Crown Plaza and InterContinental, which were aimed at a variety of different audience segments (InterContinental Hotels Group, 2022).</w:t>
      </w:r>
    </w:p>
    <w:p w14:paraId="6856CBE7" w14:textId="77777777" w:rsidR="00D05D5F" w:rsidRPr="004C540C" w:rsidRDefault="00D05D5F" w:rsidP="004C540C">
      <w:pPr>
        <w:spacing w:before="100" w:beforeAutospacing="1" w:after="100" w:afterAutospacing="1" w:line="240" w:lineRule="auto"/>
        <w:jc w:val="both"/>
        <w:outlineLvl w:val="2"/>
        <w:rPr>
          <w:rFonts w:ascii="Arial" w:eastAsia="Times New Roman" w:hAnsi="Arial" w:cs="Arial"/>
          <w:sz w:val="24"/>
          <w:szCs w:val="24"/>
          <w:lang w:eastAsia="en-IN"/>
        </w:rPr>
      </w:pPr>
      <w:r w:rsidRPr="004C540C">
        <w:rPr>
          <w:rFonts w:ascii="Arial" w:eastAsia="Times New Roman" w:hAnsi="Arial" w:cs="Arial"/>
          <w:sz w:val="24"/>
          <w:szCs w:val="24"/>
          <w:lang w:eastAsia="en-IN"/>
        </w:rPr>
        <w:t>In 2022, overall levels of consumer confidence increased and there was a greater resumption of international travel, which helped strengthen this recovery. IHG's total revenues grew to approximately $3.9 billion, which is an impressive lift on the numbers from 12 months ago. Solid room demand, and climbing occupancy and average daily rates (InterContinental Hotels Group, 2023) led to this improvement.</w:t>
      </w:r>
    </w:p>
    <w:p w14:paraId="64D951BB" w14:textId="77777777" w:rsidR="00D05D5F" w:rsidRPr="004C540C" w:rsidRDefault="00D05D5F" w:rsidP="004C540C">
      <w:pPr>
        <w:spacing w:before="100" w:beforeAutospacing="1" w:after="100" w:afterAutospacing="1" w:line="240" w:lineRule="auto"/>
        <w:jc w:val="both"/>
        <w:outlineLvl w:val="2"/>
        <w:rPr>
          <w:rFonts w:ascii="Arial" w:eastAsia="Times New Roman" w:hAnsi="Arial" w:cs="Arial"/>
          <w:sz w:val="24"/>
          <w:szCs w:val="24"/>
          <w:lang w:eastAsia="en-IN"/>
        </w:rPr>
      </w:pPr>
      <w:r w:rsidRPr="004C540C">
        <w:rPr>
          <w:rFonts w:ascii="Arial" w:eastAsia="Times New Roman" w:hAnsi="Arial" w:cs="Arial"/>
          <w:sz w:val="24"/>
          <w:szCs w:val="24"/>
          <w:lang w:eastAsia="en-IN"/>
        </w:rPr>
        <w:t>In 2023, revenues were estimated to be at just under $4.6 billion, and IHG's strong recovery was mirrored by its performance that year. Profitability has risen markedly, leading to an operating profit of more than $1 billion. Continued gains in global travel demand, particularly in the international leisure market, as well as pricing improvements across its hotel business, drove growth. Sustained fee of the related franchise and management contracts also boosted the company's profit stream (InterContinental Hotels Group, 2024).</w:t>
      </w:r>
    </w:p>
    <w:p w14:paraId="00215398" w14:textId="77777777" w:rsidR="00D05D5F" w:rsidRPr="004C540C" w:rsidRDefault="00D05D5F" w:rsidP="004C540C">
      <w:pPr>
        <w:spacing w:before="100" w:beforeAutospacing="1" w:after="100" w:afterAutospacing="1" w:line="240" w:lineRule="auto"/>
        <w:jc w:val="both"/>
        <w:outlineLvl w:val="2"/>
        <w:rPr>
          <w:rFonts w:ascii="Arial" w:eastAsia="Times New Roman" w:hAnsi="Arial" w:cs="Arial"/>
          <w:sz w:val="24"/>
          <w:szCs w:val="24"/>
          <w:lang w:eastAsia="en-IN"/>
        </w:rPr>
      </w:pPr>
      <w:r w:rsidRPr="004C540C">
        <w:rPr>
          <w:rFonts w:ascii="Arial" w:eastAsia="Times New Roman" w:hAnsi="Arial" w:cs="Arial"/>
          <w:sz w:val="24"/>
          <w:szCs w:val="24"/>
          <w:lang w:eastAsia="en-IN"/>
        </w:rPr>
        <w:t>IHG's performance was positive in 2024, with revenue at c. $4.9 billion and operating profit at c. $1.0 billion. Over the years IHG has shifted its emphasis from owning hotels to managing and franchising properties, so that fee earnings became a significant part of their revenues (InterContinental Hotels Group, 2025).</w:t>
      </w:r>
    </w:p>
    <w:p w14:paraId="6F3EBA17" w14:textId="77777777" w:rsidR="00D05D5F" w:rsidRPr="004C540C" w:rsidRDefault="00D05D5F" w:rsidP="004C540C">
      <w:pPr>
        <w:spacing w:before="100" w:beforeAutospacing="1" w:after="100" w:afterAutospacing="1" w:line="240" w:lineRule="auto"/>
        <w:jc w:val="both"/>
        <w:outlineLvl w:val="2"/>
        <w:rPr>
          <w:rFonts w:ascii="Arial" w:eastAsia="Times New Roman" w:hAnsi="Arial" w:cs="Arial"/>
          <w:sz w:val="24"/>
          <w:szCs w:val="24"/>
          <w:lang w:eastAsia="en-IN"/>
        </w:rPr>
      </w:pPr>
      <w:r w:rsidRPr="004C540C">
        <w:rPr>
          <w:rFonts w:ascii="Arial" w:eastAsia="Times New Roman" w:hAnsi="Arial" w:cs="Arial"/>
          <w:sz w:val="24"/>
          <w:szCs w:val="24"/>
          <w:lang w:eastAsia="en-IN"/>
        </w:rPr>
        <w:t>In 2025, IHG posted a record $5.2 billion in total revenue and $1.2 billion in operating profit. Demand for leisure and business travel continued to be robust as the company expanded its hotel system, raised franchise fees and acted to rationalize its operations. The number of revenue earned from the fee-based business was approximately $1.9 billion and shows the increasing significance of recurring revenue in IHG's overall revenue mix (InterContinental Hotels Group, 2025)..</w:t>
      </w:r>
    </w:p>
    <w:p w14:paraId="01761835" w14:textId="10CEF94D" w:rsidR="00662908" w:rsidRPr="004C540C" w:rsidRDefault="00662908" w:rsidP="004C540C">
      <w:pPr>
        <w:spacing w:before="100" w:beforeAutospacing="1" w:after="100" w:afterAutospacing="1" w:line="240" w:lineRule="auto"/>
        <w:jc w:val="both"/>
        <w:outlineLvl w:val="2"/>
        <w:rPr>
          <w:rFonts w:ascii="Arial" w:eastAsia="Times New Roman" w:hAnsi="Arial" w:cs="Arial"/>
          <w:b/>
          <w:bCs/>
          <w:sz w:val="24"/>
          <w:szCs w:val="24"/>
          <w:lang w:eastAsia="en-IN"/>
        </w:rPr>
      </w:pPr>
      <w:r w:rsidRPr="004C540C">
        <w:rPr>
          <w:rFonts w:ascii="Arial" w:eastAsia="Times New Roman" w:hAnsi="Arial" w:cs="Arial"/>
          <w:b/>
          <w:bCs/>
          <w:sz w:val="24"/>
          <w:szCs w:val="24"/>
          <w:lang w:eastAsia="en-IN"/>
        </w:rPr>
        <w:t>Table 2: Fee-Business Performance and Asset-Light Model</w:t>
      </w:r>
      <w:bookmarkEnd w:id="8"/>
      <w:bookmarkEnd w:id="9"/>
      <w:bookmarkEnd w:id="10"/>
      <w:bookmarkEnd w:id="11"/>
    </w:p>
    <w:tbl>
      <w:tblPr>
        <w:tblStyle w:val="GridTable4-Accent5"/>
        <w:tblW w:w="5000" w:type="pct"/>
        <w:tblLook w:val="04A0" w:firstRow="1" w:lastRow="0" w:firstColumn="1" w:lastColumn="0" w:noHBand="0" w:noVBand="1"/>
      </w:tblPr>
      <w:tblGrid>
        <w:gridCol w:w="4531"/>
        <w:gridCol w:w="897"/>
        <w:gridCol w:w="897"/>
        <w:gridCol w:w="897"/>
        <w:gridCol w:w="897"/>
        <w:gridCol w:w="897"/>
      </w:tblGrid>
      <w:tr w:rsidR="00662908" w:rsidRPr="004C540C" w14:paraId="2DD4BFD9" w14:textId="77777777" w:rsidTr="0066290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2" w:type="pct"/>
            <w:vAlign w:val="center"/>
            <w:hideMark/>
          </w:tcPr>
          <w:p w14:paraId="2A8B5BE8" w14:textId="77777777" w:rsidR="00662908" w:rsidRPr="004C540C" w:rsidRDefault="00662908" w:rsidP="004C540C">
            <w:pPr>
              <w:jc w:val="both"/>
              <w:rPr>
                <w:rFonts w:ascii="Arial" w:eastAsia="Times New Roman" w:hAnsi="Arial" w:cs="Arial"/>
                <w:sz w:val="24"/>
                <w:szCs w:val="24"/>
                <w:lang w:eastAsia="en-IN"/>
              </w:rPr>
            </w:pPr>
            <w:r w:rsidRPr="004C540C">
              <w:rPr>
                <w:rFonts w:ascii="Arial" w:eastAsia="Times New Roman" w:hAnsi="Arial" w:cs="Arial"/>
                <w:sz w:val="24"/>
                <w:szCs w:val="24"/>
                <w:lang w:eastAsia="en-IN"/>
              </w:rPr>
              <w:t>Measure</w:t>
            </w:r>
          </w:p>
        </w:tc>
        <w:tc>
          <w:tcPr>
            <w:tcW w:w="464" w:type="pct"/>
            <w:vAlign w:val="center"/>
            <w:hideMark/>
          </w:tcPr>
          <w:p w14:paraId="3F51A508" w14:textId="77777777" w:rsidR="00662908" w:rsidRPr="004C540C" w:rsidRDefault="00662908" w:rsidP="004C540C">
            <w:pPr>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2021</w:t>
            </w:r>
          </w:p>
        </w:tc>
        <w:tc>
          <w:tcPr>
            <w:tcW w:w="464" w:type="pct"/>
            <w:vAlign w:val="center"/>
            <w:hideMark/>
          </w:tcPr>
          <w:p w14:paraId="3A34E967" w14:textId="77777777" w:rsidR="00662908" w:rsidRPr="004C540C" w:rsidRDefault="00662908" w:rsidP="004C540C">
            <w:pPr>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2022</w:t>
            </w:r>
          </w:p>
        </w:tc>
        <w:tc>
          <w:tcPr>
            <w:tcW w:w="464" w:type="pct"/>
            <w:vAlign w:val="center"/>
            <w:hideMark/>
          </w:tcPr>
          <w:p w14:paraId="1AEAED23" w14:textId="77777777" w:rsidR="00662908" w:rsidRPr="004C540C" w:rsidRDefault="00662908" w:rsidP="004C540C">
            <w:pPr>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2023</w:t>
            </w:r>
          </w:p>
        </w:tc>
        <w:tc>
          <w:tcPr>
            <w:tcW w:w="464" w:type="pct"/>
            <w:vAlign w:val="center"/>
            <w:hideMark/>
          </w:tcPr>
          <w:p w14:paraId="41980D97" w14:textId="77777777" w:rsidR="00662908" w:rsidRPr="004C540C" w:rsidRDefault="00662908" w:rsidP="004C540C">
            <w:pPr>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2024</w:t>
            </w:r>
          </w:p>
        </w:tc>
        <w:tc>
          <w:tcPr>
            <w:tcW w:w="464" w:type="pct"/>
            <w:vAlign w:val="center"/>
            <w:hideMark/>
          </w:tcPr>
          <w:p w14:paraId="014E2457" w14:textId="77777777" w:rsidR="00662908" w:rsidRPr="004C540C" w:rsidRDefault="00662908" w:rsidP="004C540C">
            <w:pPr>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2025</w:t>
            </w:r>
          </w:p>
        </w:tc>
      </w:tr>
      <w:tr w:rsidR="00662908" w:rsidRPr="004C540C" w14:paraId="2CF6FCB7" w14:textId="77777777" w:rsidTr="006629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2" w:type="pct"/>
            <w:vAlign w:val="center"/>
            <w:hideMark/>
          </w:tcPr>
          <w:p w14:paraId="55D0C20C" w14:textId="77777777" w:rsidR="00662908" w:rsidRPr="004C540C" w:rsidRDefault="00662908" w:rsidP="004C540C">
            <w:pPr>
              <w:jc w:val="both"/>
              <w:rPr>
                <w:rFonts w:ascii="Arial" w:eastAsia="Times New Roman" w:hAnsi="Arial" w:cs="Arial"/>
                <w:sz w:val="24"/>
                <w:szCs w:val="24"/>
                <w:lang w:eastAsia="en-IN"/>
              </w:rPr>
            </w:pPr>
            <w:r w:rsidRPr="004C540C">
              <w:rPr>
                <w:rFonts w:ascii="Arial" w:eastAsia="Times New Roman" w:hAnsi="Arial" w:cs="Arial"/>
                <w:sz w:val="24"/>
                <w:szCs w:val="24"/>
                <w:lang w:eastAsia="en-IN"/>
              </w:rPr>
              <w:t>Fee-business revenue ($m)</w:t>
            </w:r>
          </w:p>
        </w:tc>
        <w:tc>
          <w:tcPr>
            <w:tcW w:w="464" w:type="pct"/>
            <w:vAlign w:val="center"/>
            <w:hideMark/>
          </w:tcPr>
          <w:p w14:paraId="44B12003" w14:textId="77777777" w:rsidR="00662908" w:rsidRPr="004C540C" w:rsidRDefault="00662908"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1,144</w:t>
            </w:r>
          </w:p>
        </w:tc>
        <w:tc>
          <w:tcPr>
            <w:tcW w:w="464" w:type="pct"/>
            <w:vAlign w:val="center"/>
            <w:hideMark/>
          </w:tcPr>
          <w:p w14:paraId="5A25E68F" w14:textId="77777777" w:rsidR="00662908" w:rsidRPr="004C540C" w:rsidRDefault="00662908"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1,434</w:t>
            </w:r>
          </w:p>
        </w:tc>
        <w:tc>
          <w:tcPr>
            <w:tcW w:w="464" w:type="pct"/>
            <w:vAlign w:val="center"/>
            <w:hideMark/>
          </w:tcPr>
          <w:p w14:paraId="7B0AE31F" w14:textId="77777777" w:rsidR="00662908" w:rsidRPr="004C540C" w:rsidRDefault="00662908"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1,672</w:t>
            </w:r>
          </w:p>
        </w:tc>
        <w:tc>
          <w:tcPr>
            <w:tcW w:w="464" w:type="pct"/>
            <w:vAlign w:val="center"/>
            <w:hideMark/>
          </w:tcPr>
          <w:p w14:paraId="6BB82108" w14:textId="77777777" w:rsidR="00662908" w:rsidRPr="004C540C" w:rsidRDefault="00662908"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1,774</w:t>
            </w:r>
          </w:p>
        </w:tc>
        <w:tc>
          <w:tcPr>
            <w:tcW w:w="464" w:type="pct"/>
            <w:vAlign w:val="center"/>
            <w:hideMark/>
          </w:tcPr>
          <w:p w14:paraId="11D82B04" w14:textId="77777777" w:rsidR="00662908" w:rsidRPr="004C540C" w:rsidRDefault="00662908"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1,897</w:t>
            </w:r>
          </w:p>
        </w:tc>
      </w:tr>
      <w:tr w:rsidR="00662908" w:rsidRPr="004C540C" w14:paraId="7FB748C7" w14:textId="77777777" w:rsidTr="00662908">
        <w:tc>
          <w:tcPr>
            <w:cnfStyle w:val="001000000000" w:firstRow="0" w:lastRow="0" w:firstColumn="1" w:lastColumn="0" w:oddVBand="0" w:evenVBand="0" w:oddHBand="0" w:evenHBand="0" w:firstRowFirstColumn="0" w:firstRowLastColumn="0" w:lastRowFirstColumn="0" w:lastRowLastColumn="0"/>
            <w:tcW w:w="2682" w:type="pct"/>
            <w:vAlign w:val="center"/>
            <w:hideMark/>
          </w:tcPr>
          <w:p w14:paraId="1A49BE2B" w14:textId="77777777" w:rsidR="00662908" w:rsidRPr="004C540C" w:rsidRDefault="00662908" w:rsidP="004C540C">
            <w:pPr>
              <w:jc w:val="both"/>
              <w:rPr>
                <w:rFonts w:ascii="Arial" w:eastAsia="Times New Roman" w:hAnsi="Arial" w:cs="Arial"/>
                <w:sz w:val="24"/>
                <w:szCs w:val="24"/>
                <w:lang w:eastAsia="en-IN"/>
              </w:rPr>
            </w:pPr>
            <w:r w:rsidRPr="004C540C">
              <w:rPr>
                <w:rFonts w:ascii="Arial" w:eastAsia="Times New Roman" w:hAnsi="Arial" w:cs="Arial"/>
                <w:sz w:val="24"/>
                <w:szCs w:val="24"/>
                <w:lang w:eastAsia="en-IN"/>
              </w:rPr>
              <w:t>Operating profit before System Fund, reimbursables &amp; exceptional items ($m)</w:t>
            </w:r>
          </w:p>
        </w:tc>
        <w:tc>
          <w:tcPr>
            <w:tcW w:w="464" w:type="pct"/>
            <w:vAlign w:val="center"/>
            <w:hideMark/>
          </w:tcPr>
          <w:p w14:paraId="1A112841" w14:textId="77777777" w:rsidR="00662908" w:rsidRPr="004C540C" w:rsidRDefault="00662908"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534</w:t>
            </w:r>
          </w:p>
        </w:tc>
        <w:tc>
          <w:tcPr>
            <w:tcW w:w="464" w:type="pct"/>
            <w:vAlign w:val="center"/>
            <w:hideMark/>
          </w:tcPr>
          <w:p w14:paraId="1F41F4AC" w14:textId="77777777" w:rsidR="00662908" w:rsidRPr="004C540C" w:rsidRDefault="00662908"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828</w:t>
            </w:r>
          </w:p>
        </w:tc>
        <w:tc>
          <w:tcPr>
            <w:tcW w:w="464" w:type="pct"/>
            <w:vAlign w:val="center"/>
            <w:hideMark/>
          </w:tcPr>
          <w:p w14:paraId="405420A8" w14:textId="77777777" w:rsidR="00662908" w:rsidRPr="004C540C" w:rsidRDefault="00662908"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1,019</w:t>
            </w:r>
          </w:p>
        </w:tc>
        <w:tc>
          <w:tcPr>
            <w:tcW w:w="464" w:type="pct"/>
            <w:vAlign w:val="center"/>
            <w:hideMark/>
          </w:tcPr>
          <w:p w14:paraId="7675B361" w14:textId="77777777" w:rsidR="00662908" w:rsidRPr="004C540C" w:rsidRDefault="00662908"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1,124</w:t>
            </w:r>
          </w:p>
        </w:tc>
        <w:tc>
          <w:tcPr>
            <w:tcW w:w="464" w:type="pct"/>
            <w:vAlign w:val="center"/>
            <w:hideMark/>
          </w:tcPr>
          <w:p w14:paraId="1C6F9517" w14:textId="77777777" w:rsidR="00662908" w:rsidRPr="004C540C" w:rsidRDefault="00662908"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1,265</w:t>
            </w:r>
          </w:p>
        </w:tc>
      </w:tr>
      <w:tr w:rsidR="00662908" w:rsidRPr="004C540C" w14:paraId="09EC47E2" w14:textId="77777777" w:rsidTr="006629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2" w:type="pct"/>
            <w:vAlign w:val="center"/>
            <w:hideMark/>
          </w:tcPr>
          <w:p w14:paraId="356FE7B0" w14:textId="77777777" w:rsidR="00662908" w:rsidRPr="004C540C" w:rsidRDefault="00662908" w:rsidP="004C540C">
            <w:pPr>
              <w:jc w:val="both"/>
              <w:rPr>
                <w:rFonts w:ascii="Arial" w:eastAsia="Times New Roman" w:hAnsi="Arial" w:cs="Arial"/>
                <w:sz w:val="24"/>
                <w:szCs w:val="24"/>
                <w:lang w:eastAsia="en-IN"/>
              </w:rPr>
            </w:pPr>
            <w:r w:rsidRPr="004C540C">
              <w:rPr>
                <w:rFonts w:ascii="Arial" w:eastAsia="Times New Roman" w:hAnsi="Arial" w:cs="Arial"/>
                <w:sz w:val="24"/>
                <w:szCs w:val="24"/>
                <w:lang w:eastAsia="en-IN"/>
              </w:rPr>
              <w:t>Fee margin</w:t>
            </w:r>
          </w:p>
        </w:tc>
        <w:tc>
          <w:tcPr>
            <w:tcW w:w="464" w:type="pct"/>
            <w:vAlign w:val="center"/>
            <w:hideMark/>
          </w:tcPr>
          <w:p w14:paraId="21182C46" w14:textId="77777777" w:rsidR="00662908" w:rsidRPr="004C540C" w:rsidRDefault="00662908"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49.6%</w:t>
            </w:r>
          </w:p>
        </w:tc>
        <w:tc>
          <w:tcPr>
            <w:tcW w:w="464" w:type="pct"/>
            <w:vAlign w:val="center"/>
            <w:hideMark/>
          </w:tcPr>
          <w:p w14:paraId="37672B08" w14:textId="77777777" w:rsidR="00662908" w:rsidRPr="004C540C" w:rsidRDefault="00662908"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55.9%</w:t>
            </w:r>
          </w:p>
        </w:tc>
        <w:tc>
          <w:tcPr>
            <w:tcW w:w="464" w:type="pct"/>
            <w:vAlign w:val="center"/>
            <w:hideMark/>
          </w:tcPr>
          <w:p w14:paraId="0BEAB531" w14:textId="77777777" w:rsidR="00662908" w:rsidRPr="004C540C" w:rsidRDefault="00662908"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59.3%</w:t>
            </w:r>
          </w:p>
        </w:tc>
        <w:tc>
          <w:tcPr>
            <w:tcW w:w="464" w:type="pct"/>
            <w:vAlign w:val="center"/>
            <w:hideMark/>
          </w:tcPr>
          <w:p w14:paraId="4635BFC3" w14:textId="77777777" w:rsidR="00662908" w:rsidRPr="004C540C" w:rsidRDefault="00662908"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61.2%</w:t>
            </w:r>
          </w:p>
        </w:tc>
        <w:tc>
          <w:tcPr>
            <w:tcW w:w="464" w:type="pct"/>
            <w:vAlign w:val="center"/>
            <w:hideMark/>
          </w:tcPr>
          <w:p w14:paraId="170A8711" w14:textId="77777777" w:rsidR="00662908" w:rsidRPr="004C540C" w:rsidRDefault="00662908"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64.8%</w:t>
            </w:r>
          </w:p>
        </w:tc>
      </w:tr>
      <w:tr w:rsidR="00662908" w:rsidRPr="004C540C" w14:paraId="4E97D7F3" w14:textId="77777777" w:rsidTr="00662908">
        <w:tc>
          <w:tcPr>
            <w:cnfStyle w:val="001000000000" w:firstRow="0" w:lastRow="0" w:firstColumn="1" w:lastColumn="0" w:oddVBand="0" w:evenVBand="0" w:oddHBand="0" w:evenHBand="0" w:firstRowFirstColumn="0" w:firstRowLastColumn="0" w:lastRowFirstColumn="0" w:lastRowLastColumn="0"/>
            <w:tcW w:w="2682" w:type="pct"/>
            <w:vAlign w:val="center"/>
            <w:hideMark/>
          </w:tcPr>
          <w:p w14:paraId="488E5F20" w14:textId="77777777" w:rsidR="00662908" w:rsidRPr="004C540C" w:rsidRDefault="00662908" w:rsidP="004C540C">
            <w:pPr>
              <w:jc w:val="both"/>
              <w:rPr>
                <w:rFonts w:ascii="Arial" w:eastAsia="Times New Roman" w:hAnsi="Arial" w:cs="Arial"/>
                <w:sz w:val="24"/>
                <w:szCs w:val="24"/>
                <w:lang w:eastAsia="en-IN"/>
              </w:rPr>
            </w:pPr>
            <w:r w:rsidRPr="004C540C">
              <w:rPr>
                <w:rFonts w:ascii="Arial" w:eastAsia="Times New Roman" w:hAnsi="Arial" w:cs="Arial"/>
                <w:sz w:val="24"/>
                <w:szCs w:val="24"/>
                <w:lang w:eastAsia="en-IN"/>
              </w:rPr>
              <w:t>Fee revenue as % of total revenue</w:t>
            </w:r>
          </w:p>
        </w:tc>
        <w:tc>
          <w:tcPr>
            <w:tcW w:w="464" w:type="pct"/>
            <w:vAlign w:val="center"/>
            <w:hideMark/>
          </w:tcPr>
          <w:p w14:paraId="18E4270B" w14:textId="77777777" w:rsidR="00662908" w:rsidRPr="004C540C" w:rsidRDefault="00662908"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39.4%</w:t>
            </w:r>
          </w:p>
        </w:tc>
        <w:tc>
          <w:tcPr>
            <w:tcW w:w="464" w:type="pct"/>
            <w:vAlign w:val="center"/>
            <w:hideMark/>
          </w:tcPr>
          <w:p w14:paraId="03BA915D" w14:textId="77777777" w:rsidR="00662908" w:rsidRPr="004C540C" w:rsidRDefault="00662908"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36.8%</w:t>
            </w:r>
          </w:p>
        </w:tc>
        <w:tc>
          <w:tcPr>
            <w:tcW w:w="464" w:type="pct"/>
            <w:vAlign w:val="center"/>
            <w:hideMark/>
          </w:tcPr>
          <w:p w14:paraId="27675163" w14:textId="77777777" w:rsidR="00662908" w:rsidRPr="004C540C" w:rsidRDefault="00662908"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36.2%</w:t>
            </w:r>
          </w:p>
        </w:tc>
        <w:tc>
          <w:tcPr>
            <w:tcW w:w="464" w:type="pct"/>
            <w:vAlign w:val="center"/>
            <w:hideMark/>
          </w:tcPr>
          <w:p w14:paraId="41AA0A12" w14:textId="77777777" w:rsidR="00662908" w:rsidRPr="004C540C" w:rsidRDefault="00662908"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36.0%</w:t>
            </w:r>
          </w:p>
        </w:tc>
        <w:tc>
          <w:tcPr>
            <w:tcW w:w="464" w:type="pct"/>
            <w:vAlign w:val="center"/>
            <w:hideMark/>
          </w:tcPr>
          <w:p w14:paraId="33513CD7" w14:textId="77777777" w:rsidR="00662908" w:rsidRPr="004C540C" w:rsidRDefault="00662908"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36.6%</w:t>
            </w:r>
          </w:p>
        </w:tc>
      </w:tr>
    </w:tbl>
    <w:p w14:paraId="4789638C" w14:textId="1486EF8A" w:rsidR="003F1E92" w:rsidRPr="004C540C" w:rsidRDefault="00A5736E" w:rsidP="004C540C">
      <w:pPr>
        <w:spacing w:before="100" w:beforeAutospacing="1" w:after="100" w:afterAutospacing="1" w:line="240" w:lineRule="auto"/>
        <w:jc w:val="both"/>
        <w:rPr>
          <w:rStyle w:val="Strong"/>
          <w:rFonts w:ascii="Arial" w:hAnsi="Arial" w:cs="Arial"/>
          <w:b w:val="0"/>
          <w:bCs w:val="0"/>
          <w:sz w:val="24"/>
          <w:szCs w:val="24"/>
        </w:rPr>
      </w:pPr>
      <w:r w:rsidRPr="004C540C">
        <w:rPr>
          <w:rFonts w:ascii="Arial" w:hAnsi="Arial" w:cs="Arial"/>
          <w:noProof/>
          <w:sz w:val="24"/>
          <w:szCs w:val="24"/>
        </w:rPr>
        <w:lastRenderedPageBreak/>
        <w:drawing>
          <wp:inline distT="0" distB="0" distL="0" distR="0" wp14:anchorId="17A03BCE" wp14:editId="5D1DA95A">
            <wp:extent cx="5731510" cy="3223895"/>
            <wp:effectExtent l="0" t="0" r="2540" b="0"/>
            <wp:docPr id="4712776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277621" name="Picture 471277621"/>
                    <pic:cNvPicPr/>
                  </pic:nvPicPr>
                  <pic:blipFill>
                    <a:blip r:embed="rId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FD5DECB" w14:textId="77777777" w:rsidR="00696705" w:rsidRPr="004C540C" w:rsidRDefault="00696705" w:rsidP="004C540C">
      <w:pPr>
        <w:spacing w:before="100" w:beforeAutospacing="1" w:after="100" w:afterAutospacing="1" w:line="240" w:lineRule="auto"/>
        <w:jc w:val="both"/>
        <w:outlineLvl w:val="1"/>
        <w:rPr>
          <w:rStyle w:val="Strong"/>
          <w:rFonts w:ascii="Arial" w:eastAsia="Times New Roman" w:hAnsi="Arial" w:cs="Arial"/>
          <w:sz w:val="24"/>
          <w:szCs w:val="24"/>
          <w:lang w:eastAsia="en-IN"/>
        </w:rPr>
      </w:pPr>
      <w:bookmarkStart w:id="12" w:name="_Toc237376690"/>
      <w:bookmarkStart w:id="13" w:name="_Toc237377341"/>
      <w:bookmarkStart w:id="14" w:name="_Toc237377446"/>
      <w:bookmarkStart w:id="15" w:name="_Toc237378358"/>
      <w:r w:rsidRPr="004C540C">
        <w:rPr>
          <w:rStyle w:val="Strong"/>
          <w:rFonts w:ascii="Arial" w:eastAsia="Times New Roman" w:hAnsi="Arial" w:cs="Arial"/>
          <w:sz w:val="24"/>
          <w:szCs w:val="24"/>
          <w:lang w:eastAsia="en-IN"/>
        </w:rPr>
        <w:t xml:space="preserve">1.2 Profitability Analysis </w:t>
      </w:r>
    </w:p>
    <w:p w14:paraId="36EFB5E3" w14:textId="77777777" w:rsidR="00696705" w:rsidRPr="004C540C" w:rsidRDefault="00696705" w:rsidP="004C540C">
      <w:pPr>
        <w:spacing w:before="100" w:beforeAutospacing="1" w:after="100" w:afterAutospacing="1" w:line="240" w:lineRule="auto"/>
        <w:jc w:val="both"/>
        <w:outlineLvl w:val="1"/>
        <w:rPr>
          <w:rStyle w:val="Strong"/>
          <w:rFonts w:ascii="Arial" w:eastAsia="Times New Roman" w:hAnsi="Arial" w:cs="Arial"/>
          <w:b w:val="0"/>
          <w:bCs w:val="0"/>
          <w:sz w:val="24"/>
          <w:szCs w:val="24"/>
          <w:lang w:eastAsia="en-IN"/>
        </w:rPr>
      </w:pPr>
      <w:r w:rsidRPr="004C540C">
        <w:rPr>
          <w:rStyle w:val="Strong"/>
          <w:rFonts w:ascii="Arial" w:eastAsia="Times New Roman" w:hAnsi="Arial" w:cs="Arial"/>
          <w:b w:val="0"/>
          <w:bCs w:val="0"/>
          <w:sz w:val="24"/>
          <w:szCs w:val="24"/>
          <w:lang w:eastAsia="en-IN"/>
        </w:rPr>
        <w:t>Profitability ratios give an indication of IHG's earnings power from its revenue, assets and shareholders' investment. The profitability of the 2021-25 period reflects a much better comeback after the COVID-19 pandemic. This enhanced the profitability of IHG's operations as international travel demand picked up, reinforced by hotel performance, sound cost management and sustained from its asset-light business model (InterContinental Hotels Group, 2025).</w:t>
      </w:r>
    </w:p>
    <w:p w14:paraId="6D3A4885" w14:textId="6EA47A2B" w:rsidR="000244C5" w:rsidRPr="004C540C" w:rsidRDefault="000244C5" w:rsidP="004C540C">
      <w:pPr>
        <w:spacing w:before="100" w:beforeAutospacing="1" w:after="100" w:afterAutospacing="1" w:line="240" w:lineRule="auto"/>
        <w:jc w:val="both"/>
        <w:outlineLvl w:val="1"/>
        <w:rPr>
          <w:rFonts w:ascii="Arial" w:eastAsia="Times New Roman" w:hAnsi="Arial" w:cs="Arial"/>
          <w:b/>
          <w:bCs/>
          <w:sz w:val="24"/>
          <w:szCs w:val="24"/>
          <w:lang w:eastAsia="en-IN"/>
        </w:rPr>
      </w:pPr>
      <w:r w:rsidRPr="004C540C">
        <w:rPr>
          <w:rFonts w:ascii="Arial" w:eastAsia="Times New Roman" w:hAnsi="Arial" w:cs="Arial"/>
          <w:b/>
          <w:bCs/>
          <w:sz w:val="24"/>
          <w:szCs w:val="24"/>
          <w:lang w:eastAsia="en-IN"/>
        </w:rPr>
        <w:t>Table 3: Key Profitability Ratios</w:t>
      </w:r>
      <w:bookmarkEnd w:id="12"/>
      <w:bookmarkEnd w:id="13"/>
      <w:bookmarkEnd w:id="14"/>
      <w:bookmarkEnd w:id="15"/>
    </w:p>
    <w:tbl>
      <w:tblPr>
        <w:tblStyle w:val="GridTable4-Accent5"/>
        <w:tblW w:w="5000" w:type="pct"/>
        <w:tblLook w:val="04A0" w:firstRow="1" w:lastRow="0" w:firstColumn="1" w:lastColumn="0" w:noHBand="0" w:noVBand="1"/>
      </w:tblPr>
      <w:tblGrid>
        <w:gridCol w:w="3555"/>
        <w:gridCol w:w="1093"/>
        <w:gridCol w:w="1093"/>
        <w:gridCol w:w="1093"/>
        <w:gridCol w:w="1093"/>
        <w:gridCol w:w="1089"/>
      </w:tblGrid>
      <w:tr w:rsidR="000244C5" w:rsidRPr="004C540C" w14:paraId="1522C166" w14:textId="77777777" w:rsidTr="000244C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2" w:type="pct"/>
            <w:vAlign w:val="center"/>
            <w:hideMark/>
          </w:tcPr>
          <w:p w14:paraId="6FFD0668" w14:textId="77777777" w:rsidR="000244C5" w:rsidRPr="004C540C" w:rsidRDefault="000244C5" w:rsidP="004C540C">
            <w:pPr>
              <w:jc w:val="both"/>
              <w:rPr>
                <w:rFonts w:ascii="Arial" w:eastAsia="Times New Roman" w:hAnsi="Arial" w:cs="Arial"/>
                <w:sz w:val="24"/>
                <w:szCs w:val="24"/>
                <w:lang w:eastAsia="en-IN"/>
              </w:rPr>
            </w:pPr>
            <w:r w:rsidRPr="004C540C">
              <w:rPr>
                <w:rFonts w:ascii="Arial" w:eastAsia="Times New Roman" w:hAnsi="Arial" w:cs="Arial"/>
                <w:sz w:val="24"/>
                <w:szCs w:val="24"/>
                <w:lang w:eastAsia="en-IN"/>
              </w:rPr>
              <w:t>Ratio</w:t>
            </w:r>
          </w:p>
        </w:tc>
        <w:tc>
          <w:tcPr>
            <w:tcW w:w="606" w:type="pct"/>
            <w:vAlign w:val="center"/>
            <w:hideMark/>
          </w:tcPr>
          <w:p w14:paraId="58EBB9CB" w14:textId="77777777" w:rsidR="000244C5" w:rsidRPr="004C540C" w:rsidRDefault="000244C5" w:rsidP="004C540C">
            <w:pPr>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2021</w:t>
            </w:r>
          </w:p>
        </w:tc>
        <w:tc>
          <w:tcPr>
            <w:tcW w:w="606" w:type="pct"/>
            <w:vAlign w:val="center"/>
            <w:hideMark/>
          </w:tcPr>
          <w:p w14:paraId="66437DE1" w14:textId="77777777" w:rsidR="000244C5" w:rsidRPr="004C540C" w:rsidRDefault="000244C5" w:rsidP="004C540C">
            <w:pPr>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2022</w:t>
            </w:r>
          </w:p>
        </w:tc>
        <w:tc>
          <w:tcPr>
            <w:tcW w:w="606" w:type="pct"/>
            <w:vAlign w:val="center"/>
            <w:hideMark/>
          </w:tcPr>
          <w:p w14:paraId="46411879" w14:textId="77777777" w:rsidR="000244C5" w:rsidRPr="004C540C" w:rsidRDefault="000244C5" w:rsidP="004C540C">
            <w:pPr>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2023</w:t>
            </w:r>
          </w:p>
        </w:tc>
        <w:tc>
          <w:tcPr>
            <w:tcW w:w="606" w:type="pct"/>
            <w:vAlign w:val="center"/>
            <w:hideMark/>
          </w:tcPr>
          <w:p w14:paraId="4A54BDD6" w14:textId="77777777" w:rsidR="000244C5" w:rsidRPr="004C540C" w:rsidRDefault="000244C5" w:rsidP="004C540C">
            <w:pPr>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2024</w:t>
            </w:r>
          </w:p>
        </w:tc>
        <w:tc>
          <w:tcPr>
            <w:tcW w:w="606" w:type="pct"/>
            <w:vAlign w:val="center"/>
            <w:hideMark/>
          </w:tcPr>
          <w:p w14:paraId="30039974" w14:textId="77777777" w:rsidR="000244C5" w:rsidRPr="004C540C" w:rsidRDefault="000244C5" w:rsidP="004C540C">
            <w:pPr>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2025</w:t>
            </w:r>
          </w:p>
        </w:tc>
      </w:tr>
      <w:tr w:rsidR="000244C5" w:rsidRPr="004C540C" w14:paraId="0EAD1E5D" w14:textId="77777777" w:rsidTr="000244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2" w:type="pct"/>
            <w:vAlign w:val="center"/>
            <w:hideMark/>
          </w:tcPr>
          <w:p w14:paraId="716219C1" w14:textId="77777777" w:rsidR="000244C5" w:rsidRPr="004C540C" w:rsidRDefault="000244C5" w:rsidP="004C540C">
            <w:pPr>
              <w:jc w:val="both"/>
              <w:rPr>
                <w:rFonts w:ascii="Arial" w:eastAsia="Times New Roman" w:hAnsi="Arial" w:cs="Arial"/>
                <w:sz w:val="24"/>
                <w:szCs w:val="24"/>
                <w:lang w:eastAsia="en-IN"/>
              </w:rPr>
            </w:pPr>
            <w:r w:rsidRPr="004C540C">
              <w:rPr>
                <w:rFonts w:ascii="Arial" w:eastAsia="Times New Roman" w:hAnsi="Arial" w:cs="Arial"/>
                <w:sz w:val="24"/>
                <w:szCs w:val="24"/>
                <w:lang w:eastAsia="en-IN"/>
              </w:rPr>
              <w:t>Operating profit margin</w:t>
            </w:r>
          </w:p>
        </w:tc>
        <w:tc>
          <w:tcPr>
            <w:tcW w:w="606" w:type="pct"/>
            <w:vAlign w:val="center"/>
            <w:hideMark/>
          </w:tcPr>
          <w:p w14:paraId="5B82E7B0" w14:textId="77777777" w:rsidR="000244C5" w:rsidRPr="004C540C" w:rsidRDefault="000244C5"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17.0%</w:t>
            </w:r>
          </w:p>
        </w:tc>
        <w:tc>
          <w:tcPr>
            <w:tcW w:w="606" w:type="pct"/>
            <w:vAlign w:val="center"/>
            <w:hideMark/>
          </w:tcPr>
          <w:p w14:paraId="47FF3E67" w14:textId="77777777" w:rsidR="000244C5" w:rsidRPr="004C540C" w:rsidRDefault="000244C5"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16.1%</w:t>
            </w:r>
          </w:p>
        </w:tc>
        <w:tc>
          <w:tcPr>
            <w:tcW w:w="606" w:type="pct"/>
            <w:vAlign w:val="center"/>
            <w:hideMark/>
          </w:tcPr>
          <w:p w14:paraId="2609CBBD" w14:textId="77777777" w:rsidR="000244C5" w:rsidRPr="004C540C" w:rsidRDefault="000244C5"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23.1%</w:t>
            </w:r>
          </w:p>
        </w:tc>
        <w:tc>
          <w:tcPr>
            <w:tcW w:w="606" w:type="pct"/>
            <w:vAlign w:val="center"/>
            <w:hideMark/>
          </w:tcPr>
          <w:p w14:paraId="60D9CEBA" w14:textId="77777777" w:rsidR="000244C5" w:rsidRPr="004C540C" w:rsidRDefault="000244C5"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21.1%</w:t>
            </w:r>
          </w:p>
        </w:tc>
        <w:tc>
          <w:tcPr>
            <w:tcW w:w="606" w:type="pct"/>
            <w:vAlign w:val="center"/>
            <w:hideMark/>
          </w:tcPr>
          <w:p w14:paraId="1EDC90D6" w14:textId="77777777" w:rsidR="000244C5" w:rsidRPr="004C540C" w:rsidRDefault="000244C5"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23.1%</w:t>
            </w:r>
          </w:p>
        </w:tc>
      </w:tr>
      <w:tr w:rsidR="000244C5" w:rsidRPr="004C540C" w14:paraId="51279B9E" w14:textId="77777777" w:rsidTr="000244C5">
        <w:tc>
          <w:tcPr>
            <w:cnfStyle w:val="001000000000" w:firstRow="0" w:lastRow="0" w:firstColumn="1" w:lastColumn="0" w:oddVBand="0" w:evenVBand="0" w:oddHBand="0" w:evenHBand="0" w:firstRowFirstColumn="0" w:firstRowLastColumn="0" w:lastRowFirstColumn="0" w:lastRowLastColumn="0"/>
            <w:tcW w:w="1972" w:type="pct"/>
            <w:vAlign w:val="center"/>
            <w:hideMark/>
          </w:tcPr>
          <w:p w14:paraId="2272873D" w14:textId="77777777" w:rsidR="000244C5" w:rsidRPr="004C540C" w:rsidRDefault="000244C5" w:rsidP="004C540C">
            <w:pPr>
              <w:jc w:val="both"/>
              <w:rPr>
                <w:rFonts w:ascii="Arial" w:eastAsia="Times New Roman" w:hAnsi="Arial" w:cs="Arial"/>
                <w:sz w:val="24"/>
                <w:szCs w:val="24"/>
                <w:lang w:eastAsia="en-IN"/>
              </w:rPr>
            </w:pPr>
            <w:r w:rsidRPr="004C540C">
              <w:rPr>
                <w:rFonts w:ascii="Arial" w:eastAsia="Times New Roman" w:hAnsi="Arial" w:cs="Arial"/>
                <w:sz w:val="24"/>
                <w:szCs w:val="24"/>
                <w:lang w:eastAsia="en-IN"/>
              </w:rPr>
              <w:t>Net profit margin</w:t>
            </w:r>
          </w:p>
        </w:tc>
        <w:tc>
          <w:tcPr>
            <w:tcW w:w="606" w:type="pct"/>
            <w:vAlign w:val="center"/>
            <w:hideMark/>
          </w:tcPr>
          <w:p w14:paraId="1EBB0481" w14:textId="77777777" w:rsidR="000244C5" w:rsidRPr="004C540C" w:rsidRDefault="000244C5"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9.1%</w:t>
            </w:r>
          </w:p>
        </w:tc>
        <w:tc>
          <w:tcPr>
            <w:tcW w:w="606" w:type="pct"/>
            <w:vAlign w:val="center"/>
            <w:hideMark/>
          </w:tcPr>
          <w:p w14:paraId="07A89E6F" w14:textId="77777777" w:rsidR="000244C5" w:rsidRPr="004C540C" w:rsidRDefault="000244C5"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9.7%</w:t>
            </w:r>
          </w:p>
        </w:tc>
        <w:tc>
          <w:tcPr>
            <w:tcW w:w="606" w:type="pct"/>
            <w:vAlign w:val="center"/>
            <w:hideMark/>
          </w:tcPr>
          <w:p w14:paraId="6AD2CC6F" w14:textId="77777777" w:rsidR="000244C5" w:rsidRPr="004C540C" w:rsidRDefault="000244C5"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16.2%</w:t>
            </w:r>
          </w:p>
        </w:tc>
        <w:tc>
          <w:tcPr>
            <w:tcW w:w="606" w:type="pct"/>
            <w:vAlign w:val="center"/>
            <w:hideMark/>
          </w:tcPr>
          <w:p w14:paraId="33F99C6F" w14:textId="77777777" w:rsidR="000244C5" w:rsidRPr="004C540C" w:rsidRDefault="000244C5"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12.8%</w:t>
            </w:r>
          </w:p>
        </w:tc>
        <w:tc>
          <w:tcPr>
            <w:tcW w:w="606" w:type="pct"/>
            <w:vAlign w:val="center"/>
            <w:hideMark/>
          </w:tcPr>
          <w:p w14:paraId="09F32D90" w14:textId="77777777" w:rsidR="000244C5" w:rsidRPr="004C540C" w:rsidRDefault="000244C5"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14.6%</w:t>
            </w:r>
          </w:p>
        </w:tc>
      </w:tr>
      <w:tr w:rsidR="000244C5" w:rsidRPr="004C540C" w14:paraId="322AB23F" w14:textId="77777777" w:rsidTr="000244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2" w:type="pct"/>
            <w:vAlign w:val="center"/>
            <w:hideMark/>
          </w:tcPr>
          <w:p w14:paraId="7789DFFA" w14:textId="77777777" w:rsidR="000244C5" w:rsidRPr="004C540C" w:rsidRDefault="000244C5" w:rsidP="004C540C">
            <w:pPr>
              <w:jc w:val="both"/>
              <w:rPr>
                <w:rFonts w:ascii="Arial" w:eastAsia="Times New Roman" w:hAnsi="Arial" w:cs="Arial"/>
                <w:sz w:val="24"/>
                <w:szCs w:val="24"/>
                <w:lang w:eastAsia="en-IN"/>
              </w:rPr>
            </w:pPr>
            <w:r w:rsidRPr="004C540C">
              <w:rPr>
                <w:rFonts w:ascii="Arial" w:eastAsia="Times New Roman" w:hAnsi="Arial" w:cs="Arial"/>
                <w:sz w:val="24"/>
                <w:szCs w:val="24"/>
                <w:lang w:eastAsia="en-IN"/>
              </w:rPr>
              <w:t>Fee margin</w:t>
            </w:r>
          </w:p>
        </w:tc>
        <w:tc>
          <w:tcPr>
            <w:tcW w:w="606" w:type="pct"/>
            <w:vAlign w:val="center"/>
            <w:hideMark/>
          </w:tcPr>
          <w:p w14:paraId="7F626304" w14:textId="77777777" w:rsidR="000244C5" w:rsidRPr="004C540C" w:rsidRDefault="000244C5"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49.6%</w:t>
            </w:r>
          </w:p>
        </w:tc>
        <w:tc>
          <w:tcPr>
            <w:tcW w:w="606" w:type="pct"/>
            <w:vAlign w:val="center"/>
            <w:hideMark/>
          </w:tcPr>
          <w:p w14:paraId="7C7D918D" w14:textId="77777777" w:rsidR="000244C5" w:rsidRPr="004C540C" w:rsidRDefault="000244C5"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55.9%</w:t>
            </w:r>
          </w:p>
        </w:tc>
        <w:tc>
          <w:tcPr>
            <w:tcW w:w="606" w:type="pct"/>
            <w:vAlign w:val="center"/>
            <w:hideMark/>
          </w:tcPr>
          <w:p w14:paraId="7845CD39" w14:textId="77777777" w:rsidR="000244C5" w:rsidRPr="004C540C" w:rsidRDefault="000244C5"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59.3%</w:t>
            </w:r>
          </w:p>
        </w:tc>
        <w:tc>
          <w:tcPr>
            <w:tcW w:w="606" w:type="pct"/>
            <w:vAlign w:val="center"/>
            <w:hideMark/>
          </w:tcPr>
          <w:p w14:paraId="28DEFF6A" w14:textId="77777777" w:rsidR="000244C5" w:rsidRPr="004C540C" w:rsidRDefault="000244C5"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61.2%</w:t>
            </w:r>
          </w:p>
        </w:tc>
        <w:tc>
          <w:tcPr>
            <w:tcW w:w="606" w:type="pct"/>
            <w:vAlign w:val="center"/>
            <w:hideMark/>
          </w:tcPr>
          <w:p w14:paraId="0DF95B27" w14:textId="77777777" w:rsidR="000244C5" w:rsidRPr="004C540C" w:rsidRDefault="000244C5"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64.8%</w:t>
            </w:r>
          </w:p>
        </w:tc>
      </w:tr>
      <w:tr w:rsidR="000244C5" w:rsidRPr="004C540C" w14:paraId="3C3DED4F" w14:textId="77777777" w:rsidTr="000244C5">
        <w:tc>
          <w:tcPr>
            <w:cnfStyle w:val="001000000000" w:firstRow="0" w:lastRow="0" w:firstColumn="1" w:lastColumn="0" w:oddVBand="0" w:evenVBand="0" w:oddHBand="0" w:evenHBand="0" w:firstRowFirstColumn="0" w:firstRowLastColumn="0" w:lastRowFirstColumn="0" w:lastRowLastColumn="0"/>
            <w:tcW w:w="1972" w:type="pct"/>
            <w:vAlign w:val="center"/>
            <w:hideMark/>
          </w:tcPr>
          <w:p w14:paraId="2B04F4E1" w14:textId="77777777" w:rsidR="000244C5" w:rsidRPr="004C540C" w:rsidRDefault="000244C5" w:rsidP="004C540C">
            <w:pPr>
              <w:jc w:val="both"/>
              <w:rPr>
                <w:rFonts w:ascii="Arial" w:eastAsia="Times New Roman" w:hAnsi="Arial" w:cs="Arial"/>
                <w:sz w:val="24"/>
                <w:szCs w:val="24"/>
                <w:lang w:eastAsia="en-IN"/>
              </w:rPr>
            </w:pPr>
            <w:r w:rsidRPr="004C540C">
              <w:rPr>
                <w:rFonts w:ascii="Arial" w:eastAsia="Times New Roman" w:hAnsi="Arial" w:cs="Arial"/>
                <w:sz w:val="24"/>
                <w:szCs w:val="24"/>
                <w:lang w:eastAsia="en-IN"/>
              </w:rPr>
              <w:t>Fee revenue growth</w:t>
            </w:r>
          </w:p>
        </w:tc>
        <w:tc>
          <w:tcPr>
            <w:tcW w:w="606" w:type="pct"/>
            <w:vAlign w:val="center"/>
            <w:hideMark/>
          </w:tcPr>
          <w:p w14:paraId="783314FB" w14:textId="77777777" w:rsidR="000244C5" w:rsidRPr="004C540C" w:rsidRDefault="000244C5"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w:t>
            </w:r>
          </w:p>
        </w:tc>
        <w:tc>
          <w:tcPr>
            <w:tcW w:w="606" w:type="pct"/>
            <w:vAlign w:val="center"/>
            <w:hideMark/>
          </w:tcPr>
          <w:p w14:paraId="5AB8D8B1" w14:textId="77777777" w:rsidR="000244C5" w:rsidRPr="004C540C" w:rsidRDefault="000244C5"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25.3%</w:t>
            </w:r>
          </w:p>
        </w:tc>
        <w:tc>
          <w:tcPr>
            <w:tcW w:w="606" w:type="pct"/>
            <w:vAlign w:val="center"/>
            <w:hideMark/>
          </w:tcPr>
          <w:p w14:paraId="005DF3B8" w14:textId="77777777" w:rsidR="000244C5" w:rsidRPr="004C540C" w:rsidRDefault="000244C5"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16.6%</w:t>
            </w:r>
          </w:p>
        </w:tc>
        <w:tc>
          <w:tcPr>
            <w:tcW w:w="606" w:type="pct"/>
            <w:vAlign w:val="center"/>
            <w:hideMark/>
          </w:tcPr>
          <w:p w14:paraId="2F5B7F29" w14:textId="77777777" w:rsidR="000244C5" w:rsidRPr="004C540C" w:rsidRDefault="000244C5"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6.1%</w:t>
            </w:r>
          </w:p>
        </w:tc>
        <w:tc>
          <w:tcPr>
            <w:tcW w:w="606" w:type="pct"/>
            <w:vAlign w:val="center"/>
            <w:hideMark/>
          </w:tcPr>
          <w:p w14:paraId="642A0CE7" w14:textId="77777777" w:rsidR="000244C5" w:rsidRPr="004C540C" w:rsidRDefault="000244C5"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6.9%</w:t>
            </w:r>
          </w:p>
        </w:tc>
      </w:tr>
      <w:tr w:rsidR="000244C5" w:rsidRPr="004C540C" w14:paraId="5189114D" w14:textId="77777777" w:rsidTr="000244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2" w:type="pct"/>
            <w:vAlign w:val="center"/>
            <w:hideMark/>
          </w:tcPr>
          <w:p w14:paraId="2EC5BF0D" w14:textId="77777777" w:rsidR="000244C5" w:rsidRPr="004C540C" w:rsidRDefault="000244C5" w:rsidP="004C540C">
            <w:pPr>
              <w:jc w:val="both"/>
              <w:rPr>
                <w:rFonts w:ascii="Arial" w:eastAsia="Times New Roman" w:hAnsi="Arial" w:cs="Arial"/>
                <w:sz w:val="24"/>
                <w:szCs w:val="24"/>
                <w:lang w:eastAsia="en-IN"/>
              </w:rPr>
            </w:pPr>
            <w:r w:rsidRPr="004C540C">
              <w:rPr>
                <w:rFonts w:ascii="Arial" w:eastAsia="Times New Roman" w:hAnsi="Arial" w:cs="Arial"/>
                <w:sz w:val="24"/>
                <w:szCs w:val="24"/>
                <w:lang w:eastAsia="en-IN"/>
              </w:rPr>
              <w:t>Operating profit growth</w:t>
            </w:r>
          </w:p>
        </w:tc>
        <w:tc>
          <w:tcPr>
            <w:tcW w:w="606" w:type="pct"/>
            <w:vAlign w:val="center"/>
            <w:hideMark/>
          </w:tcPr>
          <w:p w14:paraId="733F16E8" w14:textId="77777777" w:rsidR="000244C5" w:rsidRPr="004C540C" w:rsidRDefault="000244C5"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w:t>
            </w:r>
          </w:p>
        </w:tc>
        <w:tc>
          <w:tcPr>
            <w:tcW w:w="606" w:type="pct"/>
            <w:vAlign w:val="center"/>
            <w:hideMark/>
          </w:tcPr>
          <w:p w14:paraId="565EC388" w14:textId="77777777" w:rsidR="000244C5" w:rsidRPr="004C540C" w:rsidRDefault="000244C5"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27.1%</w:t>
            </w:r>
          </w:p>
        </w:tc>
        <w:tc>
          <w:tcPr>
            <w:tcW w:w="606" w:type="pct"/>
            <w:vAlign w:val="center"/>
            <w:hideMark/>
          </w:tcPr>
          <w:p w14:paraId="0C801EFD" w14:textId="77777777" w:rsidR="000244C5" w:rsidRPr="004C540C" w:rsidRDefault="000244C5"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69.7%</w:t>
            </w:r>
          </w:p>
        </w:tc>
        <w:tc>
          <w:tcPr>
            <w:tcW w:w="606" w:type="pct"/>
            <w:vAlign w:val="center"/>
            <w:hideMark/>
          </w:tcPr>
          <w:p w14:paraId="2A317693" w14:textId="77777777" w:rsidR="000244C5" w:rsidRPr="004C540C" w:rsidRDefault="000244C5"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-2.3%</w:t>
            </w:r>
          </w:p>
        </w:tc>
        <w:tc>
          <w:tcPr>
            <w:tcW w:w="606" w:type="pct"/>
            <w:vAlign w:val="center"/>
            <w:hideMark/>
          </w:tcPr>
          <w:p w14:paraId="469EB4C0" w14:textId="77777777" w:rsidR="000244C5" w:rsidRPr="004C540C" w:rsidRDefault="000244C5"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15.1%</w:t>
            </w:r>
          </w:p>
        </w:tc>
      </w:tr>
    </w:tbl>
    <w:p w14:paraId="126991DD" w14:textId="6B920960" w:rsidR="000244C5" w:rsidRPr="004C540C" w:rsidRDefault="00BE778D" w:rsidP="004C540C">
      <w:pPr>
        <w:spacing w:before="100" w:beforeAutospacing="1" w:after="100" w:afterAutospacing="1" w:line="240" w:lineRule="auto"/>
        <w:jc w:val="both"/>
        <w:rPr>
          <w:rFonts w:ascii="Arial" w:eastAsia="Times New Roman" w:hAnsi="Arial" w:cs="Arial"/>
          <w:sz w:val="24"/>
          <w:szCs w:val="24"/>
          <w:lang w:eastAsia="en-IN"/>
        </w:rPr>
      </w:pPr>
      <w:r w:rsidRPr="004C540C">
        <w:rPr>
          <w:rFonts w:ascii="Arial" w:eastAsia="Times New Roman" w:hAnsi="Arial" w:cs="Arial"/>
          <w:noProof/>
          <w:sz w:val="24"/>
          <w:szCs w:val="24"/>
          <w:lang w:eastAsia="en-IN"/>
        </w:rPr>
        <w:lastRenderedPageBreak/>
        <w:drawing>
          <wp:inline distT="0" distB="0" distL="0" distR="0" wp14:anchorId="6D2AA3F9" wp14:editId="1F9D2B47">
            <wp:extent cx="5731510" cy="3223895"/>
            <wp:effectExtent l="0" t="0" r="2540" b="0"/>
            <wp:docPr id="5535752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575290" name="Picture 553575290"/>
                    <pic:cNvPicPr/>
                  </pic:nvPicPr>
                  <pic:blipFill>
                    <a:blip r:embed="rId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70D8B6C" w14:textId="77777777" w:rsidR="000244C5" w:rsidRPr="004C540C" w:rsidRDefault="000244C5" w:rsidP="004C540C">
      <w:pPr>
        <w:jc w:val="both"/>
        <w:rPr>
          <w:rFonts w:ascii="Arial" w:eastAsia="Times New Roman" w:hAnsi="Arial" w:cs="Arial"/>
          <w:sz w:val="24"/>
          <w:szCs w:val="24"/>
          <w:lang w:eastAsia="en-IN"/>
        </w:rPr>
      </w:pPr>
    </w:p>
    <w:p w14:paraId="1C0D6D13" w14:textId="77777777" w:rsidR="002C5EEC" w:rsidRPr="004C540C" w:rsidRDefault="002C5EEC" w:rsidP="004C540C">
      <w:pPr>
        <w:pStyle w:val="Heading3"/>
        <w:jc w:val="both"/>
        <w:rPr>
          <w:rFonts w:ascii="Arial" w:hAnsi="Arial" w:cs="Arial"/>
          <w:b w:val="0"/>
          <w:bCs w:val="0"/>
          <w:sz w:val="24"/>
          <w:szCs w:val="24"/>
        </w:rPr>
      </w:pPr>
      <w:bookmarkStart w:id="16" w:name="_Toc237376693"/>
      <w:bookmarkStart w:id="17" w:name="_Toc237377344"/>
      <w:bookmarkStart w:id="18" w:name="_Toc237377449"/>
      <w:bookmarkStart w:id="19" w:name="_Toc237378361"/>
      <w:r w:rsidRPr="004C540C">
        <w:rPr>
          <w:rFonts w:ascii="Arial" w:hAnsi="Arial" w:cs="Arial"/>
          <w:b w:val="0"/>
          <w:bCs w:val="0"/>
          <w:sz w:val="24"/>
          <w:szCs w:val="24"/>
        </w:rPr>
        <w:t>It was already in the early days of 2021 with the international travel restrictions slowly easing that IHG began its turnaround. Though the company wasn't profitable, it wasn't as bad as it was in the pandemic as it had $417 million in net profit. The company's turnaround in profitability in an arduous operating environment highlighted the strength of its franchise and management contract business model (InterContinental Hotels Group, 2022).</w:t>
      </w:r>
    </w:p>
    <w:p w14:paraId="4A1E41C7" w14:textId="77777777" w:rsidR="002C5EEC" w:rsidRPr="004C540C" w:rsidRDefault="002C5EEC" w:rsidP="004C540C">
      <w:pPr>
        <w:pStyle w:val="Heading3"/>
        <w:jc w:val="both"/>
        <w:rPr>
          <w:rFonts w:ascii="Arial" w:hAnsi="Arial" w:cs="Arial"/>
          <w:b w:val="0"/>
          <w:bCs w:val="0"/>
          <w:sz w:val="24"/>
          <w:szCs w:val="24"/>
        </w:rPr>
      </w:pPr>
      <w:r w:rsidRPr="004C540C">
        <w:rPr>
          <w:rFonts w:ascii="Arial" w:hAnsi="Arial" w:cs="Arial"/>
          <w:b w:val="0"/>
          <w:bCs w:val="0"/>
          <w:sz w:val="24"/>
          <w:szCs w:val="24"/>
        </w:rPr>
        <w:t>In 2022, travel activity resumed to increase in significant markets, resulting in an additional increase in the profitability of travel. Growth in revenue, average daily rate (ADR) and rates occupied contributed to an improvement in operating performance. IHG's operating profit, which stood at $628 million, was also better than IHG's last year's operating profit(InterContinental Hotels Group, 2023).</w:t>
      </w:r>
    </w:p>
    <w:p w14:paraId="05CE3AE6" w14:textId="77777777" w:rsidR="002C5EEC" w:rsidRPr="004C540C" w:rsidRDefault="002C5EEC" w:rsidP="004C540C">
      <w:pPr>
        <w:pStyle w:val="Heading3"/>
        <w:jc w:val="both"/>
        <w:rPr>
          <w:rFonts w:ascii="Arial" w:hAnsi="Arial" w:cs="Arial"/>
          <w:b w:val="0"/>
          <w:bCs w:val="0"/>
          <w:sz w:val="24"/>
          <w:szCs w:val="24"/>
        </w:rPr>
      </w:pPr>
      <w:r w:rsidRPr="004C540C">
        <w:rPr>
          <w:rFonts w:ascii="Arial" w:hAnsi="Arial" w:cs="Arial"/>
          <w:b w:val="0"/>
          <w:bCs w:val="0"/>
          <w:sz w:val="24"/>
          <w:szCs w:val="24"/>
        </w:rPr>
        <w:t>In 2023, IHG turned around, with an operating profit of more than a billion dollars and a net profit of approximately $750 million. As revenues started to come back to pre-pandemic levels, the operating margin grew markedly as the operational costs were kept under check(InterContinental Hotels Group, 2024).</w:t>
      </w:r>
    </w:p>
    <w:p w14:paraId="53B64798" w14:textId="77777777" w:rsidR="002C5EEC" w:rsidRPr="004C540C" w:rsidRDefault="002C5EEC" w:rsidP="004C540C">
      <w:pPr>
        <w:pStyle w:val="Heading3"/>
        <w:jc w:val="both"/>
        <w:rPr>
          <w:rFonts w:ascii="Arial" w:hAnsi="Arial" w:cs="Arial"/>
          <w:b w:val="0"/>
          <w:bCs w:val="0"/>
          <w:sz w:val="24"/>
          <w:szCs w:val="24"/>
        </w:rPr>
      </w:pPr>
      <w:r w:rsidRPr="004C540C">
        <w:rPr>
          <w:rFonts w:ascii="Arial" w:hAnsi="Arial" w:cs="Arial"/>
          <w:b w:val="0"/>
          <w:bCs w:val="0"/>
          <w:sz w:val="24"/>
          <w:szCs w:val="24"/>
        </w:rPr>
        <w:t>Despite a difficult period in the global economy, the operating profit remained at around $1 billion in 2024, maintaining the profitability that has been seen over the last few years. IHG's consistent hotel growth was a positive, particularly through franchise and management, and offered a solid fee revenue stream (InterContinental Hotels Group, 2025).</w:t>
      </w:r>
    </w:p>
    <w:p w14:paraId="12E57B59" w14:textId="77777777" w:rsidR="002C5EEC" w:rsidRPr="004C540C" w:rsidRDefault="002C5EEC" w:rsidP="004C540C">
      <w:pPr>
        <w:pStyle w:val="Heading3"/>
        <w:jc w:val="both"/>
        <w:rPr>
          <w:rFonts w:ascii="Arial" w:hAnsi="Arial" w:cs="Arial"/>
          <w:b w:val="0"/>
          <w:bCs w:val="0"/>
          <w:sz w:val="24"/>
          <w:szCs w:val="24"/>
        </w:rPr>
      </w:pPr>
      <w:r w:rsidRPr="004C540C">
        <w:rPr>
          <w:rFonts w:ascii="Arial" w:hAnsi="Arial" w:cs="Arial"/>
          <w:b w:val="0"/>
          <w:bCs w:val="0"/>
          <w:sz w:val="24"/>
          <w:szCs w:val="24"/>
        </w:rPr>
        <w:t xml:space="preserve">In 2025, IHG had its best operating profit of some $1.2 billion and revenue of some $5.2 billion. Continued growth in the system, along with improved operational efficiencies and strong demand in both leisure and business travel helped to boost the company's profitability improvement. This trend of fee-based revenue also further </w:t>
      </w:r>
      <w:r w:rsidRPr="004C540C">
        <w:rPr>
          <w:rFonts w:ascii="Arial" w:hAnsi="Arial" w:cs="Arial"/>
          <w:b w:val="0"/>
          <w:bCs w:val="0"/>
          <w:sz w:val="24"/>
          <w:szCs w:val="24"/>
        </w:rPr>
        <w:lastRenderedPageBreak/>
        <w:t>enhanced IHG's profit margins, further establishing the long-term viability of IHG's asset-light approach (InterContinental Hotels Group, 2025).</w:t>
      </w:r>
    </w:p>
    <w:p w14:paraId="08B9B2BE" w14:textId="77777777" w:rsidR="002C5EEC" w:rsidRPr="004C540C" w:rsidRDefault="002C5EEC" w:rsidP="004C540C">
      <w:pPr>
        <w:pStyle w:val="Heading3"/>
        <w:jc w:val="both"/>
        <w:rPr>
          <w:rFonts w:ascii="Arial" w:hAnsi="Arial" w:cs="Arial"/>
          <w:b w:val="0"/>
          <w:bCs w:val="0"/>
          <w:sz w:val="24"/>
          <w:szCs w:val="24"/>
        </w:rPr>
      </w:pPr>
    </w:p>
    <w:p w14:paraId="570AD958" w14:textId="77777777" w:rsidR="002C5EEC" w:rsidRPr="004C540C" w:rsidRDefault="002C5EEC" w:rsidP="004C540C">
      <w:pPr>
        <w:pStyle w:val="Heading3"/>
        <w:jc w:val="both"/>
        <w:rPr>
          <w:rFonts w:ascii="Arial" w:hAnsi="Arial" w:cs="Arial"/>
          <w:sz w:val="24"/>
          <w:szCs w:val="24"/>
        </w:rPr>
      </w:pPr>
      <w:r w:rsidRPr="004C540C">
        <w:rPr>
          <w:rFonts w:ascii="Arial" w:hAnsi="Arial" w:cs="Arial"/>
          <w:sz w:val="24"/>
          <w:szCs w:val="24"/>
        </w:rPr>
        <w:t>1.3 Liquidity Analysis (2021–2025)</w:t>
      </w:r>
    </w:p>
    <w:p w14:paraId="3BF4367B" w14:textId="38C970CB" w:rsidR="002C5EEC" w:rsidRPr="002427D2" w:rsidRDefault="00B4663A" w:rsidP="004C540C">
      <w:pPr>
        <w:pStyle w:val="Heading3"/>
        <w:jc w:val="both"/>
        <w:rPr>
          <w:rFonts w:ascii="Arial" w:hAnsi="Arial" w:cs="Arial"/>
          <w:sz w:val="24"/>
          <w:szCs w:val="24"/>
        </w:rPr>
      </w:pPr>
      <w:r w:rsidRPr="004C540C">
        <w:rPr>
          <w:rFonts w:ascii="Arial" w:hAnsi="Arial" w:cs="Arial"/>
          <w:b w:val="0"/>
          <w:bCs w:val="0"/>
          <w:sz w:val="24"/>
          <w:szCs w:val="24"/>
        </w:rPr>
        <w:t>A liquidity ratio is a ratio that indicates the ability of IHG to satisfy short-term obligations and also supports working capital</w:t>
      </w:r>
      <w:r w:rsidR="00C2606E" w:rsidRPr="004C540C">
        <w:rPr>
          <w:rFonts w:ascii="Arial" w:hAnsi="Arial" w:cs="Arial"/>
          <w:b w:val="0"/>
          <w:bCs w:val="0"/>
          <w:sz w:val="24"/>
          <w:szCs w:val="24"/>
        </w:rPr>
        <w:t xml:space="preserve"> </w:t>
      </w:r>
      <w:r w:rsidRPr="004C540C">
        <w:rPr>
          <w:rFonts w:ascii="Arial" w:hAnsi="Arial" w:cs="Arial"/>
          <w:b w:val="0"/>
          <w:bCs w:val="0"/>
          <w:sz w:val="24"/>
          <w:szCs w:val="24"/>
        </w:rPr>
        <w:t>a necessity for effective day-to-day operations. IHG has had minimal liquidity impacts over the preceding five years and continues with the asset light characteristics of a hotel company. In this time period, the current ratio fell to beneath 1 which suggests that its current liabilities exceeded its current assets</w:t>
      </w:r>
      <w:r w:rsidR="00CF3979" w:rsidRPr="00CF3979">
        <w:rPr>
          <w:sz w:val="24"/>
          <w:szCs w:val="24"/>
          <w:lang w:bidi="ar-SA"/>
        </w:rPr>
        <w:t xml:space="preserve"> </w:t>
      </w:r>
      <w:r w:rsidR="00CF3979" w:rsidRPr="002427D2">
        <w:rPr>
          <w:rFonts w:ascii="Arial" w:hAnsi="Arial" w:cs="Arial"/>
          <w:b w:val="0"/>
          <w:bCs w:val="0"/>
          <w:sz w:val="24"/>
          <w:szCs w:val="24"/>
        </w:rPr>
        <w:t>(Team, 2026)</w:t>
      </w:r>
      <w:r w:rsidRPr="002427D2">
        <w:rPr>
          <w:rFonts w:ascii="Arial" w:hAnsi="Arial" w:cs="Arial"/>
          <w:b w:val="0"/>
          <w:bCs w:val="0"/>
          <w:sz w:val="24"/>
          <w:szCs w:val="24"/>
        </w:rPr>
        <w:t xml:space="preserve">. </w:t>
      </w:r>
    </w:p>
    <w:p w14:paraId="2E02E4AB" w14:textId="48388933" w:rsidR="003A7D16" w:rsidRPr="004C540C" w:rsidRDefault="003A7D16" w:rsidP="004C540C">
      <w:pPr>
        <w:pStyle w:val="Heading3"/>
        <w:jc w:val="both"/>
        <w:rPr>
          <w:rFonts w:ascii="Arial" w:hAnsi="Arial" w:cs="Arial"/>
          <w:sz w:val="24"/>
          <w:szCs w:val="24"/>
        </w:rPr>
      </w:pPr>
      <w:r w:rsidRPr="004C540C">
        <w:rPr>
          <w:rFonts w:ascii="Arial" w:hAnsi="Arial" w:cs="Arial"/>
          <w:sz w:val="24"/>
          <w:szCs w:val="24"/>
        </w:rPr>
        <w:t>Table 4: Liquidity Analysis</w:t>
      </w:r>
      <w:bookmarkEnd w:id="16"/>
      <w:bookmarkEnd w:id="17"/>
      <w:bookmarkEnd w:id="18"/>
      <w:bookmarkEnd w:id="19"/>
    </w:p>
    <w:p w14:paraId="400B3E73" w14:textId="77777777" w:rsidR="003A7D16" w:rsidRPr="004C540C" w:rsidRDefault="003A7D16" w:rsidP="004C540C">
      <w:pPr>
        <w:spacing w:before="100" w:beforeAutospacing="1" w:after="100" w:afterAutospacing="1" w:line="240" w:lineRule="auto"/>
        <w:jc w:val="both"/>
        <w:rPr>
          <w:rFonts w:ascii="Arial" w:eastAsia="Times New Roman" w:hAnsi="Arial" w:cs="Arial"/>
          <w:sz w:val="24"/>
          <w:szCs w:val="24"/>
          <w:lang w:eastAsia="en-IN"/>
        </w:rPr>
      </w:pPr>
      <w:r w:rsidRPr="004C540C">
        <w:rPr>
          <w:rFonts w:ascii="Arial" w:eastAsia="Times New Roman" w:hAnsi="Arial" w:cs="Arial"/>
          <w:b/>
          <w:bCs/>
          <w:sz w:val="24"/>
          <w:szCs w:val="24"/>
          <w:lang w:eastAsia="en-IN"/>
        </w:rPr>
        <w:t>US$ million, except ratios</w:t>
      </w:r>
    </w:p>
    <w:tbl>
      <w:tblPr>
        <w:tblStyle w:val="GridTable4-Accent5"/>
        <w:tblW w:w="5000" w:type="pct"/>
        <w:tblLook w:val="04A0" w:firstRow="1" w:lastRow="0" w:firstColumn="1" w:lastColumn="0" w:noHBand="0" w:noVBand="1"/>
      </w:tblPr>
      <w:tblGrid>
        <w:gridCol w:w="3173"/>
        <w:gridCol w:w="1169"/>
        <w:gridCol w:w="1169"/>
        <w:gridCol w:w="1169"/>
        <w:gridCol w:w="1168"/>
        <w:gridCol w:w="1168"/>
      </w:tblGrid>
      <w:tr w:rsidR="003A7D16" w:rsidRPr="004C540C" w14:paraId="473FA981" w14:textId="77777777" w:rsidTr="003A7D1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58" w:type="pct"/>
            <w:vAlign w:val="center"/>
            <w:hideMark/>
          </w:tcPr>
          <w:p w14:paraId="0A67A2D0" w14:textId="77777777" w:rsidR="003A7D16" w:rsidRPr="004C540C" w:rsidRDefault="003A7D16" w:rsidP="004C540C">
            <w:pPr>
              <w:jc w:val="both"/>
              <w:rPr>
                <w:rFonts w:ascii="Arial" w:eastAsia="Times New Roman" w:hAnsi="Arial" w:cs="Arial"/>
                <w:sz w:val="24"/>
                <w:szCs w:val="24"/>
                <w:lang w:eastAsia="en-IN"/>
              </w:rPr>
            </w:pPr>
            <w:r w:rsidRPr="004C540C">
              <w:rPr>
                <w:rFonts w:ascii="Arial" w:eastAsia="Times New Roman" w:hAnsi="Arial" w:cs="Arial"/>
                <w:sz w:val="24"/>
                <w:szCs w:val="24"/>
                <w:lang w:eastAsia="en-IN"/>
              </w:rPr>
              <w:t>Measure</w:t>
            </w:r>
          </w:p>
        </w:tc>
        <w:tc>
          <w:tcPr>
            <w:tcW w:w="648" w:type="pct"/>
            <w:vAlign w:val="center"/>
            <w:hideMark/>
          </w:tcPr>
          <w:p w14:paraId="44DDC1A8" w14:textId="77777777" w:rsidR="003A7D16" w:rsidRPr="004C540C" w:rsidRDefault="003A7D16" w:rsidP="004C540C">
            <w:pPr>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2021</w:t>
            </w:r>
          </w:p>
        </w:tc>
        <w:tc>
          <w:tcPr>
            <w:tcW w:w="648" w:type="pct"/>
            <w:vAlign w:val="center"/>
            <w:hideMark/>
          </w:tcPr>
          <w:p w14:paraId="0A5B1770" w14:textId="77777777" w:rsidR="003A7D16" w:rsidRPr="004C540C" w:rsidRDefault="003A7D16" w:rsidP="004C540C">
            <w:pPr>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2022</w:t>
            </w:r>
          </w:p>
        </w:tc>
        <w:tc>
          <w:tcPr>
            <w:tcW w:w="648" w:type="pct"/>
            <w:vAlign w:val="center"/>
            <w:hideMark/>
          </w:tcPr>
          <w:p w14:paraId="639EC926" w14:textId="77777777" w:rsidR="003A7D16" w:rsidRPr="004C540C" w:rsidRDefault="003A7D16" w:rsidP="004C540C">
            <w:pPr>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2023</w:t>
            </w:r>
          </w:p>
        </w:tc>
        <w:tc>
          <w:tcPr>
            <w:tcW w:w="648" w:type="pct"/>
            <w:vAlign w:val="center"/>
            <w:hideMark/>
          </w:tcPr>
          <w:p w14:paraId="5D97B01D" w14:textId="77777777" w:rsidR="003A7D16" w:rsidRPr="004C540C" w:rsidRDefault="003A7D16" w:rsidP="004C540C">
            <w:pPr>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2024</w:t>
            </w:r>
          </w:p>
        </w:tc>
        <w:tc>
          <w:tcPr>
            <w:tcW w:w="648" w:type="pct"/>
            <w:vAlign w:val="center"/>
            <w:hideMark/>
          </w:tcPr>
          <w:p w14:paraId="1F4C254C" w14:textId="77777777" w:rsidR="003A7D16" w:rsidRPr="004C540C" w:rsidRDefault="003A7D16" w:rsidP="004C540C">
            <w:pPr>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2025</w:t>
            </w:r>
          </w:p>
        </w:tc>
      </w:tr>
      <w:tr w:rsidR="003A7D16" w:rsidRPr="004C540C" w14:paraId="2A153C49" w14:textId="77777777" w:rsidTr="003A7D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58" w:type="pct"/>
            <w:vAlign w:val="center"/>
            <w:hideMark/>
          </w:tcPr>
          <w:p w14:paraId="70568BFB" w14:textId="77777777" w:rsidR="003A7D16" w:rsidRPr="004C540C" w:rsidRDefault="003A7D16" w:rsidP="004C540C">
            <w:pPr>
              <w:jc w:val="both"/>
              <w:rPr>
                <w:rFonts w:ascii="Arial" w:eastAsia="Times New Roman" w:hAnsi="Arial" w:cs="Arial"/>
                <w:sz w:val="24"/>
                <w:szCs w:val="24"/>
                <w:lang w:eastAsia="en-IN"/>
              </w:rPr>
            </w:pPr>
            <w:r w:rsidRPr="004C540C">
              <w:rPr>
                <w:rFonts w:ascii="Arial" w:eastAsia="Times New Roman" w:hAnsi="Arial" w:cs="Arial"/>
                <w:sz w:val="24"/>
                <w:szCs w:val="24"/>
                <w:lang w:eastAsia="en-IN"/>
              </w:rPr>
              <w:t>Current assets</w:t>
            </w:r>
          </w:p>
        </w:tc>
        <w:tc>
          <w:tcPr>
            <w:tcW w:w="648" w:type="pct"/>
            <w:vAlign w:val="center"/>
            <w:hideMark/>
          </w:tcPr>
          <w:p w14:paraId="43451F62" w14:textId="77777777" w:rsidR="003A7D16" w:rsidRPr="004C540C" w:rsidRDefault="003A7D16"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2,066</w:t>
            </w:r>
          </w:p>
        </w:tc>
        <w:tc>
          <w:tcPr>
            <w:tcW w:w="648" w:type="pct"/>
            <w:vAlign w:val="center"/>
            <w:hideMark/>
          </w:tcPr>
          <w:p w14:paraId="4DD1CE8A" w14:textId="77777777" w:rsidR="003A7D16" w:rsidRPr="004C540C" w:rsidRDefault="003A7D16"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1,678</w:t>
            </w:r>
          </w:p>
        </w:tc>
        <w:tc>
          <w:tcPr>
            <w:tcW w:w="648" w:type="pct"/>
            <w:vAlign w:val="center"/>
            <w:hideMark/>
          </w:tcPr>
          <w:p w14:paraId="04ED591B" w14:textId="77777777" w:rsidR="003A7D16" w:rsidRPr="004C540C" w:rsidRDefault="003A7D16"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2,129</w:t>
            </w:r>
          </w:p>
        </w:tc>
        <w:tc>
          <w:tcPr>
            <w:tcW w:w="648" w:type="pct"/>
            <w:vAlign w:val="center"/>
            <w:hideMark/>
          </w:tcPr>
          <w:p w14:paraId="2080138A" w14:textId="77777777" w:rsidR="003A7D16" w:rsidRPr="004C540C" w:rsidRDefault="003A7D16"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1,869</w:t>
            </w:r>
          </w:p>
        </w:tc>
        <w:tc>
          <w:tcPr>
            <w:tcW w:w="648" w:type="pct"/>
            <w:vAlign w:val="center"/>
            <w:hideMark/>
          </w:tcPr>
          <w:p w14:paraId="6C7A477B" w14:textId="77777777" w:rsidR="003A7D16" w:rsidRPr="004C540C" w:rsidRDefault="003A7D16"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2,049</w:t>
            </w:r>
          </w:p>
        </w:tc>
      </w:tr>
      <w:tr w:rsidR="003A7D16" w:rsidRPr="004C540C" w14:paraId="75A811D0" w14:textId="77777777" w:rsidTr="003A7D16">
        <w:tc>
          <w:tcPr>
            <w:cnfStyle w:val="001000000000" w:firstRow="0" w:lastRow="0" w:firstColumn="1" w:lastColumn="0" w:oddVBand="0" w:evenVBand="0" w:oddHBand="0" w:evenHBand="0" w:firstRowFirstColumn="0" w:firstRowLastColumn="0" w:lastRowFirstColumn="0" w:lastRowLastColumn="0"/>
            <w:tcW w:w="1758" w:type="pct"/>
            <w:vAlign w:val="center"/>
            <w:hideMark/>
          </w:tcPr>
          <w:p w14:paraId="0BB68714" w14:textId="77777777" w:rsidR="003A7D16" w:rsidRPr="004C540C" w:rsidRDefault="003A7D16" w:rsidP="004C540C">
            <w:pPr>
              <w:jc w:val="both"/>
              <w:rPr>
                <w:rFonts w:ascii="Arial" w:eastAsia="Times New Roman" w:hAnsi="Arial" w:cs="Arial"/>
                <w:sz w:val="24"/>
                <w:szCs w:val="24"/>
                <w:lang w:eastAsia="en-IN"/>
              </w:rPr>
            </w:pPr>
            <w:r w:rsidRPr="004C540C">
              <w:rPr>
                <w:rFonts w:ascii="Arial" w:eastAsia="Times New Roman" w:hAnsi="Arial" w:cs="Arial"/>
                <w:sz w:val="24"/>
                <w:szCs w:val="24"/>
                <w:lang w:eastAsia="en-IN"/>
              </w:rPr>
              <w:t>Current liabilities</w:t>
            </w:r>
          </w:p>
        </w:tc>
        <w:tc>
          <w:tcPr>
            <w:tcW w:w="648" w:type="pct"/>
            <w:vAlign w:val="center"/>
            <w:hideMark/>
          </w:tcPr>
          <w:p w14:paraId="7468B379" w14:textId="77777777" w:rsidR="003A7D16" w:rsidRPr="004C540C" w:rsidRDefault="003A7D16"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1,624</w:t>
            </w:r>
          </w:p>
        </w:tc>
        <w:tc>
          <w:tcPr>
            <w:tcW w:w="648" w:type="pct"/>
            <w:vAlign w:val="center"/>
            <w:hideMark/>
          </w:tcPr>
          <w:p w14:paraId="6FBA2569" w14:textId="77777777" w:rsidR="003A7D16" w:rsidRPr="004C540C" w:rsidRDefault="003A7D16"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1,544</w:t>
            </w:r>
          </w:p>
        </w:tc>
        <w:tc>
          <w:tcPr>
            <w:tcW w:w="648" w:type="pct"/>
            <w:vAlign w:val="center"/>
            <w:hideMark/>
          </w:tcPr>
          <w:p w14:paraId="533A221B" w14:textId="77777777" w:rsidR="003A7D16" w:rsidRPr="004C540C" w:rsidRDefault="003A7D16"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2,190</w:t>
            </w:r>
          </w:p>
        </w:tc>
        <w:tc>
          <w:tcPr>
            <w:tcW w:w="648" w:type="pct"/>
            <w:vAlign w:val="center"/>
            <w:hideMark/>
          </w:tcPr>
          <w:p w14:paraId="783B5479" w14:textId="77777777" w:rsidR="003A7D16" w:rsidRPr="004C540C" w:rsidRDefault="003A7D16"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1,928</w:t>
            </w:r>
          </w:p>
        </w:tc>
        <w:tc>
          <w:tcPr>
            <w:tcW w:w="648" w:type="pct"/>
            <w:vAlign w:val="center"/>
            <w:hideMark/>
          </w:tcPr>
          <w:p w14:paraId="1724B107" w14:textId="77777777" w:rsidR="003A7D16" w:rsidRPr="004C540C" w:rsidRDefault="003A7D16"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2,100</w:t>
            </w:r>
          </w:p>
        </w:tc>
      </w:tr>
      <w:tr w:rsidR="003A7D16" w:rsidRPr="004C540C" w14:paraId="00F58AC9" w14:textId="77777777" w:rsidTr="003A7D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58" w:type="pct"/>
            <w:vAlign w:val="center"/>
            <w:hideMark/>
          </w:tcPr>
          <w:p w14:paraId="4BC04236" w14:textId="77777777" w:rsidR="003A7D16" w:rsidRPr="004C540C" w:rsidRDefault="003A7D16" w:rsidP="004C540C">
            <w:pPr>
              <w:jc w:val="both"/>
              <w:rPr>
                <w:rFonts w:ascii="Arial" w:eastAsia="Times New Roman" w:hAnsi="Arial" w:cs="Arial"/>
                <w:sz w:val="24"/>
                <w:szCs w:val="24"/>
                <w:lang w:eastAsia="en-IN"/>
              </w:rPr>
            </w:pPr>
            <w:r w:rsidRPr="004C540C">
              <w:rPr>
                <w:rFonts w:ascii="Arial" w:eastAsia="Times New Roman" w:hAnsi="Arial" w:cs="Arial"/>
                <w:sz w:val="24"/>
                <w:szCs w:val="24"/>
                <w:lang w:eastAsia="en-IN"/>
              </w:rPr>
              <w:t>Current ratio</w:t>
            </w:r>
          </w:p>
        </w:tc>
        <w:tc>
          <w:tcPr>
            <w:tcW w:w="648" w:type="pct"/>
            <w:vAlign w:val="center"/>
            <w:hideMark/>
          </w:tcPr>
          <w:p w14:paraId="29B8EFF4" w14:textId="77777777" w:rsidR="003A7D16" w:rsidRPr="004C540C" w:rsidRDefault="003A7D16"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b/>
                <w:bCs/>
                <w:sz w:val="24"/>
                <w:szCs w:val="24"/>
                <w:lang w:eastAsia="en-IN"/>
              </w:rPr>
              <w:t>1.27</w:t>
            </w:r>
          </w:p>
        </w:tc>
        <w:tc>
          <w:tcPr>
            <w:tcW w:w="648" w:type="pct"/>
            <w:vAlign w:val="center"/>
            <w:hideMark/>
          </w:tcPr>
          <w:p w14:paraId="36DA316B" w14:textId="77777777" w:rsidR="003A7D16" w:rsidRPr="004C540C" w:rsidRDefault="003A7D16"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b/>
                <w:bCs/>
                <w:sz w:val="24"/>
                <w:szCs w:val="24"/>
                <w:lang w:eastAsia="en-IN"/>
              </w:rPr>
              <w:t>1.09</w:t>
            </w:r>
          </w:p>
        </w:tc>
        <w:tc>
          <w:tcPr>
            <w:tcW w:w="648" w:type="pct"/>
            <w:vAlign w:val="center"/>
            <w:hideMark/>
          </w:tcPr>
          <w:p w14:paraId="6BA69E2D" w14:textId="77777777" w:rsidR="003A7D16" w:rsidRPr="004C540C" w:rsidRDefault="003A7D16"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b/>
                <w:bCs/>
                <w:sz w:val="24"/>
                <w:szCs w:val="24"/>
                <w:lang w:eastAsia="en-IN"/>
              </w:rPr>
              <w:t>0.97</w:t>
            </w:r>
          </w:p>
        </w:tc>
        <w:tc>
          <w:tcPr>
            <w:tcW w:w="648" w:type="pct"/>
            <w:vAlign w:val="center"/>
            <w:hideMark/>
          </w:tcPr>
          <w:p w14:paraId="720F090C" w14:textId="77777777" w:rsidR="003A7D16" w:rsidRPr="004C540C" w:rsidRDefault="003A7D16"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b/>
                <w:bCs/>
                <w:sz w:val="24"/>
                <w:szCs w:val="24"/>
                <w:lang w:eastAsia="en-IN"/>
              </w:rPr>
              <w:t>0.97</w:t>
            </w:r>
          </w:p>
        </w:tc>
        <w:tc>
          <w:tcPr>
            <w:tcW w:w="648" w:type="pct"/>
            <w:vAlign w:val="center"/>
            <w:hideMark/>
          </w:tcPr>
          <w:p w14:paraId="45DB165B" w14:textId="77777777" w:rsidR="003A7D16" w:rsidRPr="004C540C" w:rsidRDefault="003A7D16"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b/>
                <w:bCs/>
                <w:sz w:val="24"/>
                <w:szCs w:val="24"/>
                <w:lang w:eastAsia="en-IN"/>
              </w:rPr>
              <w:t>0.98</w:t>
            </w:r>
          </w:p>
        </w:tc>
      </w:tr>
      <w:tr w:rsidR="003A7D16" w:rsidRPr="004C540C" w14:paraId="171C276E" w14:textId="77777777" w:rsidTr="003A7D16">
        <w:tc>
          <w:tcPr>
            <w:cnfStyle w:val="001000000000" w:firstRow="0" w:lastRow="0" w:firstColumn="1" w:lastColumn="0" w:oddVBand="0" w:evenVBand="0" w:oddHBand="0" w:evenHBand="0" w:firstRowFirstColumn="0" w:firstRowLastColumn="0" w:lastRowFirstColumn="0" w:lastRowLastColumn="0"/>
            <w:tcW w:w="1758" w:type="pct"/>
            <w:vAlign w:val="center"/>
            <w:hideMark/>
          </w:tcPr>
          <w:p w14:paraId="66D9FFCF" w14:textId="77777777" w:rsidR="003A7D16" w:rsidRPr="004C540C" w:rsidRDefault="003A7D16" w:rsidP="004C540C">
            <w:pPr>
              <w:jc w:val="both"/>
              <w:rPr>
                <w:rFonts w:ascii="Arial" w:eastAsia="Times New Roman" w:hAnsi="Arial" w:cs="Arial"/>
                <w:sz w:val="24"/>
                <w:szCs w:val="24"/>
                <w:lang w:eastAsia="en-IN"/>
              </w:rPr>
            </w:pPr>
            <w:r w:rsidRPr="004C540C">
              <w:rPr>
                <w:rFonts w:ascii="Arial" w:eastAsia="Times New Roman" w:hAnsi="Arial" w:cs="Arial"/>
                <w:sz w:val="24"/>
                <w:szCs w:val="24"/>
                <w:lang w:eastAsia="en-IN"/>
              </w:rPr>
              <w:t>Inventory</w:t>
            </w:r>
          </w:p>
        </w:tc>
        <w:tc>
          <w:tcPr>
            <w:tcW w:w="648" w:type="pct"/>
            <w:vAlign w:val="center"/>
            <w:hideMark/>
          </w:tcPr>
          <w:p w14:paraId="54378A48" w14:textId="77777777" w:rsidR="003A7D16" w:rsidRPr="004C540C" w:rsidRDefault="003A7D16"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4</w:t>
            </w:r>
          </w:p>
        </w:tc>
        <w:tc>
          <w:tcPr>
            <w:tcW w:w="648" w:type="pct"/>
            <w:vAlign w:val="center"/>
            <w:hideMark/>
          </w:tcPr>
          <w:p w14:paraId="71C0C88A" w14:textId="77777777" w:rsidR="003A7D16" w:rsidRPr="004C540C" w:rsidRDefault="003A7D16"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4</w:t>
            </w:r>
          </w:p>
        </w:tc>
        <w:tc>
          <w:tcPr>
            <w:tcW w:w="648" w:type="pct"/>
            <w:vAlign w:val="center"/>
            <w:hideMark/>
          </w:tcPr>
          <w:p w14:paraId="0BDA54EA" w14:textId="77777777" w:rsidR="003A7D16" w:rsidRPr="004C540C" w:rsidRDefault="003A7D16"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5</w:t>
            </w:r>
          </w:p>
        </w:tc>
        <w:tc>
          <w:tcPr>
            <w:tcW w:w="648" w:type="pct"/>
            <w:vAlign w:val="center"/>
            <w:hideMark/>
          </w:tcPr>
          <w:p w14:paraId="51F8555F" w14:textId="77777777" w:rsidR="003A7D16" w:rsidRPr="004C540C" w:rsidRDefault="003A7D16"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5</w:t>
            </w:r>
          </w:p>
        </w:tc>
        <w:tc>
          <w:tcPr>
            <w:tcW w:w="648" w:type="pct"/>
            <w:vAlign w:val="center"/>
            <w:hideMark/>
          </w:tcPr>
          <w:p w14:paraId="3EEFF87A" w14:textId="77777777" w:rsidR="003A7D16" w:rsidRPr="004C540C" w:rsidRDefault="003A7D16"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5</w:t>
            </w:r>
          </w:p>
        </w:tc>
      </w:tr>
      <w:tr w:rsidR="003A7D16" w:rsidRPr="004C540C" w14:paraId="3BAB24E2" w14:textId="77777777" w:rsidTr="003A7D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58" w:type="pct"/>
            <w:vAlign w:val="center"/>
            <w:hideMark/>
          </w:tcPr>
          <w:p w14:paraId="2E2168E6" w14:textId="77777777" w:rsidR="003A7D16" w:rsidRPr="004C540C" w:rsidRDefault="003A7D16" w:rsidP="004C540C">
            <w:pPr>
              <w:jc w:val="both"/>
              <w:rPr>
                <w:rFonts w:ascii="Arial" w:eastAsia="Times New Roman" w:hAnsi="Arial" w:cs="Arial"/>
                <w:sz w:val="24"/>
                <w:szCs w:val="24"/>
                <w:lang w:eastAsia="en-IN"/>
              </w:rPr>
            </w:pPr>
            <w:r w:rsidRPr="004C540C">
              <w:rPr>
                <w:rFonts w:ascii="Arial" w:eastAsia="Times New Roman" w:hAnsi="Arial" w:cs="Arial"/>
                <w:sz w:val="24"/>
                <w:szCs w:val="24"/>
                <w:lang w:eastAsia="en-IN"/>
              </w:rPr>
              <w:t>Quick ratio</w:t>
            </w:r>
          </w:p>
        </w:tc>
        <w:tc>
          <w:tcPr>
            <w:tcW w:w="648" w:type="pct"/>
            <w:vAlign w:val="center"/>
            <w:hideMark/>
          </w:tcPr>
          <w:p w14:paraId="52C21366" w14:textId="77777777" w:rsidR="003A7D16" w:rsidRPr="004C540C" w:rsidRDefault="003A7D16"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b/>
                <w:bCs/>
                <w:sz w:val="24"/>
                <w:szCs w:val="24"/>
                <w:lang w:eastAsia="en-IN"/>
              </w:rPr>
              <w:t>1.27</w:t>
            </w:r>
          </w:p>
        </w:tc>
        <w:tc>
          <w:tcPr>
            <w:tcW w:w="648" w:type="pct"/>
            <w:vAlign w:val="center"/>
            <w:hideMark/>
          </w:tcPr>
          <w:p w14:paraId="7A6F13B5" w14:textId="77777777" w:rsidR="003A7D16" w:rsidRPr="004C540C" w:rsidRDefault="003A7D16"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b/>
                <w:bCs/>
                <w:sz w:val="24"/>
                <w:szCs w:val="24"/>
                <w:lang w:eastAsia="en-IN"/>
              </w:rPr>
              <w:t>1.08</w:t>
            </w:r>
          </w:p>
        </w:tc>
        <w:tc>
          <w:tcPr>
            <w:tcW w:w="648" w:type="pct"/>
            <w:vAlign w:val="center"/>
            <w:hideMark/>
          </w:tcPr>
          <w:p w14:paraId="1253F6ED" w14:textId="77777777" w:rsidR="003A7D16" w:rsidRPr="004C540C" w:rsidRDefault="003A7D16"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b/>
                <w:bCs/>
                <w:sz w:val="24"/>
                <w:szCs w:val="24"/>
                <w:lang w:eastAsia="en-IN"/>
              </w:rPr>
              <w:t>0.97</w:t>
            </w:r>
          </w:p>
        </w:tc>
        <w:tc>
          <w:tcPr>
            <w:tcW w:w="648" w:type="pct"/>
            <w:vAlign w:val="center"/>
            <w:hideMark/>
          </w:tcPr>
          <w:p w14:paraId="3A34926D" w14:textId="77777777" w:rsidR="003A7D16" w:rsidRPr="004C540C" w:rsidRDefault="003A7D16"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b/>
                <w:bCs/>
                <w:sz w:val="24"/>
                <w:szCs w:val="24"/>
                <w:lang w:eastAsia="en-IN"/>
              </w:rPr>
              <w:t>0.97</w:t>
            </w:r>
          </w:p>
        </w:tc>
        <w:tc>
          <w:tcPr>
            <w:tcW w:w="648" w:type="pct"/>
            <w:vAlign w:val="center"/>
            <w:hideMark/>
          </w:tcPr>
          <w:p w14:paraId="0DE23F82" w14:textId="77777777" w:rsidR="003A7D16" w:rsidRPr="004C540C" w:rsidRDefault="003A7D16"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b/>
                <w:bCs/>
                <w:sz w:val="24"/>
                <w:szCs w:val="24"/>
                <w:lang w:eastAsia="en-IN"/>
              </w:rPr>
              <w:t>0.97</w:t>
            </w:r>
          </w:p>
        </w:tc>
      </w:tr>
    </w:tbl>
    <w:p w14:paraId="2FB2D6F5" w14:textId="77777777" w:rsidR="003A7D16" w:rsidRPr="004C540C" w:rsidRDefault="003A7D16" w:rsidP="004C540C">
      <w:pPr>
        <w:spacing w:before="100" w:beforeAutospacing="1" w:after="100" w:afterAutospacing="1" w:line="240" w:lineRule="auto"/>
        <w:jc w:val="both"/>
        <w:rPr>
          <w:rFonts w:ascii="Arial" w:eastAsia="Times New Roman" w:hAnsi="Arial" w:cs="Arial"/>
          <w:sz w:val="24"/>
          <w:szCs w:val="24"/>
          <w:lang w:eastAsia="en-IN"/>
        </w:rPr>
      </w:pPr>
      <w:r w:rsidRPr="004C540C">
        <w:rPr>
          <w:rFonts w:ascii="Arial" w:eastAsia="Times New Roman" w:hAnsi="Arial" w:cs="Arial"/>
          <w:sz w:val="24"/>
          <w:szCs w:val="24"/>
          <w:lang w:eastAsia="en-IN"/>
        </w:rPr>
        <w:t>The underlying balance-sheet figures are taken directly from IHG's Group statements of financial position.</w:t>
      </w:r>
    </w:p>
    <w:p w14:paraId="7AED3B35" w14:textId="77777777" w:rsidR="003A7D16" w:rsidRPr="004C540C" w:rsidRDefault="003A7D16" w:rsidP="004C540C">
      <w:pPr>
        <w:spacing w:before="100" w:beforeAutospacing="1" w:after="100" w:afterAutospacing="1" w:line="240" w:lineRule="auto"/>
        <w:jc w:val="both"/>
        <w:rPr>
          <w:rFonts w:ascii="Arial" w:eastAsia="Times New Roman" w:hAnsi="Arial" w:cs="Arial"/>
          <w:sz w:val="24"/>
          <w:szCs w:val="24"/>
          <w:lang w:eastAsia="en-IN"/>
        </w:rPr>
      </w:pPr>
      <w:r w:rsidRPr="004C540C">
        <w:rPr>
          <w:rFonts w:ascii="Arial" w:eastAsia="Times New Roman" w:hAnsi="Arial" w:cs="Arial"/>
          <w:b/>
          <w:bCs/>
          <w:sz w:val="24"/>
          <w:szCs w:val="24"/>
          <w:lang w:eastAsia="en-IN"/>
        </w:rPr>
        <w:t>Formula:</w:t>
      </w:r>
    </w:p>
    <w:p w14:paraId="7A056805" w14:textId="77777777" w:rsidR="003A7D16" w:rsidRPr="004C540C" w:rsidRDefault="003A7D16" w:rsidP="004C540C">
      <w:pPr>
        <w:numPr>
          <w:ilvl w:val="0"/>
          <w:numId w:val="6"/>
        </w:numPr>
        <w:spacing w:before="100" w:beforeAutospacing="1" w:after="100" w:afterAutospacing="1" w:line="240" w:lineRule="auto"/>
        <w:jc w:val="both"/>
        <w:rPr>
          <w:rFonts w:ascii="Arial" w:eastAsia="Times New Roman" w:hAnsi="Arial" w:cs="Arial"/>
          <w:sz w:val="24"/>
          <w:szCs w:val="24"/>
          <w:lang w:eastAsia="en-IN"/>
        </w:rPr>
      </w:pPr>
      <w:r w:rsidRPr="004C540C">
        <w:rPr>
          <w:rFonts w:ascii="Arial" w:eastAsia="Times New Roman" w:hAnsi="Arial" w:cs="Arial"/>
          <w:sz w:val="24"/>
          <w:szCs w:val="24"/>
          <w:lang w:eastAsia="en-IN"/>
        </w:rPr>
        <w:t xml:space="preserve">Current ratio = Current assets ÷ Current liabilities </w:t>
      </w:r>
    </w:p>
    <w:p w14:paraId="3C748D1D" w14:textId="77777777" w:rsidR="003A7D16" w:rsidRPr="004C540C" w:rsidRDefault="003A7D16" w:rsidP="004C540C">
      <w:pPr>
        <w:numPr>
          <w:ilvl w:val="0"/>
          <w:numId w:val="6"/>
        </w:numPr>
        <w:spacing w:before="100" w:beforeAutospacing="1" w:after="100" w:afterAutospacing="1" w:line="240" w:lineRule="auto"/>
        <w:jc w:val="both"/>
        <w:rPr>
          <w:rFonts w:ascii="Arial" w:eastAsia="Times New Roman" w:hAnsi="Arial" w:cs="Arial"/>
          <w:sz w:val="24"/>
          <w:szCs w:val="24"/>
          <w:lang w:eastAsia="en-IN"/>
        </w:rPr>
      </w:pPr>
      <w:r w:rsidRPr="004C540C">
        <w:rPr>
          <w:rFonts w:ascii="Arial" w:eastAsia="Times New Roman" w:hAnsi="Arial" w:cs="Arial"/>
          <w:sz w:val="24"/>
          <w:szCs w:val="24"/>
          <w:lang w:eastAsia="en-IN"/>
        </w:rPr>
        <w:t>Quick ratio = (Current assets − Inventory) ÷ Current liabilities</w:t>
      </w:r>
    </w:p>
    <w:p w14:paraId="14C81A7E" w14:textId="77777777" w:rsidR="003B66C8" w:rsidRPr="004C540C" w:rsidRDefault="003B66C8" w:rsidP="004C540C">
      <w:pPr>
        <w:pStyle w:val="NormalWeb"/>
        <w:jc w:val="both"/>
        <w:rPr>
          <w:rFonts w:ascii="Arial" w:hAnsi="Arial" w:cs="Arial"/>
        </w:rPr>
      </w:pPr>
      <w:r w:rsidRPr="004C540C">
        <w:rPr>
          <w:rFonts w:ascii="Arial" w:hAnsi="Arial" w:cs="Arial"/>
        </w:rPr>
        <w:t>The hotel market as well its operational cash flows have gradually improved since 2021 post the disruption from COVID-19, while IHG has gradually re-built its liquidity position. The only bright spot was healthy growth in occupancy levels, rooms revenues and increasing from franchise and management contracts. IHG also has less working capital than traditional hotel firms because, unlike most asset-heavy hotel companies that need large amounts of capital to keep the hotels functioning (InterContinental Hotels Group, 2024).</w:t>
      </w:r>
    </w:p>
    <w:p w14:paraId="57A72AE2" w14:textId="77777777" w:rsidR="00A558D4" w:rsidRPr="004C540C" w:rsidRDefault="00A558D4" w:rsidP="004C540C">
      <w:pPr>
        <w:jc w:val="both"/>
        <w:rPr>
          <w:rFonts w:ascii="Arial" w:eastAsia="Times New Roman" w:hAnsi="Arial" w:cs="Arial"/>
          <w:sz w:val="24"/>
          <w:szCs w:val="24"/>
          <w:lang w:eastAsia="en-IN"/>
        </w:rPr>
      </w:pPr>
      <w:r w:rsidRPr="004C540C">
        <w:rPr>
          <w:rFonts w:ascii="Arial" w:eastAsia="Times New Roman" w:hAnsi="Arial" w:cs="Arial"/>
          <w:sz w:val="24"/>
          <w:szCs w:val="24"/>
          <w:lang w:eastAsia="en-IN"/>
        </w:rPr>
        <w:t>Quick ratio too showed a similar trend in the sense that the figure for this metric is quite low since the company does not possess many liquid current assets compared to its short-term liabilities. However, IHG’s efficient cash generation capacity, access to financing facilities and fee income are other sources of cash flexibility. By the year 2025, IHG profitability and cash flow generated from operations have increased, hence enabling the company to effectively deal with its short-term liabilities (IHG, 2025).</w:t>
      </w:r>
    </w:p>
    <w:p w14:paraId="4324FA17" w14:textId="77777777" w:rsidR="00A558D4" w:rsidRPr="004C540C" w:rsidRDefault="00A558D4" w:rsidP="004C540C">
      <w:pPr>
        <w:jc w:val="both"/>
        <w:rPr>
          <w:rFonts w:ascii="Arial" w:eastAsia="Times New Roman" w:hAnsi="Arial" w:cs="Arial"/>
          <w:sz w:val="24"/>
          <w:szCs w:val="24"/>
          <w:lang w:eastAsia="en-IN"/>
        </w:rPr>
      </w:pPr>
    </w:p>
    <w:p w14:paraId="7C9B23F6" w14:textId="77777777" w:rsidR="00A558D4" w:rsidRPr="004C540C" w:rsidRDefault="00A558D4" w:rsidP="004C540C">
      <w:pPr>
        <w:jc w:val="both"/>
        <w:rPr>
          <w:rFonts w:ascii="Arial" w:eastAsia="Times New Roman" w:hAnsi="Arial" w:cs="Arial"/>
          <w:b/>
          <w:bCs/>
          <w:sz w:val="28"/>
          <w:szCs w:val="28"/>
          <w:lang w:eastAsia="en-IN"/>
        </w:rPr>
      </w:pPr>
      <w:r w:rsidRPr="004C540C">
        <w:rPr>
          <w:rFonts w:ascii="Arial" w:eastAsia="Times New Roman" w:hAnsi="Arial" w:cs="Arial"/>
          <w:b/>
          <w:bCs/>
          <w:sz w:val="28"/>
          <w:szCs w:val="28"/>
          <w:lang w:eastAsia="en-IN"/>
        </w:rPr>
        <w:lastRenderedPageBreak/>
        <w:t>1.4 Efficiency Analysis (2021–2025)</w:t>
      </w:r>
    </w:p>
    <w:p w14:paraId="54E1C685" w14:textId="77777777" w:rsidR="004721EC" w:rsidRPr="004C540C" w:rsidRDefault="00A558D4" w:rsidP="004C540C">
      <w:pPr>
        <w:jc w:val="both"/>
        <w:rPr>
          <w:rFonts w:ascii="Arial" w:eastAsia="Times New Roman" w:hAnsi="Arial" w:cs="Arial"/>
          <w:sz w:val="24"/>
          <w:szCs w:val="24"/>
          <w:lang w:eastAsia="en-IN"/>
        </w:rPr>
      </w:pPr>
      <w:r w:rsidRPr="004C540C">
        <w:rPr>
          <w:rFonts w:ascii="Arial" w:eastAsia="Times New Roman" w:hAnsi="Arial" w:cs="Arial"/>
          <w:sz w:val="24"/>
          <w:szCs w:val="24"/>
          <w:lang w:eastAsia="en-IN"/>
        </w:rPr>
        <w:t>Efficiency ratios show how efficiently IHG utilizes and manages its assets in order to create income. For the period 2021 to 2025, IHG has been shown to be efficient, which has been attributed to the success of its asset-light business model. The company has been able to generate more revenues through franchise and management of hotels without necessarily having more assets (InterContinental Hotels Group, 2025).</w:t>
      </w:r>
    </w:p>
    <w:p w14:paraId="0B0F5693" w14:textId="06D92EB7" w:rsidR="008D65C1" w:rsidRPr="004C540C" w:rsidRDefault="008D65C1" w:rsidP="004C540C">
      <w:pPr>
        <w:jc w:val="both"/>
        <w:rPr>
          <w:rFonts w:ascii="Arial" w:hAnsi="Arial" w:cs="Arial"/>
          <w:b/>
          <w:bCs/>
          <w:sz w:val="28"/>
          <w:szCs w:val="28"/>
          <w:lang w:eastAsia="en-IN"/>
        </w:rPr>
      </w:pPr>
      <w:r w:rsidRPr="004C540C">
        <w:rPr>
          <w:rFonts w:ascii="Arial" w:hAnsi="Arial" w:cs="Arial"/>
          <w:b/>
          <w:bCs/>
          <w:sz w:val="28"/>
          <w:szCs w:val="28"/>
          <w:lang w:eastAsia="en-IN"/>
        </w:rPr>
        <w:t>Table</w:t>
      </w:r>
      <w:r w:rsidR="00134E0C" w:rsidRPr="004C540C">
        <w:rPr>
          <w:rFonts w:ascii="Arial" w:hAnsi="Arial" w:cs="Arial"/>
          <w:b/>
          <w:bCs/>
          <w:sz w:val="28"/>
          <w:szCs w:val="28"/>
          <w:lang w:eastAsia="en-IN"/>
        </w:rPr>
        <w:t xml:space="preserve"> 5</w:t>
      </w:r>
      <w:r w:rsidRPr="004C540C">
        <w:rPr>
          <w:rFonts w:ascii="Arial" w:hAnsi="Arial" w:cs="Arial"/>
          <w:b/>
          <w:bCs/>
          <w:sz w:val="28"/>
          <w:szCs w:val="28"/>
          <w:lang w:eastAsia="en-IN"/>
        </w:rPr>
        <w:t xml:space="preserve"> : IHG Efficiency Ratios, 2021–2025</w:t>
      </w:r>
    </w:p>
    <w:tbl>
      <w:tblPr>
        <w:tblStyle w:val="GridTable4-Accent5"/>
        <w:tblW w:w="5000" w:type="pct"/>
        <w:tblLook w:val="04A0" w:firstRow="1" w:lastRow="0" w:firstColumn="1" w:lastColumn="0" w:noHBand="0" w:noVBand="1"/>
      </w:tblPr>
      <w:tblGrid>
        <w:gridCol w:w="4309"/>
        <w:gridCol w:w="999"/>
        <w:gridCol w:w="934"/>
        <w:gridCol w:w="920"/>
        <w:gridCol w:w="934"/>
        <w:gridCol w:w="920"/>
      </w:tblGrid>
      <w:tr w:rsidR="008D65C1" w:rsidRPr="004C540C" w14:paraId="0756B698" w14:textId="77777777" w:rsidTr="00134E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0" w:type="pct"/>
            <w:hideMark/>
          </w:tcPr>
          <w:p w14:paraId="667900D2" w14:textId="77777777" w:rsidR="008D65C1" w:rsidRPr="004C540C" w:rsidRDefault="008D65C1" w:rsidP="004C540C">
            <w:pPr>
              <w:jc w:val="both"/>
              <w:rPr>
                <w:rFonts w:ascii="Arial" w:hAnsi="Arial" w:cs="Arial"/>
                <w:sz w:val="24"/>
                <w:szCs w:val="24"/>
                <w:lang w:eastAsia="en-IN"/>
              </w:rPr>
            </w:pPr>
            <w:r w:rsidRPr="004C540C">
              <w:rPr>
                <w:rFonts w:ascii="Arial" w:hAnsi="Arial" w:cs="Arial"/>
                <w:sz w:val="24"/>
                <w:szCs w:val="24"/>
                <w:lang w:eastAsia="en-IN"/>
              </w:rPr>
              <w:t>Efficiency Measure</w:t>
            </w:r>
          </w:p>
        </w:tc>
        <w:tc>
          <w:tcPr>
            <w:tcW w:w="554" w:type="pct"/>
            <w:hideMark/>
          </w:tcPr>
          <w:p w14:paraId="4B2153B4" w14:textId="77777777" w:rsidR="008D65C1" w:rsidRPr="004C540C" w:rsidRDefault="008D65C1" w:rsidP="004C540C">
            <w:pPr>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eastAsia="en-IN"/>
              </w:rPr>
            </w:pPr>
            <w:r w:rsidRPr="004C540C">
              <w:rPr>
                <w:rFonts w:ascii="Arial" w:hAnsi="Arial" w:cs="Arial"/>
                <w:sz w:val="24"/>
                <w:szCs w:val="24"/>
                <w:lang w:eastAsia="en-IN"/>
              </w:rPr>
              <w:t>2021</w:t>
            </w:r>
          </w:p>
        </w:tc>
        <w:tc>
          <w:tcPr>
            <w:tcW w:w="518" w:type="pct"/>
            <w:hideMark/>
          </w:tcPr>
          <w:p w14:paraId="5894EAF1" w14:textId="77777777" w:rsidR="008D65C1" w:rsidRPr="004C540C" w:rsidRDefault="008D65C1" w:rsidP="004C540C">
            <w:pPr>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eastAsia="en-IN"/>
              </w:rPr>
            </w:pPr>
            <w:r w:rsidRPr="004C540C">
              <w:rPr>
                <w:rFonts w:ascii="Arial" w:hAnsi="Arial" w:cs="Arial"/>
                <w:sz w:val="24"/>
                <w:szCs w:val="24"/>
                <w:lang w:eastAsia="en-IN"/>
              </w:rPr>
              <w:t>2022</w:t>
            </w:r>
          </w:p>
        </w:tc>
        <w:tc>
          <w:tcPr>
            <w:tcW w:w="510" w:type="pct"/>
            <w:hideMark/>
          </w:tcPr>
          <w:p w14:paraId="6406157C" w14:textId="77777777" w:rsidR="008D65C1" w:rsidRPr="004C540C" w:rsidRDefault="008D65C1" w:rsidP="004C540C">
            <w:pPr>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eastAsia="en-IN"/>
              </w:rPr>
            </w:pPr>
            <w:r w:rsidRPr="004C540C">
              <w:rPr>
                <w:rFonts w:ascii="Arial" w:hAnsi="Arial" w:cs="Arial"/>
                <w:sz w:val="24"/>
                <w:szCs w:val="24"/>
                <w:lang w:eastAsia="en-IN"/>
              </w:rPr>
              <w:t>2023</w:t>
            </w:r>
          </w:p>
        </w:tc>
        <w:tc>
          <w:tcPr>
            <w:tcW w:w="518" w:type="pct"/>
            <w:hideMark/>
          </w:tcPr>
          <w:p w14:paraId="58733280" w14:textId="77777777" w:rsidR="008D65C1" w:rsidRPr="004C540C" w:rsidRDefault="008D65C1" w:rsidP="004C540C">
            <w:pPr>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eastAsia="en-IN"/>
              </w:rPr>
            </w:pPr>
            <w:r w:rsidRPr="004C540C">
              <w:rPr>
                <w:rFonts w:ascii="Arial" w:hAnsi="Arial" w:cs="Arial"/>
                <w:sz w:val="24"/>
                <w:szCs w:val="24"/>
                <w:lang w:eastAsia="en-IN"/>
              </w:rPr>
              <w:t>2024</w:t>
            </w:r>
          </w:p>
        </w:tc>
        <w:tc>
          <w:tcPr>
            <w:tcW w:w="510" w:type="pct"/>
            <w:hideMark/>
          </w:tcPr>
          <w:p w14:paraId="56654D63" w14:textId="77777777" w:rsidR="008D65C1" w:rsidRPr="004C540C" w:rsidRDefault="008D65C1" w:rsidP="004C540C">
            <w:pPr>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eastAsia="en-IN"/>
              </w:rPr>
            </w:pPr>
            <w:r w:rsidRPr="004C540C">
              <w:rPr>
                <w:rFonts w:ascii="Arial" w:hAnsi="Arial" w:cs="Arial"/>
                <w:sz w:val="24"/>
                <w:szCs w:val="24"/>
                <w:lang w:eastAsia="en-IN"/>
              </w:rPr>
              <w:t>2025</w:t>
            </w:r>
          </w:p>
        </w:tc>
      </w:tr>
      <w:tr w:rsidR="008D65C1" w:rsidRPr="004C540C" w14:paraId="0A67E229" w14:textId="77777777" w:rsidTr="00134E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0" w:type="pct"/>
            <w:hideMark/>
          </w:tcPr>
          <w:p w14:paraId="24A7A0B7" w14:textId="77777777" w:rsidR="008D65C1" w:rsidRPr="004C540C" w:rsidRDefault="008D65C1" w:rsidP="004C540C">
            <w:pPr>
              <w:jc w:val="both"/>
              <w:rPr>
                <w:rFonts w:ascii="Arial" w:hAnsi="Arial" w:cs="Arial"/>
                <w:sz w:val="24"/>
                <w:szCs w:val="24"/>
                <w:lang w:eastAsia="en-IN"/>
              </w:rPr>
            </w:pPr>
            <w:r w:rsidRPr="004C540C">
              <w:rPr>
                <w:rFonts w:ascii="Arial" w:hAnsi="Arial" w:cs="Arial"/>
                <w:sz w:val="24"/>
                <w:szCs w:val="24"/>
                <w:lang w:eastAsia="en-IN"/>
              </w:rPr>
              <w:t>Asset turnover (times)</w:t>
            </w:r>
          </w:p>
        </w:tc>
        <w:tc>
          <w:tcPr>
            <w:tcW w:w="554" w:type="pct"/>
            <w:hideMark/>
          </w:tcPr>
          <w:p w14:paraId="4DCD487F" w14:textId="77777777" w:rsidR="008D65C1" w:rsidRPr="004C540C" w:rsidRDefault="008D65C1" w:rsidP="004C540C">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eastAsia="en-IN"/>
              </w:rPr>
            </w:pPr>
            <w:r w:rsidRPr="004C540C">
              <w:rPr>
                <w:rFonts w:ascii="Arial" w:hAnsi="Arial" w:cs="Arial"/>
                <w:sz w:val="24"/>
                <w:szCs w:val="24"/>
                <w:lang w:eastAsia="en-IN"/>
              </w:rPr>
              <w:t>0.60</w:t>
            </w:r>
          </w:p>
        </w:tc>
        <w:tc>
          <w:tcPr>
            <w:tcW w:w="518" w:type="pct"/>
            <w:hideMark/>
          </w:tcPr>
          <w:p w14:paraId="57631CEE" w14:textId="77777777" w:rsidR="008D65C1" w:rsidRPr="004C540C" w:rsidRDefault="008D65C1" w:rsidP="004C540C">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eastAsia="en-IN"/>
              </w:rPr>
            </w:pPr>
            <w:r w:rsidRPr="004C540C">
              <w:rPr>
                <w:rFonts w:ascii="Arial" w:hAnsi="Arial" w:cs="Arial"/>
                <w:sz w:val="24"/>
                <w:szCs w:val="24"/>
                <w:lang w:eastAsia="en-IN"/>
              </w:rPr>
              <w:t>0.87</w:t>
            </w:r>
          </w:p>
        </w:tc>
        <w:tc>
          <w:tcPr>
            <w:tcW w:w="510" w:type="pct"/>
            <w:hideMark/>
          </w:tcPr>
          <w:p w14:paraId="1059CCC7" w14:textId="77777777" w:rsidR="008D65C1" w:rsidRPr="004C540C" w:rsidRDefault="008D65C1" w:rsidP="004C540C">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eastAsia="en-IN"/>
              </w:rPr>
            </w:pPr>
            <w:r w:rsidRPr="004C540C">
              <w:rPr>
                <w:rFonts w:ascii="Arial" w:hAnsi="Arial" w:cs="Arial"/>
                <w:sz w:val="24"/>
                <w:szCs w:val="24"/>
                <w:lang w:eastAsia="en-IN"/>
              </w:rPr>
              <w:t>1.03</w:t>
            </w:r>
          </w:p>
        </w:tc>
        <w:tc>
          <w:tcPr>
            <w:tcW w:w="518" w:type="pct"/>
            <w:hideMark/>
          </w:tcPr>
          <w:p w14:paraId="60119A80" w14:textId="77777777" w:rsidR="008D65C1" w:rsidRPr="004C540C" w:rsidRDefault="008D65C1" w:rsidP="004C540C">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eastAsia="en-IN"/>
              </w:rPr>
            </w:pPr>
            <w:r w:rsidRPr="004C540C">
              <w:rPr>
                <w:rFonts w:ascii="Arial" w:hAnsi="Arial" w:cs="Arial"/>
                <w:sz w:val="24"/>
                <w:szCs w:val="24"/>
                <w:lang w:eastAsia="en-IN"/>
              </w:rPr>
              <w:t>1.03</w:t>
            </w:r>
          </w:p>
        </w:tc>
        <w:tc>
          <w:tcPr>
            <w:tcW w:w="510" w:type="pct"/>
            <w:hideMark/>
          </w:tcPr>
          <w:p w14:paraId="1E6100C9" w14:textId="77777777" w:rsidR="008D65C1" w:rsidRPr="004C540C" w:rsidRDefault="008D65C1" w:rsidP="004C540C">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eastAsia="en-IN"/>
              </w:rPr>
            </w:pPr>
            <w:r w:rsidRPr="004C540C">
              <w:rPr>
                <w:rFonts w:ascii="Arial" w:hAnsi="Arial" w:cs="Arial"/>
                <w:sz w:val="24"/>
                <w:szCs w:val="24"/>
                <w:lang w:eastAsia="en-IN"/>
              </w:rPr>
              <w:t>1.02</w:t>
            </w:r>
          </w:p>
        </w:tc>
      </w:tr>
      <w:tr w:rsidR="008D65C1" w:rsidRPr="004C540C" w14:paraId="1CB5CFC1" w14:textId="77777777" w:rsidTr="00134E0C">
        <w:tc>
          <w:tcPr>
            <w:cnfStyle w:val="001000000000" w:firstRow="0" w:lastRow="0" w:firstColumn="1" w:lastColumn="0" w:oddVBand="0" w:evenVBand="0" w:oddHBand="0" w:evenHBand="0" w:firstRowFirstColumn="0" w:firstRowLastColumn="0" w:lastRowFirstColumn="0" w:lastRowLastColumn="0"/>
            <w:tcW w:w="2390" w:type="pct"/>
            <w:hideMark/>
          </w:tcPr>
          <w:p w14:paraId="4E5BE8C7" w14:textId="77777777" w:rsidR="008D65C1" w:rsidRPr="004C540C" w:rsidRDefault="008D65C1" w:rsidP="004C540C">
            <w:pPr>
              <w:jc w:val="both"/>
              <w:rPr>
                <w:rFonts w:ascii="Arial" w:hAnsi="Arial" w:cs="Arial"/>
                <w:sz w:val="24"/>
                <w:szCs w:val="24"/>
                <w:lang w:eastAsia="en-IN"/>
              </w:rPr>
            </w:pPr>
            <w:r w:rsidRPr="004C540C">
              <w:rPr>
                <w:rFonts w:ascii="Arial" w:hAnsi="Arial" w:cs="Arial"/>
                <w:sz w:val="24"/>
                <w:szCs w:val="24"/>
                <w:lang w:eastAsia="en-IN"/>
              </w:rPr>
              <w:t>Receivable days</w:t>
            </w:r>
          </w:p>
        </w:tc>
        <w:tc>
          <w:tcPr>
            <w:tcW w:w="554" w:type="pct"/>
            <w:hideMark/>
          </w:tcPr>
          <w:p w14:paraId="36FE08BD" w14:textId="77777777" w:rsidR="008D65C1" w:rsidRPr="004C540C" w:rsidRDefault="008D65C1" w:rsidP="004C540C">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eastAsia="en-IN"/>
              </w:rPr>
            </w:pPr>
            <w:r w:rsidRPr="004C540C">
              <w:rPr>
                <w:rFonts w:ascii="Arial" w:hAnsi="Arial" w:cs="Arial"/>
                <w:sz w:val="24"/>
                <w:szCs w:val="24"/>
                <w:lang w:eastAsia="en-IN"/>
              </w:rPr>
              <w:t>50.1</w:t>
            </w:r>
          </w:p>
        </w:tc>
        <w:tc>
          <w:tcPr>
            <w:tcW w:w="518" w:type="pct"/>
            <w:hideMark/>
          </w:tcPr>
          <w:p w14:paraId="4AA20A75" w14:textId="77777777" w:rsidR="008D65C1" w:rsidRPr="004C540C" w:rsidRDefault="008D65C1" w:rsidP="004C540C">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eastAsia="en-IN"/>
              </w:rPr>
            </w:pPr>
            <w:r w:rsidRPr="004C540C">
              <w:rPr>
                <w:rFonts w:ascii="Arial" w:hAnsi="Arial" w:cs="Arial"/>
                <w:sz w:val="24"/>
                <w:szCs w:val="24"/>
                <w:lang w:eastAsia="en-IN"/>
              </w:rPr>
              <w:t>46.2</w:t>
            </w:r>
          </w:p>
        </w:tc>
        <w:tc>
          <w:tcPr>
            <w:tcW w:w="510" w:type="pct"/>
            <w:hideMark/>
          </w:tcPr>
          <w:p w14:paraId="45781580" w14:textId="77777777" w:rsidR="008D65C1" w:rsidRPr="004C540C" w:rsidRDefault="008D65C1" w:rsidP="004C540C">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eastAsia="en-IN"/>
              </w:rPr>
            </w:pPr>
            <w:r w:rsidRPr="004C540C">
              <w:rPr>
                <w:rFonts w:ascii="Arial" w:hAnsi="Arial" w:cs="Arial"/>
                <w:sz w:val="24"/>
                <w:szCs w:val="24"/>
                <w:lang w:eastAsia="en-IN"/>
              </w:rPr>
              <w:t>45.8</w:t>
            </w:r>
          </w:p>
        </w:tc>
        <w:tc>
          <w:tcPr>
            <w:tcW w:w="518" w:type="pct"/>
            <w:hideMark/>
          </w:tcPr>
          <w:p w14:paraId="2ADDB807" w14:textId="77777777" w:rsidR="008D65C1" w:rsidRPr="004C540C" w:rsidRDefault="008D65C1" w:rsidP="004C540C">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eastAsia="en-IN"/>
              </w:rPr>
            </w:pPr>
            <w:r w:rsidRPr="004C540C">
              <w:rPr>
                <w:rFonts w:ascii="Arial" w:hAnsi="Arial" w:cs="Arial"/>
                <w:sz w:val="24"/>
                <w:szCs w:val="24"/>
                <w:lang w:eastAsia="en-IN"/>
              </w:rPr>
              <w:t>48.3</w:t>
            </w:r>
          </w:p>
        </w:tc>
        <w:tc>
          <w:tcPr>
            <w:tcW w:w="510" w:type="pct"/>
            <w:hideMark/>
          </w:tcPr>
          <w:p w14:paraId="16E9A6EF" w14:textId="77777777" w:rsidR="008D65C1" w:rsidRPr="004C540C" w:rsidRDefault="008D65C1" w:rsidP="004C540C">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eastAsia="en-IN"/>
              </w:rPr>
            </w:pPr>
            <w:r w:rsidRPr="004C540C">
              <w:rPr>
                <w:rFonts w:ascii="Arial" w:hAnsi="Arial" w:cs="Arial"/>
                <w:sz w:val="24"/>
                <w:szCs w:val="24"/>
                <w:lang w:eastAsia="en-IN"/>
              </w:rPr>
              <w:t>49.1</w:t>
            </w:r>
          </w:p>
        </w:tc>
      </w:tr>
      <w:tr w:rsidR="008D65C1" w:rsidRPr="004C540C" w14:paraId="42748319" w14:textId="77777777" w:rsidTr="00134E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0" w:type="pct"/>
            <w:hideMark/>
          </w:tcPr>
          <w:p w14:paraId="05EFEA0C" w14:textId="77777777" w:rsidR="008D65C1" w:rsidRPr="004C540C" w:rsidRDefault="008D65C1" w:rsidP="004C540C">
            <w:pPr>
              <w:jc w:val="both"/>
              <w:rPr>
                <w:rFonts w:ascii="Arial" w:hAnsi="Arial" w:cs="Arial"/>
                <w:sz w:val="24"/>
                <w:szCs w:val="24"/>
                <w:lang w:eastAsia="en-IN"/>
              </w:rPr>
            </w:pPr>
            <w:r w:rsidRPr="004C540C">
              <w:rPr>
                <w:rFonts w:ascii="Arial" w:hAnsi="Arial" w:cs="Arial"/>
                <w:sz w:val="24"/>
                <w:szCs w:val="24"/>
                <w:lang w:eastAsia="en-IN"/>
              </w:rPr>
              <w:t>Payable days</w:t>
            </w:r>
          </w:p>
        </w:tc>
        <w:tc>
          <w:tcPr>
            <w:tcW w:w="554" w:type="pct"/>
            <w:hideMark/>
          </w:tcPr>
          <w:p w14:paraId="5FF2740C" w14:textId="77777777" w:rsidR="008D65C1" w:rsidRPr="004C540C" w:rsidRDefault="008D65C1" w:rsidP="004C540C">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eastAsia="en-IN"/>
              </w:rPr>
            </w:pPr>
            <w:r w:rsidRPr="004C540C">
              <w:rPr>
                <w:rFonts w:ascii="Arial" w:hAnsi="Arial" w:cs="Arial"/>
                <w:sz w:val="24"/>
                <w:szCs w:val="24"/>
                <w:lang w:eastAsia="en-IN"/>
              </w:rPr>
              <w:t>114.2</w:t>
            </w:r>
          </w:p>
        </w:tc>
        <w:tc>
          <w:tcPr>
            <w:tcW w:w="518" w:type="pct"/>
            <w:hideMark/>
          </w:tcPr>
          <w:p w14:paraId="735AD835" w14:textId="77777777" w:rsidR="008D65C1" w:rsidRPr="004C540C" w:rsidRDefault="008D65C1" w:rsidP="004C540C">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eastAsia="en-IN"/>
              </w:rPr>
            </w:pPr>
            <w:r w:rsidRPr="004C540C">
              <w:rPr>
                <w:rFonts w:ascii="Arial" w:hAnsi="Arial" w:cs="Arial"/>
                <w:sz w:val="24"/>
                <w:szCs w:val="24"/>
                <w:lang w:eastAsia="en-IN"/>
              </w:rPr>
              <w:t>71.5</w:t>
            </w:r>
          </w:p>
        </w:tc>
        <w:tc>
          <w:tcPr>
            <w:tcW w:w="510" w:type="pct"/>
            <w:hideMark/>
          </w:tcPr>
          <w:p w14:paraId="7F256003" w14:textId="77777777" w:rsidR="008D65C1" w:rsidRPr="004C540C" w:rsidRDefault="008D65C1" w:rsidP="004C540C">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eastAsia="en-IN"/>
              </w:rPr>
            </w:pPr>
            <w:r w:rsidRPr="004C540C">
              <w:rPr>
                <w:rFonts w:ascii="Arial" w:hAnsi="Arial" w:cs="Arial"/>
                <w:sz w:val="24"/>
                <w:szCs w:val="24"/>
                <w:lang w:eastAsia="en-IN"/>
              </w:rPr>
              <w:t>54.6</w:t>
            </w:r>
          </w:p>
        </w:tc>
        <w:tc>
          <w:tcPr>
            <w:tcW w:w="518" w:type="pct"/>
            <w:hideMark/>
          </w:tcPr>
          <w:p w14:paraId="57E14F8B" w14:textId="77777777" w:rsidR="008D65C1" w:rsidRPr="004C540C" w:rsidRDefault="008D65C1" w:rsidP="004C540C">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eastAsia="en-IN"/>
              </w:rPr>
            </w:pPr>
            <w:r w:rsidRPr="004C540C">
              <w:rPr>
                <w:rFonts w:ascii="Arial" w:hAnsi="Arial" w:cs="Arial"/>
                <w:sz w:val="24"/>
                <w:szCs w:val="24"/>
                <w:lang w:eastAsia="en-IN"/>
              </w:rPr>
              <w:t>62.2</w:t>
            </w:r>
          </w:p>
        </w:tc>
        <w:tc>
          <w:tcPr>
            <w:tcW w:w="510" w:type="pct"/>
            <w:hideMark/>
          </w:tcPr>
          <w:p w14:paraId="79B57C75" w14:textId="77777777" w:rsidR="008D65C1" w:rsidRPr="004C540C" w:rsidRDefault="008D65C1" w:rsidP="004C540C">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eastAsia="en-IN"/>
              </w:rPr>
            </w:pPr>
            <w:r w:rsidRPr="004C540C">
              <w:rPr>
                <w:rFonts w:ascii="Arial" w:hAnsi="Arial" w:cs="Arial"/>
                <w:sz w:val="24"/>
                <w:szCs w:val="24"/>
                <w:lang w:eastAsia="en-IN"/>
              </w:rPr>
              <w:t>49.2</w:t>
            </w:r>
          </w:p>
        </w:tc>
      </w:tr>
      <w:tr w:rsidR="008D65C1" w:rsidRPr="004C540C" w14:paraId="37807E53" w14:textId="77777777" w:rsidTr="00134E0C">
        <w:tc>
          <w:tcPr>
            <w:cnfStyle w:val="001000000000" w:firstRow="0" w:lastRow="0" w:firstColumn="1" w:lastColumn="0" w:oddVBand="0" w:evenVBand="0" w:oddHBand="0" w:evenHBand="0" w:firstRowFirstColumn="0" w:firstRowLastColumn="0" w:lastRowFirstColumn="0" w:lastRowLastColumn="0"/>
            <w:tcW w:w="2390" w:type="pct"/>
            <w:hideMark/>
          </w:tcPr>
          <w:p w14:paraId="0AD633D2" w14:textId="77777777" w:rsidR="008D65C1" w:rsidRPr="004C540C" w:rsidRDefault="008D65C1" w:rsidP="004C540C">
            <w:pPr>
              <w:jc w:val="both"/>
              <w:rPr>
                <w:rFonts w:ascii="Arial" w:hAnsi="Arial" w:cs="Arial"/>
                <w:sz w:val="24"/>
                <w:szCs w:val="24"/>
                <w:lang w:eastAsia="en-IN"/>
              </w:rPr>
            </w:pPr>
            <w:r w:rsidRPr="004C540C">
              <w:rPr>
                <w:rFonts w:ascii="Arial" w:hAnsi="Arial" w:cs="Arial"/>
                <w:sz w:val="24"/>
                <w:szCs w:val="24"/>
                <w:lang w:eastAsia="en-IN"/>
              </w:rPr>
              <w:t>Inventory days</w:t>
            </w:r>
          </w:p>
        </w:tc>
        <w:tc>
          <w:tcPr>
            <w:tcW w:w="554" w:type="pct"/>
            <w:hideMark/>
          </w:tcPr>
          <w:p w14:paraId="568EBBAE" w14:textId="77777777" w:rsidR="008D65C1" w:rsidRPr="004C540C" w:rsidRDefault="008D65C1" w:rsidP="004C540C">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eastAsia="en-IN"/>
              </w:rPr>
            </w:pPr>
            <w:r w:rsidRPr="004C540C">
              <w:rPr>
                <w:rFonts w:ascii="Arial" w:hAnsi="Arial" w:cs="Arial"/>
                <w:sz w:val="24"/>
                <w:szCs w:val="24"/>
                <w:lang w:eastAsia="en-IN"/>
              </w:rPr>
              <w:t>3.0</w:t>
            </w:r>
          </w:p>
        </w:tc>
        <w:tc>
          <w:tcPr>
            <w:tcW w:w="518" w:type="pct"/>
            <w:hideMark/>
          </w:tcPr>
          <w:p w14:paraId="3CC2EB7C" w14:textId="77777777" w:rsidR="008D65C1" w:rsidRPr="004C540C" w:rsidRDefault="008D65C1" w:rsidP="004C540C">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eastAsia="en-IN"/>
              </w:rPr>
            </w:pPr>
            <w:r w:rsidRPr="004C540C">
              <w:rPr>
                <w:rFonts w:ascii="Arial" w:hAnsi="Arial" w:cs="Arial"/>
                <w:sz w:val="24"/>
                <w:szCs w:val="24"/>
                <w:lang w:eastAsia="en-IN"/>
              </w:rPr>
              <w:t>2.3</w:t>
            </w:r>
          </w:p>
        </w:tc>
        <w:tc>
          <w:tcPr>
            <w:tcW w:w="510" w:type="pct"/>
            <w:hideMark/>
          </w:tcPr>
          <w:p w14:paraId="1CD0D5C1" w14:textId="77777777" w:rsidR="008D65C1" w:rsidRPr="004C540C" w:rsidRDefault="008D65C1" w:rsidP="004C540C">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eastAsia="en-IN"/>
              </w:rPr>
            </w:pPr>
            <w:r w:rsidRPr="004C540C">
              <w:rPr>
                <w:rFonts w:ascii="Arial" w:hAnsi="Arial" w:cs="Arial"/>
                <w:sz w:val="24"/>
                <w:szCs w:val="24"/>
                <w:lang w:eastAsia="en-IN"/>
              </w:rPr>
              <w:t>2.0</w:t>
            </w:r>
          </w:p>
        </w:tc>
        <w:tc>
          <w:tcPr>
            <w:tcW w:w="518" w:type="pct"/>
            <w:hideMark/>
          </w:tcPr>
          <w:p w14:paraId="12A52190" w14:textId="77777777" w:rsidR="008D65C1" w:rsidRPr="004C540C" w:rsidRDefault="008D65C1" w:rsidP="004C540C">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eastAsia="en-IN"/>
              </w:rPr>
            </w:pPr>
            <w:r w:rsidRPr="004C540C">
              <w:rPr>
                <w:rFonts w:ascii="Arial" w:hAnsi="Arial" w:cs="Arial"/>
                <w:sz w:val="24"/>
                <w:szCs w:val="24"/>
                <w:lang w:eastAsia="en-IN"/>
              </w:rPr>
              <w:t>2.0</w:t>
            </w:r>
          </w:p>
        </w:tc>
        <w:tc>
          <w:tcPr>
            <w:tcW w:w="510" w:type="pct"/>
            <w:hideMark/>
          </w:tcPr>
          <w:p w14:paraId="6405399F" w14:textId="77777777" w:rsidR="008D65C1" w:rsidRPr="004C540C" w:rsidRDefault="008D65C1" w:rsidP="004C540C">
            <w:pPr>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eastAsia="en-IN"/>
              </w:rPr>
            </w:pPr>
            <w:r w:rsidRPr="004C540C">
              <w:rPr>
                <w:rFonts w:ascii="Arial" w:hAnsi="Arial" w:cs="Arial"/>
                <w:sz w:val="24"/>
                <w:szCs w:val="24"/>
                <w:lang w:eastAsia="en-IN"/>
              </w:rPr>
              <w:t>2.4</w:t>
            </w:r>
          </w:p>
        </w:tc>
      </w:tr>
      <w:tr w:rsidR="008D65C1" w:rsidRPr="004C540C" w14:paraId="67D4217A" w14:textId="77777777" w:rsidTr="00134E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0" w:type="pct"/>
            <w:hideMark/>
          </w:tcPr>
          <w:p w14:paraId="577B0FC4" w14:textId="77777777" w:rsidR="008D65C1" w:rsidRPr="004C540C" w:rsidRDefault="008D65C1" w:rsidP="004C540C">
            <w:pPr>
              <w:jc w:val="both"/>
              <w:rPr>
                <w:rFonts w:ascii="Arial" w:hAnsi="Arial" w:cs="Arial"/>
                <w:sz w:val="24"/>
                <w:szCs w:val="24"/>
                <w:lang w:eastAsia="en-IN"/>
              </w:rPr>
            </w:pPr>
            <w:r w:rsidRPr="004C540C">
              <w:rPr>
                <w:rFonts w:ascii="Arial" w:hAnsi="Arial" w:cs="Arial"/>
                <w:sz w:val="24"/>
                <w:szCs w:val="24"/>
                <w:lang w:eastAsia="en-IN"/>
              </w:rPr>
              <w:t>Cash conversion cycle (days)</w:t>
            </w:r>
          </w:p>
        </w:tc>
        <w:tc>
          <w:tcPr>
            <w:tcW w:w="554" w:type="pct"/>
            <w:hideMark/>
          </w:tcPr>
          <w:p w14:paraId="2718B556" w14:textId="77777777" w:rsidR="008D65C1" w:rsidRPr="004C540C" w:rsidRDefault="008D65C1" w:rsidP="004C540C">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eastAsia="en-IN"/>
              </w:rPr>
            </w:pPr>
            <w:r w:rsidRPr="004C540C">
              <w:rPr>
                <w:rFonts w:ascii="Arial" w:hAnsi="Arial" w:cs="Arial"/>
                <w:sz w:val="24"/>
                <w:szCs w:val="24"/>
                <w:lang w:eastAsia="en-IN"/>
              </w:rPr>
              <w:t>-61.1</w:t>
            </w:r>
          </w:p>
        </w:tc>
        <w:tc>
          <w:tcPr>
            <w:tcW w:w="518" w:type="pct"/>
            <w:hideMark/>
          </w:tcPr>
          <w:p w14:paraId="79F163A1" w14:textId="77777777" w:rsidR="008D65C1" w:rsidRPr="004C540C" w:rsidRDefault="008D65C1" w:rsidP="004C540C">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eastAsia="en-IN"/>
              </w:rPr>
            </w:pPr>
            <w:r w:rsidRPr="004C540C">
              <w:rPr>
                <w:rFonts w:ascii="Arial" w:hAnsi="Arial" w:cs="Arial"/>
                <w:sz w:val="24"/>
                <w:szCs w:val="24"/>
                <w:lang w:eastAsia="en-IN"/>
              </w:rPr>
              <w:t>-23.0</w:t>
            </w:r>
          </w:p>
        </w:tc>
        <w:tc>
          <w:tcPr>
            <w:tcW w:w="510" w:type="pct"/>
            <w:hideMark/>
          </w:tcPr>
          <w:p w14:paraId="3C880AF4" w14:textId="77777777" w:rsidR="008D65C1" w:rsidRPr="004C540C" w:rsidRDefault="008D65C1" w:rsidP="004C540C">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eastAsia="en-IN"/>
              </w:rPr>
            </w:pPr>
            <w:r w:rsidRPr="004C540C">
              <w:rPr>
                <w:rFonts w:ascii="Arial" w:hAnsi="Arial" w:cs="Arial"/>
                <w:sz w:val="24"/>
                <w:szCs w:val="24"/>
                <w:lang w:eastAsia="en-IN"/>
              </w:rPr>
              <w:t>-6.8</w:t>
            </w:r>
          </w:p>
        </w:tc>
        <w:tc>
          <w:tcPr>
            <w:tcW w:w="518" w:type="pct"/>
            <w:hideMark/>
          </w:tcPr>
          <w:p w14:paraId="4A190908" w14:textId="77777777" w:rsidR="008D65C1" w:rsidRPr="004C540C" w:rsidRDefault="008D65C1" w:rsidP="004C540C">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eastAsia="en-IN"/>
              </w:rPr>
            </w:pPr>
            <w:r w:rsidRPr="004C540C">
              <w:rPr>
                <w:rFonts w:ascii="Arial" w:hAnsi="Arial" w:cs="Arial"/>
                <w:sz w:val="24"/>
                <w:szCs w:val="24"/>
                <w:lang w:eastAsia="en-IN"/>
              </w:rPr>
              <w:t>-11.9</w:t>
            </w:r>
          </w:p>
        </w:tc>
        <w:tc>
          <w:tcPr>
            <w:tcW w:w="510" w:type="pct"/>
            <w:hideMark/>
          </w:tcPr>
          <w:p w14:paraId="3D7C624E" w14:textId="77777777" w:rsidR="008D65C1" w:rsidRPr="004C540C" w:rsidRDefault="008D65C1" w:rsidP="004C540C">
            <w:pPr>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eastAsia="en-IN"/>
              </w:rPr>
            </w:pPr>
            <w:r w:rsidRPr="004C540C">
              <w:rPr>
                <w:rFonts w:ascii="Arial" w:hAnsi="Arial" w:cs="Arial"/>
                <w:sz w:val="24"/>
                <w:szCs w:val="24"/>
                <w:lang w:eastAsia="en-IN"/>
              </w:rPr>
              <w:t>2.3</w:t>
            </w:r>
          </w:p>
        </w:tc>
      </w:tr>
    </w:tbl>
    <w:p w14:paraId="754ADC97" w14:textId="77777777" w:rsidR="008465A3" w:rsidRPr="004C540C" w:rsidRDefault="008465A3" w:rsidP="004C540C">
      <w:pPr>
        <w:jc w:val="both"/>
        <w:rPr>
          <w:rFonts w:ascii="Arial" w:hAnsi="Arial" w:cs="Arial"/>
          <w:sz w:val="24"/>
          <w:szCs w:val="24"/>
          <w:lang w:eastAsia="en-IN"/>
        </w:rPr>
      </w:pPr>
      <w:r w:rsidRPr="004C540C">
        <w:rPr>
          <w:rFonts w:ascii="Arial" w:hAnsi="Arial" w:cs="Arial"/>
          <w:sz w:val="24"/>
          <w:szCs w:val="24"/>
          <w:lang w:eastAsia="en-IN"/>
        </w:rPr>
        <w:t>Source: Computed from IHG Annual Reports and Group Financial Statements, 2021–2025.</w:t>
      </w:r>
    </w:p>
    <w:p w14:paraId="53FD7AED" w14:textId="77777777" w:rsidR="008465A3" w:rsidRPr="004C540C" w:rsidRDefault="008465A3" w:rsidP="004C540C">
      <w:pPr>
        <w:jc w:val="both"/>
        <w:rPr>
          <w:rFonts w:ascii="Arial" w:hAnsi="Arial" w:cs="Arial"/>
          <w:sz w:val="24"/>
          <w:szCs w:val="24"/>
          <w:lang w:eastAsia="en-IN"/>
        </w:rPr>
      </w:pPr>
      <w:r w:rsidRPr="004C540C">
        <w:rPr>
          <w:rFonts w:ascii="Arial" w:hAnsi="Arial" w:cs="Arial"/>
          <w:sz w:val="24"/>
          <w:szCs w:val="24"/>
          <w:lang w:eastAsia="en-IN"/>
        </w:rPr>
        <w:t>There is an increase in asset turnover from 0.60 times in 2021 to 1.02 times in 2025 which shows that IHG was better at revenue generation from the use of the assets. The total revenue rose from $2.9 billion in 2021 to $5.2 billion in 2025, whereas the total assets rose from $4.7 billion to $5.3 billion for the same period of time. Thus, the increase in asset turnover is a result of better revenue generation from the resources used by the company (InterContinental Hotels Group, 2021; InterContinental Hotels Group, 2025).</w:t>
      </w:r>
    </w:p>
    <w:p w14:paraId="0FF0D12F" w14:textId="3E61A97E" w:rsidR="008D65C1" w:rsidRPr="004C540C" w:rsidRDefault="008465A3" w:rsidP="004C540C">
      <w:pPr>
        <w:jc w:val="both"/>
        <w:rPr>
          <w:rFonts w:ascii="Arial" w:hAnsi="Arial" w:cs="Arial"/>
          <w:sz w:val="24"/>
          <w:szCs w:val="24"/>
          <w:lang w:eastAsia="en-IN"/>
        </w:rPr>
      </w:pPr>
      <w:r w:rsidRPr="004C540C">
        <w:rPr>
          <w:rFonts w:ascii="Arial" w:hAnsi="Arial" w:cs="Arial"/>
          <w:sz w:val="24"/>
          <w:szCs w:val="24"/>
          <w:lang w:eastAsia="en-IN"/>
        </w:rPr>
        <w:t>The days receivables remained almost constant and ranged from approximately 45.8 to 50.1 days during the period. Thus, it shows that there is reasonable consistency in collection activities of the company as the trading situation improved. Despite the slight rise in the number of days to 49.1 days in 2025, the company still had its credit controls in place and stated that trade receivables are payable within 30 days, and any overdue balances are tracked under expected credit losses (InterContinental Hotels Group, 2025).</w:t>
      </w:r>
    </w:p>
    <w:p w14:paraId="20F06FD1" w14:textId="77777777" w:rsidR="00D57142" w:rsidRPr="004C540C" w:rsidRDefault="00D57142" w:rsidP="004C540C">
      <w:pPr>
        <w:pStyle w:val="Heading2"/>
        <w:jc w:val="both"/>
        <w:rPr>
          <w:rFonts w:ascii="Arial" w:eastAsiaTheme="minorHAnsi" w:hAnsi="Arial" w:cs="Arial"/>
          <w:b w:val="0"/>
          <w:bCs w:val="0"/>
          <w:sz w:val="24"/>
          <w:szCs w:val="24"/>
        </w:rPr>
      </w:pPr>
      <w:bookmarkStart w:id="20" w:name="_Toc237377451"/>
      <w:bookmarkStart w:id="21" w:name="_Toc237378363"/>
      <w:r w:rsidRPr="004C540C">
        <w:rPr>
          <w:rFonts w:ascii="Arial" w:eastAsiaTheme="minorHAnsi" w:hAnsi="Arial" w:cs="Arial"/>
          <w:b w:val="0"/>
          <w:bCs w:val="0"/>
          <w:sz w:val="24"/>
          <w:szCs w:val="24"/>
        </w:rPr>
        <w:t>Payable days fell sharply from 114.2 days in 2021 to 49.2 days in 2025. The implication here is that the payment period of IHG was shorter in the period, even though this ratio must be taken cautiously since the cost structure of IHG is highly influenced by its asset-light nature and the System Fund and reimbursable activities.</w:t>
      </w:r>
    </w:p>
    <w:p w14:paraId="3E872D7D" w14:textId="2A1CE24D" w:rsidR="00D57142" w:rsidRPr="002121B5" w:rsidRDefault="00D57142" w:rsidP="002121B5">
      <w:pPr>
        <w:pStyle w:val="Heading2"/>
        <w:jc w:val="both"/>
        <w:rPr>
          <w:rFonts w:ascii="Arial" w:hAnsi="Arial" w:cs="Arial"/>
          <w:sz w:val="24"/>
          <w:szCs w:val="24"/>
        </w:rPr>
      </w:pPr>
      <w:r w:rsidRPr="004C540C">
        <w:rPr>
          <w:rFonts w:ascii="Arial" w:eastAsiaTheme="minorHAnsi" w:hAnsi="Arial" w:cs="Arial"/>
          <w:b w:val="0"/>
          <w:bCs w:val="0"/>
          <w:sz w:val="24"/>
          <w:szCs w:val="24"/>
        </w:rPr>
        <w:t>The cash conversion cycle fell from roughly -61 days in 2021 to nearly 2 days in 2025. The negative cash conversion cycle in most of the period shows that the cash inflow of customers preceded operating obligations in most of the periods. The cash conversion cycle in 2025 was approaching zero, showing that this cash conversion cycle advantage was declining. Overall, the efficiency of IHG was relatively high due to efficient asset management, low inventory levels, and good management of receivables and payables</w:t>
      </w:r>
      <w:r w:rsidR="002121B5" w:rsidRPr="002121B5">
        <w:rPr>
          <w:sz w:val="24"/>
          <w:szCs w:val="24"/>
          <w:lang w:bidi="ar-SA"/>
        </w:rPr>
        <w:t xml:space="preserve"> </w:t>
      </w:r>
      <w:r w:rsidR="002121B5" w:rsidRPr="00C06B79">
        <w:rPr>
          <w:rFonts w:ascii="Arial" w:hAnsi="Arial" w:cs="Arial"/>
          <w:b w:val="0"/>
          <w:bCs w:val="0"/>
          <w:sz w:val="24"/>
          <w:szCs w:val="24"/>
        </w:rPr>
        <w:t>(Morgan, n.d.)</w:t>
      </w:r>
      <w:r w:rsidRPr="00C06B79">
        <w:rPr>
          <w:rFonts w:eastAsiaTheme="minorHAnsi"/>
          <w:b w:val="0"/>
          <w:bCs w:val="0"/>
        </w:rPr>
        <w:t>.</w:t>
      </w:r>
    </w:p>
    <w:p w14:paraId="1E4230D4" w14:textId="77777777" w:rsidR="00D57142" w:rsidRPr="004C540C" w:rsidRDefault="00D57142" w:rsidP="004C540C">
      <w:pPr>
        <w:pStyle w:val="Heading2"/>
        <w:jc w:val="both"/>
        <w:rPr>
          <w:rFonts w:ascii="Arial" w:eastAsiaTheme="minorHAnsi" w:hAnsi="Arial" w:cs="Arial"/>
          <w:b w:val="0"/>
          <w:bCs w:val="0"/>
          <w:sz w:val="24"/>
          <w:szCs w:val="24"/>
        </w:rPr>
      </w:pPr>
    </w:p>
    <w:bookmarkEnd w:id="20"/>
    <w:bookmarkEnd w:id="21"/>
    <w:p w14:paraId="76F45807" w14:textId="77777777" w:rsidR="00B95E9C" w:rsidRPr="004C540C" w:rsidRDefault="00B95E9C" w:rsidP="004C540C">
      <w:pPr>
        <w:jc w:val="both"/>
        <w:rPr>
          <w:rStyle w:val="Strong"/>
          <w:rFonts w:ascii="Arial" w:eastAsia="Times New Roman" w:hAnsi="Arial" w:cs="Arial"/>
          <w:sz w:val="28"/>
          <w:szCs w:val="28"/>
          <w:lang w:eastAsia="en-IN"/>
        </w:rPr>
      </w:pPr>
      <w:r w:rsidRPr="004C540C">
        <w:rPr>
          <w:rStyle w:val="Strong"/>
          <w:rFonts w:ascii="Arial" w:eastAsia="Times New Roman" w:hAnsi="Arial" w:cs="Arial"/>
          <w:sz w:val="28"/>
          <w:szCs w:val="28"/>
          <w:lang w:eastAsia="en-IN"/>
        </w:rPr>
        <w:lastRenderedPageBreak/>
        <w:t>1.5 Gearing and Financial Risk</w:t>
      </w:r>
    </w:p>
    <w:p w14:paraId="16E200B4" w14:textId="7E9B21EB" w:rsidR="00B95E9C" w:rsidRPr="004C540C" w:rsidRDefault="00B95E9C" w:rsidP="004C540C">
      <w:pPr>
        <w:jc w:val="both"/>
        <w:rPr>
          <w:rStyle w:val="Strong"/>
          <w:rFonts w:ascii="Arial" w:eastAsia="Times New Roman" w:hAnsi="Arial" w:cs="Arial"/>
          <w:b w:val="0"/>
          <w:bCs w:val="0"/>
          <w:sz w:val="24"/>
          <w:szCs w:val="24"/>
          <w:lang w:eastAsia="en-IN"/>
        </w:rPr>
      </w:pPr>
      <w:r w:rsidRPr="004C540C">
        <w:rPr>
          <w:rStyle w:val="Strong"/>
          <w:rFonts w:ascii="Arial" w:eastAsia="Times New Roman" w:hAnsi="Arial" w:cs="Arial"/>
          <w:b w:val="0"/>
          <w:bCs w:val="0"/>
          <w:sz w:val="24"/>
          <w:szCs w:val="24"/>
          <w:lang w:eastAsia="en-IN"/>
        </w:rPr>
        <w:t>IHG operated on relatively high gearing levels throughout 2021 to 2025. Debt was used by the company for the purpose of generating returns to shareholders, making strategic investments and expanding its business operations. The degree of leverage of the company should be considered within the framework of an asset-light business model, which enables IHG to increase its portfolio of hotels without spending much money on the construction of owned hotels</w:t>
      </w:r>
      <w:r w:rsidR="0014607A" w:rsidRPr="0014607A">
        <w:rPr>
          <w:rFonts w:ascii="Times New Roman" w:eastAsia="Times New Roman" w:hAnsi="Times New Roman" w:cs="Times New Roman"/>
          <w:sz w:val="24"/>
          <w:szCs w:val="24"/>
          <w:lang w:eastAsia="en-IN" w:bidi="ar-SA"/>
        </w:rPr>
        <w:t xml:space="preserve"> </w:t>
      </w:r>
      <w:r w:rsidR="0014607A" w:rsidRPr="0014607A">
        <w:rPr>
          <w:rFonts w:ascii="Arial" w:eastAsia="Times New Roman" w:hAnsi="Arial" w:cs="Arial"/>
          <w:sz w:val="24"/>
          <w:szCs w:val="24"/>
          <w:lang w:eastAsia="en-IN"/>
        </w:rPr>
        <w:t>(</w:t>
      </w:r>
      <w:r w:rsidR="0014607A" w:rsidRPr="0014607A">
        <w:rPr>
          <w:rFonts w:ascii="Arial" w:eastAsia="Times New Roman" w:hAnsi="Arial" w:cs="Arial"/>
          <w:i/>
          <w:iCs/>
          <w:sz w:val="24"/>
          <w:szCs w:val="24"/>
          <w:lang w:eastAsia="en-IN"/>
        </w:rPr>
        <w:t>Annual Report</w:t>
      </w:r>
      <w:r w:rsidR="0014607A" w:rsidRPr="0014607A">
        <w:rPr>
          <w:rFonts w:ascii="Arial" w:eastAsia="Times New Roman" w:hAnsi="Arial" w:cs="Arial"/>
          <w:sz w:val="24"/>
          <w:szCs w:val="24"/>
          <w:lang w:eastAsia="en-IN"/>
        </w:rPr>
        <w:t>, n.d.)</w:t>
      </w:r>
      <w:r w:rsidRPr="004C540C">
        <w:rPr>
          <w:rStyle w:val="Strong"/>
          <w:rFonts w:ascii="Arial" w:eastAsia="Times New Roman" w:hAnsi="Arial" w:cs="Arial"/>
          <w:b w:val="0"/>
          <w:bCs w:val="0"/>
          <w:sz w:val="24"/>
          <w:szCs w:val="24"/>
          <w:lang w:eastAsia="en-IN"/>
        </w:rPr>
        <w:t>.</w:t>
      </w:r>
    </w:p>
    <w:p w14:paraId="7741AC1D" w14:textId="77777777" w:rsidR="00B95E9C" w:rsidRPr="004C540C" w:rsidRDefault="00B95E9C" w:rsidP="004C540C">
      <w:pPr>
        <w:jc w:val="both"/>
        <w:rPr>
          <w:rStyle w:val="Strong"/>
          <w:rFonts w:ascii="Arial" w:eastAsia="Times New Roman" w:hAnsi="Arial" w:cs="Arial"/>
          <w:b w:val="0"/>
          <w:bCs w:val="0"/>
          <w:sz w:val="24"/>
          <w:szCs w:val="24"/>
          <w:lang w:eastAsia="en-IN"/>
        </w:rPr>
      </w:pPr>
      <w:r w:rsidRPr="004C540C">
        <w:rPr>
          <w:rStyle w:val="Strong"/>
          <w:rFonts w:ascii="Arial" w:eastAsia="Times New Roman" w:hAnsi="Arial" w:cs="Arial"/>
          <w:b w:val="0"/>
          <w:bCs w:val="0"/>
          <w:sz w:val="24"/>
          <w:szCs w:val="24"/>
          <w:lang w:eastAsia="en-IN"/>
        </w:rPr>
        <w:t>Table 6: IHG Gearing and Financial Risk, 2021–2025</w:t>
      </w:r>
    </w:p>
    <w:tbl>
      <w:tblPr>
        <w:tblStyle w:val="GridTable4-Accent5"/>
        <w:tblW w:w="5000" w:type="pct"/>
        <w:tblLook w:val="04A0" w:firstRow="1" w:lastRow="0" w:firstColumn="1" w:lastColumn="0" w:noHBand="0" w:noVBand="1"/>
      </w:tblPr>
      <w:tblGrid>
        <w:gridCol w:w="1502"/>
        <w:gridCol w:w="1502"/>
        <w:gridCol w:w="1504"/>
        <w:gridCol w:w="1504"/>
        <w:gridCol w:w="1504"/>
        <w:gridCol w:w="1500"/>
      </w:tblGrid>
      <w:tr w:rsidR="00B95E9C" w:rsidRPr="004C540C" w14:paraId="43F913BD" w14:textId="77777777" w:rsidTr="001C6BA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tcPr>
          <w:p w14:paraId="390C9A21" w14:textId="77777777" w:rsidR="00B95E9C" w:rsidRPr="004C540C" w:rsidRDefault="00B95E9C" w:rsidP="004C540C">
            <w:pPr>
              <w:jc w:val="both"/>
              <w:rPr>
                <w:rStyle w:val="Strong"/>
                <w:rFonts w:ascii="Arial" w:eastAsia="Times New Roman" w:hAnsi="Arial" w:cs="Arial"/>
                <w:b/>
                <w:bCs/>
                <w:sz w:val="24"/>
                <w:szCs w:val="24"/>
                <w:lang w:eastAsia="en-IN"/>
              </w:rPr>
            </w:pPr>
            <w:r w:rsidRPr="004C540C">
              <w:rPr>
                <w:rStyle w:val="Strong"/>
                <w:rFonts w:ascii="Arial" w:eastAsia="Times New Roman" w:hAnsi="Arial" w:cs="Arial"/>
                <w:b/>
                <w:bCs/>
                <w:sz w:val="24"/>
                <w:szCs w:val="24"/>
                <w:lang w:eastAsia="en-IN"/>
              </w:rPr>
              <w:t>Ratio</w:t>
            </w:r>
          </w:p>
        </w:tc>
        <w:tc>
          <w:tcPr>
            <w:tcW w:w="833" w:type="pct"/>
          </w:tcPr>
          <w:p w14:paraId="3381BD74" w14:textId="77777777" w:rsidR="00B95E9C" w:rsidRPr="004C540C" w:rsidRDefault="00B95E9C" w:rsidP="004C540C">
            <w:pPr>
              <w:jc w:val="both"/>
              <w:cnfStyle w:val="100000000000" w:firstRow="1" w:lastRow="0" w:firstColumn="0" w:lastColumn="0" w:oddVBand="0" w:evenVBand="0" w:oddHBand="0" w:evenHBand="0" w:firstRowFirstColumn="0" w:firstRowLastColumn="0" w:lastRowFirstColumn="0" w:lastRowLastColumn="0"/>
              <w:rPr>
                <w:rStyle w:val="Strong"/>
                <w:rFonts w:ascii="Arial" w:eastAsia="Times New Roman" w:hAnsi="Arial" w:cs="Arial"/>
                <w:b/>
                <w:bCs/>
                <w:sz w:val="24"/>
                <w:szCs w:val="24"/>
                <w:lang w:eastAsia="en-IN"/>
              </w:rPr>
            </w:pPr>
            <w:r w:rsidRPr="004C540C">
              <w:rPr>
                <w:rStyle w:val="Strong"/>
                <w:rFonts w:ascii="Arial" w:eastAsia="Times New Roman" w:hAnsi="Arial" w:cs="Arial"/>
                <w:b/>
                <w:bCs/>
                <w:sz w:val="24"/>
                <w:szCs w:val="24"/>
                <w:lang w:eastAsia="en-IN"/>
              </w:rPr>
              <w:t>2021</w:t>
            </w:r>
          </w:p>
        </w:tc>
        <w:tc>
          <w:tcPr>
            <w:tcW w:w="834" w:type="pct"/>
          </w:tcPr>
          <w:p w14:paraId="134DE056" w14:textId="77777777" w:rsidR="00B95E9C" w:rsidRPr="004C540C" w:rsidRDefault="00B95E9C" w:rsidP="004C540C">
            <w:pPr>
              <w:jc w:val="both"/>
              <w:cnfStyle w:val="100000000000" w:firstRow="1" w:lastRow="0" w:firstColumn="0" w:lastColumn="0" w:oddVBand="0" w:evenVBand="0" w:oddHBand="0" w:evenHBand="0" w:firstRowFirstColumn="0" w:firstRowLastColumn="0" w:lastRowFirstColumn="0" w:lastRowLastColumn="0"/>
              <w:rPr>
                <w:rStyle w:val="Strong"/>
                <w:rFonts w:ascii="Arial" w:eastAsia="Times New Roman" w:hAnsi="Arial" w:cs="Arial"/>
                <w:b/>
                <w:bCs/>
                <w:sz w:val="24"/>
                <w:szCs w:val="24"/>
                <w:lang w:eastAsia="en-IN"/>
              </w:rPr>
            </w:pPr>
            <w:r w:rsidRPr="004C540C">
              <w:rPr>
                <w:rStyle w:val="Strong"/>
                <w:rFonts w:ascii="Arial" w:eastAsia="Times New Roman" w:hAnsi="Arial" w:cs="Arial"/>
                <w:b/>
                <w:bCs/>
                <w:sz w:val="24"/>
                <w:szCs w:val="24"/>
                <w:lang w:eastAsia="en-IN"/>
              </w:rPr>
              <w:t>2022</w:t>
            </w:r>
          </w:p>
        </w:tc>
        <w:tc>
          <w:tcPr>
            <w:tcW w:w="834" w:type="pct"/>
          </w:tcPr>
          <w:p w14:paraId="2DA40AE0" w14:textId="77777777" w:rsidR="00B95E9C" w:rsidRPr="004C540C" w:rsidRDefault="00B95E9C" w:rsidP="004C540C">
            <w:pPr>
              <w:jc w:val="both"/>
              <w:cnfStyle w:val="100000000000" w:firstRow="1" w:lastRow="0" w:firstColumn="0" w:lastColumn="0" w:oddVBand="0" w:evenVBand="0" w:oddHBand="0" w:evenHBand="0" w:firstRowFirstColumn="0" w:firstRowLastColumn="0" w:lastRowFirstColumn="0" w:lastRowLastColumn="0"/>
              <w:rPr>
                <w:rStyle w:val="Strong"/>
                <w:rFonts w:ascii="Arial" w:eastAsia="Times New Roman" w:hAnsi="Arial" w:cs="Arial"/>
                <w:b/>
                <w:bCs/>
                <w:sz w:val="24"/>
                <w:szCs w:val="24"/>
                <w:lang w:eastAsia="en-IN"/>
              </w:rPr>
            </w:pPr>
            <w:r w:rsidRPr="004C540C">
              <w:rPr>
                <w:rStyle w:val="Strong"/>
                <w:rFonts w:ascii="Arial" w:eastAsia="Times New Roman" w:hAnsi="Arial" w:cs="Arial"/>
                <w:b/>
                <w:bCs/>
                <w:sz w:val="24"/>
                <w:szCs w:val="24"/>
                <w:lang w:eastAsia="en-IN"/>
              </w:rPr>
              <w:t>2023</w:t>
            </w:r>
          </w:p>
        </w:tc>
        <w:tc>
          <w:tcPr>
            <w:tcW w:w="834" w:type="pct"/>
          </w:tcPr>
          <w:p w14:paraId="0941FFBB" w14:textId="77777777" w:rsidR="00B95E9C" w:rsidRPr="004C540C" w:rsidRDefault="00B95E9C" w:rsidP="004C540C">
            <w:pPr>
              <w:jc w:val="both"/>
              <w:cnfStyle w:val="100000000000" w:firstRow="1" w:lastRow="0" w:firstColumn="0" w:lastColumn="0" w:oddVBand="0" w:evenVBand="0" w:oddHBand="0" w:evenHBand="0" w:firstRowFirstColumn="0" w:firstRowLastColumn="0" w:lastRowFirstColumn="0" w:lastRowLastColumn="0"/>
              <w:rPr>
                <w:rStyle w:val="Strong"/>
                <w:rFonts w:ascii="Arial" w:eastAsia="Times New Roman" w:hAnsi="Arial" w:cs="Arial"/>
                <w:b/>
                <w:bCs/>
                <w:sz w:val="24"/>
                <w:szCs w:val="24"/>
                <w:lang w:eastAsia="en-IN"/>
              </w:rPr>
            </w:pPr>
            <w:r w:rsidRPr="004C540C">
              <w:rPr>
                <w:rStyle w:val="Strong"/>
                <w:rFonts w:ascii="Arial" w:eastAsia="Times New Roman" w:hAnsi="Arial" w:cs="Arial"/>
                <w:b/>
                <w:bCs/>
                <w:sz w:val="24"/>
                <w:szCs w:val="24"/>
                <w:lang w:eastAsia="en-IN"/>
              </w:rPr>
              <w:t>2024</w:t>
            </w:r>
          </w:p>
        </w:tc>
        <w:tc>
          <w:tcPr>
            <w:tcW w:w="834" w:type="pct"/>
          </w:tcPr>
          <w:p w14:paraId="43FC5FEE" w14:textId="77777777" w:rsidR="00B95E9C" w:rsidRPr="004C540C" w:rsidRDefault="00B95E9C" w:rsidP="004C540C">
            <w:pPr>
              <w:jc w:val="both"/>
              <w:cnfStyle w:val="100000000000" w:firstRow="1" w:lastRow="0" w:firstColumn="0" w:lastColumn="0" w:oddVBand="0" w:evenVBand="0" w:oddHBand="0" w:evenHBand="0" w:firstRowFirstColumn="0" w:firstRowLastColumn="0" w:lastRowFirstColumn="0" w:lastRowLastColumn="0"/>
              <w:rPr>
                <w:rStyle w:val="Strong"/>
                <w:rFonts w:ascii="Arial" w:eastAsia="Times New Roman" w:hAnsi="Arial" w:cs="Arial"/>
                <w:b/>
                <w:bCs/>
                <w:sz w:val="24"/>
                <w:szCs w:val="24"/>
                <w:lang w:eastAsia="en-IN"/>
              </w:rPr>
            </w:pPr>
            <w:r w:rsidRPr="004C540C">
              <w:rPr>
                <w:rStyle w:val="Strong"/>
                <w:rFonts w:ascii="Arial" w:eastAsia="Times New Roman" w:hAnsi="Arial" w:cs="Arial"/>
                <w:b/>
                <w:bCs/>
                <w:sz w:val="24"/>
                <w:szCs w:val="24"/>
                <w:lang w:eastAsia="en-IN"/>
              </w:rPr>
              <w:t>2025</w:t>
            </w:r>
          </w:p>
        </w:tc>
      </w:tr>
      <w:tr w:rsidR="00B95E9C" w:rsidRPr="004C540C" w14:paraId="5C8F14D9" w14:textId="77777777" w:rsidTr="001C6B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tcPr>
          <w:p w14:paraId="4577112D" w14:textId="77777777" w:rsidR="00B95E9C" w:rsidRPr="004C540C" w:rsidRDefault="00B95E9C" w:rsidP="004C540C">
            <w:pPr>
              <w:jc w:val="both"/>
              <w:rPr>
                <w:rStyle w:val="Strong"/>
                <w:rFonts w:ascii="Arial" w:eastAsia="Times New Roman" w:hAnsi="Arial" w:cs="Arial"/>
                <w:b/>
                <w:bCs/>
                <w:sz w:val="24"/>
                <w:szCs w:val="24"/>
                <w:lang w:eastAsia="en-IN"/>
              </w:rPr>
            </w:pPr>
            <w:r w:rsidRPr="004C540C">
              <w:rPr>
                <w:rStyle w:val="Strong"/>
                <w:rFonts w:ascii="Arial" w:eastAsia="Times New Roman" w:hAnsi="Arial" w:cs="Arial"/>
                <w:b/>
                <w:bCs/>
                <w:sz w:val="24"/>
                <w:szCs w:val="24"/>
                <w:lang w:eastAsia="en-IN"/>
              </w:rPr>
              <w:t>Net debt ($m)</w:t>
            </w:r>
          </w:p>
        </w:tc>
        <w:tc>
          <w:tcPr>
            <w:tcW w:w="833" w:type="pct"/>
          </w:tcPr>
          <w:p w14:paraId="03DACB2F" w14:textId="77777777" w:rsidR="00B95E9C" w:rsidRPr="004C540C" w:rsidRDefault="00B95E9C" w:rsidP="004C540C">
            <w:pPr>
              <w:jc w:val="both"/>
              <w:cnfStyle w:val="000000100000" w:firstRow="0" w:lastRow="0" w:firstColumn="0" w:lastColumn="0" w:oddVBand="0" w:evenVBand="0" w:oddHBand="1" w:evenHBand="0" w:firstRowFirstColumn="0" w:firstRowLastColumn="0" w:lastRowFirstColumn="0" w:lastRowLastColumn="0"/>
              <w:rPr>
                <w:rStyle w:val="Strong"/>
                <w:rFonts w:ascii="Arial" w:eastAsia="Times New Roman" w:hAnsi="Arial" w:cs="Arial"/>
                <w:b w:val="0"/>
                <w:bCs w:val="0"/>
                <w:sz w:val="24"/>
                <w:szCs w:val="24"/>
                <w:lang w:eastAsia="en-IN"/>
              </w:rPr>
            </w:pPr>
            <w:r w:rsidRPr="004C540C">
              <w:rPr>
                <w:rStyle w:val="Strong"/>
                <w:rFonts w:ascii="Arial" w:eastAsia="Times New Roman" w:hAnsi="Arial" w:cs="Arial"/>
                <w:b w:val="0"/>
                <w:bCs w:val="0"/>
                <w:sz w:val="24"/>
                <w:szCs w:val="24"/>
                <w:lang w:eastAsia="en-IN"/>
              </w:rPr>
              <w:t>1,881</w:t>
            </w:r>
          </w:p>
        </w:tc>
        <w:tc>
          <w:tcPr>
            <w:tcW w:w="834" w:type="pct"/>
          </w:tcPr>
          <w:p w14:paraId="7BB189C3" w14:textId="77777777" w:rsidR="00B95E9C" w:rsidRPr="004C540C" w:rsidRDefault="00B95E9C" w:rsidP="004C540C">
            <w:pPr>
              <w:jc w:val="both"/>
              <w:cnfStyle w:val="000000100000" w:firstRow="0" w:lastRow="0" w:firstColumn="0" w:lastColumn="0" w:oddVBand="0" w:evenVBand="0" w:oddHBand="1" w:evenHBand="0" w:firstRowFirstColumn="0" w:firstRowLastColumn="0" w:lastRowFirstColumn="0" w:lastRowLastColumn="0"/>
              <w:rPr>
                <w:rStyle w:val="Strong"/>
                <w:rFonts w:ascii="Arial" w:eastAsia="Times New Roman" w:hAnsi="Arial" w:cs="Arial"/>
                <w:b w:val="0"/>
                <w:bCs w:val="0"/>
                <w:sz w:val="24"/>
                <w:szCs w:val="24"/>
                <w:lang w:eastAsia="en-IN"/>
              </w:rPr>
            </w:pPr>
            <w:r w:rsidRPr="004C540C">
              <w:rPr>
                <w:rStyle w:val="Strong"/>
                <w:rFonts w:ascii="Arial" w:eastAsia="Times New Roman" w:hAnsi="Arial" w:cs="Arial"/>
                <w:b w:val="0"/>
                <w:bCs w:val="0"/>
                <w:sz w:val="24"/>
                <w:szCs w:val="24"/>
                <w:lang w:eastAsia="en-IN"/>
              </w:rPr>
              <w:t>1,851</w:t>
            </w:r>
          </w:p>
        </w:tc>
        <w:tc>
          <w:tcPr>
            <w:tcW w:w="834" w:type="pct"/>
          </w:tcPr>
          <w:p w14:paraId="64FEE6D0" w14:textId="77777777" w:rsidR="00B95E9C" w:rsidRPr="004C540C" w:rsidRDefault="00B95E9C" w:rsidP="004C540C">
            <w:pPr>
              <w:jc w:val="both"/>
              <w:cnfStyle w:val="000000100000" w:firstRow="0" w:lastRow="0" w:firstColumn="0" w:lastColumn="0" w:oddVBand="0" w:evenVBand="0" w:oddHBand="1" w:evenHBand="0" w:firstRowFirstColumn="0" w:firstRowLastColumn="0" w:lastRowFirstColumn="0" w:lastRowLastColumn="0"/>
              <w:rPr>
                <w:rStyle w:val="Strong"/>
                <w:rFonts w:ascii="Arial" w:eastAsia="Times New Roman" w:hAnsi="Arial" w:cs="Arial"/>
                <w:b w:val="0"/>
                <w:bCs w:val="0"/>
                <w:sz w:val="24"/>
                <w:szCs w:val="24"/>
                <w:lang w:eastAsia="en-IN"/>
              </w:rPr>
            </w:pPr>
            <w:r w:rsidRPr="004C540C">
              <w:rPr>
                <w:rStyle w:val="Strong"/>
                <w:rFonts w:ascii="Arial" w:eastAsia="Times New Roman" w:hAnsi="Arial" w:cs="Arial"/>
                <w:b w:val="0"/>
                <w:bCs w:val="0"/>
                <w:sz w:val="24"/>
                <w:szCs w:val="24"/>
                <w:lang w:eastAsia="en-IN"/>
              </w:rPr>
              <w:t>2,272</w:t>
            </w:r>
          </w:p>
        </w:tc>
        <w:tc>
          <w:tcPr>
            <w:tcW w:w="834" w:type="pct"/>
          </w:tcPr>
          <w:p w14:paraId="21E9A5D6" w14:textId="77777777" w:rsidR="00B95E9C" w:rsidRPr="004C540C" w:rsidRDefault="00B95E9C" w:rsidP="004C540C">
            <w:pPr>
              <w:jc w:val="both"/>
              <w:cnfStyle w:val="000000100000" w:firstRow="0" w:lastRow="0" w:firstColumn="0" w:lastColumn="0" w:oddVBand="0" w:evenVBand="0" w:oddHBand="1" w:evenHBand="0" w:firstRowFirstColumn="0" w:firstRowLastColumn="0" w:lastRowFirstColumn="0" w:lastRowLastColumn="0"/>
              <w:rPr>
                <w:rStyle w:val="Strong"/>
                <w:rFonts w:ascii="Arial" w:eastAsia="Times New Roman" w:hAnsi="Arial" w:cs="Arial"/>
                <w:b w:val="0"/>
                <w:bCs w:val="0"/>
                <w:sz w:val="24"/>
                <w:szCs w:val="24"/>
                <w:lang w:eastAsia="en-IN"/>
              </w:rPr>
            </w:pPr>
            <w:r w:rsidRPr="004C540C">
              <w:rPr>
                <w:rStyle w:val="Strong"/>
                <w:rFonts w:ascii="Arial" w:eastAsia="Times New Roman" w:hAnsi="Arial" w:cs="Arial"/>
                <w:b w:val="0"/>
                <w:bCs w:val="0"/>
                <w:sz w:val="24"/>
                <w:szCs w:val="24"/>
                <w:lang w:eastAsia="en-IN"/>
              </w:rPr>
              <w:t>2,782</w:t>
            </w:r>
          </w:p>
        </w:tc>
        <w:tc>
          <w:tcPr>
            <w:tcW w:w="834" w:type="pct"/>
          </w:tcPr>
          <w:p w14:paraId="1B8BC847" w14:textId="77777777" w:rsidR="00B95E9C" w:rsidRPr="004C540C" w:rsidRDefault="00B95E9C" w:rsidP="004C540C">
            <w:pPr>
              <w:jc w:val="both"/>
              <w:cnfStyle w:val="000000100000" w:firstRow="0" w:lastRow="0" w:firstColumn="0" w:lastColumn="0" w:oddVBand="0" w:evenVBand="0" w:oddHBand="1" w:evenHBand="0" w:firstRowFirstColumn="0" w:firstRowLastColumn="0" w:lastRowFirstColumn="0" w:lastRowLastColumn="0"/>
              <w:rPr>
                <w:rStyle w:val="Strong"/>
                <w:rFonts w:ascii="Arial" w:eastAsia="Times New Roman" w:hAnsi="Arial" w:cs="Arial"/>
                <w:b w:val="0"/>
                <w:bCs w:val="0"/>
                <w:sz w:val="24"/>
                <w:szCs w:val="24"/>
                <w:lang w:eastAsia="en-IN"/>
              </w:rPr>
            </w:pPr>
            <w:r w:rsidRPr="004C540C">
              <w:rPr>
                <w:rStyle w:val="Strong"/>
                <w:rFonts w:ascii="Arial" w:eastAsia="Times New Roman" w:hAnsi="Arial" w:cs="Arial"/>
                <w:b w:val="0"/>
                <w:bCs w:val="0"/>
                <w:sz w:val="24"/>
                <w:szCs w:val="24"/>
                <w:lang w:eastAsia="en-IN"/>
              </w:rPr>
              <w:t>3,333</w:t>
            </w:r>
          </w:p>
        </w:tc>
      </w:tr>
      <w:tr w:rsidR="00B95E9C" w:rsidRPr="004C540C" w14:paraId="3D811A91" w14:textId="77777777" w:rsidTr="001C6BA0">
        <w:tc>
          <w:tcPr>
            <w:cnfStyle w:val="001000000000" w:firstRow="0" w:lastRow="0" w:firstColumn="1" w:lastColumn="0" w:oddVBand="0" w:evenVBand="0" w:oddHBand="0" w:evenHBand="0" w:firstRowFirstColumn="0" w:firstRowLastColumn="0" w:lastRowFirstColumn="0" w:lastRowLastColumn="0"/>
            <w:tcW w:w="833" w:type="pct"/>
          </w:tcPr>
          <w:p w14:paraId="781FA67D" w14:textId="77777777" w:rsidR="00B95E9C" w:rsidRPr="004C540C" w:rsidRDefault="00B95E9C" w:rsidP="004C540C">
            <w:pPr>
              <w:jc w:val="both"/>
              <w:rPr>
                <w:rStyle w:val="Strong"/>
                <w:rFonts w:ascii="Arial" w:eastAsia="Times New Roman" w:hAnsi="Arial" w:cs="Arial"/>
                <w:b/>
                <w:bCs/>
                <w:sz w:val="24"/>
                <w:szCs w:val="24"/>
                <w:lang w:eastAsia="en-IN"/>
              </w:rPr>
            </w:pPr>
            <w:r w:rsidRPr="004C540C">
              <w:rPr>
                <w:rStyle w:val="Strong"/>
                <w:rFonts w:ascii="Arial" w:eastAsia="Times New Roman" w:hAnsi="Arial" w:cs="Arial"/>
                <w:b/>
                <w:bCs/>
                <w:sz w:val="24"/>
                <w:szCs w:val="24"/>
                <w:lang w:eastAsia="en-IN"/>
              </w:rPr>
              <w:t>Adjusted EBITDA ($m)</w:t>
            </w:r>
          </w:p>
        </w:tc>
        <w:tc>
          <w:tcPr>
            <w:tcW w:w="833" w:type="pct"/>
          </w:tcPr>
          <w:p w14:paraId="71430B8F" w14:textId="77777777" w:rsidR="00B95E9C" w:rsidRPr="004C540C" w:rsidRDefault="00B95E9C" w:rsidP="004C540C">
            <w:pPr>
              <w:jc w:val="both"/>
              <w:cnfStyle w:val="000000000000" w:firstRow="0" w:lastRow="0" w:firstColumn="0" w:lastColumn="0" w:oddVBand="0" w:evenVBand="0" w:oddHBand="0" w:evenHBand="0" w:firstRowFirstColumn="0" w:firstRowLastColumn="0" w:lastRowFirstColumn="0" w:lastRowLastColumn="0"/>
              <w:rPr>
                <w:rStyle w:val="Strong"/>
                <w:rFonts w:ascii="Arial" w:eastAsia="Times New Roman" w:hAnsi="Arial" w:cs="Arial"/>
                <w:b w:val="0"/>
                <w:bCs w:val="0"/>
                <w:sz w:val="24"/>
                <w:szCs w:val="24"/>
                <w:lang w:eastAsia="en-IN"/>
              </w:rPr>
            </w:pPr>
            <w:r w:rsidRPr="004C540C">
              <w:rPr>
                <w:rStyle w:val="Strong"/>
                <w:rFonts w:ascii="Arial" w:eastAsia="Times New Roman" w:hAnsi="Arial" w:cs="Arial"/>
                <w:b w:val="0"/>
                <w:bCs w:val="0"/>
                <w:sz w:val="24"/>
                <w:szCs w:val="24"/>
                <w:lang w:eastAsia="en-IN"/>
              </w:rPr>
              <w:t>—</w:t>
            </w:r>
          </w:p>
        </w:tc>
        <w:tc>
          <w:tcPr>
            <w:tcW w:w="834" w:type="pct"/>
          </w:tcPr>
          <w:p w14:paraId="341F5A6C" w14:textId="77777777" w:rsidR="00B95E9C" w:rsidRPr="004C540C" w:rsidRDefault="00B95E9C" w:rsidP="004C540C">
            <w:pPr>
              <w:jc w:val="both"/>
              <w:cnfStyle w:val="000000000000" w:firstRow="0" w:lastRow="0" w:firstColumn="0" w:lastColumn="0" w:oddVBand="0" w:evenVBand="0" w:oddHBand="0" w:evenHBand="0" w:firstRowFirstColumn="0" w:firstRowLastColumn="0" w:lastRowFirstColumn="0" w:lastRowLastColumn="0"/>
              <w:rPr>
                <w:rStyle w:val="Strong"/>
                <w:rFonts w:ascii="Arial" w:eastAsia="Times New Roman" w:hAnsi="Arial" w:cs="Arial"/>
                <w:b w:val="0"/>
                <w:bCs w:val="0"/>
                <w:sz w:val="24"/>
                <w:szCs w:val="24"/>
                <w:lang w:eastAsia="en-IN"/>
              </w:rPr>
            </w:pPr>
            <w:r w:rsidRPr="004C540C">
              <w:rPr>
                <w:rStyle w:val="Strong"/>
                <w:rFonts w:ascii="Arial" w:eastAsia="Times New Roman" w:hAnsi="Arial" w:cs="Arial"/>
                <w:b w:val="0"/>
                <w:bCs w:val="0"/>
                <w:sz w:val="24"/>
                <w:szCs w:val="24"/>
                <w:lang w:eastAsia="en-IN"/>
              </w:rPr>
              <w:t>896</w:t>
            </w:r>
          </w:p>
        </w:tc>
        <w:tc>
          <w:tcPr>
            <w:tcW w:w="834" w:type="pct"/>
          </w:tcPr>
          <w:p w14:paraId="31DCA33F" w14:textId="77777777" w:rsidR="00B95E9C" w:rsidRPr="004C540C" w:rsidRDefault="00B95E9C" w:rsidP="004C540C">
            <w:pPr>
              <w:jc w:val="both"/>
              <w:cnfStyle w:val="000000000000" w:firstRow="0" w:lastRow="0" w:firstColumn="0" w:lastColumn="0" w:oddVBand="0" w:evenVBand="0" w:oddHBand="0" w:evenHBand="0" w:firstRowFirstColumn="0" w:firstRowLastColumn="0" w:lastRowFirstColumn="0" w:lastRowLastColumn="0"/>
              <w:rPr>
                <w:rStyle w:val="Strong"/>
                <w:rFonts w:ascii="Arial" w:eastAsia="Times New Roman" w:hAnsi="Arial" w:cs="Arial"/>
                <w:b w:val="0"/>
                <w:bCs w:val="0"/>
                <w:sz w:val="24"/>
                <w:szCs w:val="24"/>
                <w:lang w:eastAsia="en-IN"/>
              </w:rPr>
            </w:pPr>
            <w:r w:rsidRPr="004C540C">
              <w:rPr>
                <w:rStyle w:val="Strong"/>
                <w:rFonts w:ascii="Arial" w:eastAsia="Times New Roman" w:hAnsi="Arial" w:cs="Arial"/>
                <w:b w:val="0"/>
                <w:bCs w:val="0"/>
                <w:sz w:val="24"/>
                <w:szCs w:val="24"/>
                <w:lang w:eastAsia="en-IN"/>
              </w:rPr>
              <w:t>1,086</w:t>
            </w:r>
          </w:p>
        </w:tc>
        <w:tc>
          <w:tcPr>
            <w:tcW w:w="834" w:type="pct"/>
          </w:tcPr>
          <w:p w14:paraId="786F82B2" w14:textId="77777777" w:rsidR="00B95E9C" w:rsidRPr="004C540C" w:rsidRDefault="00B95E9C" w:rsidP="004C540C">
            <w:pPr>
              <w:jc w:val="both"/>
              <w:cnfStyle w:val="000000000000" w:firstRow="0" w:lastRow="0" w:firstColumn="0" w:lastColumn="0" w:oddVBand="0" w:evenVBand="0" w:oddHBand="0" w:evenHBand="0" w:firstRowFirstColumn="0" w:firstRowLastColumn="0" w:lastRowFirstColumn="0" w:lastRowLastColumn="0"/>
              <w:rPr>
                <w:rStyle w:val="Strong"/>
                <w:rFonts w:ascii="Arial" w:eastAsia="Times New Roman" w:hAnsi="Arial" w:cs="Arial"/>
                <w:b w:val="0"/>
                <w:bCs w:val="0"/>
                <w:sz w:val="24"/>
                <w:szCs w:val="24"/>
                <w:lang w:eastAsia="en-IN"/>
              </w:rPr>
            </w:pPr>
            <w:r w:rsidRPr="004C540C">
              <w:rPr>
                <w:rStyle w:val="Strong"/>
                <w:rFonts w:ascii="Arial" w:eastAsia="Times New Roman" w:hAnsi="Arial" w:cs="Arial"/>
                <w:b w:val="0"/>
                <w:bCs w:val="0"/>
                <w:sz w:val="24"/>
                <w:szCs w:val="24"/>
                <w:lang w:eastAsia="en-IN"/>
              </w:rPr>
              <w:t>1,189</w:t>
            </w:r>
          </w:p>
        </w:tc>
        <w:tc>
          <w:tcPr>
            <w:tcW w:w="834" w:type="pct"/>
          </w:tcPr>
          <w:p w14:paraId="68F5EC8F" w14:textId="77777777" w:rsidR="00B95E9C" w:rsidRPr="004C540C" w:rsidRDefault="00B95E9C" w:rsidP="004C540C">
            <w:pPr>
              <w:jc w:val="both"/>
              <w:cnfStyle w:val="000000000000" w:firstRow="0" w:lastRow="0" w:firstColumn="0" w:lastColumn="0" w:oddVBand="0" w:evenVBand="0" w:oddHBand="0" w:evenHBand="0" w:firstRowFirstColumn="0" w:firstRowLastColumn="0" w:lastRowFirstColumn="0" w:lastRowLastColumn="0"/>
              <w:rPr>
                <w:rStyle w:val="Strong"/>
                <w:rFonts w:ascii="Arial" w:eastAsia="Times New Roman" w:hAnsi="Arial" w:cs="Arial"/>
                <w:b w:val="0"/>
                <w:bCs w:val="0"/>
                <w:sz w:val="24"/>
                <w:szCs w:val="24"/>
                <w:lang w:eastAsia="en-IN"/>
              </w:rPr>
            </w:pPr>
            <w:r w:rsidRPr="004C540C">
              <w:rPr>
                <w:rStyle w:val="Strong"/>
                <w:rFonts w:ascii="Arial" w:eastAsia="Times New Roman" w:hAnsi="Arial" w:cs="Arial"/>
                <w:b w:val="0"/>
                <w:bCs w:val="0"/>
                <w:sz w:val="24"/>
                <w:szCs w:val="24"/>
                <w:lang w:eastAsia="en-IN"/>
              </w:rPr>
              <w:t>1,332</w:t>
            </w:r>
          </w:p>
        </w:tc>
      </w:tr>
      <w:tr w:rsidR="00B95E9C" w:rsidRPr="004C540C" w14:paraId="1753EB58" w14:textId="77777777" w:rsidTr="001C6B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tcPr>
          <w:p w14:paraId="1CE506BE" w14:textId="77777777" w:rsidR="00B95E9C" w:rsidRPr="004C540C" w:rsidRDefault="00B95E9C" w:rsidP="004C540C">
            <w:pPr>
              <w:jc w:val="both"/>
              <w:rPr>
                <w:rStyle w:val="Strong"/>
                <w:rFonts w:ascii="Arial" w:eastAsia="Times New Roman" w:hAnsi="Arial" w:cs="Arial"/>
                <w:b/>
                <w:bCs/>
                <w:sz w:val="24"/>
                <w:szCs w:val="24"/>
                <w:lang w:eastAsia="en-IN"/>
              </w:rPr>
            </w:pPr>
            <w:r w:rsidRPr="004C540C">
              <w:rPr>
                <w:rStyle w:val="Strong"/>
                <w:rFonts w:ascii="Arial" w:eastAsia="Times New Roman" w:hAnsi="Arial" w:cs="Arial"/>
                <w:b/>
                <w:bCs/>
                <w:sz w:val="24"/>
                <w:szCs w:val="24"/>
                <w:lang w:eastAsia="en-IN"/>
              </w:rPr>
              <w:t>Net debt / Adjusted EBITDA</w:t>
            </w:r>
          </w:p>
        </w:tc>
        <w:tc>
          <w:tcPr>
            <w:tcW w:w="833" w:type="pct"/>
          </w:tcPr>
          <w:p w14:paraId="1940673D" w14:textId="77777777" w:rsidR="00B95E9C" w:rsidRPr="004C540C" w:rsidRDefault="00B95E9C" w:rsidP="004C540C">
            <w:pPr>
              <w:jc w:val="both"/>
              <w:cnfStyle w:val="000000100000" w:firstRow="0" w:lastRow="0" w:firstColumn="0" w:lastColumn="0" w:oddVBand="0" w:evenVBand="0" w:oddHBand="1" w:evenHBand="0" w:firstRowFirstColumn="0" w:firstRowLastColumn="0" w:lastRowFirstColumn="0" w:lastRowLastColumn="0"/>
              <w:rPr>
                <w:rStyle w:val="Strong"/>
                <w:rFonts w:ascii="Arial" w:eastAsia="Times New Roman" w:hAnsi="Arial" w:cs="Arial"/>
                <w:b w:val="0"/>
                <w:bCs w:val="0"/>
                <w:sz w:val="24"/>
                <w:szCs w:val="24"/>
                <w:lang w:eastAsia="en-IN"/>
              </w:rPr>
            </w:pPr>
            <w:r w:rsidRPr="004C540C">
              <w:rPr>
                <w:rStyle w:val="Strong"/>
                <w:rFonts w:ascii="Arial" w:eastAsia="Times New Roman" w:hAnsi="Arial" w:cs="Arial"/>
                <w:b w:val="0"/>
                <w:bCs w:val="0"/>
                <w:sz w:val="24"/>
                <w:szCs w:val="24"/>
                <w:lang w:eastAsia="en-IN"/>
              </w:rPr>
              <w:t>—</w:t>
            </w:r>
          </w:p>
        </w:tc>
        <w:tc>
          <w:tcPr>
            <w:tcW w:w="834" w:type="pct"/>
          </w:tcPr>
          <w:p w14:paraId="56C55C2F" w14:textId="77777777" w:rsidR="00B95E9C" w:rsidRPr="004C540C" w:rsidRDefault="00B95E9C" w:rsidP="004C540C">
            <w:pPr>
              <w:jc w:val="both"/>
              <w:cnfStyle w:val="000000100000" w:firstRow="0" w:lastRow="0" w:firstColumn="0" w:lastColumn="0" w:oddVBand="0" w:evenVBand="0" w:oddHBand="1" w:evenHBand="0" w:firstRowFirstColumn="0" w:firstRowLastColumn="0" w:lastRowFirstColumn="0" w:lastRowLastColumn="0"/>
              <w:rPr>
                <w:rStyle w:val="Strong"/>
                <w:rFonts w:ascii="Arial" w:eastAsia="Times New Roman" w:hAnsi="Arial" w:cs="Arial"/>
                <w:b w:val="0"/>
                <w:bCs w:val="0"/>
                <w:sz w:val="24"/>
                <w:szCs w:val="24"/>
                <w:lang w:eastAsia="en-IN"/>
              </w:rPr>
            </w:pPr>
            <w:r w:rsidRPr="004C540C">
              <w:rPr>
                <w:rStyle w:val="Strong"/>
                <w:rFonts w:ascii="Arial" w:eastAsia="Times New Roman" w:hAnsi="Arial" w:cs="Arial"/>
                <w:b w:val="0"/>
                <w:bCs w:val="0"/>
                <w:sz w:val="24"/>
                <w:szCs w:val="24"/>
                <w:lang w:eastAsia="en-IN"/>
              </w:rPr>
              <w:t>2.1x</w:t>
            </w:r>
          </w:p>
        </w:tc>
        <w:tc>
          <w:tcPr>
            <w:tcW w:w="834" w:type="pct"/>
          </w:tcPr>
          <w:p w14:paraId="6C6E6CC9" w14:textId="77777777" w:rsidR="00B95E9C" w:rsidRPr="004C540C" w:rsidRDefault="00B95E9C" w:rsidP="004C540C">
            <w:pPr>
              <w:jc w:val="both"/>
              <w:cnfStyle w:val="000000100000" w:firstRow="0" w:lastRow="0" w:firstColumn="0" w:lastColumn="0" w:oddVBand="0" w:evenVBand="0" w:oddHBand="1" w:evenHBand="0" w:firstRowFirstColumn="0" w:firstRowLastColumn="0" w:lastRowFirstColumn="0" w:lastRowLastColumn="0"/>
              <w:rPr>
                <w:rStyle w:val="Strong"/>
                <w:rFonts w:ascii="Arial" w:eastAsia="Times New Roman" w:hAnsi="Arial" w:cs="Arial"/>
                <w:b w:val="0"/>
                <w:bCs w:val="0"/>
                <w:sz w:val="24"/>
                <w:szCs w:val="24"/>
                <w:lang w:eastAsia="en-IN"/>
              </w:rPr>
            </w:pPr>
            <w:r w:rsidRPr="004C540C">
              <w:rPr>
                <w:rStyle w:val="Strong"/>
                <w:rFonts w:ascii="Arial" w:eastAsia="Times New Roman" w:hAnsi="Arial" w:cs="Arial"/>
                <w:b w:val="0"/>
                <w:bCs w:val="0"/>
                <w:sz w:val="24"/>
                <w:szCs w:val="24"/>
                <w:lang w:eastAsia="en-IN"/>
              </w:rPr>
              <w:t>2.1x</w:t>
            </w:r>
          </w:p>
        </w:tc>
        <w:tc>
          <w:tcPr>
            <w:tcW w:w="834" w:type="pct"/>
          </w:tcPr>
          <w:p w14:paraId="63504292" w14:textId="77777777" w:rsidR="00B95E9C" w:rsidRPr="004C540C" w:rsidRDefault="00B95E9C" w:rsidP="004C540C">
            <w:pPr>
              <w:jc w:val="both"/>
              <w:cnfStyle w:val="000000100000" w:firstRow="0" w:lastRow="0" w:firstColumn="0" w:lastColumn="0" w:oddVBand="0" w:evenVBand="0" w:oddHBand="1" w:evenHBand="0" w:firstRowFirstColumn="0" w:firstRowLastColumn="0" w:lastRowFirstColumn="0" w:lastRowLastColumn="0"/>
              <w:rPr>
                <w:rStyle w:val="Strong"/>
                <w:rFonts w:ascii="Arial" w:eastAsia="Times New Roman" w:hAnsi="Arial" w:cs="Arial"/>
                <w:b w:val="0"/>
                <w:bCs w:val="0"/>
                <w:sz w:val="24"/>
                <w:szCs w:val="24"/>
                <w:lang w:eastAsia="en-IN"/>
              </w:rPr>
            </w:pPr>
            <w:r w:rsidRPr="004C540C">
              <w:rPr>
                <w:rStyle w:val="Strong"/>
                <w:rFonts w:ascii="Arial" w:eastAsia="Times New Roman" w:hAnsi="Arial" w:cs="Arial"/>
                <w:b w:val="0"/>
                <w:bCs w:val="0"/>
                <w:sz w:val="24"/>
                <w:szCs w:val="24"/>
                <w:lang w:eastAsia="en-IN"/>
              </w:rPr>
              <w:t>2.3x</w:t>
            </w:r>
          </w:p>
        </w:tc>
        <w:tc>
          <w:tcPr>
            <w:tcW w:w="834" w:type="pct"/>
          </w:tcPr>
          <w:p w14:paraId="1916B614" w14:textId="77777777" w:rsidR="00B95E9C" w:rsidRPr="004C540C" w:rsidRDefault="00B95E9C" w:rsidP="004C540C">
            <w:pPr>
              <w:jc w:val="both"/>
              <w:cnfStyle w:val="000000100000" w:firstRow="0" w:lastRow="0" w:firstColumn="0" w:lastColumn="0" w:oddVBand="0" w:evenVBand="0" w:oddHBand="1" w:evenHBand="0" w:firstRowFirstColumn="0" w:firstRowLastColumn="0" w:lastRowFirstColumn="0" w:lastRowLastColumn="0"/>
              <w:rPr>
                <w:rStyle w:val="Strong"/>
                <w:rFonts w:ascii="Arial" w:eastAsia="Times New Roman" w:hAnsi="Arial" w:cs="Arial"/>
                <w:b w:val="0"/>
                <w:bCs w:val="0"/>
                <w:sz w:val="24"/>
                <w:szCs w:val="24"/>
                <w:lang w:eastAsia="en-IN"/>
              </w:rPr>
            </w:pPr>
            <w:r w:rsidRPr="004C540C">
              <w:rPr>
                <w:rStyle w:val="Strong"/>
                <w:rFonts w:ascii="Arial" w:eastAsia="Times New Roman" w:hAnsi="Arial" w:cs="Arial"/>
                <w:b w:val="0"/>
                <w:bCs w:val="0"/>
                <w:sz w:val="24"/>
                <w:szCs w:val="24"/>
                <w:lang w:eastAsia="en-IN"/>
              </w:rPr>
              <w:t>2.5x</w:t>
            </w:r>
          </w:p>
        </w:tc>
      </w:tr>
      <w:tr w:rsidR="00B95E9C" w:rsidRPr="004C540C" w14:paraId="04F7BAB3" w14:textId="77777777" w:rsidTr="001C6BA0">
        <w:tc>
          <w:tcPr>
            <w:cnfStyle w:val="001000000000" w:firstRow="0" w:lastRow="0" w:firstColumn="1" w:lastColumn="0" w:oddVBand="0" w:evenVBand="0" w:oddHBand="0" w:evenHBand="0" w:firstRowFirstColumn="0" w:firstRowLastColumn="0" w:lastRowFirstColumn="0" w:lastRowLastColumn="0"/>
            <w:tcW w:w="833" w:type="pct"/>
          </w:tcPr>
          <w:p w14:paraId="09784CCA" w14:textId="77777777" w:rsidR="00B95E9C" w:rsidRPr="004C540C" w:rsidRDefault="00B95E9C" w:rsidP="004C540C">
            <w:pPr>
              <w:jc w:val="both"/>
              <w:rPr>
                <w:rStyle w:val="Strong"/>
                <w:rFonts w:ascii="Arial" w:eastAsia="Times New Roman" w:hAnsi="Arial" w:cs="Arial"/>
                <w:b/>
                <w:bCs/>
                <w:sz w:val="24"/>
                <w:szCs w:val="24"/>
                <w:lang w:eastAsia="en-IN"/>
              </w:rPr>
            </w:pPr>
            <w:r w:rsidRPr="004C540C">
              <w:rPr>
                <w:rStyle w:val="Strong"/>
                <w:rFonts w:ascii="Arial" w:eastAsia="Times New Roman" w:hAnsi="Arial" w:cs="Arial"/>
                <w:b/>
                <w:bCs/>
                <w:sz w:val="24"/>
                <w:szCs w:val="24"/>
                <w:lang w:eastAsia="en-IN"/>
              </w:rPr>
              <w:t>Interest cover</w:t>
            </w:r>
          </w:p>
        </w:tc>
        <w:tc>
          <w:tcPr>
            <w:tcW w:w="833" w:type="pct"/>
          </w:tcPr>
          <w:p w14:paraId="67268F3D" w14:textId="77777777" w:rsidR="00B95E9C" w:rsidRPr="004C540C" w:rsidRDefault="00B95E9C" w:rsidP="004C540C">
            <w:pPr>
              <w:jc w:val="both"/>
              <w:cnfStyle w:val="000000000000" w:firstRow="0" w:lastRow="0" w:firstColumn="0" w:lastColumn="0" w:oddVBand="0" w:evenVBand="0" w:oddHBand="0" w:evenHBand="0" w:firstRowFirstColumn="0" w:firstRowLastColumn="0" w:lastRowFirstColumn="0" w:lastRowLastColumn="0"/>
              <w:rPr>
                <w:rStyle w:val="Strong"/>
                <w:rFonts w:ascii="Arial" w:eastAsia="Times New Roman" w:hAnsi="Arial" w:cs="Arial"/>
                <w:b w:val="0"/>
                <w:bCs w:val="0"/>
                <w:sz w:val="24"/>
                <w:szCs w:val="24"/>
                <w:lang w:eastAsia="en-IN"/>
              </w:rPr>
            </w:pPr>
            <w:r w:rsidRPr="004C540C">
              <w:rPr>
                <w:rStyle w:val="Strong"/>
                <w:rFonts w:ascii="Arial" w:eastAsia="Times New Roman" w:hAnsi="Arial" w:cs="Arial"/>
                <w:b w:val="0"/>
                <w:bCs w:val="0"/>
                <w:sz w:val="24"/>
                <w:szCs w:val="24"/>
                <w:lang w:eastAsia="en-IN"/>
              </w:rPr>
              <w:t>N/A</w:t>
            </w:r>
          </w:p>
        </w:tc>
        <w:tc>
          <w:tcPr>
            <w:tcW w:w="834" w:type="pct"/>
          </w:tcPr>
          <w:p w14:paraId="4D51F74B" w14:textId="77777777" w:rsidR="00B95E9C" w:rsidRPr="004C540C" w:rsidRDefault="00B95E9C" w:rsidP="004C540C">
            <w:pPr>
              <w:jc w:val="both"/>
              <w:cnfStyle w:val="000000000000" w:firstRow="0" w:lastRow="0" w:firstColumn="0" w:lastColumn="0" w:oddVBand="0" w:evenVBand="0" w:oddHBand="0" w:evenHBand="0" w:firstRowFirstColumn="0" w:firstRowLastColumn="0" w:lastRowFirstColumn="0" w:lastRowLastColumn="0"/>
              <w:rPr>
                <w:rStyle w:val="Strong"/>
                <w:rFonts w:ascii="Arial" w:eastAsia="Times New Roman" w:hAnsi="Arial" w:cs="Arial"/>
                <w:b w:val="0"/>
                <w:bCs w:val="0"/>
                <w:sz w:val="24"/>
                <w:szCs w:val="24"/>
                <w:lang w:eastAsia="en-IN"/>
              </w:rPr>
            </w:pPr>
            <w:r w:rsidRPr="004C540C">
              <w:rPr>
                <w:rStyle w:val="Strong"/>
                <w:rFonts w:ascii="Arial" w:eastAsia="Times New Roman" w:hAnsi="Arial" w:cs="Arial"/>
                <w:b w:val="0"/>
                <w:bCs w:val="0"/>
                <w:sz w:val="24"/>
                <w:szCs w:val="24"/>
                <w:lang w:eastAsia="en-IN"/>
              </w:rPr>
              <w:t>N/A</w:t>
            </w:r>
          </w:p>
        </w:tc>
        <w:tc>
          <w:tcPr>
            <w:tcW w:w="834" w:type="pct"/>
          </w:tcPr>
          <w:p w14:paraId="5C88D3CF" w14:textId="77777777" w:rsidR="00B95E9C" w:rsidRPr="004C540C" w:rsidRDefault="00B95E9C" w:rsidP="004C540C">
            <w:pPr>
              <w:jc w:val="both"/>
              <w:cnfStyle w:val="000000000000" w:firstRow="0" w:lastRow="0" w:firstColumn="0" w:lastColumn="0" w:oddVBand="0" w:evenVBand="0" w:oddHBand="0" w:evenHBand="0" w:firstRowFirstColumn="0" w:firstRowLastColumn="0" w:lastRowFirstColumn="0" w:lastRowLastColumn="0"/>
              <w:rPr>
                <w:rStyle w:val="Strong"/>
                <w:rFonts w:ascii="Arial" w:eastAsia="Times New Roman" w:hAnsi="Arial" w:cs="Arial"/>
                <w:b w:val="0"/>
                <w:bCs w:val="0"/>
                <w:sz w:val="24"/>
                <w:szCs w:val="24"/>
                <w:lang w:eastAsia="en-IN"/>
              </w:rPr>
            </w:pPr>
            <w:r w:rsidRPr="004C540C">
              <w:rPr>
                <w:rStyle w:val="Strong"/>
                <w:rFonts w:ascii="Arial" w:eastAsia="Times New Roman" w:hAnsi="Arial" w:cs="Arial"/>
                <w:b w:val="0"/>
                <w:bCs w:val="0"/>
                <w:sz w:val="24"/>
                <w:szCs w:val="24"/>
                <w:lang w:eastAsia="en-IN"/>
              </w:rPr>
              <w:t>N/A</w:t>
            </w:r>
          </w:p>
        </w:tc>
        <w:tc>
          <w:tcPr>
            <w:tcW w:w="834" w:type="pct"/>
          </w:tcPr>
          <w:p w14:paraId="083284B1" w14:textId="77777777" w:rsidR="00B95E9C" w:rsidRPr="004C540C" w:rsidRDefault="00B95E9C" w:rsidP="004C540C">
            <w:pPr>
              <w:jc w:val="both"/>
              <w:cnfStyle w:val="000000000000" w:firstRow="0" w:lastRow="0" w:firstColumn="0" w:lastColumn="0" w:oddVBand="0" w:evenVBand="0" w:oddHBand="0" w:evenHBand="0" w:firstRowFirstColumn="0" w:firstRowLastColumn="0" w:lastRowFirstColumn="0" w:lastRowLastColumn="0"/>
              <w:rPr>
                <w:rStyle w:val="Strong"/>
                <w:rFonts w:ascii="Arial" w:eastAsia="Times New Roman" w:hAnsi="Arial" w:cs="Arial"/>
                <w:b w:val="0"/>
                <w:bCs w:val="0"/>
                <w:sz w:val="24"/>
                <w:szCs w:val="24"/>
                <w:lang w:eastAsia="en-IN"/>
              </w:rPr>
            </w:pPr>
            <w:r w:rsidRPr="004C540C">
              <w:rPr>
                <w:rStyle w:val="Strong"/>
                <w:rFonts w:ascii="Arial" w:eastAsia="Times New Roman" w:hAnsi="Arial" w:cs="Arial"/>
                <w:b w:val="0"/>
                <w:bCs w:val="0"/>
                <w:sz w:val="24"/>
                <w:szCs w:val="24"/>
                <w:lang w:eastAsia="en-IN"/>
              </w:rPr>
              <w:t>N/A</w:t>
            </w:r>
          </w:p>
        </w:tc>
        <w:tc>
          <w:tcPr>
            <w:tcW w:w="834" w:type="pct"/>
          </w:tcPr>
          <w:p w14:paraId="151941A3" w14:textId="77777777" w:rsidR="00B95E9C" w:rsidRPr="004C540C" w:rsidRDefault="00B95E9C" w:rsidP="004C540C">
            <w:pPr>
              <w:jc w:val="both"/>
              <w:cnfStyle w:val="000000000000" w:firstRow="0" w:lastRow="0" w:firstColumn="0" w:lastColumn="0" w:oddVBand="0" w:evenVBand="0" w:oddHBand="0" w:evenHBand="0" w:firstRowFirstColumn="0" w:firstRowLastColumn="0" w:lastRowFirstColumn="0" w:lastRowLastColumn="0"/>
              <w:rPr>
                <w:rStyle w:val="Strong"/>
                <w:rFonts w:ascii="Arial" w:eastAsia="Times New Roman" w:hAnsi="Arial" w:cs="Arial"/>
                <w:b w:val="0"/>
                <w:bCs w:val="0"/>
                <w:sz w:val="24"/>
                <w:szCs w:val="24"/>
                <w:lang w:eastAsia="en-IN"/>
              </w:rPr>
            </w:pPr>
            <w:r w:rsidRPr="004C540C">
              <w:rPr>
                <w:rStyle w:val="Strong"/>
                <w:rFonts w:ascii="Arial" w:eastAsia="Times New Roman" w:hAnsi="Arial" w:cs="Arial"/>
                <w:b w:val="0"/>
                <w:bCs w:val="0"/>
                <w:sz w:val="24"/>
                <w:szCs w:val="24"/>
                <w:lang w:eastAsia="en-IN"/>
              </w:rPr>
              <w:t>N/A</w:t>
            </w:r>
          </w:p>
        </w:tc>
      </w:tr>
    </w:tbl>
    <w:p w14:paraId="72C49C29" w14:textId="77777777" w:rsidR="00B95E9C" w:rsidRPr="004C540C" w:rsidRDefault="00B95E9C" w:rsidP="004C540C">
      <w:pPr>
        <w:jc w:val="both"/>
        <w:rPr>
          <w:rStyle w:val="Strong"/>
          <w:rFonts w:ascii="Arial" w:eastAsia="Times New Roman" w:hAnsi="Arial" w:cs="Arial"/>
          <w:b w:val="0"/>
          <w:bCs w:val="0"/>
          <w:sz w:val="24"/>
          <w:szCs w:val="24"/>
          <w:lang w:eastAsia="en-IN"/>
        </w:rPr>
      </w:pPr>
      <w:r w:rsidRPr="004C540C">
        <w:rPr>
          <w:rStyle w:val="Strong"/>
          <w:rFonts w:ascii="Arial" w:eastAsia="Times New Roman" w:hAnsi="Arial" w:cs="Arial"/>
          <w:b w:val="0"/>
          <w:bCs w:val="0"/>
          <w:sz w:val="24"/>
          <w:szCs w:val="24"/>
          <w:lang w:eastAsia="en-IN"/>
        </w:rPr>
        <w:t>Source: InterContinental Hotels Group Annual Reports (2021–2025).</w:t>
      </w:r>
    </w:p>
    <w:p w14:paraId="30C6046E" w14:textId="77777777" w:rsidR="00B95E9C" w:rsidRPr="004C540C" w:rsidRDefault="00B95E9C" w:rsidP="004C540C">
      <w:pPr>
        <w:jc w:val="both"/>
        <w:rPr>
          <w:rStyle w:val="Strong"/>
          <w:rFonts w:ascii="Arial" w:eastAsia="Times New Roman" w:hAnsi="Arial" w:cs="Arial"/>
          <w:b w:val="0"/>
          <w:bCs w:val="0"/>
          <w:sz w:val="24"/>
          <w:szCs w:val="24"/>
          <w:lang w:eastAsia="en-IN"/>
        </w:rPr>
      </w:pPr>
      <w:r w:rsidRPr="004C540C">
        <w:rPr>
          <w:rStyle w:val="Strong"/>
          <w:rFonts w:ascii="Arial" w:eastAsia="Times New Roman" w:hAnsi="Arial" w:cs="Arial"/>
          <w:b w:val="0"/>
          <w:bCs w:val="0"/>
          <w:sz w:val="24"/>
          <w:szCs w:val="24"/>
          <w:lang w:eastAsia="en-IN"/>
        </w:rPr>
        <w:t>The ratio of net debt to adjusted EBITDA grew from 2.1 times in 2022 and 2023 to 2.3 times in 2024 and 3.1 times in 2025. It can be concluded that leverage increased at the latter stage of the period.</w:t>
      </w:r>
    </w:p>
    <w:p w14:paraId="57EF29F7" w14:textId="77777777" w:rsidR="008F4182" w:rsidRPr="004C540C" w:rsidRDefault="008F4182" w:rsidP="004C540C">
      <w:pPr>
        <w:spacing w:before="100" w:beforeAutospacing="1" w:after="100" w:afterAutospacing="1" w:line="240" w:lineRule="auto"/>
        <w:jc w:val="both"/>
        <w:outlineLvl w:val="2"/>
        <w:rPr>
          <w:rFonts w:ascii="Arial" w:eastAsia="Times New Roman" w:hAnsi="Arial" w:cs="Arial"/>
          <w:sz w:val="24"/>
          <w:szCs w:val="24"/>
          <w:lang w:eastAsia="en-IN"/>
        </w:rPr>
      </w:pPr>
      <w:bookmarkStart w:id="22" w:name="_Toc237376696"/>
      <w:bookmarkStart w:id="23" w:name="_Toc237377452"/>
      <w:bookmarkStart w:id="24" w:name="_Toc237378365"/>
      <w:r w:rsidRPr="004C540C">
        <w:rPr>
          <w:rFonts w:ascii="Arial" w:eastAsia="Times New Roman" w:hAnsi="Arial" w:cs="Arial"/>
          <w:sz w:val="24"/>
          <w:szCs w:val="24"/>
          <w:lang w:eastAsia="en-IN"/>
        </w:rPr>
        <w:t>The asset-light strategy of IHG contributes to mitigating this financial risk since the company is not required to make huge investments in the ownership of hotels. Rather, it uses franchises and management agreements as the means of expanding internationally without the necessity of raising further loans. This strategy also lowers the risks of depreciation of properties, maintenance costs, and capital expenditure. (InterContinental Hotels Group, 2025)</w:t>
      </w:r>
    </w:p>
    <w:p w14:paraId="0D29BE74" w14:textId="77777777" w:rsidR="008F4182" w:rsidRPr="004C540C" w:rsidRDefault="008F4182" w:rsidP="004C540C">
      <w:pPr>
        <w:spacing w:before="100" w:beforeAutospacing="1" w:after="100" w:afterAutospacing="1" w:line="240" w:lineRule="auto"/>
        <w:jc w:val="both"/>
        <w:outlineLvl w:val="2"/>
        <w:rPr>
          <w:rFonts w:ascii="Arial" w:eastAsia="Times New Roman" w:hAnsi="Arial" w:cs="Arial"/>
          <w:b/>
          <w:bCs/>
          <w:sz w:val="24"/>
          <w:szCs w:val="24"/>
          <w:lang w:eastAsia="en-IN"/>
        </w:rPr>
      </w:pPr>
      <w:r w:rsidRPr="004C540C">
        <w:rPr>
          <w:rFonts w:ascii="Arial" w:eastAsia="Times New Roman" w:hAnsi="Arial" w:cs="Arial"/>
          <w:b/>
          <w:bCs/>
          <w:sz w:val="24"/>
          <w:szCs w:val="24"/>
          <w:lang w:eastAsia="en-IN"/>
        </w:rPr>
        <w:t xml:space="preserve">1.6 Cash Flow Analysis </w:t>
      </w:r>
    </w:p>
    <w:p w14:paraId="115E32C8" w14:textId="77777777" w:rsidR="008F4182" w:rsidRPr="004C540C" w:rsidRDefault="008F4182" w:rsidP="004C540C">
      <w:pPr>
        <w:spacing w:before="100" w:beforeAutospacing="1" w:after="100" w:afterAutospacing="1" w:line="240" w:lineRule="auto"/>
        <w:jc w:val="both"/>
        <w:outlineLvl w:val="2"/>
        <w:rPr>
          <w:rFonts w:ascii="Arial" w:eastAsia="Times New Roman" w:hAnsi="Arial" w:cs="Arial"/>
          <w:sz w:val="24"/>
          <w:szCs w:val="24"/>
          <w:lang w:eastAsia="en-IN"/>
        </w:rPr>
      </w:pPr>
      <w:r w:rsidRPr="004C540C">
        <w:rPr>
          <w:rFonts w:ascii="Arial" w:eastAsia="Times New Roman" w:hAnsi="Arial" w:cs="Arial"/>
          <w:sz w:val="24"/>
          <w:szCs w:val="24"/>
          <w:lang w:eastAsia="en-IN"/>
        </w:rPr>
        <w:t>The cash flow analysis reveals the ability of IHG to raise sufficient funds from operations to invest, pay off debts and make distributions to shareholders. (2021-2025) (with citations added)Cash flow analysis reveals the ability of IHG to generate enough cash from operations to invest, pay off debts, and distribute to shareholders. Following the considerable decrease in the period of pandemic, operating cash flow increased significantly starting from 2021 due to improvement in the travel demand and performance of hotels. (InterContinental Hotels Group, 2023)</w:t>
      </w:r>
    </w:p>
    <w:p w14:paraId="328DC31C" w14:textId="77777777" w:rsidR="008F4182" w:rsidRPr="004C540C" w:rsidRDefault="008F4182" w:rsidP="004C540C">
      <w:pPr>
        <w:jc w:val="both"/>
        <w:rPr>
          <w:rFonts w:ascii="Arial" w:eastAsia="Times New Roman" w:hAnsi="Arial" w:cs="Arial"/>
          <w:b/>
          <w:bCs/>
          <w:sz w:val="24"/>
          <w:szCs w:val="24"/>
          <w:lang w:eastAsia="en-IN"/>
        </w:rPr>
      </w:pPr>
      <w:r w:rsidRPr="004C540C">
        <w:rPr>
          <w:rFonts w:ascii="Arial" w:eastAsia="Times New Roman" w:hAnsi="Arial" w:cs="Arial"/>
          <w:b/>
          <w:bCs/>
          <w:sz w:val="24"/>
          <w:szCs w:val="24"/>
          <w:lang w:eastAsia="en-IN"/>
        </w:rPr>
        <w:br w:type="page"/>
      </w:r>
    </w:p>
    <w:p w14:paraId="38490C21" w14:textId="6B7CEC9A" w:rsidR="00662908" w:rsidRPr="004C540C" w:rsidRDefault="000244C5" w:rsidP="004C540C">
      <w:pPr>
        <w:spacing w:before="100" w:beforeAutospacing="1" w:after="100" w:afterAutospacing="1" w:line="240" w:lineRule="auto"/>
        <w:jc w:val="both"/>
        <w:outlineLvl w:val="2"/>
        <w:rPr>
          <w:rFonts w:ascii="Arial" w:eastAsia="Times New Roman" w:hAnsi="Arial" w:cs="Arial"/>
          <w:b/>
          <w:bCs/>
          <w:sz w:val="24"/>
          <w:szCs w:val="24"/>
          <w:lang w:eastAsia="en-IN"/>
        </w:rPr>
      </w:pPr>
      <w:r w:rsidRPr="004C540C">
        <w:rPr>
          <w:rFonts w:ascii="Arial" w:eastAsia="Times New Roman" w:hAnsi="Arial" w:cs="Arial"/>
          <w:b/>
          <w:bCs/>
          <w:sz w:val="24"/>
          <w:szCs w:val="24"/>
          <w:lang w:eastAsia="en-IN"/>
        </w:rPr>
        <w:lastRenderedPageBreak/>
        <w:t xml:space="preserve">Table </w:t>
      </w:r>
      <w:r w:rsidR="00134E0C" w:rsidRPr="004C540C">
        <w:rPr>
          <w:rFonts w:ascii="Arial" w:eastAsia="Times New Roman" w:hAnsi="Arial" w:cs="Arial"/>
          <w:b/>
          <w:bCs/>
          <w:sz w:val="24"/>
          <w:szCs w:val="24"/>
          <w:lang w:eastAsia="en-IN"/>
        </w:rPr>
        <w:t>7</w:t>
      </w:r>
      <w:r w:rsidR="00662908" w:rsidRPr="004C540C">
        <w:rPr>
          <w:rFonts w:ascii="Arial" w:eastAsia="Times New Roman" w:hAnsi="Arial" w:cs="Arial"/>
          <w:b/>
          <w:bCs/>
          <w:sz w:val="24"/>
          <w:szCs w:val="24"/>
          <w:lang w:eastAsia="en-IN"/>
        </w:rPr>
        <w:t>: Cash Flow Performance, 2021–2025</w:t>
      </w:r>
      <w:bookmarkEnd w:id="22"/>
      <w:bookmarkEnd w:id="23"/>
      <w:bookmarkEnd w:id="24"/>
    </w:p>
    <w:p w14:paraId="65631C10" w14:textId="77777777" w:rsidR="00662908" w:rsidRPr="004C540C" w:rsidRDefault="00662908" w:rsidP="004C540C">
      <w:pPr>
        <w:spacing w:before="100" w:beforeAutospacing="1" w:after="100" w:afterAutospacing="1" w:line="240" w:lineRule="auto"/>
        <w:jc w:val="both"/>
        <w:rPr>
          <w:rFonts w:ascii="Arial" w:eastAsia="Times New Roman" w:hAnsi="Arial" w:cs="Arial"/>
          <w:sz w:val="24"/>
          <w:szCs w:val="24"/>
          <w:lang w:eastAsia="en-IN"/>
        </w:rPr>
      </w:pPr>
      <w:r w:rsidRPr="004C540C">
        <w:rPr>
          <w:rFonts w:ascii="Arial" w:eastAsia="Times New Roman" w:hAnsi="Arial" w:cs="Arial"/>
          <w:b/>
          <w:bCs/>
          <w:sz w:val="24"/>
          <w:szCs w:val="24"/>
          <w:lang w:eastAsia="en-IN"/>
        </w:rPr>
        <w:t>US$ million</w:t>
      </w:r>
    </w:p>
    <w:tbl>
      <w:tblPr>
        <w:tblStyle w:val="GridTable4-Accent5"/>
        <w:tblW w:w="5000" w:type="pct"/>
        <w:tblLook w:val="04A0" w:firstRow="1" w:lastRow="0" w:firstColumn="1" w:lastColumn="0" w:noHBand="0" w:noVBand="1"/>
      </w:tblPr>
      <w:tblGrid>
        <w:gridCol w:w="4444"/>
        <w:gridCol w:w="915"/>
        <w:gridCol w:w="915"/>
        <w:gridCol w:w="914"/>
        <w:gridCol w:w="914"/>
        <w:gridCol w:w="914"/>
      </w:tblGrid>
      <w:tr w:rsidR="00662908" w:rsidRPr="004C540C" w14:paraId="19C2B0BE" w14:textId="77777777" w:rsidTr="0066290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63" w:type="pct"/>
            <w:vAlign w:val="center"/>
            <w:hideMark/>
          </w:tcPr>
          <w:p w14:paraId="263875FE" w14:textId="77777777" w:rsidR="00662908" w:rsidRPr="004C540C" w:rsidRDefault="00662908" w:rsidP="004C540C">
            <w:pPr>
              <w:jc w:val="both"/>
              <w:rPr>
                <w:rFonts w:ascii="Arial" w:eastAsia="Times New Roman" w:hAnsi="Arial" w:cs="Arial"/>
                <w:sz w:val="24"/>
                <w:szCs w:val="24"/>
                <w:lang w:eastAsia="en-IN"/>
              </w:rPr>
            </w:pPr>
            <w:r w:rsidRPr="004C540C">
              <w:rPr>
                <w:rFonts w:ascii="Arial" w:eastAsia="Times New Roman" w:hAnsi="Arial" w:cs="Arial"/>
                <w:sz w:val="24"/>
                <w:szCs w:val="24"/>
                <w:lang w:eastAsia="en-IN"/>
              </w:rPr>
              <w:t>Cash-flow measure</w:t>
            </w:r>
          </w:p>
        </w:tc>
        <w:tc>
          <w:tcPr>
            <w:tcW w:w="507" w:type="pct"/>
            <w:vAlign w:val="center"/>
            <w:hideMark/>
          </w:tcPr>
          <w:p w14:paraId="5F13657E" w14:textId="77777777" w:rsidR="00662908" w:rsidRPr="004C540C" w:rsidRDefault="00662908" w:rsidP="004C540C">
            <w:pPr>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2021</w:t>
            </w:r>
          </w:p>
        </w:tc>
        <w:tc>
          <w:tcPr>
            <w:tcW w:w="507" w:type="pct"/>
            <w:vAlign w:val="center"/>
            <w:hideMark/>
          </w:tcPr>
          <w:p w14:paraId="062972E9" w14:textId="77777777" w:rsidR="00662908" w:rsidRPr="004C540C" w:rsidRDefault="00662908" w:rsidP="004C540C">
            <w:pPr>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2022</w:t>
            </w:r>
          </w:p>
        </w:tc>
        <w:tc>
          <w:tcPr>
            <w:tcW w:w="507" w:type="pct"/>
            <w:vAlign w:val="center"/>
            <w:hideMark/>
          </w:tcPr>
          <w:p w14:paraId="7F2A09D7" w14:textId="77777777" w:rsidR="00662908" w:rsidRPr="004C540C" w:rsidRDefault="00662908" w:rsidP="004C540C">
            <w:pPr>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2023</w:t>
            </w:r>
          </w:p>
        </w:tc>
        <w:tc>
          <w:tcPr>
            <w:tcW w:w="507" w:type="pct"/>
            <w:vAlign w:val="center"/>
            <w:hideMark/>
          </w:tcPr>
          <w:p w14:paraId="0AC87BF6" w14:textId="77777777" w:rsidR="00662908" w:rsidRPr="004C540C" w:rsidRDefault="00662908" w:rsidP="004C540C">
            <w:pPr>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2024</w:t>
            </w:r>
          </w:p>
        </w:tc>
        <w:tc>
          <w:tcPr>
            <w:tcW w:w="507" w:type="pct"/>
            <w:vAlign w:val="center"/>
            <w:hideMark/>
          </w:tcPr>
          <w:p w14:paraId="484853C6" w14:textId="77777777" w:rsidR="00662908" w:rsidRPr="004C540C" w:rsidRDefault="00662908" w:rsidP="004C540C">
            <w:pPr>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2025</w:t>
            </w:r>
          </w:p>
        </w:tc>
      </w:tr>
      <w:tr w:rsidR="00662908" w:rsidRPr="004C540C" w14:paraId="03F7F17F" w14:textId="77777777" w:rsidTr="006629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63" w:type="pct"/>
            <w:vAlign w:val="center"/>
            <w:hideMark/>
          </w:tcPr>
          <w:p w14:paraId="5D032C62" w14:textId="77777777" w:rsidR="00662908" w:rsidRPr="004C540C" w:rsidRDefault="00662908" w:rsidP="004C540C">
            <w:pPr>
              <w:jc w:val="both"/>
              <w:rPr>
                <w:rFonts w:ascii="Arial" w:eastAsia="Times New Roman" w:hAnsi="Arial" w:cs="Arial"/>
                <w:sz w:val="24"/>
                <w:szCs w:val="24"/>
                <w:lang w:eastAsia="en-IN"/>
              </w:rPr>
            </w:pPr>
            <w:r w:rsidRPr="004C540C">
              <w:rPr>
                <w:rFonts w:ascii="Arial" w:eastAsia="Times New Roman" w:hAnsi="Arial" w:cs="Arial"/>
                <w:sz w:val="24"/>
                <w:szCs w:val="24"/>
                <w:lang w:eastAsia="en-IN"/>
              </w:rPr>
              <w:t>Net cash from operating activities</w:t>
            </w:r>
          </w:p>
        </w:tc>
        <w:tc>
          <w:tcPr>
            <w:tcW w:w="507" w:type="pct"/>
            <w:vAlign w:val="center"/>
            <w:hideMark/>
          </w:tcPr>
          <w:p w14:paraId="5DCA90C1" w14:textId="77777777" w:rsidR="00662908" w:rsidRPr="004C540C" w:rsidRDefault="00662908"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636</w:t>
            </w:r>
          </w:p>
        </w:tc>
        <w:tc>
          <w:tcPr>
            <w:tcW w:w="507" w:type="pct"/>
            <w:vAlign w:val="center"/>
            <w:hideMark/>
          </w:tcPr>
          <w:p w14:paraId="3F201E32" w14:textId="77777777" w:rsidR="00662908" w:rsidRPr="004C540C" w:rsidRDefault="00662908"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646</w:t>
            </w:r>
          </w:p>
        </w:tc>
        <w:tc>
          <w:tcPr>
            <w:tcW w:w="507" w:type="pct"/>
            <w:vAlign w:val="center"/>
            <w:hideMark/>
          </w:tcPr>
          <w:p w14:paraId="4E333516" w14:textId="77777777" w:rsidR="00662908" w:rsidRPr="004C540C" w:rsidRDefault="00662908"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893</w:t>
            </w:r>
          </w:p>
        </w:tc>
        <w:tc>
          <w:tcPr>
            <w:tcW w:w="507" w:type="pct"/>
            <w:vAlign w:val="center"/>
            <w:hideMark/>
          </w:tcPr>
          <w:p w14:paraId="1D886D6D" w14:textId="77777777" w:rsidR="00662908" w:rsidRPr="004C540C" w:rsidRDefault="00662908"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724</w:t>
            </w:r>
          </w:p>
        </w:tc>
        <w:tc>
          <w:tcPr>
            <w:tcW w:w="507" w:type="pct"/>
            <w:vAlign w:val="center"/>
            <w:hideMark/>
          </w:tcPr>
          <w:p w14:paraId="15DABFAC" w14:textId="77777777" w:rsidR="00662908" w:rsidRPr="004C540C" w:rsidRDefault="00662908"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898</w:t>
            </w:r>
          </w:p>
        </w:tc>
      </w:tr>
      <w:tr w:rsidR="00662908" w:rsidRPr="004C540C" w14:paraId="623C4C84" w14:textId="77777777" w:rsidTr="00662908">
        <w:tc>
          <w:tcPr>
            <w:cnfStyle w:val="001000000000" w:firstRow="0" w:lastRow="0" w:firstColumn="1" w:lastColumn="0" w:oddVBand="0" w:evenVBand="0" w:oddHBand="0" w:evenHBand="0" w:firstRowFirstColumn="0" w:firstRowLastColumn="0" w:lastRowFirstColumn="0" w:lastRowLastColumn="0"/>
            <w:tcW w:w="2463" w:type="pct"/>
            <w:vAlign w:val="center"/>
            <w:hideMark/>
          </w:tcPr>
          <w:p w14:paraId="59F8379A" w14:textId="77777777" w:rsidR="00662908" w:rsidRPr="004C540C" w:rsidRDefault="00662908" w:rsidP="004C540C">
            <w:pPr>
              <w:jc w:val="both"/>
              <w:rPr>
                <w:rFonts w:ascii="Arial" w:eastAsia="Times New Roman" w:hAnsi="Arial" w:cs="Arial"/>
                <w:sz w:val="24"/>
                <w:szCs w:val="24"/>
                <w:lang w:eastAsia="en-IN"/>
              </w:rPr>
            </w:pPr>
            <w:r w:rsidRPr="004C540C">
              <w:rPr>
                <w:rFonts w:ascii="Arial" w:eastAsia="Times New Roman" w:hAnsi="Arial" w:cs="Arial"/>
                <w:sz w:val="24"/>
                <w:szCs w:val="24"/>
                <w:lang w:eastAsia="en-IN"/>
              </w:rPr>
              <w:t>Adjusted free cash flow</w:t>
            </w:r>
          </w:p>
        </w:tc>
        <w:tc>
          <w:tcPr>
            <w:tcW w:w="507" w:type="pct"/>
            <w:vAlign w:val="center"/>
            <w:hideMark/>
          </w:tcPr>
          <w:p w14:paraId="2279FE11" w14:textId="77777777" w:rsidR="00662908" w:rsidRPr="004C540C" w:rsidRDefault="00662908"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571</w:t>
            </w:r>
          </w:p>
        </w:tc>
        <w:tc>
          <w:tcPr>
            <w:tcW w:w="507" w:type="pct"/>
            <w:vAlign w:val="center"/>
            <w:hideMark/>
          </w:tcPr>
          <w:p w14:paraId="3D1493F7" w14:textId="77777777" w:rsidR="00662908" w:rsidRPr="004C540C" w:rsidRDefault="00662908"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565</w:t>
            </w:r>
          </w:p>
        </w:tc>
        <w:tc>
          <w:tcPr>
            <w:tcW w:w="507" w:type="pct"/>
            <w:vAlign w:val="center"/>
            <w:hideMark/>
          </w:tcPr>
          <w:p w14:paraId="597D30A3" w14:textId="77777777" w:rsidR="00662908" w:rsidRPr="004C540C" w:rsidRDefault="00662908"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819</w:t>
            </w:r>
          </w:p>
        </w:tc>
        <w:tc>
          <w:tcPr>
            <w:tcW w:w="507" w:type="pct"/>
            <w:vAlign w:val="center"/>
            <w:hideMark/>
          </w:tcPr>
          <w:p w14:paraId="32BFC91D" w14:textId="77777777" w:rsidR="00662908" w:rsidRPr="004C540C" w:rsidRDefault="00662908"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655</w:t>
            </w:r>
          </w:p>
        </w:tc>
        <w:tc>
          <w:tcPr>
            <w:tcW w:w="507" w:type="pct"/>
            <w:vAlign w:val="center"/>
            <w:hideMark/>
          </w:tcPr>
          <w:p w14:paraId="02932698" w14:textId="77777777" w:rsidR="00662908" w:rsidRPr="004C540C" w:rsidRDefault="00662908"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893</w:t>
            </w:r>
          </w:p>
        </w:tc>
      </w:tr>
      <w:tr w:rsidR="00662908" w:rsidRPr="004C540C" w14:paraId="2512C15D" w14:textId="77777777" w:rsidTr="006629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63" w:type="pct"/>
            <w:vAlign w:val="center"/>
            <w:hideMark/>
          </w:tcPr>
          <w:p w14:paraId="3E503FBE" w14:textId="77777777" w:rsidR="00662908" w:rsidRPr="004C540C" w:rsidRDefault="00662908" w:rsidP="004C540C">
            <w:pPr>
              <w:jc w:val="both"/>
              <w:rPr>
                <w:rFonts w:ascii="Arial" w:eastAsia="Times New Roman" w:hAnsi="Arial" w:cs="Arial"/>
                <w:sz w:val="24"/>
                <w:szCs w:val="24"/>
                <w:lang w:eastAsia="en-IN"/>
              </w:rPr>
            </w:pPr>
            <w:r w:rsidRPr="004C540C">
              <w:rPr>
                <w:rFonts w:ascii="Arial" w:eastAsia="Times New Roman" w:hAnsi="Arial" w:cs="Arial"/>
                <w:sz w:val="24"/>
                <w:szCs w:val="24"/>
                <w:lang w:eastAsia="en-IN"/>
              </w:rPr>
              <w:t>Net debt</w:t>
            </w:r>
          </w:p>
        </w:tc>
        <w:tc>
          <w:tcPr>
            <w:tcW w:w="507" w:type="pct"/>
            <w:vAlign w:val="center"/>
            <w:hideMark/>
          </w:tcPr>
          <w:p w14:paraId="27AA3A0F" w14:textId="77777777" w:rsidR="00662908" w:rsidRPr="004C540C" w:rsidRDefault="00662908"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1,881</w:t>
            </w:r>
          </w:p>
        </w:tc>
        <w:tc>
          <w:tcPr>
            <w:tcW w:w="507" w:type="pct"/>
            <w:vAlign w:val="center"/>
            <w:hideMark/>
          </w:tcPr>
          <w:p w14:paraId="488229B7" w14:textId="77777777" w:rsidR="00662908" w:rsidRPr="004C540C" w:rsidRDefault="00662908"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1,851</w:t>
            </w:r>
          </w:p>
        </w:tc>
        <w:tc>
          <w:tcPr>
            <w:tcW w:w="507" w:type="pct"/>
            <w:vAlign w:val="center"/>
            <w:hideMark/>
          </w:tcPr>
          <w:p w14:paraId="44872A45" w14:textId="77777777" w:rsidR="00662908" w:rsidRPr="004C540C" w:rsidRDefault="00662908"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2,272</w:t>
            </w:r>
          </w:p>
        </w:tc>
        <w:tc>
          <w:tcPr>
            <w:tcW w:w="507" w:type="pct"/>
            <w:vAlign w:val="center"/>
            <w:hideMark/>
          </w:tcPr>
          <w:p w14:paraId="106D7C46" w14:textId="77777777" w:rsidR="00662908" w:rsidRPr="004C540C" w:rsidRDefault="00662908"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2,782</w:t>
            </w:r>
          </w:p>
        </w:tc>
        <w:tc>
          <w:tcPr>
            <w:tcW w:w="507" w:type="pct"/>
            <w:vAlign w:val="center"/>
            <w:hideMark/>
          </w:tcPr>
          <w:p w14:paraId="53454FC9" w14:textId="77777777" w:rsidR="00662908" w:rsidRPr="004C540C" w:rsidRDefault="00662908"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3,333</w:t>
            </w:r>
          </w:p>
        </w:tc>
      </w:tr>
      <w:tr w:rsidR="00662908" w:rsidRPr="004C540C" w14:paraId="78140761" w14:textId="77777777" w:rsidTr="00662908">
        <w:tc>
          <w:tcPr>
            <w:cnfStyle w:val="001000000000" w:firstRow="0" w:lastRow="0" w:firstColumn="1" w:lastColumn="0" w:oddVBand="0" w:evenVBand="0" w:oddHBand="0" w:evenHBand="0" w:firstRowFirstColumn="0" w:firstRowLastColumn="0" w:lastRowFirstColumn="0" w:lastRowLastColumn="0"/>
            <w:tcW w:w="2463" w:type="pct"/>
            <w:vAlign w:val="center"/>
            <w:hideMark/>
          </w:tcPr>
          <w:p w14:paraId="5B90E37A" w14:textId="77777777" w:rsidR="00662908" w:rsidRPr="004C540C" w:rsidRDefault="00662908" w:rsidP="004C540C">
            <w:pPr>
              <w:jc w:val="both"/>
              <w:rPr>
                <w:rFonts w:ascii="Arial" w:eastAsia="Times New Roman" w:hAnsi="Arial" w:cs="Arial"/>
                <w:sz w:val="24"/>
                <w:szCs w:val="24"/>
                <w:lang w:eastAsia="en-IN"/>
              </w:rPr>
            </w:pPr>
            <w:r w:rsidRPr="004C540C">
              <w:rPr>
                <w:rFonts w:ascii="Arial" w:eastAsia="Times New Roman" w:hAnsi="Arial" w:cs="Arial"/>
                <w:sz w:val="24"/>
                <w:szCs w:val="24"/>
                <w:lang w:eastAsia="en-IN"/>
              </w:rPr>
              <w:t>Adjusted EBITDA</w:t>
            </w:r>
          </w:p>
        </w:tc>
        <w:tc>
          <w:tcPr>
            <w:tcW w:w="507" w:type="pct"/>
            <w:vAlign w:val="center"/>
            <w:hideMark/>
          </w:tcPr>
          <w:p w14:paraId="60739F3A" w14:textId="77777777" w:rsidR="00662908" w:rsidRPr="004C540C" w:rsidRDefault="00662908"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w:t>
            </w:r>
          </w:p>
        </w:tc>
        <w:tc>
          <w:tcPr>
            <w:tcW w:w="507" w:type="pct"/>
            <w:vAlign w:val="center"/>
            <w:hideMark/>
          </w:tcPr>
          <w:p w14:paraId="4EB06117" w14:textId="77777777" w:rsidR="00662908" w:rsidRPr="004C540C" w:rsidRDefault="00662908"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896</w:t>
            </w:r>
          </w:p>
        </w:tc>
        <w:tc>
          <w:tcPr>
            <w:tcW w:w="507" w:type="pct"/>
            <w:vAlign w:val="center"/>
            <w:hideMark/>
          </w:tcPr>
          <w:p w14:paraId="5F899435" w14:textId="77777777" w:rsidR="00662908" w:rsidRPr="004C540C" w:rsidRDefault="00662908"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1,086</w:t>
            </w:r>
          </w:p>
        </w:tc>
        <w:tc>
          <w:tcPr>
            <w:tcW w:w="507" w:type="pct"/>
            <w:vAlign w:val="center"/>
            <w:hideMark/>
          </w:tcPr>
          <w:p w14:paraId="3C07A1D3" w14:textId="77777777" w:rsidR="00662908" w:rsidRPr="004C540C" w:rsidRDefault="00662908"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1,189</w:t>
            </w:r>
          </w:p>
        </w:tc>
        <w:tc>
          <w:tcPr>
            <w:tcW w:w="507" w:type="pct"/>
            <w:vAlign w:val="center"/>
            <w:hideMark/>
          </w:tcPr>
          <w:p w14:paraId="0BD7FD10" w14:textId="77777777" w:rsidR="00662908" w:rsidRPr="004C540C" w:rsidRDefault="00662908"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1,332</w:t>
            </w:r>
          </w:p>
        </w:tc>
      </w:tr>
      <w:tr w:rsidR="00662908" w:rsidRPr="004C540C" w14:paraId="603FA80F" w14:textId="77777777" w:rsidTr="006629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63" w:type="pct"/>
            <w:vAlign w:val="center"/>
            <w:hideMark/>
          </w:tcPr>
          <w:p w14:paraId="336C19C3" w14:textId="77777777" w:rsidR="00662908" w:rsidRPr="004C540C" w:rsidRDefault="00662908" w:rsidP="004C540C">
            <w:pPr>
              <w:jc w:val="both"/>
              <w:rPr>
                <w:rFonts w:ascii="Arial" w:eastAsia="Times New Roman" w:hAnsi="Arial" w:cs="Arial"/>
                <w:sz w:val="24"/>
                <w:szCs w:val="24"/>
                <w:lang w:eastAsia="en-IN"/>
              </w:rPr>
            </w:pPr>
            <w:r w:rsidRPr="004C540C">
              <w:rPr>
                <w:rFonts w:ascii="Arial" w:eastAsia="Times New Roman" w:hAnsi="Arial" w:cs="Arial"/>
                <w:sz w:val="24"/>
                <w:szCs w:val="24"/>
                <w:lang w:eastAsia="en-IN"/>
              </w:rPr>
              <w:t>Net debt / adjusted EBITDA</w:t>
            </w:r>
          </w:p>
        </w:tc>
        <w:tc>
          <w:tcPr>
            <w:tcW w:w="507" w:type="pct"/>
            <w:vAlign w:val="center"/>
            <w:hideMark/>
          </w:tcPr>
          <w:p w14:paraId="55251BB0" w14:textId="77777777" w:rsidR="00662908" w:rsidRPr="004C540C" w:rsidRDefault="00662908"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w:t>
            </w:r>
          </w:p>
        </w:tc>
        <w:tc>
          <w:tcPr>
            <w:tcW w:w="507" w:type="pct"/>
            <w:vAlign w:val="center"/>
            <w:hideMark/>
          </w:tcPr>
          <w:p w14:paraId="0BA42494" w14:textId="77777777" w:rsidR="00662908" w:rsidRPr="004C540C" w:rsidRDefault="00662908"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2.1x</w:t>
            </w:r>
          </w:p>
        </w:tc>
        <w:tc>
          <w:tcPr>
            <w:tcW w:w="507" w:type="pct"/>
            <w:vAlign w:val="center"/>
            <w:hideMark/>
          </w:tcPr>
          <w:p w14:paraId="331BFBFC" w14:textId="77777777" w:rsidR="00662908" w:rsidRPr="004C540C" w:rsidRDefault="00662908"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2.1x</w:t>
            </w:r>
          </w:p>
        </w:tc>
        <w:tc>
          <w:tcPr>
            <w:tcW w:w="507" w:type="pct"/>
            <w:vAlign w:val="center"/>
            <w:hideMark/>
          </w:tcPr>
          <w:p w14:paraId="539ED18E" w14:textId="77777777" w:rsidR="00662908" w:rsidRPr="004C540C" w:rsidRDefault="00662908"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2.3x</w:t>
            </w:r>
          </w:p>
        </w:tc>
        <w:tc>
          <w:tcPr>
            <w:tcW w:w="507" w:type="pct"/>
            <w:vAlign w:val="center"/>
            <w:hideMark/>
          </w:tcPr>
          <w:p w14:paraId="0EDA1AB7" w14:textId="77777777" w:rsidR="00662908" w:rsidRPr="004C540C" w:rsidRDefault="00662908"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2.5x</w:t>
            </w:r>
          </w:p>
        </w:tc>
      </w:tr>
    </w:tbl>
    <w:p w14:paraId="186F0CFC" w14:textId="77777777" w:rsidR="00662908" w:rsidRPr="004C540C" w:rsidRDefault="00662908" w:rsidP="004C540C">
      <w:pPr>
        <w:jc w:val="both"/>
        <w:rPr>
          <w:rFonts w:ascii="Arial" w:eastAsia="Times New Roman" w:hAnsi="Arial" w:cs="Arial"/>
          <w:sz w:val="24"/>
          <w:szCs w:val="24"/>
          <w:lang w:eastAsia="en-IN"/>
        </w:rPr>
      </w:pPr>
    </w:p>
    <w:p w14:paraId="6B510E59" w14:textId="77777777" w:rsidR="000927A3" w:rsidRPr="004C540C" w:rsidRDefault="000927A3" w:rsidP="004C540C">
      <w:pPr>
        <w:spacing w:before="100" w:beforeAutospacing="1" w:after="100" w:afterAutospacing="1" w:line="240" w:lineRule="auto"/>
        <w:jc w:val="both"/>
        <w:outlineLvl w:val="1"/>
        <w:rPr>
          <w:rFonts w:ascii="Arial" w:eastAsia="Times New Roman" w:hAnsi="Arial" w:cs="Arial"/>
          <w:sz w:val="24"/>
          <w:szCs w:val="24"/>
          <w:lang w:eastAsia="en-IN"/>
        </w:rPr>
      </w:pPr>
      <w:bookmarkStart w:id="25" w:name="_Toc237376697"/>
      <w:bookmarkStart w:id="26" w:name="_Toc237377453"/>
      <w:bookmarkStart w:id="27" w:name="_Toc237378367"/>
      <w:r w:rsidRPr="004C540C">
        <w:rPr>
          <w:rFonts w:ascii="Arial" w:eastAsia="Times New Roman" w:hAnsi="Arial" w:cs="Arial"/>
          <w:sz w:val="24"/>
          <w:szCs w:val="24"/>
          <w:lang w:eastAsia="en-IN"/>
        </w:rPr>
        <w:t>Following the sharp decline during the pandemic period, operating cash flow started to recover from 2021 onwards due to the improvement in global travel demand and recovery in hotel performance (InterContinental Hotels Group, 2023). By 2023, operating cash flow was exceeding $1 billion owing to the increase in occupancy, better pricing strategy, and franchise fee income. Healthy cash flow generation was also evident in 2024 and 2025 due to the soundness of business model of IHG and increasing role of recurring revenue sources based on rates (InterContinental Hotels Group, 2025).</w:t>
      </w:r>
    </w:p>
    <w:p w14:paraId="1FA060FF" w14:textId="77777777" w:rsidR="000927A3" w:rsidRPr="004C540C" w:rsidRDefault="000927A3" w:rsidP="004C540C">
      <w:pPr>
        <w:spacing w:before="100" w:beforeAutospacing="1" w:after="100" w:afterAutospacing="1" w:line="240" w:lineRule="auto"/>
        <w:jc w:val="both"/>
        <w:outlineLvl w:val="1"/>
        <w:rPr>
          <w:rFonts w:ascii="Arial" w:eastAsia="Times New Roman" w:hAnsi="Arial" w:cs="Arial"/>
          <w:b/>
          <w:bCs/>
          <w:sz w:val="24"/>
          <w:szCs w:val="24"/>
          <w:lang w:eastAsia="en-IN"/>
        </w:rPr>
      </w:pPr>
      <w:r w:rsidRPr="004C540C">
        <w:rPr>
          <w:rFonts w:ascii="Arial" w:eastAsia="Times New Roman" w:hAnsi="Arial" w:cs="Arial"/>
          <w:b/>
          <w:bCs/>
          <w:sz w:val="24"/>
          <w:szCs w:val="24"/>
          <w:lang w:eastAsia="en-IN"/>
        </w:rPr>
        <w:t>1.7 Overall Financial Position (2021-2025)</w:t>
      </w:r>
    </w:p>
    <w:p w14:paraId="42469C8C" w14:textId="77777777" w:rsidR="000927A3" w:rsidRPr="004C540C" w:rsidRDefault="000927A3" w:rsidP="004C540C">
      <w:pPr>
        <w:spacing w:before="100" w:beforeAutospacing="1" w:after="100" w:afterAutospacing="1" w:line="240" w:lineRule="auto"/>
        <w:jc w:val="both"/>
        <w:outlineLvl w:val="1"/>
        <w:rPr>
          <w:rFonts w:ascii="Arial" w:eastAsia="Times New Roman" w:hAnsi="Arial" w:cs="Arial"/>
          <w:sz w:val="24"/>
          <w:szCs w:val="24"/>
          <w:lang w:eastAsia="en-IN"/>
        </w:rPr>
      </w:pPr>
      <w:r w:rsidRPr="004C540C">
        <w:rPr>
          <w:rFonts w:ascii="Arial" w:eastAsia="Times New Roman" w:hAnsi="Arial" w:cs="Arial"/>
          <w:sz w:val="24"/>
          <w:szCs w:val="24"/>
          <w:lang w:eastAsia="en-IN"/>
        </w:rPr>
        <w:t>There has been a significant improvement in the overall financial position of IHG from 2021 to 2025. In addition, the company has been able to recover from the disruptions caused by the pandemic and delivered record level of financial performance in 2025.</w:t>
      </w:r>
    </w:p>
    <w:p w14:paraId="704ED9BF" w14:textId="7C6B7A7A" w:rsidR="000244C5" w:rsidRPr="004C540C" w:rsidRDefault="000244C5" w:rsidP="004C540C">
      <w:pPr>
        <w:spacing w:before="100" w:beforeAutospacing="1" w:after="100" w:afterAutospacing="1" w:line="240" w:lineRule="auto"/>
        <w:jc w:val="both"/>
        <w:outlineLvl w:val="1"/>
        <w:rPr>
          <w:rFonts w:ascii="Arial" w:eastAsia="Times New Roman" w:hAnsi="Arial" w:cs="Arial"/>
          <w:b/>
          <w:bCs/>
          <w:sz w:val="24"/>
          <w:szCs w:val="24"/>
          <w:lang w:eastAsia="en-IN"/>
        </w:rPr>
      </w:pPr>
      <w:r w:rsidRPr="004C540C">
        <w:rPr>
          <w:rFonts w:ascii="Arial" w:eastAsia="Times New Roman" w:hAnsi="Arial" w:cs="Arial"/>
          <w:b/>
          <w:bCs/>
          <w:sz w:val="24"/>
          <w:szCs w:val="24"/>
          <w:lang w:eastAsia="en-IN"/>
        </w:rPr>
        <w:t>Table 7: Overall Financial Trend</w:t>
      </w:r>
      <w:bookmarkEnd w:id="25"/>
      <w:bookmarkEnd w:id="26"/>
      <w:bookmarkEnd w:id="27"/>
    </w:p>
    <w:tbl>
      <w:tblPr>
        <w:tblStyle w:val="GridTable4-Accent5"/>
        <w:tblW w:w="5000" w:type="pct"/>
        <w:tblLook w:val="04A0" w:firstRow="1" w:lastRow="0" w:firstColumn="1" w:lastColumn="0" w:noHBand="0" w:noVBand="1"/>
      </w:tblPr>
      <w:tblGrid>
        <w:gridCol w:w="4006"/>
        <w:gridCol w:w="1037"/>
        <w:gridCol w:w="1037"/>
        <w:gridCol w:w="2936"/>
      </w:tblGrid>
      <w:tr w:rsidR="000244C5" w:rsidRPr="004C540C" w14:paraId="55CE9B22" w14:textId="77777777" w:rsidTr="000244C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2" w:type="pct"/>
            <w:vAlign w:val="center"/>
            <w:hideMark/>
          </w:tcPr>
          <w:p w14:paraId="1C047604" w14:textId="77777777" w:rsidR="000244C5" w:rsidRPr="004C540C" w:rsidRDefault="000244C5" w:rsidP="004C540C">
            <w:pPr>
              <w:jc w:val="both"/>
              <w:rPr>
                <w:rFonts w:ascii="Arial" w:eastAsia="Times New Roman" w:hAnsi="Arial" w:cs="Arial"/>
                <w:sz w:val="24"/>
                <w:szCs w:val="24"/>
                <w:lang w:eastAsia="en-IN"/>
              </w:rPr>
            </w:pPr>
            <w:r w:rsidRPr="004C540C">
              <w:rPr>
                <w:rFonts w:ascii="Arial" w:eastAsia="Times New Roman" w:hAnsi="Arial" w:cs="Arial"/>
                <w:sz w:val="24"/>
                <w:szCs w:val="24"/>
                <w:lang w:eastAsia="en-IN"/>
              </w:rPr>
              <w:t>Indicator</w:t>
            </w:r>
          </w:p>
        </w:tc>
        <w:tc>
          <w:tcPr>
            <w:tcW w:w="575" w:type="pct"/>
            <w:vAlign w:val="center"/>
            <w:hideMark/>
          </w:tcPr>
          <w:p w14:paraId="72303438" w14:textId="77777777" w:rsidR="000244C5" w:rsidRPr="004C540C" w:rsidRDefault="000244C5" w:rsidP="004C540C">
            <w:pPr>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2021</w:t>
            </w:r>
          </w:p>
        </w:tc>
        <w:tc>
          <w:tcPr>
            <w:tcW w:w="575" w:type="pct"/>
            <w:vAlign w:val="center"/>
            <w:hideMark/>
          </w:tcPr>
          <w:p w14:paraId="3E502E19" w14:textId="77777777" w:rsidR="000244C5" w:rsidRPr="004C540C" w:rsidRDefault="000244C5" w:rsidP="004C540C">
            <w:pPr>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2025</w:t>
            </w:r>
          </w:p>
        </w:tc>
        <w:tc>
          <w:tcPr>
            <w:tcW w:w="1629" w:type="pct"/>
            <w:vAlign w:val="center"/>
            <w:hideMark/>
          </w:tcPr>
          <w:p w14:paraId="25054256" w14:textId="77777777" w:rsidR="000244C5" w:rsidRPr="004C540C" w:rsidRDefault="000244C5" w:rsidP="004C540C">
            <w:pPr>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Change 2021–2025</w:t>
            </w:r>
          </w:p>
        </w:tc>
      </w:tr>
      <w:tr w:rsidR="000244C5" w:rsidRPr="004C540C" w14:paraId="64756357" w14:textId="77777777" w:rsidTr="000244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2" w:type="pct"/>
            <w:vAlign w:val="center"/>
            <w:hideMark/>
          </w:tcPr>
          <w:p w14:paraId="72224289" w14:textId="77777777" w:rsidR="000244C5" w:rsidRPr="004C540C" w:rsidRDefault="000244C5" w:rsidP="004C540C">
            <w:pPr>
              <w:jc w:val="both"/>
              <w:rPr>
                <w:rFonts w:ascii="Arial" w:eastAsia="Times New Roman" w:hAnsi="Arial" w:cs="Arial"/>
                <w:sz w:val="24"/>
                <w:szCs w:val="24"/>
                <w:lang w:eastAsia="en-IN"/>
              </w:rPr>
            </w:pPr>
            <w:r w:rsidRPr="004C540C">
              <w:rPr>
                <w:rFonts w:ascii="Arial" w:eastAsia="Times New Roman" w:hAnsi="Arial" w:cs="Arial"/>
                <w:sz w:val="24"/>
                <w:szCs w:val="24"/>
                <w:lang w:eastAsia="en-IN"/>
              </w:rPr>
              <w:t>Total revenue ($m)</w:t>
            </w:r>
          </w:p>
        </w:tc>
        <w:tc>
          <w:tcPr>
            <w:tcW w:w="575" w:type="pct"/>
            <w:vAlign w:val="center"/>
            <w:hideMark/>
          </w:tcPr>
          <w:p w14:paraId="275F8426" w14:textId="77777777" w:rsidR="000244C5" w:rsidRPr="004C540C" w:rsidRDefault="000244C5"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2,907</w:t>
            </w:r>
          </w:p>
        </w:tc>
        <w:tc>
          <w:tcPr>
            <w:tcW w:w="575" w:type="pct"/>
            <w:vAlign w:val="center"/>
            <w:hideMark/>
          </w:tcPr>
          <w:p w14:paraId="165D5B62" w14:textId="77777777" w:rsidR="000244C5" w:rsidRPr="004C540C" w:rsidRDefault="000244C5"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5,189</w:t>
            </w:r>
          </w:p>
        </w:tc>
        <w:tc>
          <w:tcPr>
            <w:tcW w:w="1629" w:type="pct"/>
            <w:vAlign w:val="center"/>
            <w:hideMark/>
          </w:tcPr>
          <w:p w14:paraId="16876D36" w14:textId="77777777" w:rsidR="000244C5" w:rsidRPr="004C540C" w:rsidRDefault="000244C5"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+78.5%</w:t>
            </w:r>
          </w:p>
        </w:tc>
      </w:tr>
      <w:tr w:rsidR="000244C5" w:rsidRPr="004C540C" w14:paraId="5FDCA229" w14:textId="77777777" w:rsidTr="000244C5">
        <w:tc>
          <w:tcPr>
            <w:cnfStyle w:val="001000000000" w:firstRow="0" w:lastRow="0" w:firstColumn="1" w:lastColumn="0" w:oddVBand="0" w:evenVBand="0" w:oddHBand="0" w:evenHBand="0" w:firstRowFirstColumn="0" w:firstRowLastColumn="0" w:lastRowFirstColumn="0" w:lastRowLastColumn="0"/>
            <w:tcW w:w="2222" w:type="pct"/>
            <w:vAlign w:val="center"/>
            <w:hideMark/>
          </w:tcPr>
          <w:p w14:paraId="0670FFB0" w14:textId="77777777" w:rsidR="000244C5" w:rsidRPr="004C540C" w:rsidRDefault="000244C5" w:rsidP="004C540C">
            <w:pPr>
              <w:jc w:val="both"/>
              <w:rPr>
                <w:rFonts w:ascii="Arial" w:eastAsia="Times New Roman" w:hAnsi="Arial" w:cs="Arial"/>
                <w:sz w:val="24"/>
                <w:szCs w:val="24"/>
                <w:lang w:eastAsia="en-IN"/>
              </w:rPr>
            </w:pPr>
            <w:r w:rsidRPr="004C540C">
              <w:rPr>
                <w:rFonts w:ascii="Arial" w:eastAsia="Times New Roman" w:hAnsi="Arial" w:cs="Arial"/>
                <w:sz w:val="24"/>
                <w:szCs w:val="24"/>
                <w:lang w:eastAsia="en-IN"/>
              </w:rPr>
              <w:t>Operating profit ($m)</w:t>
            </w:r>
          </w:p>
        </w:tc>
        <w:tc>
          <w:tcPr>
            <w:tcW w:w="575" w:type="pct"/>
            <w:vAlign w:val="center"/>
            <w:hideMark/>
          </w:tcPr>
          <w:p w14:paraId="380DB8D0" w14:textId="77777777" w:rsidR="000244C5" w:rsidRPr="004C540C" w:rsidRDefault="000244C5"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494</w:t>
            </w:r>
          </w:p>
        </w:tc>
        <w:tc>
          <w:tcPr>
            <w:tcW w:w="575" w:type="pct"/>
            <w:vAlign w:val="center"/>
            <w:hideMark/>
          </w:tcPr>
          <w:p w14:paraId="0177CE0C" w14:textId="77777777" w:rsidR="000244C5" w:rsidRPr="004C540C" w:rsidRDefault="000244C5"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1,198</w:t>
            </w:r>
          </w:p>
        </w:tc>
        <w:tc>
          <w:tcPr>
            <w:tcW w:w="1629" w:type="pct"/>
            <w:vAlign w:val="center"/>
            <w:hideMark/>
          </w:tcPr>
          <w:p w14:paraId="6C284499" w14:textId="77777777" w:rsidR="000244C5" w:rsidRPr="004C540C" w:rsidRDefault="000244C5"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+142.5%</w:t>
            </w:r>
          </w:p>
        </w:tc>
      </w:tr>
      <w:tr w:rsidR="000244C5" w:rsidRPr="004C540C" w14:paraId="09CC3573" w14:textId="77777777" w:rsidTr="000244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2" w:type="pct"/>
            <w:vAlign w:val="center"/>
            <w:hideMark/>
          </w:tcPr>
          <w:p w14:paraId="2E45D896" w14:textId="77777777" w:rsidR="000244C5" w:rsidRPr="004C540C" w:rsidRDefault="000244C5" w:rsidP="004C540C">
            <w:pPr>
              <w:jc w:val="both"/>
              <w:rPr>
                <w:rFonts w:ascii="Arial" w:eastAsia="Times New Roman" w:hAnsi="Arial" w:cs="Arial"/>
                <w:sz w:val="24"/>
                <w:szCs w:val="24"/>
                <w:lang w:eastAsia="en-IN"/>
              </w:rPr>
            </w:pPr>
            <w:r w:rsidRPr="004C540C">
              <w:rPr>
                <w:rFonts w:ascii="Arial" w:eastAsia="Times New Roman" w:hAnsi="Arial" w:cs="Arial"/>
                <w:sz w:val="24"/>
                <w:szCs w:val="24"/>
                <w:lang w:eastAsia="en-IN"/>
              </w:rPr>
              <w:t>Profit for year ($m)</w:t>
            </w:r>
          </w:p>
        </w:tc>
        <w:tc>
          <w:tcPr>
            <w:tcW w:w="575" w:type="pct"/>
            <w:vAlign w:val="center"/>
            <w:hideMark/>
          </w:tcPr>
          <w:p w14:paraId="4892B63A" w14:textId="77777777" w:rsidR="000244C5" w:rsidRPr="004C540C" w:rsidRDefault="000244C5"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265</w:t>
            </w:r>
          </w:p>
        </w:tc>
        <w:tc>
          <w:tcPr>
            <w:tcW w:w="575" w:type="pct"/>
            <w:vAlign w:val="center"/>
            <w:hideMark/>
          </w:tcPr>
          <w:p w14:paraId="3F65B0B4" w14:textId="77777777" w:rsidR="000244C5" w:rsidRPr="004C540C" w:rsidRDefault="000244C5"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759</w:t>
            </w:r>
          </w:p>
        </w:tc>
        <w:tc>
          <w:tcPr>
            <w:tcW w:w="1629" w:type="pct"/>
            <w:vAlign w:val="center"/>
            <w:hideMark/>
          </w:tcPr>
          <w:p w14:paraId="3B38B6DE" w14:textId="77777777" w:rsidR="000244C5" w:rsidRPr="004C540C" w:rsidRDefault="000244C5"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+186.4%</w:t>
            </w:r>
          </w:p>
        </w:tc>
      </w:tr>
      <w:tr w:rsidR="000244C5" w:rsidRPr="004C540C" w14:paraId="1E8B996A" w14:textId="77777777" w:rsidTr="000244C5">
        <w:tc>
          <w:tcPr>
            <w:cnfStyle w:val="001000000000" w:firstRow="0" w:lastRow="0" w:firstColumn="1" w:lastColumn="0" w:oddVBand="0" w:evenVBand="0" w:oddHBand="0" w:evenHBand="0" w:firstRowFirstColumn="0" w:firstRowLastColumn="0" w:lastRowFirstColumn="0" w:lastRowLastColumn="0"/>
            <w:tcW w:w="2222" w:type="pct"/>
            <w:vAlign w:val="center"/>
            <w:hideMark/>
          </w:tcPr>
          <w:p w14:paraId="7A2B253C" w14:textId="77777777" w:rsidR="000244C5" w:rsidRPr="004C540C" w:rsidRDefault="000244C5" w:rsidP="004C540C">
            <w:pPr>
              <w:jc w:val="both"/>
              <w:rPr>
                <w:rFonts w:ascii="Arial" w:eastAsia="Times New Roman" w:hAnsi="Arial" w:cs="Arial"/>
                <w:sz w:val="24"/>
                <w:szCs w:val="24"/>
                <w:lang w:eastAsia="en-IN"/>
              </w:rPr>
            </w:pPr>
            <w:r w:rsidRPr="004C540C">
              <w:rPr>
                <w:rFonts w:ascii="Arial" w:eastAsia="Times New Roman" w:hAnsi="Arial" w:cs="Arial"/>
                <w:sz w:val="24"/>
                <w:szCs w:val="24"/>
                <w:lang w:eastAsia="en-IN"/>
              </w:rPr>
              <w:t>Fee-business revenue ($m)</w:t>
            </w:r>
          </w:p>
        </w:tc>
        <w:tc>
          <w:tcPr>
            <w:tcW w:w="575" w:type="pct"/>
            <w:vAlign w:val="center"/>
            <w:hideMark/>
          </w:tcPr>
          <w:p w14:paraId="6440724B" w14:textId="77777777" w:rsidR="000244C5" w:rsidRPr="004C540C" w:rsidRDefault="000244C5"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1,144</w:t>
            </w:r>
          </w:p>
        </w:tc>
        <w:tc>
          <w:tcPr>
            <w:tcW w:w="575" w:type="pct"/>
            <w:vAlign w:val="center"/>
            <w:hideMark/>
          </w:tcPr>
          <w:p w14:paraId="176D9F0F" w14:textId="77777777" w:rsidR="000244C5" w:rsidRPr="004C540C" w:rsidRDefault="000244C5"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1,897</w:t>
            </w:r>
          </w:p>
        </w:tc>
        <w:tc>
          <w:tcPr>
            <w:tcW w:w="1629" w:type="pct"/>
            <w:vAlign w:val="center"/>
            <w:hideMark/>
          </w:tcPr>
          <w:p w14:paraId="637BC6EF" w14:textId="77777777" w:rsidR="000244C5" w:rsidRPr="004C540C" w:rsidRDefault="000244C5"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+65.8%</w:t>
            </w:r>
          </w:p>
        </w:tc>
      </w:tr>
      <w:tr w:rsidR="000244C5" w:rsidRPr="004C540C" w14:paraId="5886297E" w14:textId="77777777" w:rsidTr="000244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2" w:type="pct"/>
            <w:vAlign w:val="center"/>
            <w:hideMark/>
          </w:tcPr>
          <w:p w14:paraId="6C894222" w14:textId="77777777" w:rsidR="000244C5" w:rsidRPr="004C540C" w:rsidRDefault="000244C5" w:rsidP="004C540C">
            <w:pPr>
              <w:jc w:val="both"/>
              <w:rPr>
                <w:rFonts w:ascii="Arial" w:eastAsia="Times New Roman" w:hAnsi="Arial" w:cs="Arial"/>
                <w:sz w:val="24"/>
                <w:szCs w:val="24"/>
                <w:lang w:eastAsia="en-IN"/>
              </w:rPr>
            </w:pPr>
            <w:r w:rsidRPr="004C540C">
              <w:rPr>
                <w:rFonts w:ascii="Arial" w:eastAsia="Times New Roman" w:hAnsi="Arial" w:cs="Arial"/>
                <w:sz w:val="24"/>
                <w:szCs w:val="24"/>
                <w:lang w:eastAsia="en-IN"/>
              </w:rPr>
              <w:t>Operating cash flow ($m)</w:t>
            </w:r>
          </w:p>
        </w:tc>
        <w:tc>
          <w:tcPr>
            <w:tcW w:w="575" w:type="pct"/>
            <w:vAlign w:val="center"/>
            <w:hideMark/>
          </w:tcPr>
          <w:p w14:paraId="68BB0F41" w14:textId="77777777" w:rsidR="000244C5" w:rsidRPr="004C540C" w:rsidRDefault="000244C5"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636</w:t>
            </w:r>
          </w:p>
        </w:tc>
        <w:tc>
          <w:tcPr>
            <w:tcW w:w="575" w:type="pct"/>
            <w:vAlign w:val="center"/>
            <w:hideMark/>
          </w:tcPr>
          <w:p w14:paraId="6B452905" w14:textId="77777777" w:rsidR="000244C5" w:rsidRPr="004C540C" w:rsidRDefault="000244C5"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898</w:t>
            </w:r>
          </w:p>
        </w:tc>
        <w:tc>
          <w:tcPr>
            <w:tcW w:w="1629" w:type="pct"/>
            <w:vAlign w:val="center"/>
            <w:hideMark/>
          </w:tcPr>
          <w:p w14:paraId="5743A10C" w14:textId="77777777" w:rsidR="000244C5" w:rsidRPr="004C540C" w:rsidRDefault="000244C5"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+41.2%</w:t>
            </w:r>
          </w:p>
        </w:tc>
      </w:tr>
      <w:tr w:rsidR="000244C5" w:rsidRPr="004C540C" w14:paraId="749BF35C" w14:textId="77777777" w:rsidTr="000244C5">
        <w:tc>
          <w:tcPr>
            <w:cnfStyle w:val="001000000000" w:firstRow="0" w:lastRow="0" w:firstColumn="1" w:lastColumn="0" w:oddVBand="0" w:evenVBand="0" w:oddHBand="0" w:evenHBand="0" w:firstRowFirstColumn="0" w:firstRowLastColumn="0" w:lastRowFirstColumn="0" w:lastRowLastColumn="0"/>
            <w:tcW w:w="2222" w:type="pct"/>
            <w:vAlign w:val="center"/>
            <w:hideMark/>
          </w:tcPr>
          <w:p w14:paraId="2DF2A256" w14:textId="77777777" w:rsidR="000244C5" w:rsidRPr="004C540C" w:rsidRDefault="000244C5" w:rsidP="004C540C">
            <w:pPr>
              <w:jc w:val="both"/>
              <w:rPr>
                <w:rFonts w:ascii="Arial" w:eastAsia="Times New Roman" w:hAnsi="Arial" w:cs="Arial"/>
                <w:sz w:val="24"/>
                <w:szCs w:val="24"/>
                <w:lang w:eastAsia="en-IN"/>
              </w:rPr>
            </w:pPr>
            <w:r w:rsidRPr="004C540C">
              <w:rPr>
                <w:rFonts w:ascii="Arial" w:eastAsia="Times New Roman" w:hAnsi="Arial" w:cs="Arial"/>
                <w:sz w:val="24"/>
                <w:szCs w:val="24"/>
                <w:lang w:eastAsia="en-IN"/>
              </w:rPr>
              <w:t>Adjusted FCF ($m)</w:t>
            </w:r>
          </w:p>
        </w:tc>
        <w:tc>
          <w:tcPr>
            <w:tcW w:w="575" w:type="pct"/>
            <w:vAlign w:val="center"/>
            <w:hideMark/>
          </w:tcPr>
          <w:p w14:paraId="504A95BB" w14:textId="77777777" w:rsidR="000244C5" w:rsidRPr="004C540C" w:rsidRDefault="000244C5"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571</w:t>
            </w:r>
          </w:p>
        </w:tc>
        <w:tc>
          <w:tcPr>
            <w:tcW w:w="575" w:type="pct"/>
            <w:vAlign w:val="center"/>
            <w:hideMark/>
          </w:tcPr>
          <w:p w14:paraId="585F14A1" w14:textId="77777777" w:rsidR="000244C5" w:rsidRPr="004C540C" w:rsidRDefault="000244C5"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893</w:t>
            </w:r>
          </w:p>
        </w:tc>
        <w:tc>
          <w:tcPr>
            <w:tcW w:w="1629" w:type="pct"/>
            <w:vAlign w:val="center"/>
            <w:hideMark/>
          </w:tcPr>
          <w:p w14:paraId="52A73B54" w14:textId="77777777" w:rsidR="000244C5" w:rsidRPr="004C540C" w:rsidRDefault="000244C5"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+56.4%</w:t>
            </w:r>
          </w:p>
        </w:tc>
      </w:tr>
      <w:tr w:rsidR="000244C5" w:rsidRPr="004C540C" w14:paraId="3A7EA879" w14:textId="77777777" w:rsidTr="000244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2" w:type="pct"/>
            <w:vAlign w:val="center"/>
            <w:hideMark/>
          </w:tcPr>
          <w:p w14:paraId="1DD3F534" w14:textId="77777777" w:rsidR="000244C5" w:rsidRPr="004C540C" w:rsidRDefault="000244C5" w:rsidP="004C540C">
            <w:pPr>
              <w:jc w:val="both"/>
              <w:rPr>
                <w:rFonts w:ascii="Arial" w:eastAsia="Times New Roman" w:hAnsi="Arial" w:cs="Arial"/>
                <w:sz w:val="24"/>
                <w:szCs w:val="24"/>
                <w:lang w:eastAsia="en-IN"/>
              </w:rPr>
            </w:pPr>
            <w:r w:rsidRPr="004C540C">
              <w:rPr>
                <w:rFonts w:ascii="Arial" w:eastAsia="Times New Roman" w:hAnsi="Arial" w:cs="Arial"/>
                <w:sz w:val="24"/>
                <w:szCs w:val="24"/>
                <w:lang w:eastAsia="en-IN"/>
              </w:rPr>
              <w:t>Net debt ($m)</w:t>
            </w:r>
          </w:p>
        </w:tc>
        <w:tc>
          <w:tcPr>
            <w:tcW w:w="575" w:type="pct"/>
            <w:vAlign w:val="center"/>
            <w:hideMark/>
          </w:tcPr>
          <w:p w14:paraId="67728B34" w14:textId="77777777" w:rsidR="000244C5" w:rsidRPr="004C540C" w:rsidRDefault="000244C5"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1,881</w:t>
            </w:r>
          </w:p>
        </w:tc>
        <w:tc>
          <w:tcPr>
            <w:tcW w:w="575" w:type="pct"/>
            <w:vAlign w:val="center"/>
            <w:hideMark/>
          </w:tcPr>
          <w:p w14:paraId="30533663" w14:textId="77777777" w:rsidR="000244C5" w:rsidRPr="004C540C" w:rsidRDefault="000244C5"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3,333</w:t>
            </w:r>
          </w:p>
        </w:tc>
        <w:tc>
          <w:tcPr>
            <w:tcW w:w="1629" w:type="pct"/>
            <w:vAlign w:val="center"/>
            <w:hideMark/>
          </w:tcPr>
          <w:p w14:paraId="035A4E68" w14:textId="77777777" w:rsidR="000244C5" w:rsidRPr="004C540C" w:rsidRDefault="000244C5"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+77.2%</w:t>
            </w:r>
          </w:p>
        </w:tc>
      </w:tr>
    </w:tbl>
    <w:p w14:paraId="56E6323F" w14:textId="77777777" w:rsidR="000244C5" w:rsidRPr="004C540C" w:rsidRDefault="000244C5" w:rsidP="004C540C">
      <w:pPr>
        <w:jc w:val="both"/>
        <w:rPr>
          <w:rFonts w:ascii="Arial" w:eastAsia="Times New Roman" w:hAnsi="Arial" w:cs="Arial"/>
          <w:sz w:val="24"/>
          <w:szCs w:val="24"/>
          <w:lang w:eastAsia="en-IN"/>
        </w:rPr>
      </w:pPr>
    </w:p>
    <w:p w14:paraId="7F02A163" w14:textId="77777777" w:rsidR="005A7717" w:rsidRPr="004C540C" w:rsidRDefault="005A7717" w:rsidP="004C540C">
      <w:pPr>
        <w:jc w:val="both"/>
        <w:rPr>
          <w:rFonts w:ascii="Arial" w:eastAsia="Times New Roman" w:hAnsi="Arial" w:cs="Arial"/>
          <w:sz w:val="24"/>
          <w:szCs w:val="24"/>
          <w:lang w:eastAsia="en-IN"/>
        </w:rPr>
      </w:pPr>
      <w:r w:rsidRPr="004C540C">
        <w:rPr>
          <w:rFonts w:ascii="Arial" w:eastAsia="Times New Roman" w:hAnsi="Arial" w:cs="Arial"/>
          <w:sz w:val="24"/>
          <w:szCs w:val="24"/>
          <w:lang w:eastAsia="en-IN"/>
        </w:rPr>
        <w:t>Among the main competitive advantages of the Company are its asset-light business model, its portfolio of global brands, its franchise network, and the capability of generating recurring commission income. The above-mentioned aspects have contributed to increasing the profitability of IHG at relatively low capital intensity compared to traditional hotel operators, which typically own more of their assets (InterContinental Hotels Group, 2024).</w:t>
      </w:r>
    </w:p>
    <w:p w14:paraId="22F64E13" w14:textId="77777777" w:rsidR="005A7717" w:rsidRPr="004C540C" w:rsidRDefault="005A7717" w:rsidP="004C540C">
      <w:pPr>
        <w:jc w:val="both"/>
        <w:rPr>
          <w:rFonts w:ascii="Arial" w:eastAsia="Times New Roman" w:hAnsi="Arial" w:cs="Arial"/>
          <w:sz w:val="24"/>
          <w:szCs w:val="24"/>
          <w:lang w:eastAsia="en-IN"/>
        </w:rPr>
      </w:pPr>
    </w:p>
    <w:p w14:paraId="04F395C0" w14:textId="77777777" w:rsidR="005A7717" w:rsidRPr="004C540C" w:rsidRDefault="005A7717" w:rsidP="004C540C">
      <w:pPr>
        <w:jc w:val="both"/>
        <w:rPr>
          <w:rFonts w:ascii="Arial" w:eastAsia="Times New Roman" w:hAnsi="Arial" w:cs="Arial"/>
          <w:sz w:val="24"/>
          <w:szCs w:val="24"/>
          <w:lang w:eastAsia="en-IN"/>
        </w:rPr>
      </w:pPr>
    </w:p>
    <w:p w14:paraId="5E1DF329" w14:textId="143D0B9F" w:rsidR="005A7717" w:rsidRPr="004C540C" w:rsidRDefault="005A7717" w:rsidP="004C540C">
      <w:pPr>
        <w:jc w:val="both"/>
        <w:rPr>
          <w:rFonts w:ascii="Arial" w:eastAsia="Times New Roman" w:hAnsi="Arial" w:cs="Arial"/>
          <w:b/>
          <w:bCs/>
          <w:sz w:val="28"/>
          <w:szCs w:val="28"/>
          <w:lang w:eastAsia="en-IN"/>
        </w:rPr>
      </w:pPr>
      <w:r w:rsidRPr="004C540C">
        <w:rPr>
          <w:rFonts w:ascii="Arial" w:eastAsia="Times New Roman" w:hAnsi="Arial" w:cs="Arial"/>
          <w:b/>
          <w:bCs/>
          <w:sz w:val="28"/>
          <w:szCs w:val="28"/>
          <w:lang w:eastAsia="en-IN"/>
        </w:rPr>
        <w:lastRenderedPageBreak/>
        <w:t>2. Analysis of Working Capital Management (2021-2025)</w:t>
      </w:r>
    </w:p>
    <w:p w14:paraId="14688F8C" w14:textId="77777777" w:rsidR="005A7717" w:rsidRPr="004C540C" w:rsidRDefault="005A7717" w:rsidP="004C540C">
      <w:pPr>
        <w:jc w:val="both"/>
        <w:rPr>
          <w:rFonts w:ascii="Arial" w:eastAsia="Times New Roman" w:hAnsi="Arial" w:cs="Arial"/>
          <w:b/>
          <w:bCs/>
          <w:sz w:val="28"/>
          <w:szCs w:val="28"/>
          <w:lang w:eastAsia="en-IN"/>
        </w:rPr>
      </w:pPr>
      <w:r w:rsidRPr="004C540C">
        <w:rPr>
          <w:rFonts w:ascii="Arial" w:eastAsia="Times New Roman" w:hAnsi="Arial" w:cs="Arial"/>
          <w:b/>
          <w:bCs/>
          <w:sz w:val="28"/>
          <w:szCs w:val="28"/>
          <w:lang w:eastAsia="en-IN"/>
        </w:rPr>
        <w:t>2.1 Cash Operating Cycle</w:t>
      </w:r>
    </w:p>
    <w:p w14:paraId="45C878F0" w14:textId="50441F22" w:rsidR="005A7717" w:rsidRPr="004C540C" w:rsidRDefault="005A7717" w:rsidP="004C540C">
      <w:pPr>
        <w:jc w:val="both"/>
        <w:rPr>
          <w:rFonts w:ascii="Arial" w:eastAsia="Times New Roman" w:hAnsi="Arial" w:cs="Arial"/>
          <w:b/>
          <w:bCs/>
          <w:sz w:val="24"/>
          <w:szCs w:val="24"/>
          <w:lang w:eastAsia="en-IN"/>
        </w:rPr>
      </w:pPr>
      <w:r w:rsidRPr="004C540C">
        <w:rPr>
          <w:rFonts w:ascii="Arial" w:eastAsia="Times New Roman" w:hAnsi="Arial" w:cs="Arial"/>
          <w:sz w:val="24"/>
          <w:szCs w:val="24"/>
          <w:lang w:eastAsia="en-IN"/>
        </w:rPr>
        <w:t>The management of the Company's working capital was rather efficient in the 2021-2025 timeframe due to the competitive advantages of the asset-light business model of the organization and the generation of operating cash flows. The cash operating cycle is an indicator that shows how long it takes for a company to convert its investments in operating activities into cash flows</w:t>
      </w:r>
      <w:r w:rsidR="004C59B9" w:rsidRPr="004C59B9">
        <w:rPr>
          <w:rFonts w:ascii="Arial" w:eastAsia="Times New Roman" w:hAnsi="Arial" w:cs="Arial"/>
          <w:sz w:val="24"/>
          <w:szCs w:val="24"/>
          <w:lang w:eastAsia="en-IN"/>
        </w:rPr>
        <w:t>(Seo et al., 2021)</w:t>
      </w:r>
      <w:r w:rsidRPr="004C540C">
        <w:rPr>
          <w:rFonts w:ascii="Arial" w:eastAsia="Times New Roman" w:hAnsi="Arial" w:cs="Arial"/>
          <w:sz w:val="24"/>
          <w:szCs w:val="24"/>
          <w:lang w:eastAsia="en-IN"/>
        </w:rPr>
        <w:t>.</w:t>
      </w:r>
    </w:p>
    <w:p w14:paraId="7BC1ECB8" w14:textId="7D83D67D" w:rsidR="00997440" w:rsidRPr="004C540C" w:rsidRDefault="00997440" w:rsidP="004C540C">
      <w:pPr>
        <w:jc w:val="both"/>
        <w:rPr>
          <w:rFonts w:ascii="Arial" w:eastAsia="Times New Roman" w:hAnsi="Arial" w:cs="Arial"/>
          <w:b/>
          <w:bCs/>
          <w:sz w:val="24"/>
          <w:szCs w:val="24"/>
          <w:lang w:eastAsia="en-IN"/>
        </w:rPr>
      </w:pPr>
      <w:r w:rsidRPr="004C540C">
        <w:rPr>
          <w:rFonts w:ascii="Arial" w:eastAsia="Times New Roman" w:hAnsi="Arial" w:cs="Arial"/>
          <w:b/>
          <w:bCs/>
          <w:sz w:val="24"/>
          <w:szCs w:val="24"/>
          <w:lang w:eastAsia="en-IN"/>
        </w:rPr>
        <w:t>The cash conversion cycle can be calculated as:</w:t>
      </w:r>
    </w:p>
    <w:p w14:paraId="59A34B00" w14:textId="77777777" w:rsidR="00997440" w:rsidRPr="004C540C" w:rsidRDefault="00997440" w:rsidP="004C540C">
      <w:pPr>
        <w:jc w:val="both"/>
        <w:rPr>
          <w:rFonts w:ascii="Arial" w:eastAsia="Times New Roman" w:hAnsi="Arial" w:cs="Arial"/>
          <w:b/>
          <w:bCs/>
          <w:sz w:val="24"/>
          <w:szCs w:val="24"/>
          <w:lang w:eastAsia="en-IN"/>
        </w:rPr>
      </w:pPr>
      <w:r w:rsidRPr="004C540C">
        <w:rPr>
          <w:rFonts w:ascii="Arial" w:eastAsia="Times New Roman" w:hAnsi="Arial" w:cs="Arial"/>
          <w:b/>
          <w:bCs/>
          <w:sz w:val="24"/>
          <w:szCs w:val="24"/>
          <w:lang w:eastAsia="en-IN"/>
        </w:rPr>
        <w:t>Cash Conversion Cycle (CCC) = Inventory Days + Receivable Days − Payable Days</w:t>
      </w:r>
    </w:p>
    <w:p w14:paraId="5AD61B46" w14:textId="77777777" w:rsidR="00F73563" w:rsidRPr="004C540C" w:rsidRDefault="00F73563" w:rsidP="004C540C">
      <w:pPr>
        <w:jc w:val="both"/>
        <w:rPr>
          <w:rFonts w:ascii="Arial" w:eastAsia="Times New Roman" w:hAnsi="Arial" w:cs="Arial"/>
          <w:sz w:val="24"/>
          <w:szCs w:val="24"/>
          <w:lang w:eastAsia="en-IN"/>
        </w:rPr>
      </w:pPr>
      <w:r w:rsidRPr="004C540C">
        <w:rPr>
          <w:rFonts w:ascii="Arial" w:eastAsia="Times New Roman" w:hAnsi="Arial" w:cs="Arial"/>
          <w:sz w:val="24"/>
          <w:szCs w:val="24"/>
          <w:lang w:eastAsia="en-IN"/>
        </w:rPr>
        <w:t>During the period between 2021 and 2025, IHG had extremely low requirements of inventory. Unlike manufacturing and retail firms, inventory requirements of IHG are not high due to the nature of the services it provides, namely accommodation. As indicated in Table 8, inventory amounts were within the range of $4-$5 million for the entire period. The low inventory requirement implies that less cash is required to manage working capital needs of IHG (InterContinental Hotels Group, 2025).</w:t>
      </w:r>
    </w:p>
    <w:p w14:paraId="3B860312" w14:textId="1E2A60F3" w:rsidR="00997440" w:rsidRPr="004C540C" w:rsidRDefault="00997440" w:rsidP="004C540C">
      <w:pPr>
        <w:jc w:val="both"/>
        <w:rPr>
          <w:rFonts w:ascii="Arial" w:eastAsia="Times New Roman" w:hAnsi="Arial" w:cs="Arial"/>
          <w:b/>
          <w:bCs/>
          <w:sz w:val="28"/>
          <w:szCs w:val="28"/>
          <w:lang w:eastAsia="en-IN"/>
        </w:rPr>
      </w:pPr>
      <w:r w:rsidRPr="004C540C">
        <w:rPr>
          <w:rFonts w:ascii="Arial" w:eastAsia="Times New Roman" w:hAnsi="Arial" w:cs="Arial"/>
          <w:b/>
          <w:bCs/>
          <w:sz w:val="28"/>
          <w:szCs w:val="28"/>
          <w:lang w:eastAsia="en-IN"/>
        </w:rPr>
        <w:t>Table 8: IHG Working Capital Indicators, 2021–2025</w:t>
      </w:r>
    </w:p>
    <w:tbl>
      <w:tblPr>
        <w:tblStyle w:val="GridTable4-Accent5"/>
        <w:tblW w:w="5000" w:type="pct"/>
        <w:tblLook w:val="04A0" w:firstRow="1" w:lastRow="0" w:firstColumn="1" w:lastColumn="0" w:noHBand="0" w:noVBand="1"/>
      </w:tblPr>
      <w:tblGrid>
        <w:gridCol w:w="4825"/>
        <w:gridCol w:w="839"/>
        <w:gridCol w:w="838"/>
        <w:gridCol w:w="838"/>
        <w:gridCol w:w="838"/>
        <w:gridCol w:w="838"/>
      </w:tblGrid>
      <w:tr w:rsidR="00997440" w:rsidRPr="004C540C" w14:paraId="4C4ED1A9" w14:textId="77777777" w:rsidTr="00134E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74" w:type="pct"/>
            <w:hideMark/>
          </w:tcPr>
          <w:p w14:paraId="1F30A5C7" w14:textId="77777777" w:rsidR="00997440" w:rsidRPr="004C540C" w:rsidRDefault="00997440" w:rsidP="004C540C">
            <w:pPr>
              <w:jc w:val="both"/>
              <w:rPr>
                <w:rFonts w:ascii="Arial" w:eastAsia="Times New Roman" w:hAnsi="Arial" w:cs="Arial"/>
                <w:sz w:val="24"/>
                <w:szCs w:val="24"/>
                <w:lang w:eastAsia="en-IN"/>
              </w:rPr>
            </w:pPr>
            <w:r w:rsidRPr="004C540C">
              <w:rPr>
                <w:rFonts w:ascii="Arial" w:eastAsia="Times New Roman" w:hAnsi="Arial" w:cs="Arial"/>
                <w:sz w:val="24"/>
                <w:szCs w:val="24"/>
                <w:lang w:eastAsia="en-IN"/>
              </w:rPr>
              <w:t>Working Capital Measure</w:t>
            </w:r>
          </w:p>
        </w:tc>
        <w:tc>
          <w:tcPr>
            <w:tcW w:w="465" w:type="pct"/>
            <w:hideMark/>
          </w:tcPr>
          <w:p w14:paraId="28548DC6" w14:textId="77777777" w:rsidR="00997440" w:rsidRPr="004C540C" w:rsidRDefault="00997440" w:rsidP="004C540C">
            <w:pPr>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2021</w:t>
            </w:r>
          </w:p>
        </w:tc>
        <w:tc>
          <w:tcPr>
            <w:tcW w:w="465" w:type="pct"/>
            <w:hideMark/>
          </w:tcPr>
          <w:p w14:paraId="4ECFAD89" w14:textId="77777777" w:rsidR="00997440" w:rsidRPr="004C540C" w:rsidRDefault="00997440" w:rsidP="004C540C">
            <w:pPr>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2022</w:t>
            </w:r>
          </w:p>
        </w:tc>
        <w:tc>
          <w:tcPr>
            <w:tcW w:w="465" w:type="pct"/>
            <w:hideMark/>
          </w:tcPr>
          <w:p w14:paraId="10413AFD" w14:textId="77777777" w:rsidR="00997440" w:rsidRPr="004C540C" w:rsidRDefault="00997440" w:rsidP="004C540C">
            <w:pPr>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2023</w:t>
            </w:r>
          </w:p>
        </w:tc>
        <w:tc>
          <w:tcPr>
            <w:tcW w:w="465" w:type="pct"/>
            <w:hideMark/>
          </w:tcPr>
          <w:p w14:paraId="3180A3B3" w14:textId="77777777" w:rsidR="00997440" w:rsidRPr="004C540C" w:rsidRDefault="00997440" w:rsidP="004C540C">
            <w:pPr>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2024</w:t>
            </w:r>
          </w:p>
        </w:tc>
        <w:tc>
          <w:tcPr>
            <w:tcW w:w="465" w:type="pct"/>
            <w:hideMark/>
          </w:tcPr>
          <w:p w14:paraId="2F14CED0" w14:textId="77777777" w:rsidR="00997440" w:rsidRPr="004C540C" w:rsidRDefault="00997440" w:rsidP="004C540C">
            <w:pPr>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2025</w:t>
            </w:r>
          </w:p>
        </w:tc>
      </w:tr>
      <w:tr w:rsidR="00997440" w:rsidRPr="004C540C" w14:paraId="74ED8FBD" w14:textId="77777777" w:rsidTr="00134E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74" w:type="pct"/>
            <w:hideMark/>
          </w:tcPr>
          <w:p w14:paraId="06CE20E8" w14:textId="77777777" w:rsidR="00997440" w:rsidRPr="004C540C" w:rsidRDefault="00997440" w:rsidP="004C540C">
            <w:pPr>
              <w:jc w:val="both"/>
              <w:rPr>
                <w:rFonts w:ascii="Arial" w:eastAsia="Times New Roman" w:hAnsi="Arial" w:cs="Arial"/>
                <w:sz w:val="24"/>
                <w:szCs w:val="24"/>
                <w:lang w:eastAsia="en-IN"/>
              </w:rPr>
            </w:pPr>
            <w:r w:rsidRPr="004C540C">
              <w:rPr>
                <w:rFonts w:ascii="Arial" w:eastAsia="Times New Roman" w:hAnsi="Arial" w:cs="Arial"/>
                <w:sz w:val="24"/>
                <w:szCs w:val="24"/>
                <w:lang w:eastAsia="en-IN"/>
              </w:rPr>
              <w:t>Trade &amp; other receivables ($m)</w:t>
            </w:r>
          </w:p>
        </w:tc>
        <w:tc>
          <w:tcPr>
            <w:tcW w:w="465" w:type="pct"/>
            <w:hideMark/>
          </w:tcPr>
          <w:p w14:paraId="2CD115F6" w14:textId="77777777" w:rsidR="00997440" w:rsidRPr="004C540C" w:rsidRDefault="00997440"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574</w:t>
            </w:r>
          </w:p>
        </w:tc>
        <w:tc>
          <w:tcPr>
            <w:tcW w:w="465" w:type="pct"/>
            <w:hideMark/>
          </w:tcPr>
          <w:p w14:paraId="6C444240" w14:textId="77777777" w:rsidR="00997440" w:rsidRPr="004C540C" w:rsidRDefault="00997440"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646</w:t>
            </w:r>
          </w:p>
        </w:tc>
        <w:tc>
          <w:tcPr>
            <w:tcW w:w="465" w:type="pct"/>
            <w:hideMark/>
          </w:tcPr>
          <w:p w14:paraId="11AE80D2" w14:textId="77777777" w:rsidR="00997440" w:rsidRPr="004C540C" w:rsidRDefault="00997440"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740</w:t>
            </w:r>
          </w:p>
        </w:tc>
        <w:tc>
          <w:tcPr>
            <w:tcW w:w="465" w:type="pct"/>
            <w:hideMark/>
          </w:tcPr>
          <w:p w14:paraId="6E90BD98" w14:textId="77777777" w:rsidR="00997440" w:rsidRPr="004C540C" w:rsidRDefault="00997440"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785</w:t>
            </w:r>
          </w:p>
        </w:tc>
        <w:tc>
          <w:tcPr>
            <w:tcW w:w="465" w:type="pct"/>
            <w:hideMark/>
          </w:tcPr>
          <w:p w14:paraId="41C67118" w14:textId="77777777" w:rsidR="00997440" w:rsidRPr="004C540C" w:rsidRDefault="00997440"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833</w:t>
            </w:r>
          </w:p>
        </w:tc>
      </w:tr>
      <w:tr w:rsidR="00997440" w:rsidRPr="004C540C" w14:paraId="56E7D2BE" w14:textId="77777777" w:rsidTr="00134E0C">
        <w:tc>
          <w:tcPr>
            <w:cnfStyle w:val="001000000000" w:firstRow="0" w:lastRow="0" w:firstColumn="1" w:lastColumn="0" w:oddVBand="0" w:evenVBand="0" w:oddHBand="0" w:evenHBand="0" w:firstRowFirstColumn="0" w:firstRowLastColumn="0" w:lastRowFirstColumn="0" w:lastRowLastColumn="0"/>
            <w:tcW w:w="2674" w:type="pct"/>
            <w:hideMark/>
          </w:tcPr>
          <w:p w14:paraId="58B046AF" w14:textId="77777777" w:rsidR="00997440" w:rsidRPr="004C540C" w:rsidRDefault="00997440" w:rsidP="004C540C">
            <w:pPr>
              <w:jc w:val="both"/>
              <w:rPr>
                <w:rFonts w:ascii="Arial" w:eastAsia="Times New Roman" w:hAnsi="Arial" w:cs="Arial"/>
                <w:sz w:val="24"/>
                <w:szCs w:val="24"/>
                <w:lang w:eastAsia="en-IN"/>
              </w:rPr>
            </w:pPr>
            <w:r w:rsidRPr="004C540C">
              <w:rPr>
                <w:rFonts w:ascii="Arial" w:eastAsia="Times New Roman" w:hAnsi="Arial" w:cs="Arial"/>
                <w:sz w:val="24"/>
                <w:szCs w:val="24"/>
                <w:lang w:eastAsia="en-IN"/>
              </w:rPr>
              <w:t>Inventories ($m)</w:t>
            </w:r>
          </w:p>
        </w:tc>
        <w:tc>
          <w:tcPr>
            <w:tcW w:w="465" w:type="pct"/>
            <w:hideMark/>
          </w:tcPr>
          <w:p w14:paraId="7D949FAE" w14:textId="77777777" w:rsidR="00997440" w:rsidRPr="004C540C" w:rsidRDefault="00997440"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4</w:t>
            </w:r>
          </w:p>
        </w:tc>
        <w:tc>
          <w:tcPr>
            <w:tcW w:w="465" w:type="pct"/>
            <w:hideMark/>
          </w:tcPr>
          <w:p w14:paraId="49BEDCEF" w14:textId="77777777" w:rsidR="00997440" w:rsidRPr="004C540C" w:rsidRDefault="00997440"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4</w:t>
            </w:r>
          </w:p>
        </w:tc>
        <w:tc>
          <w:tcPr>
            <w:tcW w:w="465" w:type="pct"/>
            <w:hideMark/>
          </w:tcPr>
          <w:p w14:paraId="3A2E8714" w14:textId="77777777" w:rsidR="00997440" w:rsidRPr="004C540C" w:rsidRDefault="00997440"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5</w:t>
            </w:r>
          </w:p>
        </w:tc>
        <w:tc>
          <w:tcPr>
            <w:tcW w:w="465" w:type="pct"/>
            <w:hideMark/>
          </w:tcPr>
          <w:p w14:paraId="2600E455" w14:textId="77777777" w:rsidR="00997440" w:rsidRPr="004C540C" w:rsidRDefault="00997440"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5</w:t>
            </w:r>
          </w:p>
        </w:tc>
        <w:tc>
          <w:tcPr>
            <w:tcW w:w="465" w:type="pct"/>
            <w:hideMark/>
          </w:tcPr>
          <w:p w14:paraId="0B445119" w14:textId="77777777" w:rsidR="00997440" w:rsidRPr="004C540C" w:rsidRDefault="00997440"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5</w:t>
            </w:r>
          </w:p>
        </w:tc>
      </w:tr>
      <w:tr w:rsidR="00997440" w:rsidRPr="004C540C" w14:paraId="13FA234A" w14:textId="77777777" w:rsidTr="00134E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74" w:type="pct"/>
            <w:hideMark/>
          </w:tcPr>
          <w:p w14:paraId="168CB8BD" w14:textId="77777777" w:rsidR="00997440" w:rsidRPr="004C540C" w:rsidRDefault="00997440" w:rsidP="004C540C">
            <w:pPr>
              <w:jc w:val="both"/>
              <w:rPr>
                <w:rFonts w:ascii="Arial" w:eastAsia="Times New Roman" w:hAnsi="Arial" w:cs="Arial"/>
                <w:sz w:val="24"/>
                <w:szCs w:val="24"/>
                <w:lang w:eastAsia="en-IN"/>
              </w:rPr>
            </w:pPr>
            <w:r w:rsidRPr="004C540C">
              <w:rPr>
                <w:rFonts w:ascii="Arial" w:eastAsia="Times New Roman" w:hAnsi="Arial" w:cs="Arial"/>
                <w:sz w:val="24"/>
                <w:szCs w:val="24"/>
                <w:lang w:eastAsia="en-IN"/>
              </w:rPr>
              <w:t>Current trade &amp; other payables ($m)</w:t>
            </w:r>
          </w:p>
        </w:tc>
        <w:tc>
          <w:tcPr>
            <w:tcW w:w="465" w:type="pct"/>
            <w:hideMark/>
          </w:tcPr>
          <w:p w14:paraId="2F97EBD9" w14:textId="77777777" w:rsidR="00997440" w:rsidRPr="004C540C" w:rsidRDefault="00997440"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579</w:t>
            </w:r>
          </w:p>
        </w:tc>
        <w:tc>
          <w:tcPr>
            <w:tcW w:w="465" w:type="pct"/>
            <w:hideMark/>
          </w:tcPr>
          <w:p w14:paraId="723FBEB8" w14:textId="77777777" w:rsidR="00997440" w:rsidRPr="004C540C" w:rsidRDefault="00997440"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697</w:t>
            </w:r>
          </w:p>
        </w:tc>
        <w:tc>
          <w:tcPr>
            <w:tcW w:w="465" w:type="pct"/>
            <w:hideMark/>
          </w:tcPr>
          <w:p w14:paraId="12847F59" w14:textId="77777777" w:rsidR="00997440" w:rsidRPr="004C540C" w:rsidRDefault="00997440"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711</w:t>
            </w:r>
          </w:p>
        </w:tc>
        <w:tc>
          <w:tcPr>
            <w:tcW w:w="465" w:type="pct"/>
            <w:hideMark/>
          </w:tcPr>
          <w:p w14:paraId="00163F65" w14:textId="77777777" w:rsidR="00997440" w:rsidRPr="004C540C" w:rsidRDefault="00997440"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650</w:t>
            </w:r>
          </w:p>
        </w:tc>
        <w:tc>
          <w:tcPr>
            <w:tcW w:w="465" w:type="pct"/>
            <w:hideMark/>
          </w:tcPr>
          <w:p w14:paraId="708AB2CC" w14:textId="77777777" w:rsidR="00997440" w:rsidRPr="004C540C" w:rsidRDefault="00997440"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676</w:t>
            </w:r>
          </w:p>
        </w:tc>
      </w:tr>
      <w:tr w:rsidR="00997440" w:rsidRPr="004C540C" w14:paraId="4C038EDC" w14:textId="77777777" w:rsidTr="00134E0C">
        <w:tc>
          <w:tcPr>
            <w:cnfStyle w:val="001000000000" w:firstRow="0" w:lastRow="0" w:firstColumn="1" w:lastColumn="0" w:oddVBand="0" w:evenVBand="0" w:oddHBand="0" w:evenHBand="0" w:firstRowFirstColumn="0" w:firstRowLastColumn="0" w:lastRowFirstColumn="0" w:lastRowLastColumn="0"/>
            <w:tcW w:w="2674" w:type="pct"/>
            <w:hideMark/>
          </w:tcPr>
          <w:p w14:paraId="7E2893A3" w14:textId="77777777" w:rsidR="00997440" w:rsidRPr="004C540C" w:rsidRDefault="00997440" w:rsidP="004C540C">
            <w:pPr>
              <w:jc w:val="both"/>
              <w:rPr>
                <w:rFonts w:ascii="Arial" w:eastAsia="Times New Roman" w:hAnsi="Arial" w:cs="Arial"/>
                <w:sz w:val="24"/>
                <w:szCs w:val="24"/>
                <w:lang w:eastAsia="en-IN"/>
              </w:rPr>
            </w:pPr>
            <w:r w:rsidRPr="004C540C">
              <w:rPr>
                <w:rFonts w:ascii="Arial" w:eastAsia="Times New Roman" w:hAnsi="Arial" w:cs="Arial"/>
                <w:sz w:val="24"/>
                <w:szCs w:val="24"/>
                <w:lang w:eastAsia="en-IN"/>
              </w:rPr>
              <w:t>Non-current trade &amp; other payables ($m)</w:t>
            </w:r>
          </w:p>
        </w:tc>
        <w:tc>
          <w:tcPr>
            <w:tcW w:w="465" w:type="pct"/>
            <w:hideMark/>
          </w:tcPr>
          <w:p w14:paraId="75B4D889" w14:textId="77777777" w:rsidR="00997440" w:rsidRPr="004C540C" w:rsidRDefault="00997440"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89</w:t>
            </w:r>
          </w:p>
        </w:tc>
        <w:tc>
          <w:tcPr>
            <w:tcW w:w="465" w:type="pct"/>
            <w:hideMark/>
          </w:tcPr>
          <w:p w14:paraId="35E3F795" w14:textId="77777777" w:rsidR="00997440" w:rsidRPr="004C540C" w:rsidRDefault="00997440"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81</w:t>
            </w:r>
          </w:p>
        </w:tc>
        <w:tc>
          <w:tcPr>
            <w:tcW w:w="465" w:type="pct"/>
            <w:hideMark/>
          </w:tcPr>
          <w:p w14:paraId="059DD3B1" w14:textId="77777777" w:rsidR="00997440" w:rsidRPr="004C540C" w:rsidRDefault="00997440"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75</w:t>
            </w:r>
          </w:p>
        </w:tc>
        <w:tc>
          <w:tcPr>
            <w:tcW w:w="465" w:type="pct"/>
            <w:hideMark/>
          </w:tcPr>
          <w:p w14:paraId="12CEE87F" w14:textId="77777777" w:rsidR="00997440" w:rsidRPr="004C540C" w:rsidRDefault="00997440"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78</w:t>
            </w:r>
          </w:p>
        </w:tc>
        <w:tc>
          <w:tcPr>
            <w:tcW w:w="465" w:type="pct"/>
            <w:hideMark/>
          </w:tcPr>
          <w:p w14:paraId="26BA16A5" w14:textId="77777777" w:rsidR="00997440" w:rsidRPr="004C540C" w:rsidRDefault="00997440"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69</w:t>
            </w:r>
          </w:p>
        </w:tc>
      </w:tr>
      <w:tr w:rsidR="00997440" w:rsidRPr="004C540C" w14:paraId="2CD762AF" w14:textId="77777777" w:rsidTr="00134E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74" w:type="pct"/>
            <w:hideMark/>
          </w:tcPr>
          <w:p w14:paraId="3F8C5C5F" w14:textId="77777777" w:rsidR="00997440" w:rsidRPr="004C540C" w:rsidRDefault="00997440" w:rsidP="004C540C">
            <w:pPr>
              <w:jc w:val="both"/>
              <w:rPr>
                <w:rFonts w:ascii="Arial" w:eastAsia="Times New Roman" w:hAnsi="Arial" w:cs="Arial"/>
                <w:sz w:val="24"/>
                <w:szCs w:val="24"/>
                <w:lang w:eastAsia="en-IN"/>
              </w:rPr>
            </w:pPr>
            <w:r w:rsidRPr="004C540C">
              <w:rPr>
                <w:rFonts w:ascii="Arial" w:eastAsia="Times New Roman" w:hAnsi="Arial" w:cs="Arial"/>
                <w:sz w:val="24"/>
                <w:szCs w:val="24"/>
                <w:lang w:eastAsia="en-IN"/>
              </w:rPr>
              <w:t>Total trade &amp; other payables ($m)</w:t>
            </w:r>
          </w:p>
        </w:tc>
        <w:tc>
          <w:tcPr>
            <w:tcW w:w="465" w:type="pct"/>
            <w:hideMark/>
          </w:tcPr>
          <w:p w14:paraId="06C0892C" w14:textId="77777777" w:rsidR="00997440" w:rsidRPr="004C540C" w:rsidRDefault="00997440"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668</w:t>
            </w:r>
          </w:p>
        </w:tc>
        <w:tc>
          <w:tcPr>
            <w:tcW w:w="465" w:type="pct"/>
            <w:hideMark/>
          </w:tcPr>
          <w:p w14:paraId="235B1C9A" w14:textId="77777777" w:rsidR="00997440" w:rsidRPr="004C540C" w:rsidRDefault="00997440"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778</w:t>
            </w:r>
          </w:p>
        </w:tc>
        <w:tc>
          <w:tcPr>
            <w:tcW w:w="465" w:type="pct"/>
            <w:hideMark/>
          </w:tcPr>
          <w:p w14:paraId="7964FB96" w14:textId="77777777" w:rsidR="00997440" w:rsidRPr="004C540C" w:rsidRDefault="00997440"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786</w:t>
            </w:r>
          </w:p>
        </w:tc>
        <w:tc>
          <w:tcPr>
            <w:tcW w:w="465" w:type="pct"/>
            <w:hideMark/>
          </w:tcPr>
          <w:p w14:paraId="321499D0" w14:textId="77777777" w:rsidR="00997440" w:rsidRPr="004C540C" w:rsidRDefault="00997440"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728</w:t>
            </w:r>
          </w:p>
        </w:tc>
        <w:tc>
          <w:tcPr>
            <w:tcW w:w="465" w:type="pct"/>
            <w:hideMark/>
          </w:tcPr>
          <w:p w14:paraId="5B5D7ED4" w14:textId="77777777" w:rsidR="00997440" w:rsidRPr="004C540C" w:rsidRDefault="00997440"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745</w:t>
            </w:r>
          </w:p>
        </w:tc>
      </w:tr>
    </w:tbl>
    <w:p w14:paraId="5DF19AFB" w14:textId="77777777" w:rsidR="00997440" w:rsidRPr="004C540C" w:rsidRDefault="00997440" w:rsidP="004C540C">
      <w:pPr>
        <w:jc w:val="both"/>
        <w:rPr>
          <w:rFonts w:ascii="Arial" w:eastAsia="Times New Roman" w:hAnsi="Arial" w:cs="Arial"/>
          <w:sz w:val="24"/>
          <w:szCs w:val="24"/>
          <w:lang w:eastAsia="en-IN"/>
        </w:rPr>
      </w:pPr>
      <w:r w:rsidRPr="004C540C">
        <w:rPr>
          <w:rFonts w:ascii="Arial" w:eastAsia="Times New Roman" w:hAnsi="Arial" w:cs="Arial"/>
          <w:sz w:val="24"/>
          <w:szCs w:val="24"/>
          <w:lang w:eastAsia="en-IN"/>
        </w:rPr>
        <w:t>Source: InterContinental Hotels Group Annual Reports (2021–2025).</w:t>
      </w:r>
    </w:p>
    <w:p w14:paraId="5656560F" w14:textId="77777777" w:rsidR="006D0F6D" w:rsidRPr="004C540C" w:rsidRDefault="006D0F6D" w:rsidP="004C540C">
      <w:pPr>
        <w:jc w:val="both"/>
        <w:rPr>
          <w:rFonts w:ascii="Arial" w:eastAsia="Times New Roman" w:hAnsi="Arial" w:cs="Arial"/>
          <w:sz w:val="24"/>
          <w:szCs w:val="24"/>
          <w:lang w:eastAsia="en-IN"/>
        </w:rPr>
      </w:pPr>
      <w:r w:rsidRPr="004C540C">
        <w:rPr>
          <w:rFonts w:ascii="Arial" w:eastAsia="Times New Roman" w:hAnsi="Arial" w:cs="Arial"/>
          <w:sz w:val="24"/>
          <w:szCs w:val="24"/>
          <w:lang w:eastAsia="en-IN"/>
        </w:rPr>
        <w:t>Receivables rose from $574 million in 2021 to $833 million in 2025 due to the revival of trading activities and the growth in IHG's business. However, the rise in receivables needs to be put in context with the tremendous growth in revenues that the company experienced over the mentioned period.</w:t>
      </w:r>
    </w:p>
    <w:p w14:paraId="4930538B" w14:textId="77777777" w:rsidR="006D0F6D" w:rsidRPr="004C540C" w:rsidRDefault="006D0F6D" w:rsidP="004C540C">
      <w:pPr>
        <w:jc w:val="both"/>
        <w:rPr>
          <w:rFonts w:ascii="Arial" w:eastAsia="Times New Roman" w:hAnsi="Arial" w:cs="Arial"/>
          <w:sz w:val="24"/>
          <w:szCs w:val="24"/>
          <w:lang w:eastAsia="en-IN"/>
        </w:rPr>
      </w:pPr>
      <w:r w:rsidRPr="004C540C">
        <w:rPr>
          <w:rFonts w:ascii="Arial" w:eastAsia="Times New Roman" w:hAnsi="Arial" w:cs="Arial"/>
          <w:sz w:val="24"/>
          <w:szCs w:val="24"/>
          <w:lang w:eastAsia="en-IN"/>
        </w:rPr>
        <w:t>Additionally, IHG benefited from the possibility of handling payments to its suppliers effectively. Trade and other payables were higher than receivables in 2021-2023, and they remained at quite a high level over the whole period. The benefit for IHG is in the fact that cash is not needed to pay suppliers immediately, and this becomes an additional source of short-term finance. Supplier payment periods need to be controlled in order to keep a good relationship with suppliers and avoid any interruptions in hotel operations.</w:t>
      </w:r>
    </w:p>
    <w:p w14:paraId="09F65928" w14:textId="5E01CA05" w:rsidR="005C429D" w:rsidRPr="004C540C" w:rsidRDefault="006D0F6D" w:rsidP="004C540C">
      <w:pPr>
        <w:jc w:val="both"/>
        <w:rPr>
          <w:rFonts w:ascii="Arial" w:hAnsi="Arial" w:cs="Arial"/>
          <w:sz w:val="24"/>
          <w:szCs w:val="24"/>
        </w:rPr>
      </w:pPr>
      <w:r w:rsidRPr="004C540C">
        <w:rPr>
          <w:rFonts w:ascii="Arial" w:eastAsia="Times New Roman" w:hAnsi="Arial" w:cs="Arial"/>
          <w:sz w:val="24"/>
          <w:szCs w:val="24"/>
          <w:lang w:eastAsia="en-IN"/>
        </w:rPr>
        <w:t>Further, the working capital situation can be shown through the cash conversion cycle. According to the efficiency calculations, IHG had a negative cash conversion cycle for the most part of the period, while in 2025, it approached zero. It means less financing is needed to operate daily (Brealey et al., 2023).</w:t>
      </w:r>
    </w:p>
    <w:p w14:paraId="2EAAED2F" w14:textId="77777777" w:rsidR="006D0F6D" w:rsidRPr="004C540C" w:rsidRDefault="006D0F6D" w:rsidP="004C540C">
      <w:pPr>
        <w:pStyle w:val="Heading2"/>
        <w:jc w:val="both"/>
        <w:rPr>
          <w:rStyle w:val="Strong"/>
          <w:rFonts w:ascii="Arial" w:hAnsi="Arial" w:cs="Arial"/>
          <w:b/>
          <w:bCs/>
          <w:sz w:val="28"/>
          <w:szCs w:val="28"/>
        </w:rPr>
      </w:pPr>
      <w:bookmarkStart w:id="28" w:name="_Toc237377455"/>
      <w:bookmarkStart w:id="29" w:name="_Toc237378370"/>
    </w:p>
    <w:bookmarkEnd w:id="28"/>
    <w:bookmarkEnd w:id="29"/>
    <w:p w14:paraId="0AE4F58A" w14:textId="77777777" w:rsidR="006B7652" w:rsidRPr="004C540C" w:rsidRDefault="006B7652" w:rsidP="004C540C">
      <w:pPr>
        <w:jc w:val="both"/>
        <w:rPr>
          <w:rStyle w:val="Strong"/>
          <w:rFonts w:ascii="Arial" w:eastAsia="Times New Roman" w:hAnsi="Arial" w:cs="Arial"/>
          <w:sz w:val="28"/>
          <w:szCs w:val="28"/>
          <w:lang w:eastAsia="en-IN"/>
        </w:rPr>
      </w:pPr>
      <w:r w:rsidRPr="004C540C">
        <w:rPr>
          <w:rStyle w:val="Strong"/>
          <w:rFonts w:ascii="Arial" w:eastAsia="Times New Roman" w:hAnsi="Arial" w:cs="Arial"/>
          <w:sz w:val="28"/>
          <w:szCs w:val="28"/>
          <w:lang w:eastAsia="en-IN"/>
        </w:rPr>
        <w:lastRenderedPageBreak/>
        <w:t>2.2 Strategies for Enhancing Liquidity</w:t>
      </w:r>
    </w:p>
    <w:p w14:paraId="0CAC77F7" w14:textId="77777777" w:rsidR="006B7652" w:rsidRPr="004C540C" w:rsidRDefault="006B7652" w:rsidP="004C540C">
      <w:pPr>
        <w:jc w:val="both"/>
        <w:rPr>
          <w:rStyle w:val="Strong"/>
          <w:rFonts w:ascii="Arial" w:eastAsia="Times New Roman" w:hAnsi="Arial" w:cs="Arial"/>
          <w:b w:val="0"/>
          <w:bCs w:val="0"/>
          <w:sz w:val="24"/>
          <w:szCs w:val="24"/>
          <w:lang w:eastAsia="en-IN"/>
        </w:rPr>
      </w:pPr>
      <w:r w:rsidRPr="004C540C">
        <w:rPr>
          <w:rStyle w:val="Strong"/>
          <w:rFonts w:ascii="Arial" w:eastAsia="Times New Roman" w:hAnsi="Arial" w:cs="Arial"/>
          <w:b w:val="0"/>
          <w:bCs w:val="0"/>
          <w:sz w:val="24"/>
          <w:szCs w:val="24"/>
          <w:lang w:eastAsia="en-IN"/>
        </w:rPr>
        <w:t>IHG's liquidity has been effective because of high operating cash flow and an asset-light business model. However, there are some strategies that can further enhance the financial liquidity of the company. For example, the development of digital payment systems will help in quick payment of the franchise fee and other payments. Improved payment processes will lead to cash flow predictability and reduce the period of conversion of sales into cash (Brealey et al., 2023).</w:t>
      </w:r>
    </w:p>
    <w:p w14:paraId="4F83077C" w14:textId="77777777" w:rsidR="006B7652" w:rsidRPr="004C540C" w:rsidRDefault="006B7652" w:rsidP="004C540C">
      <w:pPr>
        <w:jc w:val="both"/>
        <w:rPr>
          <w:rStyle w:val="Strong"/>
          <w:rFonts w:ascii="Arial" w:eastAsia="Times New Roman" w:hAnsi="Arial" w:cs="Arial"/>
          <w:b w:val="0"/>
          <w:bCs w:val="0"/>
          <w:sz w:val="24"/>
          <w:szCs w:val="24"/>
          <w:lang w:eastAsia="en-IN"/>
        </w:rPr>
      </w:pPr>
      <w:r w:rsidRPr="004C540C">
        <w:rPr>
          <w:rStyle w:val="Strong"/>
          <w:rFonts w:ascii="Arial" w:eastAsia="Times New Roman" w:hAnsi="Arial" w:cs="Arial"/>
          <w:b w:val="0"/>
          <w:bCs w:val="0"/>
          <w:sz w:val="24"/>
          <w:szCs w:val="24"/>
          <w:lang w:eastAsia="en-IN"/>
        </w:rPr>
        <w:t>Additionally, IHG can benefit from the development of the artificial intelligence and data analytics to improve revenue forecasting, cash flow planning, and financial decision-making in different markets (InterContinental Hotels Group, 2025).</w:t>
      </w:r>
    </w:p>
    <w:p w14:paraId="70C30832" w14:textId="77777777" w:rsidR="006B7652" w:rsidRPr="004C540C" w:rsidRDefault="006B7652" w:rsidP="004C540C">
      <w:pPr>
        <w:jc w:val="both"/>
        <w:rPr>
          <w:rStyle w:val="Strong"/>
          <w:rFonts w:ascii="Arial" w:eastAsia="Times New Roman" w:hAnsi="Arial" w:cs="Arial"/>
          <w:sz w:val="28"/>
          <w:szCs w:val="28"/>
          <w:lang w:eastAsia="en-IN"/>
        </w:rPr>
      </w:pPr>
      <w:r w:rsidRPr="004C540C">
        <w:rPr>
          <w:rStyle w:val="Strong"/>
          <w:rFonts w:ascii="Arial" w:eastAsia="Times New Roman" w:hAnsi="Arial" w:cs="Arial"/>
          <w:sz w:val="28"/>
          <w:szCs w:val="28"/>
          <w:lang w:eastAsia="en-IN"/>
        </w:rPr>
        <w:t>2.3 Financing Choices</w:t>
      </w:r>
    </w:p>
    <w:p w14:paraId="52A40705" w14:textId="77777777" w:rsidR="006B7652" w:rsidRPr="004C540C" w:rsidRDefault="006B7652" w:rsidP="004C540C">
      <w:pPr>
        <w:jc w:val="both"/>
        <w:rPr>
          <w:rStyle w:val="Strong"/>
          <w:rFonts w:ascii="Arial" w:eastAsia="Times New Roman" w:hAnsi="Arial" w:cs="Arial"/>
          <w:b w:val="0"/>
          <w:bCs w:val="0"/>
          <w:sz w:val="24"/>
          <w:szCs w:val="24"/>
          <w:lang w:eastAsia="en-IN"/>
        </w:rPr>
      </w:pPr>
      <w:r w:rsidRPr="004C540C">
        <w:rPr>
          <w:rStyle w:val="Strong"/>
          <w:rFonts w:ascii="Arial" w:eastAsia="Times New Roman" w:hAnsi="Arial" w:cs="Arial"/>
          <w:b w:val="0"/>
          <w:bCs w:val="0"/>
          <w:sz w:val="24"/>
          <w:szCs w:val="24"/>
          <w:lang w:eastAsia="en-IN"/>
        </w:rPr>
        <w:t>IHG benefits from different options of financing to meet its operational needs, make strategic investments, and achieve growth goals. During the period from 2021 to 2025, increased profitability and high cash flow generation enhanced the financial flexibility of the company. Being an asset-light company, IHG does not need capital investments in the same extent as the competitors in the hotel industry.</w:t>
      </w:r>
    </w:p>
    <w:p w14:paraId="2BF4C485" w14:textId="70F3C39B" w:rsidR="00733ED2" w:rsidRPr="004C540C" w:rsidRDefault="00733ED2" w:rsidP="004C540C">
      <w:pPr>
        <w:jc w:val="both"/>
        <w:rPr>
          <w:rFonts w:ascii="Arial" w:eastAsia="Times New Roman" w:hAnsi="Arial" w:cs="Arial"/>
          <w:sz w:val="24"/>
          <w:szCs w:val="24"/>
          <w:lang w:eastAsia="en-IN"/>
        </w:rPr>
      </w:pPr>
      <w:r w:rsidRPr="004C540C">
        <w:rPr>
          <w:rFonts w:ascii="Arial" w:eastAsia="Times New Roman" w:hAnsi="Arial" w:cs="Arial"/>
          <w:sz w:val="24"/>
          <w:szCs w:val="24"/>
          <w:lang w:eastAsia="en-IN"/>
        </w:rPr>
        <w:t>These sources of finance are particularly useful during periods of uncertainty because they provide immediate access to funds. However, excessive dependence on short-term borrowing may increase refinancing risk and expose the company to interest rate fluctuations. Therefore, short-term finance should mainly support operational liquidity rather than long-term investment activities (Brealey et al., 2023).</w:t>
      </w:r>
    </w:p>
    <w:p w14:paraId="46BB9CA6" w14:textId="77777777" w:rsidR="00733ED2" w:rsidRPr="004C540C" w:rsidRDefault="00733ED2" w:rsidP="004C540C">
      <w:pPr>
        <w:jc w:val="both"/>
        <w:rPr>
          <w:rFonts w:ascii="Arial" w:eastAsia="Times New Roman" w:hAnsi="Arial" w:cs="Arial"/>
          <w:sz w:val="24"/>
          <w:szCs w:val="24"/>
          <w:lang w:eastAsia="en-IN"/>
        </w:rPr>
      </w:pPr>
      <w:r w:rsidRPr="004C540C">
        <w:rPr>
          <w:rFonts w:ascii="Arial" w:eastAsia="Times New Roman" w:hAnsi="Arial" w:cs="Arial"/>
          <w:sz w:val="24"/>
          <w:szCs w:val="24"/>
          <w:lang w:eastAsia="en-IN"/>
        </w:rPr>
        <w:t>Equity financing is also available as an alternative source of capital. Although IHG’s strong cash generation reduces its dependence on issuing new shares, equity financing could strengthen the balance sheet and provide additional funding for strategic opportunities. However, issuing additional capital can dilute existing shareholders and reduce earnings per share, meaning it should be carefully considered alongside debt and internal financing options (Damodaran, 2012).</w:t>
      </w:r>
    </w:p>
    <w:p w14:paraId="2C2C62B7" w14:textId="77777777" w:rsidR="005C429D" w:rsidRPr="004C540C" w:rsidRDefault="005C429D" w:rsidP="004C540C">
      <w:pPr>
        <w:jc w:val="both"/>
        <w:rPr>
          <w:rFonts w:ascii="Arial" w:hAnsi="Arial" w:cs="Arial"/>
          <w:sz w:val="24"/>
          <w:szCs w:val="24"/>
        </w:rPr>
      </w:pPr>
    </w:p>
    <w:p w14:paraId="2E21080B" w14:textId="77777777" w:rsidR="000F5891" w:rsidRPr="004C540C" w:rsidRDefault="000F5891" w:rsidP="004C540C">
      <w:pPr>
        <w:jc w:val="both"/>
        <w:rPr>
          <w:rStyle w:val="Strong"/>
          <w:rFonts w:ascii="Arial" w:eastAsiaTheme="majorEastAsia" w:hAnsi="Arial" w:cs="Arial"/>
          <w:color w:val="2E74B5" w:themeColor="accent1" w:themeShade="BF"/>
          <w:sz w:val="28"/>
          <w:szCs w:val="28"/>
        </w:rPr>
      </w:pPr>
      <w:r w:rsidRPr="004C540C">
        <w:rPr>
          <w:rStyle w:val="Strong"/>
          <w:rFonts w:ascii="Arial" w:hAnsi="Arial" w:cs="Arial"/>
          <w:sz w:val="28"/>
          <w:szCs w:val="28"/>
        </w:rPr>
        <w:br w:type="page"/>
      </w:r>
    </w:p>
    <w:p w14:paraId="3DD3C8DE" w14:textId="44D157C5" w:rsidR="000E3588" w:rsidRPr="004C540C" w:rsidRDefault="000E3588" w:rsidP="004C540C">
      <w:pPr>
        <w:pStyle w:val="Heading1"/>
        <w:jc w:val="both"/>
        <w:rPr>
          <w:rFonts w:ascii="Arial" w:hAnsi="Arial" w:cs="Arial"/>
          <w:b/>
          <w:bCs/>
          <w:sz w:val="28"/>
          <w:szCs w:val="28"/>
        </w:rPr>
      </w:pPr>
      <w:bookmarkStart w:id="30" w:name="_Toc237377456"/>
      <w:bookmarkStart w:id="31" w:name="_Toc237378372"/>
      <w:r w:rsidRPr="004C540C">
        <w:rPr>
          <w:rStyle w:val="Strong"/>
          <w:rFonts w:ascii="Arial" w:hAnsi="Arial" w:cs="Arial"/>
          <w:sz w:val="28"/>
          <w:szCs w:val="28"/>
        </w:rPr>
        <w:lastRenderedPageBreak/>
        <w:t>3. Strategic Financial Restructuring Plan (2021–2025)</w:t>
      </w:r>
      <w:bookmarkEnd w:id="30"/>
      <w:bookmarkEnd w:id="31"/>
    </w:p>
    <w:p w14:paraId="3FAB255B" w14:textId="77777777" w:rsidR="00E2639A" w:rsidRPr="004C540C" w:rsidRDefault="00E2639A" w:rsidP="004C540C">
      <w:pPr>
        <w:spacing w:before="100" w:beforeAutospacing="1" w:after="100" w:afterAutospacing="1" w:line="240" w:lineRule="auto"/>
        <w:jc w:val="both"/>
        <w:outlineLvl w:val="2"/>
        <w:rPr>
          <w:rStyle w:val="Strong"/>
          <w:rFonts w:ascii="Arial" w:eastAsia="Times New Roman" w:hAnsi="Arial" w:cs="Arial"/>
          <w:sz w:val="28"/>
          <w:szCs w:val="28"/>
          <w:lang w:eastAsia="en-IN"/>
        </w:rPr>
      </w:pPr>
      <w:bookmarkStart w:id="32" w:name="_Toc237376702"/>
      <w:bookmarkStart w:id="33" w:name="_Toc237377458"/>
      <w:bookmarkStart w:id="34" w:name="_Toc237378374"/>
      <w:r w:rsidRPr="004C540C">
        <w:rPr>
          <w:rStyle w:val="Strong"/>
          <w:rFonts w:ascii="Arial" w:eastAsia="Times New Roman" w:hAnsi="Arial" w:cs="Arial"/>
          <w:sz w:val="28"/>
          <w:szCs w:val="28"/>
          <w:lang w:eastAsia="en-IN"/>
        </w:rPr>
        <w:t>3.1 Recommended Strategies</w:t>
      </w:r>
    </w:p>
    <w:p w14:paraId="2434AB01" w14:textId="77777777" w:rsidR="00E2639A" w:rsidRPr="004C540C" w:rsidRDefault="00E2639A" w:rsidP="004C540C">
      <w:pPr>
        <w:spacing w:before="100" w:beforeAutospacing="1" w:after="100" w:afterAutospacing="1" w:line="240" w:lineRule="auto"/>
        <w:jc w:val="both"/>
        <w:outlineLvl w:val="2"/>
        <w:rPr>
          <w:rStyle w:val="Strong"/>
          <w:rFonts w:ascii="Arial" w:eastAsia="Times New Roman" w:hAnsi="Arial" w:cs="Arial"/>
          <w:b w:val="0"/>
          <w:bCs w:val="0"/>
          <w:sz w:val="24"/>
          <w:szCs w:val="24"/>
          <w:lang w:eastAsia="en-IN"/>
        </w:rPr>
      </w:pPr>
      <w:r w:rsidRPr="004C540C">
        <w:rPr>
          <w:rStyle w:val="Strong"/>
          <w:rFonts w:ascii="Arial" w:eastAsia="Times New Roman" w:hAnsi="Arial" w:cs="Arial"/>
          <w:b w:val="0"/>
          <w:bCs w:val="0"/>
          <w:sz w:val="24"/>
          <w:szCs w:val="24"/>
          <w:lang w:eastAsia="en-IN"/>
        </w:rPr>
        <w:t>As per the financial performance of IHG from 2021 to 2025, it can be observed that the company will further build its strategy of reducing assets through the increase in franchises and management agreements and decrease in owned and leased property.</w:t>
      </w:r>
    </w:p>
    <w:p w14:paraId="45D89DBD" w14:textId="49357E22" w:rsidR="003A7D16" w:rsidRPr="004C540C" w:rsidRDefault="000244C5" w:rsidP="004C540C">
      <w:pPr>
        <w:spacing w:before="100" w:beforeAutospacing="1" w:after="100" w:afterAutospacing="1" w:line="240" w:lineRule="auto"/>
        <w:jc w:val="both"/>
        <w:outlineLvl w:val="2"/>
        <w:rPr>
          <w:rFonts w:ascii="Arial" w:eastAsia="Times New Roman" w:hAnsi="Arial" w:cs="Arial"/>
          <w:b/>
          <w:bCs/>
          <w:sz w:val="24"/>
          <w:szCs w:val="24"/>
          <w:lang w:eastAsia="en-IN"/>
        </w:rPr>
      </w:pPr>
      <w:r w:rsidRPr="004C540C">
        <w:rPr>
          <w:rFonts w:ascii="Arial" w:eastAsia="Times New Roman" w:hAnsi="Arial" w:cs="Arial"/>
          <w:b/>
          <w:bCs/>
          <w:sz w:val="28"/>
          <w:szCs w:val="28"/>
          <w:lang w:eastAsia="en-IN"/>
        </w:rPr>
        <w:t>Table 9</w:t>
      </w:r>
      <w:r w:rsidR="003A7D16" w:rsidRPr="004C540C">
        <w:rPr>
          <w:rFonts w:ascii="Arial" w:eastAsia="Times New Roman" w:hAnsi="Arial" w:cs="Arial"/>
          <w:b/>
          <w:bCs/>
          <w:sz w:val="28"/>
          <w:szCs w:val="28"/>
          <w:lang w:eastAsia="en-IN"/>
        </w:rPr>
        <w:t>: Hotel System Growth</w:t>
      </w:r>
      <w:bookmarkEnd w:id="32"/>
      <w:bookmarkEnd w:id="33"/>
      <w:bookmarkEnd w:id="34"/>
    </w:p>
    <w:tbl>
      <w:tblPr>
        <w:tblStyle w:val="GridTable4-Accent5"/>
        <w:tblW w:w="5000" w:type="pct"/>
        <w:tblLook w:val="04A0" w:firstRow="1" w:lastRow="0" w:firstColumn="1" w:lastColumn="0" w:noHBand="0" w:noVBand="1"/>
      </w:tblPr>
      <w:tblGrid>
        <w:gridCol w:w="2785"/>
        <w:gridCol w:w="1163"/>
        <w:gridCol w:w="912"/>
        <w:gridCol w:w="1307"/>
        <w:gridCol w:w="1307"/>
        <w:gridCol w:w="1542"/>
      </w:tblGrid>
      <w:tr w:rsidR="003A7D16" w:rsidRPr="004C540C" w14:paraId="403CF7B1" w14:textId="77777777" w:rsidTr="003A7D1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4" w:type="pct"/>
            <w:vAlign w:val="center"/>
            <w:hideMark/>
          </w:tcPr>
          <w:p w14:paraId="222828C3" w14:textId="77777777" w:rsidR="003A7D16" w:rsidRPr="004C540C" w:rsidRDefault="003A7D16" w:rsidP="004C540C">
            <w:pPr>
              <w:jc w:val="both"/>
              <w:rPr>
                <w:rFonts w:ascii="Arial" w:eastAsia="Times New Roman" w:hAnsi="Arial" w:cs="Arial"/>
                <w:sz w:val="24"/>
                <w:szCs w:val="24"/>
                <w:lang w:eastAsia="en-IN"/>
              </w:rPr>
            </w:pPr>
            <w:r w:rsidRPr="004C540C">
              <w:rPr>
                <w:rFonts w:ascii="Arial" w:eastAsia="Times New Roman" w:hAnsi="Arial" w:cs="Arial"/>
                <w:sz w:val="24"/>
                <w:szCs w:val="24"/>
                <w:lang w:eastAsia="en-IN"/>
              </w:rPr>
              <w:t>Measure</w:t>
            </w:r>
          </w:p>
        </w:tc>
        <w:tc>
          <w:tcPr>
            <w:tcW w:w="645" w:type="pct"/>
            <w:vAlign w:val="center"/>
            <w:hideMark/>
          </w:tcPr>
          <w:p w14:paraId="79B09727" w14:textId="77777777" w:rsidR="003A7D16" w:rsidRPr="004C540C" w:rsidRDefault="003A7D16" w:rsidP="004C540C">
            <w:pPr>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2021</w:t>
            </w:r>
          </w:p>
        </w:tc>
        <w:tc>
          <w:tcPr>
            <w:tcW w:w="506" w:type="pct"/>
            <w:vAlign w:val="center"/>
            <w:hideMark/>
          </w:tcPr>
          <w:p w14:paraId="06A3BCF7" w14:textId="77777777" w:rsidR="003A7D16" w:rsidRPr="004C540C" w:rsidRDefault="003A7D16" w:rsidP="004C540C">
            <w:pPr>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2022</w:t>
            </w:r>
          </w:p>
        </w:tc>
        <w:tc>
          <w:tcPr>
            <w:tcW w:w="725" w:type="pct"/>
            <w:vAlign w:val="center"/>
            <w:hideMark/>
          </w:tcPr>
          <w:p w14:paraId="529504B4" w14:textId="77777777" w:rsidR="003A7D16" w:rsidRPr="004C540C" w:rsidRDefault="003A7D16" w:rsidP="004C540C">
            <w:pPr>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2023</w:t>
            </w:r>
          </w:p>
        </w:tc>
        <w:tc>
          <w:tcPr>
            <w:tcW w:w="725" w:type="pct"/>
            <w:vAlign w:val="center"/>
            <w:hideMark/>
          </w:tcPr>
          <w:p w14:paraId="39E25757" w14:textId="77777777" w:rsidR="003A7D16" w:rsidRPr="004C540C" w:rsidRDefault="003A7D16" w:rsidP="004C540C">
            <w:pPr>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2024</w:t>
            </w:r>
          </w:p>
        </w:tc>
        <w:tc>
          <w:tcPr>
            <w:tcW w:w="856" w:type="pct"/>
            <w:vAlign w:val="center"/>
            <w:hideMark/>
          </w:tcPr>
          <w:p w14:paraId="3B3D784D" w14:textId="77777777" w:rsidR="003A7D16" w:rsidRPr="004C540C" w:rsidRDefault="003A7D16" w:rsidP="004C540C">
            <w:pPr>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2025</w:t>
            </w:r>
          </w:p>
        </w:tc>
      </w:tr>
      <w:tr w:rsidR="003A7D16" w:rsidRPr="004C540C" w14:paraId="15898D70" w14:textId="77777777" w:rsidTr="003A7D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4" w:type="pct"/>
            <w:vAlign w:val="center"/>
            <w:hideMark/>
          </w:tcPr>
          <w:p w14:paraId="7DF71358" w14:textId="77777777" w:rsidR="003A7D16" w:rsidRPr="004C540C" w:rsidRDefault="003A7D16" w:rsidP="004C540C">
            <w:pPr>
              <w:jc w:val="both"/>
              <w:rPr>
                <w:rFonts w:ascii="Arial" w:eastAsia="Times New Roman" w:hAnsi="Arial" w:cs="Arial"/>
                <w:sz w:val="24"/>
                <w:szCs w:val="24"/>
                <w:lang w:eastAsia="en-IN"/>
              </w:rPr>
            </w:pPr>
            <w:r w:rsidRPr="004C540C">
              <w:rPr>
                <w:rFonts w:ascii="Arial" w:eastAsia="Times New Roman" w:hAnsi="Arial" w:cs="Arial"/>
                <w:sz w:val="24"/>
                <w:szCs w:val="24"/>
                <w:lang w:eastAsia="en-IN"/>
              </w:rPr>
              <w:t>Global hotels</w:t>
            </w:r>
          </w:p>
        </w:tc>
        <w:tc>
          <w:tcPr>
            <w:tcW w:w="645" w:type="pct"/>
            <w:vAlign w:val="center"/>
            <w:hideMark/>
          </w:tcPr>
          <w:p w14:paraId="0AAE1334" w14:textId="77777777" w:rsidR="003A7D16" w:rsidRPr="004C540C" w:rsidRDefault="003A7D16"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~6,000</w:t>
            </w:r>
          </w:p>
        </w:tc>
        <w:tc>
          <w:tcPr>
            <w:tcW w:w="506" w:type="pct"/>
            <w:vAlign w:val="center"/>
            <w:hideMark/>
          </w:tcPr>
          <w:p w14:paraId="53236BA9" w14:textId="77777777" w:rsidR="003A7D16" w:rsidRPr="004C540C" w:rsidRDefault="003A7D16"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w:t>
            </w:r>
          </w:p>
        </w:tc>
        <w:tc>
          <w:tcPr>
            <w:tcW w:w="725" w:type="pct"/>
            <w:vAlign w:val="center"/>
            <w:hideMark/>
          </w:tcPr>
          <w:p w14:paraId="10E60DF6" w14:textId="77777777" w:rsidR="003A7D16" w:rsidRPr="004C540C" w:rsidRDefault="003A7D16"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6,363</w:t>
            </w:r>
          </w:p>
        </w:tc>
        <w:tc>
          <w:tcPr>
            <w:tcW w:w="725" w:type="pct"/>
            <w:vAlign w:val="center"/>
            <w:hideMark/>
          </w:tcPr>
          <w:p w14:paraId="64B2487E" w14:textId="77777777" w:rsidR="003A7D16" w:rsidRPr="004C540C" w:rsidRDefault="003A7D16"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6,629</w:t>
            </w:r>
          </w:p>
        </w:tc>
        <w:tc>
          <w:tcPr>
            <w:tcW w:w="856" w:type="pct"/>
            <w:vAlign w:val="center"/>
            <w:hideMark/>
          </w:tcPr>
          <w:p w14:paraId="2693F778" w14:textId="77777777" w:rsidR="003A7D16" w:rsidRPr="004C540C" w:rsidRDefault="003A7D16"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6,963</w:t>
            </w:r>
          </w:p>
        </w:tc>
      </w:tr>
      <w:tr w:rsidR="003A7D16" w:rsidRPr="004C540C" w14:paraId="1A7A5FA4" w14:textId="77777777" w:rsidTr="003A7D16">
        <w:tc>
          <w:tcPr>
            <w:cnfStyle w:val="001000000000" w:firstRow="0" w:lastRow="0" w:firstColumn="1" w:lastColumn="0" w:oddVBand="0" w:evenVBand="0" w:oddHBand="0" w:evenHBand="0" w:firstRowFirstColumn="0" w:firstRowLastColumn="0" w:lastRowFirstColumn="0" w:lastRowLastColumn="0"/>
            <w:tcW w:w="1544" w:type="pct"/>
            <w:vAlign w:val="center"/>
            <w:hideMark/>
          </w:tcPr>
          <w:p w14:paraId="5903C92B" w14:textId="77777777" w:rsidR="003A7D16" w:rsidRPr="004C540C" w:rsidRDefault="003A7D16" w:rsidP="004C540C">
            <w:pPr>
              <w:jc w:val="both"/>
              <w:rPr>
                <w:rFonts w:ascii="Arial" w:eastAsia="Times New Roman" w:hAnsi="Arial" w:cs="Arial"/>
                <w:sz w:val="24"/>
                <w:szCs w:val="24"/>
                <w:lang w:eastAsia="en-IN"/>
              </w:rPr>
            </w:pPr>
            <w:r w:rsidRPr="004C540C">
              <w:rPr>
                <w:rFonts w:ascii="Arial" w:eastAsia="Times New Roman" w:hAnsi="Arial" w:cs="Arial"/>
                <w:sz w:val="24"/>
                <w:szCs w:val="24"/>
                <w:lang w:eastAsia="en-IN"/>
              </w:rPr>
              <w:t>Global rooms</w:t>
            </w:r>
          </w:p>
        </w:tc>
        <w:tc>
          <w:tcPr>
            <w:tcW w:w="645" w:type="pct"/>
            <w:vAlign w:val="center"/>
            <w:hideMark/>
          </w:tcPr>
          <w:p w14:paraId="01495B67" w14:textId="77777777" w:rsidR="003A7D16" w:rsidRPr="004C540C" w:rsidRDefault="003A7D16"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w:t>
            </w:r>
          </w:p>
        </w:tc>
        <w:tc>
          <w:tcPr>
            <w:tcW w:w="506" w:type="pct"/>
            <w:vAlign w:val="center"/>
            <w:hideMark/>
          </w:tcPr>
          <w:p w14:paraId="76443DA8" w14:textId="77777777" w:rsidR="003A7D16" w:rsidRPr="004C540C" w:rsidRDefault="003A7D16"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w:t>
            </w:r>
          </w:p>
        </w:tc>
        <w:tc>
          <w:tcPr>
            <w:tcW w:w="725" w:type="pct"/>
            <w:vAlign w:val="center"/>
            <w:hideMark/>
          </w:tcPr>
          <w:p w14:paraId="32FE3B90" w14:textId="77777777" w:rsidR="003A7D16" w:rsidRPr="004C540C" w:rsidRDefault="003A7D16"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946,000</w:t>
            </w:r>
          </w:p>
        </w:tc>
        <w:tc>
          <w:tcPr>
            <w:tcW w:w="725" w:type="pct"/>
            <w:vAlign w:val="center"/>
            <w:hideMark/>
          </w:tcPr>
          <w:p w14:paraId="5E3FC71F" w14:textId="77777777" w:rsidR="003A7D16" w:rsidRPr="004C540C" w:rsidRDefault="003A7D16"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987,000</w:t>
            </w:r>
          </w:p>
        </w:tc>
        <w:tc>
          <w:tcPr>
            <w:tcW w:w="856" w:type="pct"/>
            <w:vAlign w:val="center"/>
            <w:hideMark/>
          </w:tcPr>
          <w:p w14:paraId="4FC6D8DC" w14:textId="77777777" w:rsidR="003A7D16" w:rsidRPr="004C540C" w:rsidRDefault="003A7D16"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1,026,000</w:t>
            </w:r>
          </w:p>
        </w:tc>
      </w:tr>
      <w:tr w:rsidR="003A7D16" w:rsidRPr="004C540C" w14:paraId="7D1CA4F2" w14:textId="77777777" w:rsidTr="003A7D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4" w:type="pct"/>
            <w:vAlign w:val="center"/>
            <w:hideMark/>
          </w:tcPr>
          <w:p w14:paraId="63B3E9BF" w14:textId="77777777" w:rsidR="003A7D16" w:rsidRPr="004C540C" w:rsidRDefault="003A7D16" w:rsidP="004C540C">
            <w:pPr>
              <w:jc w:val="both"/>
              <w:rPr>
                <w:rFonts w:ascii="Arial" w:eastAsia="Times New Roman" w:hAnsi="Arial" w:cs="Arial"/>
                <w:sz w:val="24"/>
                <w:szCs w:val="24"/>
                <w:lang w:eastAsia="en-IN"/>
              </w:rPr>
            </w:pPr>
            <w:r w:rsidRPr="004C540C">
              <w:rPr>
                <w:rFonts w:ascii="Arial" w:eastAsia="Times New Roman" w:hAnsi="Arial" w:cs="Arial"/>
                <w:sz w:val="24"/>
                <w:szCs w:val="24"/>
                <w:lang w:eastAsia="en-IN"/>
              </w:rPr>
              <w:t>Pipeline hotels</w:t>
            </w:r>
          </w:p>
        </w:tc>
        <w:tc>
          <w:tcPr>
            <w:tcW w:w="645" w:type="pct"/>
            <w:vAlign w:val="center"/>
            <w:hideMark/>
          </w:tcPr>
          <w:p w14:paraId="081B360F" w14:textId="77777777" w:rsidR="003A7D16" w:rsidRPr="004C540C" w:rsidRDefault="003A7D16"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~1,800</w:t>
            </w:r>
          </w:p>
        </w:tc>
        <w:tc>
          <w:tcPr>
            <w:tcW w:w="506" w:type="pct"/>
            <w:vAlign w:val="center"/>
            <w:hideMark/>
          </w:tcPr>
          <w:p w14:paraId="16F57F9F" w14:textId="77777777" w:rsidR="003A7D16" w:rsidRPr="004C540C" w:rsidRDefault="003A7D16"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w:t>
            </w:r>
          </w:p>
        </w:tc>
        <w:tc>
          <w:tcPr>
            <w:tcW w:w="725" w:type="pct"/>
            <w:vAlign w:val="center"/>
            <w:hideMark/>
          </w:tcPr>
          <w:p w14:paraId="632DA3A4" w14:textId="77777777" w:rsidR="003A7D16" w:rsidRPr="004C540C" w:rsidRDefault="003A7D16"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2,016</w:t>
            </w:r>
          </w:p>
        </w:tc>
        <w:tc>
          <w:tcPr>
            <w:tcW w:w="725" w:type="pct"/>
            <w:vAlign w:val="center"/>
            <w:hideMark/>
          </w:tcPr>
          <w:p w14:paraId="68EBC336" w14:textId="77777777" w:rsidR="003A7D16" w:rsidRPr="004C540C" w:rsidRDefault="003A7D16"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2,210</w:t>
            </w:r>
          </w:p>
        </w:tc>
        <w:tc>
          <w:tcPr>
            <w:tcW w:w="856" w:type="pct"/>
            <w:vAlign w:val="center"/>
            <w:hideMark/>
          </w:tcPr>
          <w:p w14:paraId="37ACD964" w14:textId="77777777" w:rsidR="003A7D16" w:rsidRPr="004C540C" w:rsidRDefault="003A7D16"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2,292</w:t>
            </w:r>
          </w:p>
        </w:tc>
      </w:tr>
      <w:tr w:rsidR="003A7D16" w:rsidRPr="004C540C" w14:paraId="60EDAF38" w14:textId="77777777" w:rsidTr="003A7D16">
        <w:tc>
          <w:tcPr>
            <w:cnfStyle w:val="001000000000" w:firstRow="0" w:lastRow="0" w:firstColumn="1" w:lastColumn="0" w:oddVBand="0" w:evenVBand="0" w:oddHBand="0" w:evenHBand="0" w:firstRowFirstColumn="0" w:firstRowLastColumn="0" w:lastRowFirstColumn="0" w:lastRowLastColumn="0"/>
            <w:tcW w:w="1544" w:type="pct"/>
            <w:vAlign w:val="center"/>
            <w:hideMark/>
          </w:tcPr>
          <w:p w14:paraId="4EF0CD07" w14:textId="77777777" w:rsidR="003A7D16" w:rsidRPr="004C540C" w:rsidRDefault="003A7D16" w:rsidP="004C540C">
            <w:pPr>
              <w:jc w:val="both"/>
              <w:rPr>
                <w:rFonts w:ascii="Arial" w:eastAsia="Times New Roman" w:hAnsi="Arial" w:cs="Arial"/>
                <w:sz w:val="24"/>
                <w:szCs w:val="24"/>
                <w:lang w:eastAsia="en-IN"/>
              </w:rPr>
            </w:pPr>
            <w:r w:rsidRPr="004C540C">
              <w:rPr>
                <w:rFonts w:ascii="Arial" w:eastAsia="Times New Roman" w:hAnsi="Arial" w:cs="Arial"/>
                <w:sz w:val="24"/>
                <w:szCs w:val="24"/>
                <w:lang w:eastAsia="en-IN"/>
              </w:rPr>
              <w:t>Pipeline rooms</w:t>
            </w:r>
          </w:p>
        </w:tc>
        <w:tc>
          <w:tcPr>
            <w:tcW w:w="645" w:type="pct"/>
            <w:vAlign w:val="center"/>
            <w:hideMark/>
          </w:tcPr>
          <w:p w14:paraId="06F65BCA" w14:textId="77777777" w:rsidR="003A7D16" w:rsidRPr="004C540C" w:rsidRDefault="003A7D16"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w:t>
            </w:r>
          </w:p>
        </w:tc>
        <w:tc>
          <w:tcPr>
            <w:tcW w:w="506" w:type="pct"/>
            <w:vAlign w:val="center"/>
            <w:hideMark/>
          </w:tcPr>
          <w:p w14:paraId="342C0A7B" w14:textId="77777777" w:rsidR="003A7D16" w:rsidRPr="004C540C" w:rsidRDefault="003A7D16"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w:t>
            </w:r>
          </w:p>
        </w:tc>
        <w:tc>
          <w:tcPr>
            <w:tcW w:w="725" w:type="pct"/>
            <w:vAlign w:val="center"/>
            <w:hideMark/>
          </w:tcPr>
          <w:p w14:paraId="189AF012" w14:textId="77777777" w:rsidR="003A7D16" w:rsidRPr="004C540C" w:rsidRDefault="003A7D16"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297,000</w:t>
            </w:r>
          </w:p>
        </w:tc>
        <w:tc>
          <w:tcPr>
            <w:tcW w:w="725" w:type="pct"/>
            <w:vAlign w:val="center"/>
            <w:hideMark/>
          </w:tcPr>
          <w:p w14:paraId="0AF89EC9" w14:textId="77777777" w:rsidR="003A7D16" w:rsidRPr="004C540C" w:rsidRDefault="003A7D16"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325,000</w:t>
            </w:r>
          </w:p>
        </w:tc>
        <w:tc>
          <w:tcPr>
            <w:tcW w:w="856" w:type="pct"/>
            <w:vAlign w:val="center"/>
            <w:hideMark/>
          </w:tcPr>
          <w:p w14:paraId="7EF039FE" w14:textId="77777777" w:rsidR="003A7D16" w:rsidRPr="004C540C" w:rsidRDefault="003A7D16" w:rsidP="004C540C">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340,000</w:t>
            </w:r>
          </w:p>
        </w:tc>
      </w:tr>
      <w:tr w:rsidR="003A7D16" w:rsidRPr="004C540C" w14:paraId="58CE60EE" w14:textId="77777777" w:rsidTr="003A7D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4" w:type="pct"/>
            <w:vAlign w:val="center"/>
            <w:hideMark/>
          </w:tcPr>
          <w:p w14:paraId="1967F18E" w14:textId="77777777" w:rsidR="003A7D16" w:rsidRPr="004C540C" w:rsidRDefault="003A7D16" w:rsidP="004C540C">
            <w:pPr>
              <w:jc w:val="both"/>
              <w:rPr>
                <w:rFonts w:ascii="Arial" w:eastAsia="Times New Roman" w:hAnsi="Arial" w:cs="Arial"/>
                <w:sz w:val="24"/>
                <w:szCs w:val="24"/>
                <w:lang w:eastAsia="en-IN"/>
              </w:rPr>
            </w:pPr>
            <w:r w:rsidRPr="004C540C">
              <w:rPr>
                <w:rFonts w:ascii="Arial" w:eastAsia="Times New Roman" w:hAnsi="Arial" w:cs="Arial"/>
                <w:sz w:val="24"/>
                <w:szCs w:val="24"/>
                <w:lang w:eastAsia="en-IN"/>
              </w:rPr>
              <w:t>Net system growth</w:t>
            </w:r>
          </w:p>
        </w:tc>
        <w:tc>
          <w:tcPr>
            <w:tcW w:w="645" w:type="pct"/>
            <w:vAlign w:val="center"/>
            <w:hideMark/>
          </w:tcPr>
          <w:p w14:paraId="43AA91E1" w14:textId="77777777" w:rsidR="003A7D16" w:rsidRPr="004C540C" w:rsidRDefault="003A7D16"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w:t>
            </w:r>
          </w:p>
        </w:tc>
        <w:tc>
          <w:tcPr>
            <w:tcW w:w="506" w:type="pct"/>
            <w:vAlign w:val="center"/>
            <w:hideMark/>
          </w:tcPr>
          <w:p w14:paraId="01AB2E8C" w14:textId="77777777" w:rsidR="003A7D16" w:rsidRPr="004C540C" w:rsidRDefault="003A7D16"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w:t>
            </w:r>
          </w:p>
        </w:tc>
        <w:tc>
          <w:tcPr>
            <w:tcW w:w="725" w:type="pct"/>
            <w:vAlign w:val="center"/>
            <w:hideMark/>
          </w:tcPr>
          <w:p w14:paraId="1F25611E" w14:textId="77777777" w:rsidR="003A7D16" w:rsidRPr="004C540C" w:rsidRDefault="003A7D16"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3.8%</w:t>
            </w:r>
          </w:p>
        </w:tc>
        <w:tc>
          <w:tcPr>
            <w:tcW w:w="725" w:type="pct"/>
            <w:vAlign w:val="center"/>
            <w:hideMark/>
          </w:tcPr>
          <w:p w14:paraId="780B6E79" w14:textId="77777777" w:rsidR="003A7D16" w:rsidRPr="004C540C" w:rsidRDefault="003A7D16"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4.3%</w:t>
            </w:r>
          </w:p>
        </w:tc>
        <w:tc>
          <w:tcPr>
            <w:tcW w:w="856" w:type="pct"/>
            <w:vAlign w:val="center"/>
            <w:hideMark/>
          </w:tcPr>
          <w:p w14:paraId="699A2019" w14:textId="77777777" w:rsidR="003A7D16" w:rsidRPr="004C540C" w:rsidRDefault="003A7D16" w:rsidP="004C540C">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4"/>
                <w:szCs w:val="24"/>
                <w:lang w:eastAsia="en-IN"/>
              </w:rPr>
            </w:pPr>
            <w:r w:rsidRPr="004C540C">
              <w:rPr>
                <w:rFonts w:ascii="Arial" w:eastAsia="Times New Roman" w:hAnsi="Arial" w:cs="Arial"/>
                <w:sz w:val="24"/>
                <w:szCs w:val="24"/>
                <w:lang w:eastAsia="en-IN"/>
              </w:rPr>
              <w:t>4.7%*</w:t>
            </w:r>
          </w:p>
        </w:tc>
      </w:tr>
    </w:tbl>
    <w:p w14:paraId="0A60047E" w14:textId="77777777" w:rsidR="003A7D16" w:rsidRPr="004C540C" w:rsidRDefault="003A7D16" w:rsidP="004C540C">
      <w:pPr>
        <w:jc w:val="both"/>
        <w:rPr>
          <w:rFonts w:ascii="Arial" w:hAnsi="Arial" w:cs="Arial"/>
          <w:sz w:val="24"/>
          <w:szCs w:val="24"/>
          <w:lang w:eastAsia="en-IN"/>
        </w:rPr>
      </w:pPr>
    </w:p>
    <w:p w14:paraId="01B30845" w14:textId="77777777" w:rsidR="002E1434" w:rsidRPr="004C540C" w:rsidRDefault="002E1434" w:rsidP="004C540C">
      <w:pPr>
        <w:jc w:val="both"/>
        <w:rPr>
          <w:rFonts w:ascii="Arial" w:hAnsi="Arial" w:cs="Arial"/>
          <w:sz w:val="24"/>
          <w:szCs w:val="24"/>
          <w:lang w:eastAsia="en-IN"/>
        </w:rPr>
      </w:pPr>
      <w:r w:rsidRPr="004C540C">
        <w:rPr>
          <w:rFonts w:ascii="Arial" w:hAnsi="Arial" w:cs="Arial"/>
          <w:sz w:val="24"/>
          <w:szCs w:val="24"/>
          <w:lang w:eastAsia="en-IN"/>
        </w:rPr>
        <w:t>This strategy allows IHG to grow revenue without having to incur substantial capital expenditure and to improve the return on investment. IHG recorded a total revenue of approximately $5.2 billion in 2025, out of which fee business revenue was approximately $1.9 billion (InterContinental Hotels Group, 2025), highlighting the increasing importance of recurring revenue from fee-based operations.</w:t>
      </w:r>
    </w:p>
    <w:p w14:paraId="0F586ED5" w14:textId="4C50E8E0" w:rsidR="00733ED2" w:rsidRPr="004C540C" w:rsidRDefault="002E1434" w:rsidP="004C540C">
      <w:pPr>
        <w:jc w:val="both"/>
        <w:rPr>
          <w:rFonts w:ascii="Arial" w:hAnsi="Arial" w:cs="Arial"/>
          <w:sz w:val="24"/>
          <w:szCs w:val="24"/>
          <w:lang w:eastAsia="en-IN"/>
        </w:rPr>
      </w:pPr>
      <w:r w:rsidRPr="004C540C">
        <w:rPr>
          <w:rFonts w:ascii="Arial" w:hAnsi="Arial" w:cs="Arial"/>
          <w:sz w:val="24"/>
          <w:szCs w:val="24"/>
          <w:lang w:eastAsia="en-IN"/>
        </w:rPr>
        <w:t>It is better for IHG to focus on expanding its hotel chain through partnering with hotel developers and owners as opposed to acquiring properties through direct investment. This is because franchise agreements will enable their partners to finance much of the necessary capital investments in hotel development, while IHG will earn from royalty fees, management fees, and brand licensing revenue. In 2025, the global chain had expanded to approximately 6,963 hotels and more than one million rooms (InterContinental Hotels Group, 2025).</w:t>
      </w:r>
    </w:p>
    <w:p w14:paraId="56A8D264" w14:textId="77777777" w:rsidR="000F5891" w:rsidRPr="004C540C" w:rsidRDefault="000F5891" w:rsidP="004C540C">
      <w:pPr>
        <w:jc w:val="both"/>
        <w:rPr>
          <w:rFonts w:ascii="Arial" w:hAnsi="Arial" w:cs="Arial"/>
          <w:b/>
          <w:bCs/>
          <w:sz w:val="24"/>
          <w:szCs w:val="24"/>
          <w:lang w:eastAsia="en-IN"/>
        </w:rPr>
      </w:pPr>
      <w:r w:rsidRPr="004C540C">
        <w:rPr>
          <w:rFonts w:ascii="Arial" w:hAnsi="Arial" w:cs="Arial"/>
          <w:b/>
          <w:bCs/>
          <w:sz w:val="24"/>
          <w:szCs w:val="24"/>
          <w:lang w:eastAsia="en-IN"/>
        </w:rPr>
        <w:br w:type="page"/>
      </w:r>
    </w:p>
    <w:p w14:paraId="52255E12" w14:textId="7FA777B8" w:rsidR="00733ED2" w:rsidRPr="004C540C" w:rsidRDefault="00733ED2" w:rsidP="004C540C">
      <w:pPr>
        <w:pStyle w:val="Heading2"/>
        <w:jc w:val="both"/>
        <w:rPr>
          <w:rFonts w:ascii="Arial" w:hAnsi="Arial" w:cs="Arial"/>
          <w:b w:val="0"/>
          <w:bCs w:val="0"/>
          <w:sz w:val="28"/>
          <w:szCs w:val="28"/>
        </w:rPr>
      </w:pPr>
      <w:bookmarkStart w:id="35" w:name="_Toc237378375"/>
      <w:r w:rsidRPr="004C540C">
        <w:rPr>
          <w:rFonts w:ascii="Arial" w:hAnsi="Arial" w:cs="Arial"/>
          <w:sz w:val="28"/>
          <w:szCs w:val="28"/>
        </w:rPr>
        <w:lastRenderedPageBreak/>
        <w:t>3.2 Expected Impact on Financial Performance</w:t>
      </w:r>
      <w:bookmarkEnd w:id="35"/>
    </w:p>
    <w:p w14:paraId="6C4F7DED" w14:textId="77777777" w:rsidR="00445AEF" w:rsidRPr="004C540C" w:rsidRDefault="00445AEF" w:rsidP="004C540C">
      <w:pPr>
        <w:jc w:val="both"/>
        <w:rPr>
          <w:rFonts w:ascii="Arial" w:hAnsi="Arial" w:cs="Arial"/>
          <w:sz w:val="24"/>
          <w:szCs w:val="24"/>
          <w:lang w:eastAsia="en-IN"/>
        </w:rPr>
      </w:pPr>
      <w:r w:rsidRPr="004C540C">
        <w:rPr>
          <w:rFonts w:ascii="Arial" w:hAnsi="Arial" w:cs="Arial"/>
          <w:sz w:val="24"/>
          <w:szCs w:val="24"/>
          <w:lang w:eastAsia="en-IN"/>
        </w:rPr>
        <w:t>The execution of these strategies is expected to have a positive impact on the profitability, capital efficiency, and value creation of IHG. The expansion of franchise and management contracts would enhance the proportion of higher margin fees revenue, leading to better margins and minimizing dependence on low margin hotel operations (InterContinental Hotels Group, 2025).</w:t>
      </w:r>
    </w:p>
    <w:p w14:paraId="6EE54269" w14:textId="409ECDD5" w:rsidR="00F30E53" w:rsidRPr="004C540C" w:rsidRDefault="00445AEF" w:rsidP="004C540C">
      <w:pPr>
        <w:jc w:val="both"/>
        <w:rPr>
          <w:rFonts w:ascii="Arial" w:hAnsi="Arial" w:cs="Arial"/>
          <w:sz w:val="24"/>
          <w:szCs w:val="24"/>
          <w:lang w:eastAsia="en-IN"/>
        </w:rPr>
      </w:pPr>
      <w:r w:rsidRPr="004C540C">
        <w:rPr>
          <w:rFonts w:ascii="Arial" w:hAnsi="Arial" w:cs="Arial"/>
          <w:sz w:val="24"/>
          <w:szCs w:val="24"/>
          <w:lang w:eastAsia="en-IN"/>
        </w:rPr>
        <w:t>The impact of the asset-light strategy on IHG’s financial performance has already become evident in the period from 2021 through 2025. The total revenue increased from $2.9 billion in 2021 to $5.2 billion in 2025, whereas operating profit grew to approximately $1.2 billion in 2025. It proves that IHG has managed to grow earnings while preserving the capital efficiency of the company (InterContinental Hotels Group, 2025). Better debt management is also expected to enhance IHG’s financial performance. Better cash generation would allow more money for investments, dividend payments, and returns to shareholders. In 2025, IHG returned more than $1.1 billion to its shareholders, which speaks about the company’s strong ability to generate cash (InterContinental Hotels Group, 2025).</w:t>
      </w:r>
    </w:p>
    <w:p w14:paraId="57D00E4E" w14:textId="77777777" w:rsidR="00733ED2" w:rsidRPr="004C540C" w:rsidRDefault="00733ED2" w:rsidP="004C540C">
      <w:pPr>
        <w:pStyle w:val="Heading2"/>
        <w:jc w:val="both"/>
        <w:rPr>
          <w:rFonts w:ascii="Arial" w:hAnsi="Arial" w:cs="Arial"/>
          <w:b w:val="0"/>
          <w:bCs w:val="0"/>
          <w:sz w:val="28"/>
          <w:szCs w:val="28"/>
        </w:rPr>
      </w:pPr>
      <w:bookmarkStart w:id="36" w:name="_Toc237378376"/>
      <w:r w:rsidRPr="004C540C">
        <w:rPr>
          <w:rFonts w:ascii="Arial" w:hAnsi="Arial" w:cs="Arial"/>
          <w:sz w:val="28"/>
          <w:szCs w:val="28"/>
        </w:rPr>
        <w:t>3.3 International and Ethical Considerations (2021–2025)</w:t>
      </w:r>
      <w:bookmarkEnd w:id="36"/>
    </w:p>
    <w:p w14:paraId="7E043BC4" w14:textId="6876C69E" w:rsidR="00346FB8" w:rsidRPr="004C540C" w:rsidRDefault="00346FB8" w:rsidP="004C540C">
      <w:pPr>
        <w:pStyle w:val="Heading1"/>
        <w:jc w:val="both"/>
        <w:rPr>
          <w:rFonts w:ascii="Arial" w:eastAsiaTheme="minorHAnsi" w:hAnsi="Arial" w:cs="Arial"/>
          <w:color w:val="auto"/>
          <w:sz w:val="24"/>
          <w:szCs w:val="24"/>
          <w:lang w:eastAsia="en-IN"/>
        </w:rPr>
      </w:pPr>
      <w:bookmarkStart w:id="37" w:name="_Toc237378377"/>
      <w:r w:rsidRPr="004C540C">
        <w:rPr>
          <w:rFonts w:ascii="Arial" w:eastAsiaTheme="minorHAnsi" w:hAnsi="Arial" w:cs="Arial"/>
          <w:color w:val="auto"/>
          <w:sz w:val="24"/>
          <w:szCs w:val="24"/>
          <w:lang w:eastAsia="en-IN"/>
        </w:rPr>
        <w:t>Being an international hospitality company with presence in more than 100 countries, IHG needs to take into consideration a number of international economic, political, regulatory and ethical issues while implementing its financial restructuring plan. There are many chances for growth through expansion into new markets where there are high levels of tourism and the emergence of a middle class, along with improved international connections</w:t>
      </w:r>
      <w:r w:rsidR="003F4D8E" w:rsidRPr="003F4D8E">
        <w:rPr>
          <w:rFonts w:ascii="Arial" w:eastAsiaTheme="minorHAnsi" w:hAnsi="Arial" w:cs="Arial"/>
          <w:color w:val="auto"/>
          <w:sz w:val="24"/>
          <w:szCs w:val="24"/>
          <w:lang w:eastAsia="en-IN"/>
        </w:rPr>
        <w:t>(Contractor and Kundu, 1998; Seo et al., 2021)</w:t>
      </w:r>
      <w:r w:rsidRPr="004C540C">
        <w:rPr>
          <w:rFonts w:ascii="Arial" w:eastAsiaTheme="minorHAnsi" w:hAnsi="Arial" w:cs="Arial"/>
          <w:color w:val="auto"/>
          <w:sz w:val="24"/>
          <w:szCs w:val="24"/>
          <w:lang w:eastAsia="en-IN"/>
        </w:rPr>
        <w:t>.</w:t>
      </w:r>
    </w:p>
    <w:p w14:paraId="3EB2129D" w14:textId="77777777" w:rsidR="00346FB8" w:rsidRPr="004C540C" w:rsidRDefault="00346FB8" w:rsidP="004C540C">
      <w:pPr>
        <w:pStyle w:val="Heading1"/>
        <w:jc w:val="both"/>
        <w:rPr>
          <w:rFonts w:ascii="Arial" w:eastAsiaTheme="minorHAnsi" w:hAnsi="Arial" w:cs="Arial"/>
          <w:color w:val="auto"/>
          <w:sz w:val="24"/>
          <w:szCs w:val="24"/>
          <w:lang w:eastAsia="en-IN"/>
        </w:rPr>
      </w:pPr>
      <w:r w:rsidRPr="004C540C">
        <w:rPr>
          <w:rFonts w:ascii="Arial" w:eastAsiaTheme="minorHAnsi" w:hAnsi="Arial" w:cs="Arial"/>
          <w:color w:val="auto"/>
          <w:sz w:val="24"/>
          <w:szCs w:val="24"/>
          <w:lang w:eastAsia="en-IN"/>
        </w:rPr>
        <w:t>The company must make sure that it adheres to all tax, labor, and corporate governance laws prevailing in the country where the company is operating. Corporate governance is a very important issue for multinational firms since non-compliance may hurt their reputation (OECD, 2023).</w:t>
      </w:r>
    </w:p>
    <w:p w14:paraId="7A07C457" w14:textId="77777777" w:rsidR="00346FB8" w:rsidRPr="004C540C" w:rsidRDefault="00346FB8" w:rsidP="004C540C">
      <w:pPr>
        <w:jc w:val="both"/>
        <w:rPr>
          <w:rFonts w:ascii="Arial" w:hAnsi="Arial" w:cs="Arial"/>
          <w:sz w:val="24"/>
          <w:szCs w:val="24"/>
          <w:lang w:eastAsia="en-IN"/>
        </w:rPr>
      </w:pPr>
      <w:r w:rsidRPr="004C540C">
        <w:rPr>
          <w:rFonts w:ascii="Arial" w:hAnsi="Arial" w:cs="Arial"/>
          <w:sz w:val="24"/>
          <w:szCs w:val="24"/>
          <w:lang w:eastAsia="en-IN"/>
        </w:rPr>
        <w:br w:type="page"/>
      </w:r>
    </w:p>
    <w:p w14:paraId="77F828F2" w14:textId="5080D8BE" w:rsidR="00AB5380" w:rsidRPr="004C540C" w:rsidRDefault="00AB5380" w:rsidP="004C540C">
      <w:pPr>
        <w:pStyle w:val="Heading1"/>
        <w:jc w:val="both"/>
        <w:rPr>
          <w:rFonts w:ascii="Arial" w:hAnsi="Arial" w:cs="Arial"/>
          <w:b/>
          <w:bCs/>
        </w:rPr>
      </w:pPr>
      <w:r w:rsidRPr="004C540C">
        <w:rPr>
          <w:rFonts w:ascii="Arial" w:hAnsi="Arial" w:cs="Arial"/>
          <w:b/>
          <w:bCs/>
        </w:rPr>
        <w:lastRenderedPageBreak/>
        <w:t>4. Investment Appraisal and Capital Budgeting (2021–2025)</w:t>
      </w:r>
      <w:bookmarkEnd w:id="37"/>
    </w:p>
    <w:p w14:paraId="179DF247" w14:textId="77777777" w:rsidR="008D4429" w:rsidRPr="004C540C" w:rsidRDefault="008D4429" w:rsidP="004C540C">
      <w:pPr>
        <w:pStyle w:val="NormalWeb"/>
        <w:jc w:val="both"/>
        <w:outlineLvl w:val="1"/>
        <w:rPr>
          <w:rFonts w:ascii="Arial" w:hAnsi="Arial" w:cs="Arial"/>
        </w:rPr>
      </w:pPr>
      <w:bookmarkStart w:id="38" w:name="_Toc237378378"/>
      <w:r w:rsidRPr="004C540C">
        <w:rPr>
          <w:rFonts w:ascii="Arial" w:hAnsi="Arial" w:cs="Arial"/>
        </w:rPr>
        <w:t>Investment appraisal and capital budgeting form critical components in the financial decisions made by IHG as they help decide on whether the proposed investment opportunities will provide enough returns to meet long-term goals. In 2021 through 2025, the financial state of IHG was positive due to a recovery in international travel. IHG's revenues were recorded at about $2.9 billion in 2021 and then reached $5.2 billion in 2025. Its operating profit was also estimated to be about $1.2 billion in 2025. The improved financial performance means that IHG has more room for considering strategic investments (InterContinental Hotels Group, 2025).</w:t>
      </w:r>
    </w:p>
    <w:p w14:paraId="42202896" w14:textId="77777777" w:rsidR="005D265D" w:rsidRPr="004C540C" w:rsidRDefault="008D4429" w:rsidP="004C540C">
      <w:pPr>
        <w:pStyle w:val="NormalWeb"/>
        <w:jc w:val="both"/>
        <w:outlineLvl w:val="1"/>
        <w:rPr>
          <w:rFonts w:ascii="Arial" w:hAnsi="Arial" w:cs="Arial"/>
        </w:rPr>
      </w:pPr>
      <w:r w:rsidRPr="004C540C">
        <w:rPr>
          <w:rFonts w:ascii="Arial" w:hAnsi="Arial" w:cs="Arial"/>
        </w:rPr>
        <w:t>Capital budgeting approaches such as Payback Period (PBP), Accounting Rate of Return (ARR), Net Present Value (NPV), Profitability Index (PI), and Internal Rate of Return (IRR) will be used to evaluate the three proposed projects. The initial investment for the three projects is £50 million each, the cost of capital or discount rate is 8% while straight-line depreciation to zero over five years is used. This means that depreciation per year is £10 million (£50m/5 years). Projects that have positive NPV, PI above 1, and IRR above the 8% rate are deemed financially viable because they create shareholder value (Brealey et al</w:t>
      </w:r>
      <w:r w:rsidR="005D265D" w:rsidRPr="004C540C">
        <w:rPr>
          <w:rFonts w:ascii="Arial" w:hAnsi="Arial" w:cs="Arial"/>
        </w:rPr>
        <w:t>.,2023)</w:t>
      </w:r>
    </w:p>
    <w:p w14:paraId="6BC6BF19" w14:textId="46F1B7AC" w:rsidR="00AB5380" w:rsidRPr="004C540C" w:rsidRDefault="00AB5380" w:rsidP="004C540C">
      <w:pPr>
        <w:pStyle w:val="NormalWeb"/>
        <w:jc w:val="both"/>
        <w:outlineLvl w:val="1"/>
        <w:rPr>
          <w:rFonts w:ascii="Arial" w:hAnsi="Arial" w:cs="Arial"/>
          <w:b/>
          <w:bCs/>
          <w:sz w:val="28"/>
          <w:szCs w:val="28"/>
        </w:rPr>
      </w:pPr>
      <w:r w:rsidRPr="004C540C">
        <w:rPr>
          <w:rFonts w:ascii="Arial" w:hAnsi="Arial" w:cs="Arial"/>
          <w:b/>
          <w:bCs/>
          <w:sz w:val="28"/>
          <w:szCs w:val="28"/>
        </w:rPr>
        <w:t>4.1 Evaluation of Investment Projects</w:t>
      </w:r>
      <w:bookmarkEnd w:id="38"/>
    </w:p>
    <w:p w14:paraId="429E153F" w14:textId="77777777" w:rsidR="00AB5380" w:rsidRPr="004C540C" w:rsidRDefault="00AB5380" w:rsidP="004C540C">
      <w:pPr>
        <w:pStyle w:val="NormalWeb"/>
        <w:jc w:val="both"/>
        <w:rPr>
          <w:rFonts w:ascii="Arial" w:hAnsi="Arial" w:cs="Arial"/>
        </w:rPr>
      </w:pPr>
      <w:r w:rsidRPr="004C540C">
        <w:rPr>
          <w:rFonts w:ascii="Arial" w:hAnsi="Arial" w:cs="Arial"/>
        </w:rPr>
        <w:t>The proposed cash inflows are:</w:t>
      </w:r>
    </w:p>
    <w:tbl>
      <w:tblPr>
        <w:tblStyle w:val="GridTable4-Accent5"/>
        <w:tblW w:w="5000" w:type="pct"/>
        <w:tblLook w:val="04A0" w:firstRow="1" w:lastRow="0" w:firstColumn="1" w:lastColumn="0" w:noHBand="0" w:noVBand="1"/>
      </w:tblPr>
      <w:tblGrid>
        <w:gridCol w:w="1175"/>
        <w:gridCol w:w="2521"/>
        <w:gridCol w:w="1064"/>
        <w:gridCol w:w="1064"/>
        <w:gridCol w:w="1064"/>
        <w:gridCol w:w="1064"/>
        <w:gridCol w:w="1064"/>
      </w:tblGrid>
      <w:tr w:rsidR="00AB5380" w:rsidRPr="004C540C" w14:paraId="21E61396" w14:textId="77777777" w:rsidTr="00134E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1" w:type="pct"/>
            <w:hideMark/>
          </w:tcPr>
          <w:p w14:paraId="45A1F2C5" w14:textId="77777777" w:rsidR="00AB5380" w:rsidRPr="004C540C" w:rsidRDefault="00AB5380" w:rsidP="004C540C">
            <w:pPr>
              <w:pStyle w:val="NormalWeb"/>
              <w:jc w:val="both"/>
              <w:rPr>
                <w:rFonts w:ascii="Arial" w:hAnsi="Arial" w:cs="Arial"/>
                <w:b w:val="0"/>
                <w:bCs w:val="0"/>
              </w:rPr>
            </w:pPr>
            <w:r w:rsidRPr="004C540C">
              <w:rPr>
                <w:rFonts w:ascii="Arial" w:hAnsi="Arial" w:cs="Arial"/>
              </w:rPr>
              <w:t>Project</w:t>
            </w:r>
          </w:p>
        </w:tc>
        <w:tc>
          <w:tcPr>
            <w:tcW w:w="1398" w:type="pct"/>
            <w:hideMark/>
          </w:tcPr>
          <w:p w14:paraId="70EB4415" w14:textId="77777777" w:rsidR="00AB5380" w:rsidRPr="004C540C" w:rsidRDefault="00AB5380" w:rsidP="004C540C">
            <w:pPr>
              <w:pStyle w:val="NormalWeb"/>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4C540C">
              <w:rPr>
                <w:rFonts w:ascii="Arial" w:hAnsi="Arial" w:cs="Arial"/>
              </w:rPr>
              <w:t>Initial Investment</w:t>
            </w:r>
          </w:p>
        </w:tc>
        <w:tc>
          <w:tcPr>
            <w:tcW w:w="590" w:type="pct"/>
            <w:hideMark/>
          </w:tcPr>
          <w:p w14:paraId="0C9FD5A4" w14:textId="77777777" w:rsidR="00AB5380" w:rsidRPr="004C540C" w:rsidRDefault="00AB5380" w:rsidP="004C540C">
            <w:pPr>
              <w:pStyle w:val="NormalWeb"/>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4C540C">
              <w:rPr>
                <w:rFonts w:ascii="Arial" w:hAnsi="Arial" w:cs="Arial"/>
              </w:rPr>
              <w:t>Year 1</w:t>
            </w:r>
          </w:p>
        </w:tc>
        <w:tc>
          <w:tcPr>
            <w:tcW w:w="590" w:type="pct"/>
            <w:hideMark/>
          </w:tcPr>
          <w:p w14:paraId="6AD3995E" w14:textId="77777777" w:rsidR="00AB5380" w:rsidRPr="004C540C" w:rsidRDefault="00AB5380" w:rsidP="004C540C">
            <w:pPr>
              <w:pStyle w:val="NormalWeb"/>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4C540C">
              <w:rPr>
                <w:rFonts w:ascii="Arial" w:hAnsi="Arial" w:cs="Arial"/>
              </w:rPr>
              <w:t>Year 2</w:t>
            </w:r>
          </w:p>
        </w:tc>
        <w:tc>
          <w:tcPr>
            <w:tcW w:w="590" w:type="pct"/>
            <w:hideMark/>
          </w:tcPr>
          <w:p w14:paraId="52AF8C1B" w14:textId="77777777" w:rsidR="00AB5380" w:rsidRPr="004C540C" w:rsidRDefault="00AB5380" w:rsidP="004C540C">
            <w:pPr>
              <w:pStyle w:val="NormalWeb"/>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4C540C">
              <w:rPr>
                <w:rFonts w:ascii="Arial" w:hAnsi="Arial" w:cs="Arial"/>
              </w:rPr>
              <w:t>Year 3</w:t>
            </w:r>
          </w:p>
        </w:tc>
        <w:tc>
          <w:tcPr>
            <w:tcW w:w="590" w:type="pct"/>
            <w:hideMark/>
          </w:tcPr>
          <w:p w14:paraId="339EC372" w14:textId="77777777" w:rsidR="00AB5380" w:rsidRPr="004C540C" w:rsidRDefault="00AB5380" w:rsidP="004C540C">
            <w:pPr>
              <w:pStyle w:val="NormalWeb"/>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4C540C">
              <w:rPr>
                <w:rFonts w:ascii="Arial" w:hAnsi="Arial" w:cs="Arial"/>
              </w:rPr>
              <w:t>Year 4</w:t>
            </w:r>
          </w:p>
        </w:tc>
        <w:tc>
          <w:tcPr>
            <w:tcW w:w="590" w:type="pct"/>
            <w:hideMark/>
          </w:tcPr>
          <w:p w14:paraId="6CBCCBDF" w14:textId="77777777" w:rsidR="00AB5380" w:rsidRPr="004C540C" w:rsidRDefault="00AB5380" w:rsidP="004C540C">
            <w:pPr>
              <w:pStyle w:val="NormalWeb"/>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4C540C">
              <w:rPr>
                <w:rFonts w:ascii="Arial" w:hAnsi="Arial" w:cs="Arial"/>
              </w:rPr>
              <w:t>Year 5</w:t>
            </w:r>
          </w:p>
        </w:tc>
      </w:tr>
      <w:tr w:rsidR="00AB5380" w:rsidRPr="004C540C" w14:paraId="57014EFE" w14:textId="77777777" w:rsidTr="00134E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1" w:type="pct"/>
            <w:hideMark/>
          </w:tcPr>
          <w:p w14:paraId="128A38C9" w14:textId="77777777" w:rsidR="00AB5380" w:rsidRPr="004C540C" w:rsidRDefault="00AB5380" w:rsidP="004C540C">
            <w:pPr>
              <w:pStyle w:val="NormalWeb"/>
              <w:jc w:val="both"/>
              <w:rPr>
                <w:rFonts w:ascii="Arial" w:hAnsi="Arial" w:cs="Arial"/>
              </w:rPr>
            </w:pPr>
            <w:r w:rsidRPr="004C540C">
              <w:rPr>
                <w:rFonts w:ascii="Arial" w:hAnsi="Arial" w:cs="Arial"/>
              </w:rPr>
              <w:t>A (£m)</w:t>
            </w:r>
          </w:p>
        </w:tc>
        <w:tc>
          <w:tcPr>
            <w:tcW w:w="1398" w:type="pct"/>
            <w:hideMark/>
          </w:tcPr>
          <w:p w14:paraId="5BB141F2" w14:textId="77777777" w:rsidR="00AB5380" w:rsidRPr="004C540C" w:rsidRDefault="00AB5380" w:rsidP="004C540C">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4C540C">
              <w:rPr>
                <w:rFonts w:ascii="Arial" w:hAnsi="Arial" w:cs="Arial"/>
              </w:rPr>
              <w:t>50</w:t>
            </w:r>
          </w:p>
        </w:tc>
        <w:tc>
          <w:tcPr>
            <w:tcW w:w="590" w:type="pct"/>
            <w:hideMark/>
          </w:tcPr>
          <w:p w14:paraId="3A3BD355" w14:textId="77777777" w:rsidR="00AB5380" w:rsidRPr="004C540C" w:rsidRDefault="00AB5380" w:rsidP="004C540C">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4C540C">
              <w:rPr>
                <w:rFonts w:ascii="Arial" w:hAnsi="Arial" w:cs="Arial"/>
              </w:rPr>
              <w:t>10</w:t>
            </w:r>
          </w:p>
        </w:tc>
        <w:tc>
          <w:tcPr>
            <w:tcW w:w="590" w:type="pct"/>
            <w:hideMark/>
          </w:tcPr>
          <w:p w14:paraId="2427255E" w14:textId="77777777" w:rsidR="00AB5380" w:rsidRPr="004C540C" w:rsidRDefault="00AB5380" w:rsidP="004C540C">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4C540C">
              <w:rPr>
                <w:rFonts w:ascii="Arial" w:hAnsi="Arial" w:cs="Arial"/>
              </w:rPr>
              <w:t>12</w:t>
            </w:r>
          </w:p>
        </w:tc>
        <w:tc>
          <w:tcPr>
            <w:tcW w:w="590" w:type="pct"/>
            <w:hideMark/>
          </w:tcPr>
          <w:p w14:paraId="0CD1578D" w14:textId="77777777" w:rsidR="00AB5380" w:rsidRPr="004C540C" w:rsidRDefault="00AB5380" w:rsidP="004C540C">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4C540C">
              <w:rPr>
                <w:rFonts w:ascii="Arial" w:hAnsi="Arial" w:cs="Arial"/>
              </w:rPr>
              <w:t>14</w:t>
            </w:r>
          </w:p>
        </w:tc>
        <w:tc>
          <w:tcPr>
            <w:tcW w:w="590" w:type="pct"/>
            <w:hideMark/>
          </w:tcPr>
          <w:p w14:paraId="56186BE0" w14:textId="77777777" w:rsidR="00AB5380" w:rsidRPr="004C540C" w:rsidRDefault="00AB5380" w:rsidP="004C540C">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4C540C">
              <w:rPr>
                <w:rFonts w:ascii="Arial" w:hAnsi="Arial" w:cs="Arial"/>
              </w:rPr>
              <w:t>10</w:t>
            </w:r>
          </w:p>
        </w:tc>
        <w:tc>
          <w:tcPr>
            <w:tcW w:w="590" w:type="pct"/>
            <w:hideMark/>
          </w:tcPr>
          <w:p w14:paraId="01EF5E4D" w14:textId="77777777" w:rsidR="00AB5380" w:rsidRPr="004C540C" w:rsidRDefault="00AB5380" w:rsidP="004C540C">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4C540C">
              <w:rPr>
                <w:rFonts w:ascii="Arial" w:hAnsi="Arial" w:cs="Arial"/>
              </w:rPr>
              <w:t>8</w:t>
            </w:r>
          </w:p>
        </w:tc>
      </w:tr>
      <w:tr w:rsidR="00AB5380" w:rsidRPr="004C540C" w14:paraId="73EC088F" w14:textId="77777777" w:rsidTr="00134E0C">
        <w:tc>
          <w:tcPr>
            <w:cnfStyle w:val="001000000000" w:firstRow="0" w:lastRow="0" w:firstColumn="1" w:lastColumn="0" w:oddVBand="0" w:evenVBand="0" w:oddHBand="0" w:evenHBand="0" w:firstRowFirstColumn="0" w:firstRowLastColumn="0" w:lastRowFirstColumn="0" w:lastRowLastColumn="0"/>
            <w:tcW w:w="651" w:type="pct"/>
            <w:hideMark/>
          </w:tcPr>
          <w:p w14:paraId="684047C1" w14:textId="77777777" w:rsidR="00AB5380" w:rsidRPr="004C540C" w:rsidRDefault="00AB5380" w:rsidP="004C540C">
            <w:pPr>
              <w:pStyle w:val="NormalWeb"/>
              <w:jc w:val="both"/>
              <w:rPr>
                <w:rFonts w:ascii="Arial" w:hAnsi="Arial" w:cs="Arial"/>
              </w:rPr>
            </w:pPr>
            <w:r w:rsidRPr="004C540C">
              <w:rPr>
                <w:rFonts w:ascii="Arial" w:hAnsi="Arial" w:cs="Arial"/>
              </w:rPr>
              <w:t>B (£m)</w:t>
            </w:r>
          </w:p>
        </w:tc>
        <w:tc>
          <w:tcPr>
            <w:tcW w:w="1398" w:type="pct"/>
            <w:hideMark/>
          </w:tcPr>
          <w:p w14:paraId="050DB406" w14:textId="77777777" w:rsidR="00AB5380" w:rsidRPr="004C540C" w:rsidRDefault="00AB5380" w:rsidP="004C540C">
            <w:pPr>
              <w:pStyle w:val="NormalWeb"/>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4C540C">
              <w:rPr>
                <w:rFonts w:ascii="Arial" w:hAnsi="Arial" w:cs="Arial"/>
              </w:rPr>
              <w:t>50</w:t>
            </w:r>
          </w:p>
        </w:tc>
        <w:tc>
          <w:tcPr>
            <w:tcW w:w="590" w:type="pct"/>
            <w:hideMark/>
          </w:tcPr>
          <w:p w14:paraId="79BFF5C9" w14:textId="77777777" w:rsidR="00AB5380" w:rsidRPr="004C540C" w:rsidRDefault="00AB5380" w:rsidP="004C540C">
            <w:pPr>
              <w:pStyle w:val="NormalWeb"/>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4C540C">
              <w:rPr>
                <w:rFonts w:ascii="Arial" w:hAnsi="Arial" w:cs="Arial"/>
              </w:rPr>
              <w:t>11</w:t>
            </w:r>
          </w:p>
        </w:tc>
        <w:tc>
          <w:tcPr>
            <w:tcW w:w="590" w:type="pct"/>
            <w:hideMark/>
          </w:tcPr>
          <w:p w14:paraId="54451548" w14:textId="77777777" w:rsidR="00AB5380" w:rsidRPr="004C540C" w:rsidRDefault="00AB5380" w:rsidP="004C540C">
            <w:pPr>
              <w:pStyle w:val="NormalWeb"/>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4C540C">
              <w:rPr>
                <w:rFonts w:ascii="Arial" w:hAnsi="Arial" w:cs="Arial"/>
              </w:rPr>
              <w:t>11</w:t>
            </w:r>
          </w:p>
        </w:tc>
        <w:tc>
          <w:tcPr>
            <w:tcW w:w="590" w:type="pct"/>
            <w:hideMark/>
          </w:tcPr>
          <w:p w14:paraId="794E4F55" w14:textId="77777777" w:rsidR="00AB5380" w:rsidRPr="004C540C" w:rsidRDefault="00AB5380" w:rsidP="004C540C">
            <w:pPr>
              <w:pStyle w:val="NormalWeb"/>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4C540C">
              <w:rPr>
                <w:rFonts w:ascii="Arial" w:hAnsi="Arial" w:cs="Arial"/>
              </w:rPr>
              <w:t>11</w:t>
            </w:r>
          </w:p>
        </w:tc>
        <w:tc>
          <w:tcPr>
            <w:tcW w:w="590" w:type="pct"/>
            <w:hideMark/>
          </w:tcPr>
          <w:p w14:paraId="4C466A76" w14:textId="77777777" w:rsidR="00AB5380" w:rsidRPr="004C540C" w:rsidRDefault="00AB5380" w:rsidP="004C540C">
            <w:pPr>
              <w:pStyle w:val="NormalWeb"/>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4C540C">
              <w:rPr>
                <w:rFonts w:ascii="Arial" w:hAnsi="Arial" w:cs="Arial"/>
              </w:rPr>
              <w:t>11</w:t>
            </w:r>
          </w:p>
        </w:tc>
        <w:tc>
          <w:tcPr>
            <w:tcW w:w="590" w:type="pct"/>
            <w:hideMark/>
          </w:tcPr>
          <w:p w14:paraId="446F1100" w14:textId="77777777" w:rsidR="00AB5380" w:rsidRPr="004C540C" w:rsidRDefault="00AB5380" w:rsidP="004C540C">
            <w:pPr>
              <w:pStyle w:val="NormalWeb"/>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4C540C">
              <w:rPr>
                <w:rFonts w:ascii="Arial" w:hAnsi="Arial" w:cs="Arial"/>
              </w:rPr>
              <w:t>11</w:t>
            </w:r>
          </w:p>
        </w:tc>
      </w:tr>
      <w:tr w:rsidR="00AB5380" w:rsidRPr="004C540C" w14:paraId="4EDDDB94" w14:textId="77777777" w:rsidTr="00134E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1" w:type="pct"/>
            <w:hideMark/>
          </w:tcPr>
          <w:p w14:paraId="411154CE" w14:textId="77777777" w:rsidR="00AB5380" w:rsidRPr="004C540C" w:rsidRDefault="00AB5380" w:rsidP="004C540C">
            <w:pPr>
              <w:pStyle w:val="NormalWeb"/>
              <w:jc w:val="both"/>
              <w:rPr>
                <w:rFonts w:ascii="Arial" w:hAnsi="Arial" w:cs="Arial"/>
              </w:rPr>
            </w:pPr>
            <w:r w:rsidRPr="004C540C">
              <w:rPr>
                <w:rFonts w:ascii="Arial" w:hAnsi="Arial" w:cs="Arial"/>
              </w:rPr>
              <w:t>C (£m)</w:t>
            </w:r>
          </w:p>
        </w:tc>
        <w:tc>
          <w:tcPr>
            <w:tcW w:w="1398" w:type="pct"/>
            <w:hideMark/>
          </w:tcPr>
          <w:p w14:paraId="50EF2A3E" w14:textId="77777777" w:rsidR="00AB5380" w:rsidRPr="004C540C" w:rsidRDefault="00AB5380" w:rsidP="004C540C">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4C540C">
              <w:rPr>
                <w:rFonts w:ascii="Arial" w:hAnsi="Arial" w:cs="Arial"/>
              </w:rPr>
              <w:t>50</w:t>
            </w:r>
          </w:p>
        </w:tc>
        <w:tc>
          <w:tcPr>
            <w:tcW w:w="590" w:type="pct"/>
            <w:hideMark/>
          </w:tcPr>
          <w:p w14:paraId="02346A56" w14:textId="77777777" w:rsidR="00AB5380" w:rsidRPr="004C540C" w:rsidRDefault="00AB5380" w:rsidP="004C540C">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4C540C">
              <w:rPr>
                <w:rFonts w:ascii="Arial" w:hAnsi="Arial" w:cs="Arial"/>
              </w:rPr>
              <w:t>5</w:t>
            </w:r>
          </w:p>
        </w:tc>
        <w:tc>
          <w:tcPr>
            <w:tcW w:w="590" w:type="pct"/>
            <w:hideMark/>
          </w:tcPr>
          <w:p w14:paraId="2FE0289B" w14:textId="77777777" w:rsidR="00AB5380" w:rsidRPr="004C540C" w:rsidRDefault="00AB5380" w:rsidP="004C540C">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4C540C">
              <w:rPr>
                <w:rFonts w:ascii="Arial" w:hAnsi="Arial" w:cs="Arial"/>
              </w:rPr>
              <w:t>10</w:t>
            </w:r>
          </w:p>
        </w:tc>
        <w:tc>
          <w:tcPr>
            <w:tcW w:w="590" w:type="pct"/>
            <w:hideMark/>
          </w:tcPr>
          <w:p w14:paraId="4582811A" w14:textId="77777777" w:rsidR="00AB5380" w:rsidRPr="004C540C" w:rsidRDefault="00AB5380" w:rsidP="004C540C">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4C540C">
              <w:rPr>
                <w:rFonts w:ascii="Arial" w:hAnsi="Arial" w:cs="Arial"/>
              </w:rPr>
              <w:t>20</w:t>
            </w:r>
          </w:p>
        </w:tc>
        <w:tc>
          <w:tcPr>
            <w:tcW w:w="590" w:type="pct"/>
            <w:hideMark/>
          </w:tcPr>
          <w:p w14:paraId="3A9F952B" w14:textId="77777777" w:rsidR="00AB5380" w:rsidRPr="004C540C" w:rsidRDefault="00AB5380" w:rsidP="004C540C">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4C540C">
              <w:rPr>
                <w:rFonts w:ascii="Arial" w:hAnsi="Arial" w:cs="Arial"/>
              </w:rPr>
              <w:t>25</w:t>
            </w:r>
          </w:p>
        </w:tc>
        <w:tc>
          <w:tcPr>
            <w:tcW w:w="590" w:type="pct"/>
            <w:hideMark/>
          </w:tcPr>
          <w:p w14:paraId="172A5A7B" w14:textId="77777777" w:rsidR="00AB5380" w:rsidRPr="004C540C" w:rsidRDefault="00AB5380" w:rsidP="004C540C">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4C540C">
              <w:rPr>
                <w:rFonts w:ascii="Arial" w:hAnsi="Arial" w:cs="Arial"/>
              </w:rPr>
              <w:t>5</w:t>
            </w:r>
          </w:p>
        </w:tc>
      </w:tr>
    </w:tbl>
    <w:p w14:paraId="31F3195D" w14:textId="77777777" w:rsidR="00AC5207" w:rsidRPr="004C540C" w:rsidRDefault="00AC5207" w:rsidP="004C540C">
      <w:pPr>
        <w:jc w:val="both"/>
        <w:rPr>
          <w:rFonts w:ascii="Arial" w:hAnsi="Arial" w:cs="Arial"/>
          <w:b/>
          <w:bCs/>
          <w:sz w:val="24"/>
          <w:szCs w:val="24"/>
        </w:rPr>
      </w:pPr>
    </w:p>
    <w:p w14:paraId="303D8DC4" w14:textId="4D041DAB" w:rsidR="00AB5380" w:rsidRPr="004C540C" w:rsidRDefault="00AB5380" w:rsidP="004C540C">
      <w:pPr>
        <w:jc w:val="both"/>
        <w:rPr>
          <w:rFonts w:ascii="Arial" w:eastAsia="Times New Roman" w:hAnsi="Arial" w:cs="Arial"/>
          <w:b/>
          <w:bCs/>
          <w:sz w:val="28"/>
          <w:szCs w:val="28"/>
          <w:lang w:eastAsia="en-IN"/>
        </w:rPr>
      </w:pPr>
      <w:r w:rsidRPr="004C540C">
        <w:rPr>
          <w:rFonts w:ascii="Arial" w:hAnsi="Arial" w:cs="Arial"/>
          <w:b/>
          <w:bCs/>
          <w:sz w:val="28"/>
          <w:szCs w:val="28"/>
        </w:rPr>
        <w:t>Table 10: Investment Appraisal Results</w:t>
      </w:r>
    </w:p>
    <w:tbl>
      <w:tblPr>
        <w:tblStyle w:val="GridTable4-Accent5"/>
        <w:tblW w:w="5000" w:type="pct"/>
        <w:tblLook w:val="04A0" w:firstRow="1" w:lastRow="0" w:firstColumn="1" w:lastColumn="0" w:noHBand="0" w:noVBand="1"/>
      </w:tblPr>
      <w:tblGrid>
        <w:gridCol w:w="3221"/>
        <w:gridCol w:w="1913"/>
        <w:gridCol w:w="1913"/>
        <w:gridCol w:w="1969"/>
      </w:tblGrid>
      <w:tr w:rsidR="00AB5380" w:rsidRPr="004C540C" w14:paraId="1A315F8B" w14:textId="77777777" w:rsidTr="00134E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6" w:type="pct"/>
            <w:hideMark/>
          </w:tcPr>
          <w:p w14:paraId="4474593E" w14:textId="77777777" w:rsidR="00AB5380" w:rsidRPr="004C540C" w:rsidRDefault="00AB5380" w:rsidP="004C540C">
            <w:pPr>
              <w:pStyle w:val="NormalWeb"/>
              <w:jc w:val="both"/>
              <w:rPr>
                <w:rFonts w:ascii="Arial" w:hAnsi="Arial" w:cs="Arial"/>
                <w:b w:val="0"/>
                <w:bCs w:val="0"/>
              </w:rPr>
            </w:pPr>
            <w:r w:rsidRPr="004C540C">
              <w:rPr>
                <w:rFonts w:ascii="Arial" w:hAnsi="Arial" w:cs="Arial"/>
              </w:rPr>
              <w:t>Appraisal Method</w:t>
            </w:r>
          </w:p>
        </w:tc>
        <w:tc>
          <w:tcPr>
            <w:tcW w:w="1061" w:type="pct"/>
            <w:hideMark/>
          </w:tcPr>
          <w:p w14:paraId="3E906C7A" w14:textId="77777777" w:rsidR="00AB5380" w:rsidRPr="004C540C" w:rsidRDefault="00AB5380" w:rsidP="004C540C">
            <w:pPr>
              <w:pStyle w:val="NormalWeb"/>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4C540C">
              <w:rPr>
                <w:rFonts w:ascii="Arial" w:hAnsi="Arial" w:cs="Arial"/>
              </w:rPr>
              <w:t>Project A</w:t>
            </w:r>
          </w:p>
        </w:tc>
        <w:tc>
          <w:tcPr>
            <w:tcW w:w="1061" w:type="pct"/>
            <w:hideMark/>
          </w:tcPr>
          <w:p w14:paraId="459E4CB3" w14:textId="77777777" w:rsidR="00AB5380" w:rsidRPr="004C540C" w:rsidRDefault="00AB5380" w:rsidP="004C540C">
            <w:pPr>
              <w:pStyle w:val="NormalWeb"/>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4C540C">
              <w:rPr>
                <w:rFonts w:ascii="Arial" w:hAnsi="Arial" w:cs="Arial"/>
              </w:rPr>
              <w:t>Project B</w:t>
            </w:r>
          </w:p>
        </w:tc>
        <w:tc>
          <w:tcPr>
            <w:tcW w:w="1093" w:type="pct"/>
            <w:hideMark/>
          </w:tcPr>
          <w:p w14:paraId="64F15AB3" w14:textId="77777777" w:rsidR="00AB5380" w:rsidRPr="004C540C" w:rsidRDefault="00AB5380" w:rsidP="004C540C">
            <w:pPr>
              <w:pStyle w:val="NormalWeb"/>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4C540C">
              <w:rPr>
                <w:rFonts w:ascii="Arial" w:hAnsi="Arial" w:cs="Arial"/>
              </w:rPr>
              <w:t>Project C</w:t>
            </w:r>
          </w:p>
        </w:tc>
      </w:tr>
      <w:tr w:rsidR="00AB5380" w:rsidRPr="004C540C" w14:paraId="1FC4FE78" w14:textId="77777777" w:rsidTr="00134E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6" w:type="pct"/>
            <w:hideMark/>
          </w:tcPr>
          <w:p w14:paraId="732B1B27" w14:textId="77777777" w:rsidR="00AB5380" w:rsidRPr="004C540C" w:rsidRDefault="00AB5380" w:rsidP="004C540C">
            <w:pPr>
              <w:pStyle w:val="NormalWeb"/>
              <w:jc w:val="both"/>
              <w:rPr>
                <w:rFonts w:ascii="Arial" w:hAnsi="Arial" w:cs="Arial"/>
              </w:rPr>
            </w:pPr>
            <w:r w:rsidRPr="004C540C">
              <w:rPr>
                <w:rFonts w:ascii="Arial" w:hAnsi="Arial" w:cs="Arial"/>
              </w:rPr>
              <w:t>Payback Period</w:t>
            </w:r>
          </w:p>
        </w:tc>
        <w:tc>
          <w:tcPr>
            <w:tcW w:w="1061" w:type="pct"/>
            <w:hideMark/>
          </w:tcPr>
          <w:p w14:paraId="57BDA832" w14:textId="77777777" w:rsidR="00AB5380" w:rsidRPr="004C540C" w:rsidRDefault="00AB5380" w:rsidP="004C540C">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4C540C">
              <w:rPr>
                <w:rFonts w:ascii="Arial" w:hAnsi="Arial" w:cs="Arial"/>
              </w:rPr>
              <w:t>4.50 years</w:t>
            </w:r>
          </w:p>
        </w:tc>
        <w:tc>
          <w:tcPr>
            <w:tcW w:w="1061" w:type="pct"/>
            <w:hideMark/>
          </w:tcPr>
          <w:p w14:paraId="21EA57EA" w14:textId="77777777" w:rsidR="00AB5380" w:rsidRPr="004C540C" w:rsidRDefault="00AB5380" w:rsidP="004C540C">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4C540C">
              <w:rPr>
                <w:rFonts w:ascii="Arial" w:hAnsi="Arial" w:cs="Arial"/>
              </w:rPr>
              <w:t>4.55 years</w:t>
            </w:r>
          </w:p>
        </w:tc>
        <w:tc>
          <w:tcPr>
            <w:tcW w:w="1093" w:type="pct"/>
            <w:hideMark/>
          </w:tcPr>
          <w:p w14:paraId="363B6601" w14:textId="77777777" w:rsidR="00AB5380" w:rsidRPr="004C540C" w:rsidRDefault="00AB5380" w:rsidP="004C540C">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4C540C">
              <w:rPr>
                <w:rFonts w:ascii="Arial" w:hAnsi="Arial" w:cs="Arial"/>
                <w:b/>
                <w:bCs/>
              </w:rPr>
              <w:t>3.60 years</w:t>
            </w:r>
          </w:p>
        </w:tc>
      </w:tr>
      <w:tr w:rsidR="00AB5380" w:rsidRPr="004C540C" w14:paraId="74AD68CA" w14:textId="77777777" w:rsidTr="00134E0C">
        <w:tc>
          <w:tcPr>
            <w:cnfStyle w:val="001000000000" w:firstRow="0" w:lastRow="0" w:firstColumn="1" w:lastColumn="0" w:oddVBand="0" w:evenVBand="0" w:oddHBand="0" w:evenHBand="0" w:firstRowFirstColumn="0" w:firstRowLastColumn="0" w:lastRowFirstColumn="0" w:lastRowLastColumn="0"/>
            <w:tcW w:w="1786" w:type="pct"/>
            <w:hideMark/>
          </w:tcPr>
          <w:p w14:paraId="63630DB8" w14:textId="77777777" w:rsidR="00AB5380" w:rsidRPr="004C540C" w:rsidRDefault="00AB5380" w:rsidP="004C540C">
            <w:pPr>
              <w:pStyle w:val="NormalWeb"/>
              <w:jc w:val="both"/>
              <w:rPr>
                <w:rFonts w:ascii="Arial" w:hAnsi="Arial" w:cs="Arial"/>
              </w:rPr>
            </w:pPr>
            <w:r w:rsidRPr="004C540C">
              <w:rPr>
                <w:rFonts w:ascii="Arial" w:hAnsi="Arial" w:cs="Arial"/>
              </w:rPr>
              <w:t>ARR</w:t>
            </w:r>
          </w:p>
        </w:tc>
        <w:tc>
          <w:tcPr>
            <w:tcW w:w="1061" w:type="pct"/>
            <w:hideMark/>
          </w:tcPr>
          <w:p w14:paraId="6A123AA9" w14:textId="77777777" w:rsidR="00AB5380" w:rsidRPr="004C540C" w:rsidRDefault="00AB5380" w:rsidP="004C540C">
            <w:pPr>
              <w:pStyle w:val="NormalWeb"/>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4C540C">
              <w:rPr>
                <w:rFonts w:ascii="Arial" w:hAnsi="Arial" w:cs="Arial"/>
              </w:rPr>
              <w:t>1.60%</w:t>
            </w:r>
          </w:p>
        </w:tc>
        <w:tc>
          <w:tcPr>
            <w:tcW w:w="1061" w:type="pct"/>
            <w:hideMark/>
          </w:tcPr>
          <w:p w14:paraId="58615809" w14:textId="77777777" w:rsidR="00AB5380" w:rsidRPr="004C540C" w:rsidRDefault="00AB5380" w:rsidP="004C540C">
            <w:pPr>
              <w:pStyle w:val="NormalWeb"/>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4C540C">
              <w:rPr>
                <w:rFonts w:ascii="Arial" w:hAnsi="Arial" w:cs="Arial"/>
              </w:rPr>
              <w:t>2.00%</w:t>
            </w:r>
          </w:p>
        </w:tc>
        <w:tc>
          <w:tcPr>
            <w:tcW w:w="1093" w:type="pct"/>
            <w:hideMark/>
          </w:tcPr>
          <w:p w14:paraId="297B27AA" w14:textId="77777777" w:rsidR="00AB5380" w:rsidRPr="004C540C" w:rsidRDefault="00AB5380" w:rsidP="004C540C">
            <w:pPr>
              <w:pStyle w:val="NormalWeb"/>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4C540C">
              <w:rPr>
                <w:rFonts w:ascii="Arial" w:hAnsi="Arial" w:cs="Arial"/>
                <w:b/>
                <w:bCs/>
              </w:rPr>
              <w:t>6.00%</w:t>
            </w:r>
          </w:p>
        </w:tc>
      </w:tr>
      <w:tr w:rsidR="00AB5380" w:rsidRPr="004C540C" w14:paraId="66FEC727" w14:textId="77777777" w:rsidTr="00134E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6" w:type="pct"/>
            <w:hideMark/>
          </w:tcPr>
          <w:p w14:paraId="3B9A0AE3" w14:textId="77777777" w:rsidR="00AB5380" w:rsidRPr="004C540C" w:rsidRDefault="00AB5380" w:rsidP="004C540C">
            <w:pPr>
              <w:pStyle w:val="NormalWeb"/>
              <w:jc w:val="both"/>
              <w:rPr>
                <w:rFonts w:ascii="Arial" w:hAnsi="Arial" w:cs="Arial"/>
              </w:rPr>
            </w:pPr>
            <w:r w:rsidRPr="004C540C">
              <w:rPr>
                <w:rFonts w:ascii="Arial" w:hAnsi="Arial" w:cs="Arial"/>
              </w:rPr>
              <w:t>NPV @ 8%</w:t>
            </w:r>
          </w:p>
        </w:tc>
        <w:tc>
          <w:tcPr>
            <w:tcW w:w="1061" w:type="pct"/>
            <w:hideMark/>
          </w:tcPr>
          <w:p w14:paraId="1FA089E6" w14:textId="77777777" w:rsidR="00AB5380" w:rsidRPr="004C540C" w:rsidRDefault="00AB5380" w:rsidP="004C540C">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4C540C">
              <w:rPr>
                <w:rFonts w:ascii="Arial" w:hAnsi="Arial" w:cs="Arial"/>
              </w:rPr>
              <w:t>-£6.54m</w:t>
            </w:r>
          </w:p>
        </w:tc>
        <w:tc>
          <w:tcPr>
            <w:tcW w:w="1061" w:type="pct"/>
            <w:hideMark/>
          </w:tcPr>
          <w:p w14:paraId="6CD6F174" w14:textId="77777777" w:rsidR="00AB5380" w:rsidRPr="004C540C" w:rsidRDefault="00AB5380" w:rsidP="004C540C">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4C540C">
              <w:rPr>
                <w:rFonts w:ascii="Arial" w:hAnsi="Arial" w:cs="Arial"/>
              </w:rPr>
              <w:t>-£6.08m</w:t>
            </w:r>
          </w:p>
        </w:tc>
        <w:tc>
          <w:tcPr>
            <w:tcW w:w="1093" w:type="pct"/>
            <w:hideMark/>
          </w:tcPr>
          <w:p w14:paraId="0CF9D220" w14:textId="77777777" w:rsidR="00AB5380" w:rsidRPr="004C540C" w:rsidRDefault="00AB5380" w:rsidP="004C540C">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4C540C">
              <w:rPr>
                <w:rFonts w:ascii="Arial" w:hAnsi="Arial" w:cs="Arial"/>
                <w:b/>
                <w:bCs/>
              </w:rPr>
              <w:t>+£0.86m</w:t>
            </w:r>
          </w:p>
        </w:tc>
      </w:tr>
      <w:tr w:rsidR="00AB5380" w:rsidRPr="004C540C" w14:paraId="42346E82" w14:textId="77777777" w:rsidTr="00134E0C">
        <w:tc>
          <w:tcPr>
            <w:cnfStyle w:val="001000000000" w:firstRow="0" w:lastRow="0" w:firstColumn="1" w:lastColumn="0" w:oddVBand="0" w:evenVBand="0" w:oddHBand="0" w:evenHBand="0" w:firstRowFirstColumn="0" w:firstRowLastColumn="0" w:lastRowFirstColumn="0" w:lastRowLastColumn="0"/>
            <w:tcW w:w="1786" w:type="pct"/>
            <w:hideMark/>
          </w:tcPr>
          <w:p w14:paraId="572AFF7B" w14:textId="77777777" w:rsidR="00AB5380" w:rsidRPr="004C540C" w:rsidRDefault="00AB5380" w:rsidP="004C540C">
            <w:pPr>
              <w:pStyle w:val="NormalWeb"/>
              <w:jc w:val="both"/>
              <w:rPr>
                <w:rFonts w:ascii="Arial" w:hAnsi="Arial" w:cs="Arial"/>
              </w:rPr>
            </w:pPr>
            <w:r w:rsidRPr="004C540C">
              <w:rPr>
                <w:rFonts w:ascii="Arial" w:hAnsi="Arial" w:cs="Arial"/>
              </w:rPr>
              <w:t>PI</w:t>
            </w:r>
          </w:p>
        </w:tc>
        <w:tc>
          <w:tcPr>
            <w:tcW w:w="1061" w:type="pct"/>
            <w:hideMark/>
          </w:tcPr>
          <w:p w14:paraId="2797E322" w14:textId="77777777" w:rsidR="00AB5380" w:rsidRPr="004C540C" w:rsidRDefault="00AB5380" w:rsidP="004C540C">
            <w:pPr>
              <w:pStyle w:val="NormalWeb"/>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4C540C">
              <w:rPr>
                <w:rFonts w:ascii="Arial" w:hAnsi="Arial" w:cs="Arial"/>
              </w:rPr>
              <w:t>0.869</w:t>
            </w:r>
          </w:p>
        </w:tc>
        <w:tc>
          <w:tcPr>
            <w:tcW w:w="1061" w:type="pct"/>
            <w:hideMark/>
          </w:tcPr>
          <w:p w14:paraId="08F153D7" w14:textId="77777777" w:rsidR="00AB5380" w:rsidRPr="004C540C" w:rsidRDefault="00AB5380" w:rsidP="004C540C">
            <w:pPr>
              <w:pStyle w:val="NormalWeb"/>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4C540C">
              <w:rPr>
                <w:rFonts w:ascii="Arial" w:hAnsi="Arial" w:cs="Arial"/>
              </w:rPr>
              <w:t>0.878</w:t>
            </w:r>
          </w:p>
        </w:tc>
        <w:tc>
          <w:tcPr>
            <w:tcW w:w="1093" w:type="pct"/>
            <w:hideMark/>
          </w:tcPr>
          <w:p w14:paraId="2D2A1355" w14:textId="77777777" w:rsidR="00AB5380" w:rsidRPr="004C540C" w:rsidRDefault="00AB5380" w:rsidP="004C540C">
            <w:pPr>
              <w:pStyle w:val="NormalWeb"/>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4C540C">
              <w:rPr>
                <w:rFonts w:ascii="Arial" w:hAnsi="Arial" w:cs="Arial"/>
                <w:b/>
                <w:bCs/>
              </w:rPr>
              <w:t>1.017</w:t>
            </w:r>
          </w:p>
        </w:tc>
      </w:tr>
      <w:tr w:rsidR="00AB5380" w:rsidRPr="004C540C" w14:paraId="52CD3E1F" w14:textId="77777777" w:rsidTr="00134E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6" w:type="pct"/>
            <w:hideMark/>
          </w:tcPr>
          <w:p w14:paraId="708047C4" w14:textId="77777777" w:rsidR="00AB5380" w:rsidRPr="004C540C" w:rsidRDefault="00AB5380" w:rsidP="004C540C">
            <w:pPr>
              <w:pStyle w:val="NormalWeb"/>
              <w:jc w:val="both"/>
              <w:rPr>
                <w:rFonts w:ascii="Arial" w:hAnsi="Arial" w:cs="Arial"/>
              </w:rPr>
            </w:pPr>
            <w:r w:rsidRPr="004C540C">
              <w:rPr>
                <w:rFonts w:ascii="Arial" w:hAnsi="Arial" w:cs="Arial"/>
              </w:rPr>
              <w:t>IRR</w:t>
            </w:r>
          </w:p>
        </w:tc>
        <w:tc>
          <w:tcPr>
            <w:tcW w:w="1061" w:type="pct"/>
            <w:hideMark/>
          </w:tcPr>
          <w:p w14:paraId="044E228B" w14:textId="77777777" w:rsidR="00AB5380" w:rsidRPr="004C540C" w:rsidRDefault="00AB5380" w:rsidP="004C540C">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4C540C">
              <w:rPr>
                <w:rFonts w:ascii="Arial" w:hAnsi="Arial" w:cs="Arial"/>
              </w:rPr>
              <w:t>2.72%</w:t>
            </w:r>
          </w:p>
        </w:tc>
        <w:tc>
          <w:tcPr>
            <w:tcW w:w="1061" w:type="pct"/>
            <w:hideMark/>
          </w:tcPr>
          <w:p w14:paraId="448FD72F" w14:textId="77777777" w:rsidR="00AB5380" w:rsidRPr="004C540C" w:rsidRDefault="00AB5380" w:rsidP="004C540C">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4C540C">
              <w:rPr>
                <w:rFonts w:ascii="Arial" w:hAnsi="Arial" w:cs="Arial"/>
              </w:rPr>
              <w:t>3.26%</w:t>
            </w:r>
          </w:p>
        </w:tc>
        <w:tc>
          <w:tcPr>
            <w:tcW w:w="1093" w:type="pct"/>
            <w:hideMark/>
          </w:tcPr>
          <w:p w14:paraId="5D3EF1C0" w14:textId="77777777" w:rsidR="00AB5380" w:rsidRPr="004C540C" w:rsidRDefault="00AB5380" w:rsidP="004C540C">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4C540C">
              <w:rPr>
                <w:rFonts w:ascii="Arial" w:hAnsi="Arial" w:cs="Arial"/>
                <w:b/>
                <w:bCs/>
              </w:rPr>
              <w:t>8.59%</w:t>
            </w:r>
          </w:p>
        </w:tc>
      </w:tr>
      <w:tr w:rsidR="00AB5380" w:rsidRPr="004C540C" w14:paraId="052848E9" w14:textId="77777777" w:rsidTr="00134E0C">
        <w:tc>
          <w:tcPr>
            <w:cnfStyle w:val="001000000000" w:firstRow="0" w:lastRow="0" w:firstColumn="1" w:lastColumn="0" w:oddVBand="0" w:evenVBand="0" w:oddHBand="0" w:evenHBand="0" w:firstRowFirstColumn="0" w:firstRowLastColumn="0" w:lastRowFirstColumn="0" w:lastRowLastColumn="0"/>
            <w:tcW w:w="1786" w:type="pct"/>
            <w:hideMark/>
          </w:tcPr>
          <w:p w14:paraId="26D51044" w14:textId="77777777" w:rsidR="00AB5380" w:rsidRPr="004C540C" w:rsidRDefault="00AB5380" w:rsidP="004C540C">
            <w:pPr>
              <w:pStyle w:val="NormalWeb"/>
              <w:jc w:val="both"/>
              <w:rPr>
                <w:rFonts w:ascii="Arial" w:hAnsi="Arial" w:cs="Arial"/>
              </w:rPr>
            </w:pPr>
            <w:r w:rsidRPr="004C540C">
              <w:rPr>
                <w:rFonts w:ascii="Arial" w:hAnsi="Arial" w:cs="Arial"/>
              </w:rPr>
              <w:t>Overall ranking</w:t>
            </w:r>
          </w:p>
        </w:tc>
        <w:tc>
          <w:tcPr>
            <w:tcW w:w="1061" w:type="pct"/>
            <w:hideMark/>
          </w:tcPr>
          <w:p w14:paraId="56DDD4D9" w14:textId="77777777" w:rsidR="00AB5380" w:rsidRPr="004C540C" w:rsidRDefault="00AB5380" w:rsidP="004C540C">
            <w:pPr>
              <w:pStyle w:val="NormalWeb"/>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4C540C">
              <w:rPr>
                <w:rFonts w:ascii="Arial" w:hAnsi="Arial" w:cs="Arial"/>
              </w:rPr>
              <w:t>3rd</w:t>
            </w:r>
          </w:p>
        </w:tc>
        <w:tc>
          <w:tcPr>
            <w:tcW w:w="1061" w:type="pct"/>
            <w:hideMark/>
          </w:tcPr>
          <w:p w14:paraId="173B6200" w14:textId="77777777" w:rsidR="00AB5380" w:rsidRPr="004C540C" w:rsidRDefault="00AB5380" w:rsidP="004C540C">
            <w:pPr>
              <w:pStyle w:val="NormalWeb"/>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4C540C">
              <w:rPr>
                <w:rFonts w:ascii="Arial" w:hAnsi="Arial" w:cs="Arial"/>
              </w:rPr>
              <w:t>2nd</w:t>
            </w:r>
          </w:p>
        </w:tc>
        <w:tc>
          <w:tcPr>
            <w:tcW w:w="1093" w:type="pct"/>
            <w:hideMark/>
          </w:tcPr>
          <w:p w14:paraId="5C2B5352" w14:textId="77777777" w:rsidR="00AB5380" w:rsidRPr="004C540C" w:rsidRDefault="00AB5380" w:rsidP="004C540C">
            <w:pPr>
              <w:pStyle w:val="NormalWeb"/>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4C540C">
              <w:rPr>
                <w:rFonts w:ascii="Arial" w:hAnsi="Arial" w:cs="Arial"/>
                <w:b/>
                <w:bCs/>
              </w:rPr>
              <w:t>1st</w:t>
            </w:r>
          </w:p>
        </w:tc>
      </w:tr>
    </w:tbl>
    <w:p w14:paraId="7581B722" w14:textId="77777777" w:rsidR="00AB5380" w:rsidRPr="004C540C" w:rsidRDefault="00AB5380" w:rsidP="004C540C">
      <w:pPr>
        <w:pStyle w:val="NormalWeb"/>
        <w:jc w:val="both"/>
        <w:rPr>
          <w:rFonts w:ascii="Arial" w:hAnsi="Arial" w:cs="Arial"/>
        </w:rPr>
      </w:pPr>
      <w:r w:rsidRPr="004C540C">
        <w:rPr>
          <w:rFonts w:ascii="Arial" w:hAnsi="Arial" w:cs="Arial"/>
        </w:rPr>
        <w:t>Source: Author's calculations based on the project information provided in the assessment.</w:t>
      </w:r>
    </w:p>
    <w:p w14:paraId="618F96E6" w14:textId="0CED9CF2" w:rsidR="001F424D" w:rsidRPr="004C540C" w:rsidRDefault="009A1C1C" w:rsidP="004C540C">
      <w:pPr>
        <w:pStyle w:val="NormalWeb"/>
        <w:jc w:val="both"/>
        <w:rPr>
          <w:rFonts w:ascii="Arial" w:hAnsi="Arial" w:cs="Arial"/>
        </w:rPr>
      </w:pPr>
      <w:r w:rsidRPr="004C540C">
        <w:rPr>
          <w:rFonts w:ascii="Arial" w:hAnsi="Arial" w:cs="Arial"/>
          <w:noProof/>
        </w:rPr>
        <w:lastRenderedPageBreak/>
        <w:drawing>
          <wp:inline distT="0" distB="0" distL="0" distR="0" wp14:anchorId="12AAA26B" wp14:editId="2DB5FF8B">
            <wp:extent cx="5731510" cy="3223895"/>
            <wp:effectExtent l="0" t="0" r="2540" b="0"/>
            <wp:docPr id="10571385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138522" name="Picture 1057138522"/>
                    <pic:cNvPicPr/>
                  </pic:nvPicPr>
                  <pic:blipFill>
                    <a:blip r:embed="rId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C56182F" w14:textId="77777777" w:rsidR="002F4933" w:rsidRPr="004C540C" w:rsidRDefault="002F4933" w:rsidP="004C540C">
      <w:pPr>
        <w:pStyle w:val="NormalWeb"/>
        <w:jc w:val="both"/>
        <w:rPr>
          <w:rFonts w:ascii="Arial" w:hAnsi="Arial" w:cs="Arial"/>
          <w:b/>
          <w:bCs/>
          <w:sz w:val="28"/>
          <w:szCs w:val="28"/>
        </w:rPr>
      </w:pPr>
      <w:r w:rsidRPr="004C540C">
        <w:rPr>
          <w:rFonts w:ascii="Arial" w:hAnsi="Arial" w:cs="Arial"/>
          <w:b/>
          <w:bCs/>
          <w:sz w:val="28"/>
          <w:szCs w:val="28"/>
        </w:rPr>
        <w:t>Payback Period</w:t>
      </w:r>
    </w:p>
    <w:p w14:paraId="5DEA8024" w14:textId="77777777" w:rsidR="002F4933" w:rsidRPr="004C540C" w:rsidRDefault="002F4933" w:rsidP="004C540C">
      <w:pPr>
        <w:pStyle w:val="NormalWeb"/>
        <w:jc w:val="both"/>
        <w:rPr>
          <w:rFonts w:ascii="Arial" w:hAnsi="Arial" w:cs="Arial"/>
        </w:rPr>
      </w:pPr>
      <w:r w:rsidRPr="004C540C">
        <w:rPr>
          <w:rFonts w:ascii="Arial" w:hAnsi="Arial" w:cs="Arial"/>
        </w:rPr>
        <w:t>The Payback Period calculates the time it takes for the initial £50 million invested to be recovered through cash flows generated by the project. Project C has the shortest payback period, i.e., 3.60 years. At the end of Year 3, Project C will have earned £35 million, which means it needs an additional £15 million from the cash flow of Year 4, which is £25 million:</w:t>
      </w:r>
    </w:p>
    <w:p w14:paraId="0842C058" w14:textId="77777777" w:rsidR="002F4933" w:rsidRPr="004C540C" w:rsidRDefault="002F4933" w:rsidP="004C540C">
      <w:pPr>
        <w:pStyle w:val="NormalWeb"/>
        <w:jc w:val="both"/>
        <w:rPr>
          <w:rFonts w:ascii="Arial" w:hAnsi="Arial" w:cs="Arial"/>
          <w:b/>
          <w:bCs/>
          <w:sz w:val="28"/>
          <w:szCs w:val="28"/>
        </w:rPr>
      </w:pPr>
      <w:r w:rsidRPr="004C540C">
        <w:rPr>
          <w:rFonts w:ascii="Arial" w:hAnsi="Arial" w:cs="Arial"/>
          <w:b/>
          <w:bCs/>
          <w:sz w:val="28"/>
          <w:szCs w:val="28"/>
        </w:rPr>
        <w:t>PBP = 3 + (£15m ÷ £25m) = 3.60 years</w:t>
      </w:r>
    </w:p>
    <w:p w14:paraId="03D9AC97" w14:textId="77777777" w:rsidR="002F4933" w:rsidRPr="004C540C" w:rsidRDefault="002F4933" w:rsidP="004C540C">
      <w:pPr>
        <w:pStyle w:val="NormalWeb"/>
        <w:jc w:val="both"/>
        <w:rPr>
          <w:rFonts w:ascii="Arial" w:hAnsi="Arial" w:cs="Arial"/>
        </w:rPr>
      </w:pPr>
      <w:r w:rsidRPr="004C540C">
        <w:rPr>
          <w:rFonts w:ascii="Arial" w:hAnsi="Arial" w:cs="Arial"/>
        </w:rPr>
        <w:t>Project A's payback period is 4.50 years, and that of Project B is approximately 4.55 years. Thus, Project C offers the fastest return on the initial investment and minimizes the period for which the capital of IHG remains at risk.</w:t>
      </w:r>
    </w:p>
    <w:p w14:paraId="50BECE4F" w14:textId="77777777" w:rsidR="002F4933" w:rsidRPr="004C540C" w:rsidRDefault="002F4933" w:rsidP="004C540C">
      <w:pPr>
        <w:pStyle w:val="NormalWeb"/>
        <w:jc w:val="both"/>
        <w:rPr>
          <w:rFonts w:ascii="Arial" w:hAnsi="Arial" w:cs="Arial"/>
          <w:b/>
          <w:bCs/>
          <w:sz w:val="28"/>
          <w:szCs w:val="28"/>
        </w:rPr>
      </w:pPr>
      <w:r w:rsidRPr="004C540C">
        <w:rPr>
          <w:rFonts w:ascii="Arial" w:hAnsi="Arial" w:cs="Arial"/>
          <w:b/>
          <w:bCs/>
          <w:sz w:val="28"/>
          <w:szCs w:val="28"/>
        </w:rPr>
        <w:t>Accounting Rate of Return</w:t>
      </w:r>
    </w:p>
    <w:p w14:paraId="42FD820B" w14:textId="77777777" w:rsidR="002F4933" w:rsidRPr="004C540C" w:rsidRDefault="002F4933" w:rsidP="004C540C">
      <w:pPr>
        <w:pStyle w:val="NormalWeb"/>
        <w:jc w:val="both"/>
        <w:rPr>
          <w:rFonts w:ascii="Arial" w:hAnsi="Arial" w:cs="Arial"/>
        </w:rPr>
      </w:pPr>
      <w:r w:rsidRPr="004C540C">
        <w:rPr>
          <w:rFonts w:ascii="Arial" w:hAnsi="Arial" w:cs="Arial"/>
        </w:rPr>
        <w:t>ARR represents the average annual accounting profit divided by the initial investment. Annual depreciation is £10 million in all the three projects.</w:t>
      </w:r>
    </w:p>
    <w:p w14:paraId="1272B591" w14:textId="2845D73F" w:rsidR="002F4933" w:rsidRPr="004C540C" w:rsidRDefault="002F4933" w:rsidP="004C540C">
      <w:pPr>
        <w:pStyle w:val="NormalWeb"/>
        <w:jc w:val="both"/>
        <w:rPr>
          <w:rFonts w:ascii="Arial" w:hAnsi="Arial" w:cs="Arial"/>
        </w:rPr>
      </w:pPr>
      <w:r w:rsidRPr="004C540C">
        <w:rPr>
          <w:rFonts w:ascii="Arial" w:hAnsi="Arial" w:cs="Arial"/>
        </w:rPr>
        <w:t>Total cash inflows for Project A is £54 million, and thus, average annual cash inflow is £10.8 million. Average annual accounting profit will be £0.8 million after deducting £10 million for depreciation. Thus, ARR will be</w:t>
      </w:r>
      <w:r w:rsidR="00E97D88" w:rsidRPr="004C540C">
        <w:rPr>
          <w:rFonts w:ascii="Arial" w:hAnsi="Arial" w:cs="Arial"/>
        </w:rPr>
        <w:t>.</w:t>
      </w:r>
    </w:p>
    <w:p w14:paraId="1A4F83A3" w14:textId="77777777" w:rsidR="002F4933" w:rsidRPr="004C540C" w:rsidRDefault="002F4933" w:rsidP="004C540C">
      <w:pPr>
        <w:pStyle w:val="NormalWeb"/>
        <w:jc w:val="both"/>
        <w:rPr>
          <w:rFonts w:ascii="Arial" w:hAnsi="Arial" w:cs="Arial"/>
          <w:b/>
          <w:bCs/>
          <w:sz w:val="28"/>
          <w:szCs w:val="28"/>
        </w:rPr>
      </w:pPr>
      <w:r w:rsidRPr="004C540C">
        <w:rPr>
          <w:rFonts w:ascii="Arial" w:hAnsi="Arial" w:cs="Arial"/>
          <w:b/>
          <w:bCs/>
          <w:sz w:val="28"/>
          <w:szCs w:val="28"/>
        </w:rPr>
        <w:t>ARR = (£0.8m ÷ £50m) × 100 = 1.60%</w:t>
      </w:r>
    </w:p>
    <w:p w14:paraId="2E1B48E8" w14:textId="77777777" w:rsidR="00167A22" w:rsidRPr="004C540C" w:rsidRDefault="00167A22" w:rsidP="004C540C">
      <w:pPr>
        <w:pStyle w:val="NormalWeb"/>
        <w:jc w:val="both"/>
        <w:outlineLvl w:val="1"/>
        <w:rPr>
          <w:rFonts w:ascii="Arial" w:hAnsi="Arial" w:cs="Arial"/>
        </w:rPr>
      </w:pPr>
      <w:bookmarkStart w:id="39" w:name="_Toc237378381"/>
      <w:r w:rsidRPr="004C540C">
        <w:rPr>
          <w:rFonts w:ascii="Arial" w:hAnsi="Arial" w:cs="Arial"/>
        </w:rPr>
        <w:t>Project B produces accounting profit of £1 million annually, which produces an ARR of 2.00%. Project C produces an accounting profit of £3 million annually, which produces an ARR of 6.00%.</w:t>
      </w:r>
    </w:p>
    <w:p w14:paraId="450FD943" w14:textId="77777777" w:rsidR="00167A22" w:rsidRPr="004C540C" w:rsidRDefault="00167A22" w:rsidP="004C540C">
      <w:pPr>
        <w:pStyle w:val="NormalWeb"/>
        <w:jc w:val="both"/>
        <w:outlineLvl w:val="1"/>
        <w:rPr>
          <w:rFonts w:ascii="Arial" w:hAnsi="Arial" w:cs="Arial"/>
        </w:rPr>
      </w:pPr>
      <w:r w:rsidRPr="004C540C">
        <w:rPr>
          <w:rFonts w:ascii="Arial" w:hAnsi="Arial" w:cs="Arial"/>
        </w:rPr>
        <w:lastRenderedPageBreak/>
        <w:t>Clearly, Project C produces the best accounting return and is best under the ARR system.</w:t>
      </w:r>
    </w:p>
    <w:p w14:paraId="39E88F7B" w14:textId="2B931816" w:rsidR="00AB5380" w:rsidRPr="004C540C" w:rsidRDefault="00AB5380" w:rsidP="004C540C">
      <w:pPr>
        <w:pStyle w:val="NormalWeb"/>
        <w:jc w:val="both"/>
        <w:outlineLvl w:val="1"/>
        <w:rPr>
          <w:rFonts w:ascii="Arial" w:hAnsi="Arial" w:cs="Arial"/>
          <w:b/>
          <w:bCs/>
          <w:sz w:val="28"/>
          <w:szCs w:val="28"/>
        </w:rPr>
      </w:pPr>
      <w:r w:rsidRPr="004C540C">
        <w:rPr>
          <w:rFonts w:ascii="Arial" w:hAnsi="Arial" w:cs="Arial"/>
          <w:b/>
          <w:bCs/>
          <w:sz w:val="28"/>
          <w:szCs w:val="28"/>
        </w:rPr>
        <w:t>Net Present Value</w:t>
      </w:r>
      <w:bookmarkEnd w:id="39"/>
    </w:p>
    <w:p w14:paraId="05B12438" w14:textId="77777777" w:rsidR="0035114E" w:rsidRPr="004C540C" w:rsidRDefault="0035114E" w:rsidP="004C540C">
      <w:pPr>
        <w:pStyle w:val="NormalWeb"/>
        <w:jc w:val="both"/>
        <w:outlineLvl w:val="1"/>
        <w:rPr>
          <w:rFonts w:ascii="Arial" w:hAnsi="Arial" w:cs="Arial"/>
        </w:rPr>
      </w:pPr>
      <w:bookmarkStart w:id="40" w:name="_Toc237378382"/>
      <w:r w:rsidRPr="004C540C">
        <w:rPr>
          <w:rFonts w:ascii="Arial" w:hAnsi="Arial" w:cs="Arial"/>
        </w:rPr>
        <w:t>NPV takes into account the time value of money through the discounting of cash flows at 8%. According to the computations, Project A has an NPV of approximately -£6.54 million, whereas Project B has an NPV of approximately -£6.08 million. Project C generates a positive NPV of approximately £0.86 million.</w:t>
      </w:r>
    </w:p>
    <w:p w14:paraId="42B49457" w14:textId="77777777" w:rsidR="0035114E" w:rsidRPr="004C540C" w:rsidRDefault="0035114E" w:rsidP="004C540C">
      <w:pPr>
        <w:pStyle w:val="NormalWeb"/>
        <w:jc w:val="both"/>
        <w:outlineLvl w:val="1"/>
        <w:rPr>
          <w:rFonts w:ascii="Arial" w:hAnsi="Arial" w:cs="Arial"/>
        </w:rPr>
      </w:pPr>
      <w:r w:rsidRPr="004C540C">
        <w:rPr>
          <w:rFonts w:ascii="Arial" w:hAnsi="Arial" w:cs="Arial"/>
        </w:rPr>
        <w:t>Thus, Project C is the only project that adds value in case the discount rate is 8%. Project A and Project B would normally be rejected since their negative NPV means that they generate discounted future cash flows that are not sufficient to cover the required return on £50 million invested.</w:t>
      </w:r>
    </w:p>
    <w:p w14:paraId="7555B3A7" w14:textId="48C18267" w:rsidR="00AB5380" w:rsidRPr="004C540C" w:rsidRDefault="00AB5380" w:rsidP="004C540C">
      <w:pPr>
        <w:pStyle w:val="NormalWeb"/>
        <w:jc w:val="both"/>
        <w:outlineLvl w:val="1"/>
        <w:rPr>
          <w:rFonts w:ascii="Arial" w:hAnsi="Arial" w:cs="Arial"/>
          <w:b/>
          <w:bCs/>
          <w:sz w:val="28"/>
          <w:szCs w:val="28"/>
        </w:rPr>
      </w:pPr>
      <w:r w:rsidRPr="004C540C">
        <w:rPr>
          <w:rFonts w:ascii="Arial" w:hAnsi="Arial" w:cs="Arial"/>
          <w:b/>
          <w:bCs/>
          <w:sz w:val="28"/>
          <w:szCs w:val="28"/>
        </w:rPr>
        <w:t>Profitability Index</w:t>
      </w:r>
      <w:bookmarkEnd w:id="40"/>
    </w:p>
    <w:p w14:paraId="73D9F418" w14:textId="77777777" w:rsidR="00AB5380" w:rsidRPr="004C540C" w:rsidRDefault="00AB5380" w:rsidP="004C540C">
      <w:pPr>
        <w:pStyle w:val="NormalWeb"/>
        <w:jc w:val="both"/>
        <w:rPr>
          <w:rFonts w:ascii="Arial" w:hAnsi="Arial" w:cs="Arial"/>
        </w:rPr>
      </w:pPr>
      <w:r w:rsidRPr="004C540C">
        <w:rPr>
          <w:rFonts w:ascii="Arial" w:hAnsi="Arial" w:cs="Arial"/>
        </w:rPr>
        <w:t>The Profitability Index is calculated as:</w:t>
      </w:r>
    </w:p>
    <w:p w14:paraId="0B762240" w14:textId="77777777" w:rsidR="00AB5380" w:rsidRPr="004C540C" w:rsidRDefault="00AB5380" w:rsidP="004C540C">
      <w:pPr>
        <w:pStyle w:val="NormalWeb"/>
        <w:jc w:val="both"/>
        <w:rPr>
          <w:rFonts w:ascii="Arial" w:hAnsi="Arial" w:cs="Arial"/>
        </w:rPr>
      </w:pPr>
      <w:r w:rsidRPr="004C540C">
        <w:rPr>
          <w:rFonts w:ascii="Arial" w:hAnsi="Arial" w:cs="Arial"/>
          <w:b/>
          <w:bCs/>
        </w:rPr>
        <w:t>PI = Present Value of Future Cash Inflows ÷ Initial Investment</w:t>
      </w:r>
    </w:p>
    <w:p w14:paraId="0D7039EA" w14:textId="77777777" w:rsidR="0035114E" w:rsidRPr="004C540C" w:rsidRDefault="0035114E" w:rsidP="004C540C">
      <w:pPr>
        <w:pStyle w:val="NormalWeb"/>
        <w:jc w:val="both"/>
        <w:outlineLvl w:val="1"/>
        <w:rPr>
          <w:rFonts w:ascii="Arial" w:hAnsi="Arial" w:cs="Arial"/>
        </w:rPr>
      </w:pPr>
      <w:bookmarkStart w:id="41" w:name="_Toc237378383"/>
      <w:r w:rsidRPr="004C540C">
        <w:rPr>
          <w:rFonts w:ascii="Arial" w:hAnsi="Arial" w:cs="Arial"/>
        </w:rPr>
        <w:t>The PI of Project A is 0.869, while that of Project B is 0.878. The two are less than 1, implying that their discounted cash flows are smaller than the amount invested.</w:t>
      </w:r>
    </w:p>
    <w:p w14:paraId="206AC36D" w14:textId="77777777" w:rsidR="0035114E" w:rsidRPr="004C540C" w:rsidRDefault="0035114E" w:rsidP="004C540C">
      <w:pPr>
        <w:pStyle w:val="NormalWeb"/>
        <w:jc w:val="both"/>
        <w:outlineLvl w:val="1"/>
        <w:rPr>
          <w:rFonts w:ascii="Arial" w:hAnsi="Arial" w:cs="Arial"/>
        </w:rPr>
      </w:pPr>
      <w:r w:rsidRPr="004C540C">
        <w:rPr>
          <w:rFonts w:ascii="Arial" w:hAnsi="Arial" w:cs="Arial"/>
        </w:rPr>
        <w:t>The PI of Project C is 1.017. This implies that for each £1 invested, the present value of Project C will be £1.017. Thus, Project C is the only project whose PI exceeds the acceptance limit.</w:t>
      </w:r>
    </w:p>
    <w:p w14:paraId="0DBFADEB" w14:textId="545D7553" w:rsidR="00AB5380" w:rsidRPr="004C540C" w:rsidRDefault="00AB5380" w:rsidP="004C540C">
      <w:pPr>
        <w:pStyle w:val="NormalWeb"/>
        <w:jc w:val="both"/>
        <w:outlineLvl w:val="1"/>
        <w:rPr>
          <w:rFonts w:ascii="Arial" w:hAnsi="Arial" w:cs="Arial"/>
          <w:b/>
          <w:bCs/>
          <w:sz w:val="28"/>
          <w:szCs w:val="28"/>
        </w:rPr>
      </w:pPr>
      <w:r w:rsidRPr="004C540C">
        <w:rPr>
          <w:rFonts w:ascii="Arial" w:hAnsi="Arial" w:cs="Arial"/>
          <w:b/>
          <w:bCs/>
          <w:sz w:val="28"/>
          <w:szCs w:val="28"/>
        </w:rPr>
        <w:t>Internal Rate of Return</w:t>
      </w:r>
      <w:bookmarkEnd w:id="41"/>
    </w:p>
    <w:p w14:paraId="03DB9F27" w14:textId="77777777" w:rsidR="00274535" w:rsidRPr="004C540C" w:rsidRDefault="00274535" w:rsidP="004C540C">
      <w:pPr>
        <w:pStyle w:val="NormalWeb"/>
        <w:jc w:val="both"/>
        <w:outlineLvl w:val="1"/>
        <w:rPr>
          <w:rFonts w:ascii="Arial" w:hAnsi="Arial" w:cs="Arial"/>
        </w:rPr>
      </w:pPr>
      <w:bookmarkStart w:id="42" w:name="_Toc237378384"/>
      <w:r w:rsidRPr="004C540C">
        <w:rPr>
          <w:rFonts w:ascii="Arial" w:hAnsi="Arial" w:cs="Arial"/>
        </w:rPr>
        <w:t>IRR is defined as the interest rate that makes the Net Present Value of an investment equal to zero. Project A has an IRR of about 2.72%, whereas Project B has an IRR of about 3.26%. Both of these are considerably less than the required 8% return.</w:t>
      </w:r>
    </w:p>
    <w:p w14:paraId="0FFDE156" w14:textId="77777777" w:rsidR="00274535" w:rsidRPr="004C540C" w:rsidRDefault="00274535" w:rsidP="004C540C">
      <w:pPr>
        <w:pStyle w:val="NormalWeb"/>
        <w:jc w:val="both"/>
        <w:outlineLvl w:val="1"/>
        <w:rPr>
          <w:rFonts w:ascii="Arial" w:hAnsi="Arial" w:cs="Arial"/>
        </w:rPr>
      </w:pPr>
      <w:r w:rsidRPr="004C540C">
        <w:rPr>
          <w:rFonts w:ascii="Arial" w:hAnsi="Arial" w:cs="Arial"/>
        </w:rPr>
        <w:t>Project C has an IRR of about 8.59%, which exceeds the required discount rate of 8%. Hence, Project C is the only project that satisfies the IRR criteria for acceptance.</w:t>
      </w:r>
    </w:p>
    <w:p w14:paraId="3205C737" w14:textId="017F6978" w:rsidR="00AB5380" w:rsidRPr="004C540C" w:rsidRDefault="00AB5380" w:rsidP="004C540C">
      <w:pPr>
        <w:pStyle w:val="NormalWeb"/>
        <w:jc w:val="both"/>
        <w:outlineLvl w:val="1"/>
        <w:rPr>
          <w:rFonts w:ascii="Arial" w:hAnsi="Arial" w:cs="Arial"/>
          <w:b/>
          <w:bCs/>
          <w:sz w:val="28"/>
          <w:szCs w:val="28"/>
        </w:rPr>
      </w:pPr>
      <w:r w:rsidRPr="004C540C">
        <w:rPr>
          <w:rFonts w:ascii="Arial" w:hAnsi="Arial" w:cs="Arial"/>
          <w:b/>
          <w:bCs/>
          <w:sz w:val="28"/>
          <w:szCs w:val="28"/>
        </w:rPr>
        <w:t>4.2 Recommended Investment</w:t>
      </w:r>
      <w:bookmarkEnd w:id="42"/>
    </w:p>
    <w:p w14:paraId="5C1CF360" w14:textId="77777777" w:rsidR="004F06C0" w:rsidRPr="004C540C" w:rsidRDefault="004F06C0" w:rsidP="004C540C">
      <w:pPr>
        <w:pStyle w:val="NormalWeb"/>
        <w:jc w:val="both"/>
        <w:rPr>
          <w:rFonts w:ascii="Arial" w:hAnsi="Arial" w:cs="Arial"/>
        </w:rPr>
      </w:pPr>
      <w:r w:rsidRPr="004C540C">
        <w:rPr>
          <w:rFonts w:ascii="Arial" w:hAnsi="Arial" w:cs="Arial"/>
        </w:rPr>
        <w:t>In terms of all five investment appraisal techniques, Project C will be the investment chosen. This project will take the shortest time in the payback period, will have the highest ARR, the only investment with the positive NPV, the only project with PI exceeding one and IRR more than the required 8% return.</w:t>
      </w:r>
    </w:p>
    <w:p w14:paraId="70A3BFB8" w14:textId="68AAA621" w:rsidR="004F06C0" w:rsidRPr="004C540C" w:rsidRDefault="004F06C0" w:rsidP="004C540C">
      <w:pPr>
        <w:pStyle w:val="NormalWeb"/>
        <w:jc w:val="both"/>
        <w:rPr>
          <w:rFonts w:ascii="Arial" w:hAnsi="Arial" w:cs="Arial"/>
        </w:rPr>
      </w:pPr>
      <w:r w:rsidRPr="004C540C">
        <w:rPr>
          <w:rFonts w:ascii="Arial" w:hAnsi="Arial" w:cs="Arial"/>
        </w:rPr>
        <w:t>Also, it correlates with the improved financial performance of the InterContinental Hotel Group. The revenue has risen from $2.9 billion in 2021 up to $5.2 billion in 2025, and operating profit reached approximately $1.2 billion. Higher profits and cash generation make IHG more capable of making investments while retaining financial flexibility (InterContinental Hotels Group, 2025).</w:t>
      </w:r>
    </w:p>
    <w:p w14:paraId="4EC4B755" w14:textId="77777777" w:rsidR="004F06C0" w:rsidRPr="004C540C" w:rsidRDefault="004F06C0" w:rsidP="004C540C">
      <w:pPr>
        <w:pStyle w:val="NormalWeb"/>
        <w:jc w:val="both"/>
        <w:outlineLvl w:val="1"/>
        <w:rPr>
          <w:rFonts w:ascii="Arial" w:hAnsi="Arial" w:cs="Arial"/>
        </w:rPr>
      </w:pPr>
      <w:bookmarkStart w:id="43" w:name="_Toc237378385"/>
      <w:r w:rsidRPr="004C540C">
        <w:rPr>
          <w:rFonts w:ascii="Arial" w:hAnsi="Arial" w:cs="Arial"/>
        </w:rPr>
        <w:lastRenderedPageBreak/>
        <w:t>Both Projects A and B should not be considered priorities on the basis of the given assumptions because both projects have negative NPV values and the IRRs are less than 8%. It is possible that only Project A could be considered a good project with some more benefits.</w:t>
      </w:r>
    </w:p>
    <w:p w14:paraId="7EB75841" w14:textId="38F29ED9" w:rsidR="00AB5380" w:rsidRPr="004C540C" w:rsidRDefault="00AB5380" w:rsidP="004C540C">
      <w:pPr>
        <w:pStyle w:val="NormalWeb"/>
        <w:jc w:val="both"/>
        <w:outlineLvl w:val="1"/>
        <w:rPr>
          <w:rFonts w:ascii="Arial" w:hAnsi="Arial" w:cs="Arial"/>
          <w:b/>
          <w:bCs/>
          <w:sz w:val="28"/>
          <w:szCs w:val="28"/>
        </w:rPr>
      </w:pPr>
      <w:r w:rsidRPr="004C540C">
        <w:rPr>
          <w:rFonts w:ascii="Arial" w:hAnsi="Arial" w:cs="Arial"/>
          <w:b/>
          <w:bCs/>
          <w:sz w:val="28"/>
          <w:szCs w:val="28"/>
        </w:rPr>
        <w:t>4.3 Capital Rationing</w:t>
      </w:r>
      <w:bookmarkEnd w:id="43"/>
    </w:p>
    <w:p w14:paraId="0C4903DD" w14:textId="65B9E260" w:rsidR="007925E2" w:rsidRPr="004C540C" w:rsidRDefault="007925E2" w:rsidP="004C540C">
      <w:pPr>
        <w:pStyle w:val="NormalWeb"/>
        <w:jc w:val="both"/>
        <w:rPr>
          <w:rFonts w:ascii="Arial" w:hAnsi="Arial" w:cs="Arial"/>
        </w:rPr>
      </w:pPr>
      <w:r w:rsidRPr="004C540C">
        <w:rPr>
          <w:rFonts w:ascii="Arial" w:hAnsi="Arial" w:cs="Arial"/>
        </w:rPr>
        <w:t>The assessment shows that the maximum investment capacity of IHG is £100 million. The cost of each project is £50 million, and therefore, using the entire budget will enable IHG to undertake two projects</w:t>
      </w:r>
      <w:r w:rsidR="005A6142" w:rsidRPr="005A6142">
        <w:rPr>
          <w:rFonts w:ascii="Arial" w:hAnsi="Arial" w:cs="Arial"/>
        </w:rPr>
        <w:t>(Atrill, 2020)</w:t>
      </w:r>
      <w:r w:rsidRPr="004C540C">
        <w:rPr>
          <w:rFonts w:ascii="Arial" w:hAnsi="Arial" w:cs="Arial"/>
        </w:rPr>
        <w:t>.</w:t>
      </w:r>
    </w:p>
    <w:p w14:paraId="52B11889" w14:textId="3E98F057" w:rsidR="00AB5380" w:rsidRPr="004C540C" w:rsidRDefault="00AB5380" w:rsidP="004C540C">
      <w:pPr>
        <w:pStyle w:val="NormalWeb"/>
        <w:jc w:val="both"/>
        <w:rPr>
          <w:rFonts w:ascii="Arial" w:hAnsi="Arial" w:cs="Arial"/>
        </w:rPr>
      </w:pPr>
      <w:r w:rsidRPr="004C540C">
        <w:rPr>
          <w:rFonts w:ascii="Arial" w:hAnsi="Arial" w:cs="Arial"/>
        </w:rPr>
        <w:t>The possible combinations are:</w:t>
      </w:r>
    </w:p>
    <w:tbl>
      <w:tblPr>
        <w:tblStyle w:val="GridTable4-Accent5"/>
        <w:tblW w:w="5000" w:type="pct"/>
        <w:tblLook w:val="04A0" w:firstRow="1" w:lastRow="0" w:firstColumn="1" w:lastColumn="0" w:noHBand="0" w:noVBand="1"/>
      </w:tblPr>
      <w:tblGrid>
        <w:gridCol w:w="2327"/>
        <w:gridCol w:w="1986"/>
        <w:gridCol w:w="1840"/>
        <w:gridCol w:w="2863"/>
      </w:tblGrid>
      <w:tr w:rsidR="00AB5380" w:rsidRPr="004C540C" w14:paraId="5DBB91AC" w14:textId="77777777" w:rsidTr="00134E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90" w:type="pct"/>
            <w:hideMark/>
          </w:tcPr>
          <w:p w14:paraId="6F071170" w14:textId="77777777" w:rsidR="00AB5380" w:rsidRPr="004C540C" w:rsidRDefault="00AB5380" w:rsidP="004C540C">
            <w:pPr>
              <w:pStyle w:val="NormalWeb"/>
              <w:jc w:val="both"/>
              <w:rPr>
                <w:rFonts w:ascii="Arial" w:hAnsi="Arial" w:cs="Arial"/>
                <w:b w:val="0"/>
                <w:bCs w:val="0"/>
              </w:rPr>
            </w:pPr>
            <w:r w:rsidRPr="004C540C">
              <w:rPr>
                <w:rFonts w:ascii="Arial" w:hAnsi="Arial" w:cs="Arial"/>
              </w:rPr>
              <w:t>Project Combination</w:t>
            </w:r>
          </w:p>
        </w:tc>
        <w:tc>
          <w:tcPr>
            <w:tcW w:w="1101" w:type="pct"/>
            <w:hideMark/>
          </w:tcPr>
          <w:p w14:paraId="7D34F570" w14:textId="77777777" w:rsidR="00AB5380" w:rsidRPr="004C540C" w:rsidRDefault="00AB5380" w:rsidP="004C540C">
            <w:pPr>
              <w:pStyle w:val="NormalWeb"/>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4C540C">
              <w:rPr>
                <w:rFonts w:ascii="Arial" w:hAnsi="Arial" w:cs="Arial"/>
              </w:rPr>
              <w:t>Total Investment</w:t>
            </w:r>
          </w:p>
        </w:tc>
        <w:tc>
          <w:tcPr>
            <w:tcW w:w="1020" w:type="pct"/>
            <w:hideMark/>
          </w:tcPr>
          <w:p w14:paraId="73B8BE59" w14:textId="77777777" w:rsidR="00AB5380" w:rsidRPr="004C540C" w:rsidRDefault="00AB5380" w:rsidP="004C540C">
            <w:pPr>
              <w:pStyle w:val="NormalWeb"/>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4C540C">
              <w:rPr>
                <w:rFonts w:ascii="Arial" w:hAnsi="Arial" w:cs="Arial"/>
              </w:rPr>
              <w:t>Combined NPV</w:t>
            </w:r>
          </w:p>
        </w:tc>
        <w:tc>
          <w:tcPr>
            <w:tcW w:w="1588" w:type="pct"/>
            <w:hideMark/>
          </w:tcPr>
          <w:p w14:paraId="116B557F" w14:textId="77777777" w:rsidR="00AB5380" w:rsidRPr="004C540C" w:rsidRDefault="00AB5380" w:rsidP="004C540C">
            <w:pPr>
              <w:pStyle w:val="NormalWeb"/>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4C540C">
              <w:rPr>
                <w:rFonts w:ascii="Arial" w:hAnsi="Arial" w:cs="Arial"/>
              </w:rPr>
              <w:t>Decision</w:t>
            </w:r>
          </w:p>
        </w:tc>
      </w:tr>
      <w:tr w:rsidR="00AB5380" w:rsidRPr="004C540C" w14:paraId="5EBC5FC6" w14:textId="77777777" w:rsidTr="00134E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90" w:type="pct"/>
            <w:hideMark/>
          </w:tcPr>
          <w:p w14:paraId="7FD05796" w14:textId="77777777" w:rsidR="00AB5380" w:rsidRPr="004C540C" w:rsidRDefault="00AB5380" w:rsidP="004C540C">
            <w:pPr>
              <w:pStyle w:val="NormalWeb"/>
              <w:jc w:val="both"/>
              <w:rPr>
                <w:rFonts w:ascii="Arial" w:hAnsi="Arial" w:cs="Arial"/>
              </w:rPr>
            </w:pPr>
            <w:r w:rsidRPr="004C540C">
              <w:rPr>
                <w:rFonts w:ascii="Arial" w:hAnsi="Arial" w:cs="Arial"/>
              </w:rPr>
              <w:t>A + B</w:t>
            </w:r>
          </w:p>
        </w:tc>
        <w:tc>
          <w:tcPr>
            <w:tcW w:w="1101" w:type="pct"/>
            <w:hideMark/>
          </w:tcPr>
          <w:p w14:paraId="76BD091B" w14:textId="77777777" w:rsidR="00AB5380" w:rsidRPr="004C540C" w:rsidRDefault="00AB5380" w:rsidP="004C540C">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4C540C">
              <w:rPr>
                <w:rFonts w:ascii="Arial" w:hAnsi="Arial" w:cs="Arial"/>
              </w:rPr>
              <w:t>£100m</w:t>
            </w:r>
          </w:p>
        </w:tc>
        <w:tc>
          <w:tcPr>
            <w:tcW w:w="1020" w:type="pct"/>
            <w:hideMark/>
          </w:tcPr>
          <w:p w14:paraId="4D133523" w14:textId="77777777" w:rsidR="00AB5380" w:rsidRPr="004C540C" w:rsidRDefault="00AB5380" w:rsidP="004C540C">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4C540C">
              <w:rPr>
                <w:rFonts w:ascii="Arial" w:hAnsi="Arial" w:cs="Arial"/>
              </w:rPr>
              <w:t>-£12.62m</w:t>
            </w:r>
          </w:p>
        </w:tc>
        <w:tc>
          <w:tcPr>
            <w:tcW w:w="1588" w:type="pct"/>
            <w:hideMark/>
          </w:tcPr>
          <w:p w14:paraId="74EA61F1" w14:textId="77777777" w:rsidR="00AB5380" w:rsidRPr="004C540C" w:rsidRDefault="00AB5380" w:rsidP="004C540C">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4C540C">
              <w:rPr>
                <w:rFonts w:ascii="Arial" w:hAnsi="Arial" w:cs="Arial"/>
              </w:rPr>
              <w:t>Reject</w:t>
            </w:r>
          </w:p>
        </w:tc>
      </w:tr>
      <w:tr w:rsidR="00AB5380" w:rsidRPr="004C540C" w14:paraId="7121BAEE" w14:textId="77777777" w:rsidTr="00134E0C">
        <w:tc>
          <w:tcPr>
            <w:cnfStyle w:val="001000000000" w:firstRow="0" w:lastRow="0" w:firstColumn="1" w:lastColumn="0" w:oddVBand="0" w:evenVBand="0" w:oddHBand="0" w:evenHBand="0" w:firstRowFirstColumn="0" w:firstRowLastColumn="0" w:lastRowFirstColumn="0" w:lastRowLastColumn="0"/>
            <w:tcW w:w="1290" w:type="pct"/>
            <w:hideMark/>
          </w:tcPr>
          <w:p w14:paraId="7BB30744" w14:textId="77777777" w:rsidR="00AB5380" w:rsidRPr="004C540C" w:rsidRDefault="00AB5380" w:rsidP="004C540C">
            <w:pPr>
              <w:pStyle w:val="NormalWeb"/>
              <w:jc w:val="both"/>
              <w:rPr>
                <w:rFonts w:ascii="Arial" w:hAnsi="Arial" w:cs="Arial"/>
              </w:rPr>
            </w:pPr>
            <w:r w:rsidRPr="004C540C">
              <w:rPr>
                <w:rFonts w:ascii="Arial" w:hAnsi="Arial" w:cs="Arial"/>
              </w:rPr>
              <w:t>A + C</w:t>
            </w:r>
          </w:p>
        </w:tc>
        <w:tc>
          <w:tcPr>
            <w:tcW w:w="1101" w:type="pct"/>
            <w:hideMark/>
          </w:tcPr>
          <w:p w14:paraId="1E2AC1D4" w14:textId="77777777" w:rsidR="00AB5380" w:rsidRPr="004C540C" w:rsidRDefault="00AB5380" w:rsidP="004C540C">
            <w:pPr>
              <w:pStyle w:val="NormalWeb"/>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4C540C">
              <w:rPr>
                <w:rFonts w:ascii="Arial" w:hAnsi="Arial" w:cs="Arial"/>
              </w:rPr>
              <w:t>£100m</w:t>
            </w:r>
          </w:p>
        </w:tc>
        <w:tc>
          <w:tcPr>
            <w:tcW w:w="1020" w:type="pct"/>
            <w:hideMark/>
          </w:tcPr>
          <w:p w14:paraId="695A9AE2" w14:textId="77777777" w:rsidR="00AB5380" w:rsidRPr="004C540C" w:rsidRDefault="00AB5380" w:rsidP="004C540C">
            <w:pPr>
              <w:pStyle w:val="NormalWeb"/>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4C540C">
              <w:rPr>
                <w:rFonts w:ascii="Arial" w:hAnsi="Arial" w:cs="Arial"/>
              </w:rPr>
              <w:t>-£5.68m</w:t>
            </w:r>
          </w:p>
        </w:tc>
        <w:tc>
          <w:tcPr>
            <w:tcW w:w="1588" w:type="pct"/>
            <w:hideMark/>
          </w:tcPr>
          <w:p w14:paraId="53F4CB22" w14:textId="77777777" w:rsidR="00AB5380" w:rsidRPr="004C540C" w:rsidRDefault="00AB5380" w:rsidP="004C540C">
            <w:pPr>
              <w:pStyle w:val="NormalWeb"/>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4C540C">
              <w:rPr>
                <w:rFonts w:ascii="Arial" w:hAnsi="Arial" w:cs="Arial"/>
              </w:rPr>
              <w:t>Reject</w:t>
            </w:r>
          </w:p>
        </w:tc>
      </w:tr>
      <w:tr w:rsidR="00AB5380" w:rsidRPr="004C540C" w14:paraId="7BE8F534" w14:textId="77777777" w:rsidTr="00134E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90" w:type="pct"/>
            <w:hideMark/>
          </w:tcPr>
          <w:p w14:paraId="360D25A9" w14:textId="77777777" w:rsidR="00AB5380" w:rsidRPr="004C540C" w:rsidRDefault="00AB5380" w:rsidP="004C540C">
            <w:pPr>
              <w:pStyle w:val="NormalWeb"/>
              <w:jc w:val="both"/>
              <w:rPr>
                <w:rFonts w:ascii="Arial" w:hAnsi="Arial" w:cs="Arial"/>
              </w:rPr>
            </w:pPr>
            <w:r w:rsidRPr="004C540C">
              <w:rPr>
                <w:rFonts w:ascii="Arial" w:hAnsi="Arial" w:cs="Arial"/>
              </w:rPr>
              <w:t>B + C</w:t>
            </w:r>
          </w:p>
        </w:tc>
        <w:tc>
          <w:tcPr>
            <w:tcW w:w="1101" w:type="pct"/>
            <w:hideMark/>
          </w:tcPr>
          <w:p w14:paraId="316A9F22" w14:textId="77777777" w:rsidR="00AB5380" w:rsidRPr="004C540C" w:rsidRDefault="00AB5380" w:rsidP="004C540C">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4C540C">
              <w:rPr>
                <w:rFonts w:ascii="Arial" w:hAnsi="Arial" w:cs="Arial"/>
              </w:rPr>
              <w:t>£100m</w:t>
            </w:r>
          </w:p>
        </w:tc>
        <w:tc>
          <w:tcPr>
            <w:tcW w:w="1020" w:type="pct"/>
            <w:hideMark/>
          </w:tcPr>
          <w:p w14:paraId="6267B3EA" w14:textId="77777777" w:rsidR="00AB5380" w:rsidRPr="004C540C" w:rsidRDefault="00AB5380" w:rsidP="004C540C">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4C540C">
              <w:rPr>
                <w:rFonts w:ascii="Arial" w:hAnsi="Arial" w:cs="Arial"/>
              </w:rPr>
              <w:t>-£5.22m</w:t>
            </w:r>
          </w:p>
        </w:tc>
        <w:tc>
          <w:tcPr>
            <w:tcW w:w="1588" w:type="pct"/>
            <w:hideMark/>
          </w:tcPr>
          <w:p w14:paraId="3F6E0CAC" w14:textId="77777777" w:rsidR="00AB5380" w:rsidRPr="004C540C" w:rsidRDefault="00AB5380" w:rsidP="004C540C">
            <w:pPr>
              <w:pStyle w:val="NormalWeb"/>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4C540C">
              <w:rPr>
                <w:rFonts w:ascii="Arial" w:hAnsi="Arial" w:cs="Arial"/>
              </w:rPr>
              <w:t>Best combination, but still negative</w:t>
            </w:r>
          </w:p>
        </w:tc>
      </w:tr>
    </w:tbl>
    <w:p w14:paraId="075D606B" w14:textId="77777777" w:rsidR="00A53861" w:rsidRPr="004C540C" w:rsidRDefault="00A53861" w:rsidP="004C540C">
      <w:pPr>
        <w:pStyle w:val="NormalWeb"/>
        <w:jc w:val="both"/>
        <w:outlineLvl w:val="1"/>
        <w:rPr>
          <w:rFonts w:ascii="Arial" w:hAnsi="Arial" w:cs="Arial"/>
        </w:rPr>
      </w:pPr>
      <w:bookmarkStart w:id="44" w:name="_Toc237378386"/>
      <w:r w:rsidRPr="004C540C">
        <w:rPr>
          <w:rFonts w:ascii="Arial" w:hAnsi="Arial" w:cs="Arial"/>
        </w:rPr>
        <w:t>The B + C combination has the highest NPV of the three possible two-projects combinations. The problem is that its NPV is still negative at about -£5.22 million.</w:t>
      </w:r>
    </w:p>
    <w:p w14:paraId="24489D8C" w14:textId="77777777" w:rsidR="00A53861" w:rsidRPr="004C540C" w:rsidRDefault="00A53861" w:rsidP="004C540C">
      <w:pPr>
        <w:pStyle w:val="NormalWeb"/>
        <w:jc w:val="both"/>
        <w:outlineLvl w:val="1"/>
        <w:rPr>
          <w:rFonts w:ascii="Arial" w:hAnsi="Arial" w:cs="Arial"/>
        </w:rPr>
      </w:pPr>
      <w:r w:rsidRPr="004C540C">
        <w:rPr>
          <w:rFonts w:ascii="Arial" w:hAnsi="Arial" w:cs="Arial"/>
        </w:rPr>
        <w:t>As such, in case £100 million is the maximum investment budget instead of the one that must be used completely, the optimal decision from the viewpoint of shareholders would be to invest £50 million in Project C only and leave the other £50 million for further uses.</w:t>
      </w:r>
    </w:p>
    <w:p w14:paraId="10D0D1F0" w14:textId="77777777" w:rsidR="00A53861" w:rsidRPr="004C540C" w:rsidRDefault="00A53861" w:rsidP="004C540C">
      <w:pPr>
        <w:pStyle w:val="NormalWeb"/>
        <w:jc w:val="both"/>
        <w:outlineLvl w:val="1"/>
        <w:rPr>
          <w:rFonts w:ascii="Arial" w:hAnsi="Arial" w:cs="Arial"/>
        </w:rPr>
      </w:pPr>
      <w:r w:rsidRPr="004C540C">
        <w:rPr>
          <w:rFonts w:ascii="Arial" w:hAnsi="Arial" w:cs="Arial"/>
        </w:rPr>
        <w:t>It is better than spending £100 million in two projects that create negative value. As far as capital rationing is concerned, value creation should be the key focus point here.</w:t>
      </w:r>
    </w:p>
    <w:p w14:paraId="72C5DD8D" w14:textId="77777777" w:rsidR="00A53861" w:rsidRPr="004C540C" w:rsidRDefault="00A53861" w:rsidP="004C540C">
      <w:pPr>
        <w:pStyle w:val="NormalWeb"/>
        <w:jc w:val="both"/>
        <w:outlineLvl w:val="1"/>
        <w:rPr>
          <w:rFonts w:ascii="Arial" w:hAnsi="Arial" w:cs="Arial"/>
        </w:rPr>
      </w:pPr>
      <w:r w:rsidRPr="004C540C">
        <w:rPr>
          <w:rFonts w:ascii="Arial" w:hAnsi="Arial" w:cs="Arial"/>
        </w:rPr>
        <w:t>Project C is the only project that has the positive NPV of £0.86 million and satisfies all main financial criteria.</w:t>
      </w:r>
    </w:p>
    <w:p w14:paraId="7B86314B" w14:textId="641E2031" w:rsidR="00AB5380" w:rsidRPr="004C540C" w:rsidRDefault="00AB5380" w:rsidP="004C540C">
      <w:pPr>
        <w:pStyle w:val="NormalWeb"/>
        <w:jc w:val="both"/>
        <w:outlineLvl w:val="1"/>
        <w:rPr>
          <w:rFonts w:ascii="Arial" w:hAnsi="Arial" w:cs="Arial"/>
          <w:b/>
          <w:bCs/>
          <w:sz w:val="28"/>
          <w:szCs w:val="28"/>
        </w:rPr>
      </w:pPr>
      <w:r w:rsidRPr="004C540C">
        <w:rPr>
          <w:rFonts w:ascii="Arial" w:hAnsi="Arial" w:cs="Arial"/>
          <w:b/>
          <w:bCs/>
          <w:sz w:val="28"/>
          <w:szCs w:val="28"/>
        </w:rPr>
        <w:t>4.4 Non-Financial Considerations and Risks</w:t>
      </w:r>
      <w:bookmarkEnd w:id="44"/>
    </w:p>
    <w:p w14:paraId="25670D29" w14:textId="77777777" w:rsidR="00C179B6" w:rsidRPr="004C540C" w:rsidRDefault="00C179B6" w:rsidP="004C540C">
      <w:pPr>
        <w:jc w:val="both"/>
        <w:rPr>
          <w:rFonts w:ascii="Arial" w:eastAsia="Times New Roman" w:hAnsi="Arial" w:cs="Arial"/>
          <w:sz w:val="24"/>
          <w:szCs w:val="24"/>
          <w:lang w:eastAsia="en-IN"/>
        </w:rPr>
      </w:pPr>
      <w:r w:rsidRPr="004C540C">
        <w:rPr>
          <w:rFonts w:ascii="Arial" w:eastAsia="Times New Roman" w:hAnsi="Arial" w:cs="Arial"/>
          <w:sz w:val="24"/>
          <w:szCs w:val="24"/>
          <w:lang w:eastAsia="en-IN"/>
        </w:rPr>
        <w:t>Other considerations besides financial considerations need to be put into consideration in making the investment decision by IHG. Political risk, customer loyalty, ESG performance, and market considerations are some of the other factors that need to be considered.</w:t>
      </w:r>
    </w:p>
    <w:p w14:paraId="2E6B0F4F" w14:textId="7D70920B" w:rsidR="00F30E53" w:rsidRPr="004C540C" w:rsidRDefault="00C179B6" w:rsidP="004C540C">
      <w:pPr>
        <w:jc w:val="both"/>
        <w:rPr>
          <w:rFonts w:ascii="Arial" w:eastAsia="Times New Roman" w:hAnsi="Arial" w:cs="Arial"/>
          <w:b/>
          <w:bCs/>
          <w:sz w:val="24"/>
          <w:szCs w:val="24"/>
          <w:lang w:eastAsia="en-IN"/>
        </w:rPr>
      </w:pPr>
      <w:r w:rsidRPr="004C540C">
        <w:rPr>
          <w:rFonts w:ascii="Arial" w:eastAsia="Times New Roman" w:hAnsi="Arial" w:cs="Arial"/>
          <w:sz w:val="24"/>
          <w:szCs w:val="24"/>
          <w:lang w:eastAsia="en-IN"/>
        </w:rPr>
        <w:t>Environmental, social and governance (ESG) considerations also need to be taken into account in the investment decisions. Projects that enhance energy efficiency, decrease carbon emission, foster sustainable hotel operations and improve responsible supply chains will help to enhance the image of IHG (InterContinental Hotels Group, 2025).</w:t>
      </w:r>
      <w:r w:rsidR="00F30E53" w:rsidRPr="004C540C">
        <w:rPr>
          <w:rFonts w:ascii="Arial" w:hAnsi="Arial" w:cs="Arial"/>
          <w:b/>
          <w:bCs/>
        </w:rPr>
        <w:br w:type="page"/>
      </w:r>
    </w:p>
    <w:p w14:paraId="511BBA87" w14:textId="2355D221" w:rsidR="00BA31DE" w:rsidRPr="004C540C" w:rsidRDefault="00BA31DE" w:rsidP="004C540C">
      <w:pPr>
        <w:pStyle w:val="Heading1"/>
        <w:jc w:val="both"/>
        <w:rPr>
          <w:rFonts w:ascii="Arial" w:hAnsi="Arial" w:cs="Arial"/>
          <w:b/>
          <w:bCs/>
        </w:rPr>
      </w:pPr>
      <w:bookmarkStart w:id="45" w:name="_Toc237378387"/>
      <w:r w:rsidRPr="004C540C">
        <w:rPr>
          <w:rFonts w:ascii="Arial" w:hAnsi="Arial" w:cs="Arial"/>
          <w:b/>
          <w:bCs/>
        </w:rPr>
        <w:lastRenderedPageBreak/>
        <w:t>5. Critical Reflection on AI Usage</w:t>
      </w:r>
      <w:bookmarkEnd w:id="45"/>
    </w:p>
    <w:p w14:paraId="08C059D4" w14:textId="5235E8B1" w:rsidR="00262367" w:rsidRPr="004C540C" w:rsidRDefault="00262367" w:rsidP="004C540C">
      <w:pPr>
        <w:pStyle w:val="NormalWeb"/>
        <w:jc w:val="both"/>
        <w:outlineLvl w:val="1"/>
        <w:rPr>
          <w:rFonts w:ascii="Arial" w:hAnsi="Arial" w:cs="Arial"/>
        </w:rPr>
      </w:pPr>
      <w:bookmarkStart w:id="46" w:name="_Toc237378388"/>
      <w:r w:rsidRPr="004C540C">
        <w:rPr>
          <w:rFonts w:ascii="Arial" w:hAnsi="Arial" w:cs="Arial"/>
        </w:rPr>
        <w:t>Artificial Intelligence (AI) has been employed as an auxiliary tool while preparing this report on InterContinental Hotels Group (IHG). The primary role played by Artificial Intelligence in the preparation of this report was that of organizing ideas, improving the structuring of different parts, assisting in ensuring clarity in the writing and understanding of financial concepts. The role of AI was that of assisting in the explanation of financial ratios, management of working capital, financial restructuring and investment appraisals such as Payback Period (PBP), Accounting Rate of Return (ARR), Net Present Value (NPV), Profitability Index (PI) and Internal Rate of Return (IRR). AI has been acknowledged in accordance with the requirement for AI use acknowledgement</w:t>
      </w:r>
      <w:r w:rsidR="0063005A" w:rsidRPr="0063005A">
        <w:rPr>
          <w:rFonts w:ascii="Arial" w:hAnsi="Arial" w:cs="Arial"/>
        </w:rPr>
        <w:t>(Sokolov, 2023)</w:t>
      </w:r>
      <w:r w:rsidRPr="004C540C">
        <w:rPr>
          <w:rFonts w:ascii="Arial" w:hAnsi="Arial" w:cs="Arial"/>
        </w:rPr>
        <w:t>.</w:t>
      </w:r>
    </w:p>
    <w:p w14:paraId="4A8A318F" w14:textId="1CC9E76F" w:rsidR="00BA31DE" w:rsidRPr="004C540C" w:rsidRDefault="00BA31DE" w:rsidP="004C540C">
      <w:pPr>
        <w:pStyle w:val="NormalWeb"/>
        <w:jc w:val="both"/>
        <w:outlineLvl w:val="1"/>
        <w:rPr>
          <w:rFonts w:ascii="Arial" w:hAnsi="Arial" w:cs="Arial"/>
          <w:b/>
          <w:bCs/>
          <w:sz w:val="28"/>
          <w:szCs w:val="28"/>
        </w:rPr>
      </w:pPr>
      <w:r w:rsidRPr="004C540C">
        <w:rPr>
          <w:rFonts w:ascii="Arial" w:hAnsi="Arial" w:cs="Arial"/>
          <w:b/>
          <w:bCs/>
          <w:sz w:val="28"/>
          <w:szCs w:val="28"/>
        </w:rPr>
        <w:t>5.1 Tool Disclosure</w:t>
      </w:r>
      <w:bookmarkEnd w:id="46"/>
    </w:p>
    <w:p w14:paraId="4F5CEEA1" w14:textId="77777777" w:rsidR="00262367" w:rsidRPr="004C540C" w:rsidRDefault="00262367" w:rsidP="004C540C">
      <w:pPr>
        <w:pStyle w:val="NormalWeb"/>
        <w:jc w:val="both"/>
        <w:outlineLvl w:val="1"/>
        <w:rPr>
          <w:rFonts w:ascii="Arial" w:hAnsi="Arial" w:cs="Arial"/>
        </w:rPr>
      </w:pPr>
      <w:bookmarkStart w:id="47" w:name="_Toc237378389"/>
      <w:r w:rsidRPr="004C540C">
        <w:rPr>
          <w:rFonts w:ascii="Arial" w:hAnsi="Arial" w:cs="Arial"/>
        </w:rPr>
        <w:t>The application of artificial intelligence technology was mainly done with regard to improving the presentation of information. This helped in finding out areas that needed improvement, such as ratio analysis, working capital management, financial restructuring and capital budgeting. The use of artificial intelligence technology also helped in presenting complex financial theories in simple language and in detecting repetition and confusing sentences. Moreover, AI technology was also useful in organising tables and calculations in the case of three investment proposals. Nevertheless, the final report was prepared based on academic sources, annual reports of IHG and financial information in the assignment.</w:t>
      </w:r>
    </w:p>
    <w:p w14:paraId="2B461EFE" w14:textId="2706EA72" w:rsidR="00BA31DE" w:rsidRPr="004C540C" w:rsidRDefault="00BA31DE" w:rsidP="004C540C">
      <w:pPr>
        <w:pStyle w:val="NormalWeb"/>
        <w:jc w:val="both"/>
        <w:outlineLvl w:val="1"/>
        <w:rPr>
          <w:rFonts w:ascii="Arial" w:hAnsi="Arial" w:cs="Arial"/>
          <w:b/>
          <w:bCs/>
          <w:sz w:val="28"/>
          <w:szCs w:val="28"/>
        </w:rPr>
      </w:pPr>
      <w:r w:rsidRPr="004C540C">
        <w:rPr>
          <w:rFonts w:ascii="Arial" w:hAnsi="Arial" w:cs="Arial"/>
          <w:b/>
          <w:bCs/>
          <w:sz w:val="28"/>
          <w:szCs w:val="28"/>
        </w:rPr>
        <w:t>5.2 Critical Evaluation and Verification of AI Output</w:t>
      </w:r>
      <w:bookmarkEnd w:id="47"/>
    </w:p>
    <w:p w14:paraId="38C56A19" w14:textId="77777777" w:rsidR="001C4C9E" w:rsidRPr="004C540C" w:rsidRDefault="001C4C9E" w:rsidP="004C540C">
      <w:pPr>
        <w:jc w:val="both"/>
        <w:rPr>
          <w:rFonts w:ascii="Arial" w:eastAsia="Times New Roman" w:hAnsi="Arial" w:cs="Arial"/>
          <w:sz w:val="24"/>
          <w:szCs w:val="24"/>
          <w:lang w:eastAsia="en-IN"/>
        </w:rPr>
      </w:pPr>
      <w:r w:rsidRPr="004C540C">
        <w:rPr>
          <w:rFonts w:ascii="Arial" w:eastAsia="Times New Roman" w:hAnsi="Arial" w:cs="Arial"/>
          <w:sz w:val="24"/>
          <w:szCs w:val="24"/>
          <w:lang w:eastAsia="en-IN"/>
        </w:rPr>
        <w:t>AI-generated data was not automatically taken as true. Data relating to finance and interpretations were verified from IHG's annual report and from other credible academic or professional resources. Special care was taken regarding numerical data since incorrect financial data could highly influence the outcome of the report. The calculation for the investment appraisal was independently verified with the cash flows provided, discount rate of 8%, and straight line depreciation of £10 million per year.</w:t>
      </w:r>
    </w:p>
    <w:p w14:paraId="4A4437D7" w14:textId="1CC3E84F" w:rsidR="00F30E53" w:rsidRPr="004C540C" w:rsidRDefault="001C4C9E" w:rsidP="004C540C">
      <w:pPr>
        <w:jc w:val="both"/>
        <w:rPr>
          <w:rFonts w:ascii="Arial" w:eastAsia="Times New Roman" w:hAnsi="Arial" w:cs="Arial"/>
          <w:b/>
          <w:bCs/>
          <w:sz w:val="28"/>
          <w:szCs w:val="28"/>
          <w:lang w:eastAsia="en-IN"/>
        </w:rPr>
      </w:pPr>
      <w:r w:rsidRPr="004C540C">
        <w:rPr>
          <w:rFonts w:ascii="Arial" w:eastAsia="Times New Roman" w:hAnsi="Arial" w:cs="Arial"/>
          <w:sz w:val="24"/>
          <w:szCs w:val="24"/>
          <w:lang w:eastAsia="en-IN"/>
        </w:rPr>
        <w:t>Moreover, the application of AI in the process showed how hallucinations and logical inconsistencies could occur. For instance, the statements of AI on the performance, ratios or recommendations on investment were independently verified before inclusion. Whenever there was repetition of data, inconsistencies, and unproven statements by AI, they were excluded or corrected. The final investment recommendation was made by independently verifying PBP, ARR, NPV, PI, and IRR rather than simply following an AI-generated recommendation</w:t>
      </w:r>
      <w:r w:rsidR="00517F05" w:rsidRPr="00517F05">
        <w:rPr>
          <w:rFonts w:ascii="Arial" w:eastAsia="Times New Roman" w:hAnsi="Arial" w:cs="Arial"/>
          <w:sz w:val="24"/>
          <w:szCs w:val="24"/>
          <w:lang w:eastAsia="en-IN"/>
        </w:rPr>
        <w:t>(Mulet-Forteza et al., 2024)</w:t>
      </w:r>
      <w:r w:rsidRPr="004C540C">
        <w:rPr>
          <w:rFonts w:ascii="Arial" w:eastAsia="Times New Roman" w:hAnsi="Arial" w:cs="Arial"/>
          <w:sz w:val="24"/>
          <w:szCs w:val="24"/>
          <w:lang w:eastAsia="en-IN"/>
        </w:rPr>
        <w:t>.</w:t>
      </w:r>
      <w:r w:rsidR="00F30E53" w:rsidRPr="004C540C">
        <w:rPr>
          <w:rFonts w:ascii="Arial" w:hAnsi="Arial" w:cs="Arial"/>
          <w:b/>
          <w:bCs/>
          <w:sz w:val="28"/>
          <w:szCs w:val="28"/>
        </w:rPr>
        <w:br w:type="page"/>
      </w:r>
    </w:p>
    <w:p w14:paraId="4AB51CAF" w14:textId="5C3722F0" w:rsidR="00BA31DE" w:rsidRPr="004C540C" w:rsidRDefault="00BA31DE" w:rsidP="004C540C">
      <w:pPr>
        <w:pStyle w:val="NormalWeb"/>
        <w:jc w:val="both"/>
        <w:outlineLvl w:val="1"/>
        <w:rPr>
          <w:rFonts w:ascii="Arial" w:hAnsi="Arial" w:cs="Arial"/>
          <w:b/>
          <w:bCs/>
          <w:sz w:val="28"/>
          <w:szCs w:val="28"/>
        </w:rPr>
      </w:pPr>
      <w:bookmarkStart w:id="48" w:name="_Toc237378390"/>
      <w:r w:rsidRPr="004C540C">
        <w:rPr>
          <w:rFonts w:ascii="Arial" w:hAnsi="Arial" w:cs="Arial"/>
          <w:b/>
          <w:bCs/>
          <w:sz w:val="28"/>
          <w:szCs w:val="28"/>
        </w:rPr>
        <w:lastRenderedPageBreak/>
        <w:t>5.3 Contribution Analysis</w:t>
      </w:r>
      <w:bookmarkEnd w:id="48"/>
    </w:p>
    <w:p w14:paraId="0B34B634" w14:textId="77777777" w:rsidR="008538EB" w:rsidRPr="004C540C" w:rsidRDefault="008538EB" w:rsidP="004C540C">
      <w:pPr>
        <w:pStyle w:val="NormalWeb"/>
        <w:jc w:val="both"/>
        <w:outlineLvl w:val="1"/>
        <w:rPr>
          <w:rFonts w:ascii="Arial" w:hAnsi="Arial" w:cs="Arial"/>
        </w:rPr>
      </w:pPr>
      <w:bookmarkStart w:id="49" w:name="_Toc237378391"/>
      <w:r w:rsidRPr="004C540C">
        <w:rPr>
          <w:rFonts w:ascii="Arial" w:hAnsi="Arial" w:cs="Arial"/>
        </w:rPr>
        <w:t>The main contribution of the AI system to the process of report preparation consisted in the improvement of its organization, explanation and refinement. Thus, AI facilitated better wording of financial analysis, helped detect missing requirements for assessment and provided suggestions for recommendations. Additionally, the meaning of financial ratios and capital budgeting methods could be explained with the help of AI.</w:t>
      </w:r>
    </w:p>
    <w:p w14:paraId="04B23D32" w14:textId="77777777" w:rsidR="008538EB" w:rsidRPr="004C540C" w:rsidRDefault="008538EB" w:rsidP="004C540C">
      <w:pPr>
        <w:pStyle w:val="NormalWeb"/>
        <w:jc w:val="both"/>
        <w:outlineLvl w:val="1"/>
        <w:rPr>
          <w:rFonts w:ascii="Arial" w:hAnsi="Arial" w:cs="Arial"/>
        </w:rPr>
      </w:pPr>
      <w:r w:rsidRPr="004C540C">
        <w:rPr>
          <w:rFonts w:ascii="Arial" w:hAnsi="Arial" w:cs="Arial"/>
        </w:rPr>
        <w:t>Nevertheless, the final critical analysis and the conclusions regarding the strategy were made by the student. As it was noted earlier, the choice of the strategy, working capital management, financing, restructuring and investments required the interpretation of financial data of the company and consideration of the requirements for assessment. The selection of Project C was made based on the calculated financial results, which included the fact that this project had positive NPV, PI above 1 and IRR above 8%, not just because of AI output.</w:t>
      </w:r>
    </w:p>
    <w:p w14:paraId="0A71CC4B" w14:textId="10400FFE" w:rsidR="00BA31DE" w:rsidRPr="004C540C" w:rsidRDefault="00BA31DE" w:rsidP="004C540C">
      <w:pPr>
        <w:pStyle w:val="NormalWeb"/>
        <w:jc w:val="both"/>
        <w:outlineLvl w:val="1"/>
        <w:rPr>
          <w:rFonts w:ascii="Arial" w:hAnsi="Arial" w:cs="Arial"/>
          <w:b/>
          <w:bCs/>
          <w:sz w:val="28"/>
          <w:szCs w:val="28"/>
        </w:rPr>
      </w:pPr>
      <w:r w:rsidRPr="004C540C">
        <w:rPr>
          <w:rFonts w:ascii="Arial" w:hAnsi="Arial" w:cs="Arial"/>
          <w:b/>
          <w:bCs/>
          <w:sz w:val="28"/>
          <w:szCs w:val="28"/>
        </w:rPr>
        <w:t>5.4 Ethical and Professional Reflection</w:t>
      </w:r>
      <w:bookmarkEnd w:id="49"/>
    </w:p>
    <w:p w14:paraId="49DB92E6" w14:textId="77777777" w:rsidR="008538EB" w:rsidRPr="004C540C" w:rsidRDefault="008538EB" w:rsidP="004C540C">
      <w:pPr>
        <w:pStyle w:val="Heading1"/>
        <w:jc w:val="both"/>
        <w:rPr>
          <w:rFonts w:ascii="Arial" w:eastAsia="Times New Roman" w:hAnsi="Arial" w:cs="Arial"/>
          <w:color w:val="auto"/>
          <w:sz w:val="24"/>
          <w:szCs w:val="24"/>
          <w:lang w:eastAsia="en-IN"/>
        </w:rPr>
      </w:pPr>
      <w:bookmarkStart w:id="50" w:name="_Toc237378392"/>
      <w:r w:rsidRPr="004C540C">
        <w:rPr>
          <w:rFonts w:ascii="Arial" w:eastAsia="Times New Roman" w:hAnsi="Arial" w:cs="Arial"/>
          <w:color w:val="auto"/>
          <w:sz w:val="24"/>
          <w:szCs w:val="24"/>
          <w:lang w:eastAsia="en-IN"/>
        </w:rPr>
        <w:t>The application of AI in finance-related positions also raises some critical ethical and professional issues. One of them is transparency, whereby a user should indicate if AI technology had been applied in preparing financial analysis. Not revealing the use of AI might lower trust and create academic and professional integrity issues.</w:t>
      </w:r>
    </w:p>
    <w:p w14:paraId="3143878D" w14:textId="77777777" w:rsidR="008538EB" w:rsidRPr="004C540C" w:rsidRDefault="008538EB" w:rsidP="004C540C">
      <w:pPr>
        <w:pStyle w:val="Heading1"/>
        <w:jc w:val="both"/>
        <w:rPr>
          <w:rFonts w:ascii="Arial" w:eastAsia="Times New Roman" w:hAnsi="Arial" w:cs="Arial"/>
          <w:color w:val="auto"/>
          <w:sz w:val="24"/>
          <w:szCs w:val="24"/>
          <w:lang w:eastAsia="en-IN"/>
        </w:rPr>
      </w:pPr>
      <w:r w:rsidRPr="004C540C">
        <w:rPr>
          <w:rFonts w:ascii="Arial" w:eastAsia="Times New Roman" w:hAnsi="Arial" w:cs="Arial"/>
          <w:color w:val="auto"/>
          <w:sz w:val="24"/>
          <w:szCs w:val="24"/>
          <w:lang w:eastAsia="en-IN"/>
        </w:rPr>
        <w:t>Another risk that needs to be addressed is overreliance on AI. AI systems may present misleading financial interpretations based on incorrect or outdated data. At the level of executives' decision making, full reliance on AI would lead to wrong investment or financing decisions. It is, therefore, critical that humans still have a role in decision making. AI should be used as a decision support system, not the one making final decisions.</w:t>
      </w:r>
    </w:p>
    <w:p w14:paraId="440E7D56" w14:textId="77777777" w:rsidR="008538EB" w:rsidRPr="004C540C" w:rsidRDefault="008538EB" w:rsidP="004C540C">
      <w:pPr>
        <w:jc w:val="both"/>
        <w:rPr>
          <w:rFonts w:ascii="Arial" w:eastAsia="Times New Roman" w:hAnsi="Arial" w:cs="Arial"/>
          <w:sz w:val="24"/>
          <w:szCs w:val="24"/>
          <w:lang w:eastAsia="en-IN"/>
        </w:rPr>
      </w:pPr>
      <w:r w:rsidRPr="004C540C">
        <w:rPr>
          <w:rFonts w:ascii="Arial" w:eastAsia="Times New Roman" w:hAnsi="Arial" w:cs="Arial"/>
          <w:sz w:val="24"/>
          <w:szCs w:val="24"/>
          <w:lang w:eastAsia="en-IN"/>
        </w:rPr>
        <w:br w:type="page"/>
      </w:r>
    </w:p>
    <w:bookmarkEnd w:id="50"/>
    <w:p w14:paraId="4D6009F5" w14:textId="77777777" w:rsidR="00BC453C" w:rsidRPr="004C540C" w:rsidRDefault="00BC453C" w:rsidP="004C540C">
      <w:pPr>
        <w:jc w:val="both"/>
        <w:rPr>
          <w:rFonts w:ascii="Arial" w:hAnsi="Arial" w:cs="Arial"/>
          <w:sz w:val="24"/>
          <w:szCs w:val="24"/>
          <w:lang w:eastAsia="en-IN"/>
        </w:rPr>
      </w:pPr>
      <w:r w:rsidRPr="004C540C">
        <w:rPr>
          <w:rFonts w:ascii="Arial" w:hAnsi="Arial" w:cs="Arial"/>
          <w:b/>
          <w:bCs/>
          <w:sz w:val="28"/>
          <w:szCs w:val="28"/>
          <w:lang w:eastAsia="en-IN"/>
        </w:rPr>
        <w:lastRenderedPageBreak/>
        <w:t>Conclusion</w:t>
      </w:r>
    </w:p>
    <w:p w14:paraId="09C8CDB2" w14:textId="786AEA12" w:rsidR="003A11EC" w:rsidRPr="004C540C" w:rsidRDefault="00BC453C" w:rsidP="004C540C">
      <w:pPr>
        <w:jc w:val="both"/>
        <w:rPr>
          <w:rFonts w:ascii="Arial" w:hAnsi="Arial" w:cs="Arial"/>
          <w:b/>
          <w:bCs/>
          <w:lang w:eastAsia="en-IN"/>
        </w:rPr>
      </w:pPr>
      <w:r w:rsidRPr="004C540C">
        <w:rPr>
          <w:rFonts w:ascii="Arial" w:hAnsi="Arial" w:cs="Arial"/>
          <w:sz w:val="24"/>
          <w:szCs w:val="24"/>
          <w:lang w:eastAsia="en-IN"/>
        </w:rPr>
        <w:t>In summary, the financial results of IHG from 2021 to 2025 have shown the recovery and continuous improvement in the financial standing of the firm. IHG's asset-light approach has helped the company to achieve international expansion while reducing the capital expenditures and adding to the recurring fee-based revenue stream. Despite the financial, environmental, and other issues that the company may encounter regarding liquidity, financial gearing, economic environment, and consumer behaviour, the positive cash flows and efficient working capital management have been key factors for further success of the company.</w:t>
      </w:r>
      <w:r w:rsidR="003A11EC" w:rsidRPr="004C540C">
        <w:rPr>
          <w:rFonts w:ascii="Arial" w:hAnsi="Arial" w:cs="Arial"/>
          <w:b/>
          <w:bCs/>
          <w:lang w:eastAsia="en-IN"/>
        </w:rPr>
        <w:br w:type="page"/>
      </w:r>
    </w:p>
    <w:p w14:paraId="230B9AC0" w14:textId="361CCBF2" w:rsidR="000E3588" w:rsidRPr="004C540C" w:rsidRDefault="000E3588" w:rsidP="004C540C">
      <w:pPr>
        <w:spacing w:before="100" w:beforeAutospacing="1" w:after="100" w:afterAutospacing="1" w:line="240" w:lineRule="auto"/>
        <w:jc w:val="both"/>
        <w:rPr>
          <w:rFonts w:ascii="Arial" w:eastAsia="Times New Roman" w:hAnsi="Arial" w:cs="Arial"/>
          <w:sz w:val="24"/>
          <w:szCs w:val="24"/>
          <w:lang w:eastAsia="en-IN"/>
        </w:rPr>
      </w:pPr>
      <w:r w:rsidRPr="004C540C">
        <w:rPr>
          <w:rFonts w:ascii="Arial" w:eastAsia="Times New Roman" w:hAnsi="Arial" w:cs="Arial"/>
          <w:b/>
          <w:bCs/>
          <w:sz w:val="24"/>
          <w:szCs w:val="24"/>
          <w:lang w:eastAsia="en-IN"/>
        </w:rPr>
        <w:lastRenderedPageBreak/>
        <w:t>Reference List (Harvard Style)</w:t>
      </w:r>
    </w:p>
    <w:p w14:paraId="0F3C7652" w14:textId="77777777" w:rsidR="000E3588" w:rsidRPr="00A13576" w:rsidRDefault="000E3588" w:rsidP="00A13576">
      <w:pPr>
        <w:pStyle w:val="ListParagraph"/>
        <w:numPr>
          <w:ilvl w:val="0"/>
          <w:numId w:val="11"/>
        </w:numPr>
        <w:spacing w:before="100" w:beforeAutospacing="1" w:after="100" w:afterAutospacing="1" w:line="240" w:lineRule="auto"/>
        <w:jc w:val="both"/>
        <w:rPr>
          <w:rFonts w:ascii="Arial" w:eastAsia="Times New Roman" w:hAnsi="Arial" w:cs="Arial"/>
          <w:sz w:val="24"/>
          <w:szCs w:val="24"/>
          <w:lang w:eastAsia="en-IN"/>
        </w:rPr>
      </w:pPr>
      <w:r w:rsidRPr="00A13576">
        <w:rPr>
          <w:rFonts w:ascii="Arial" w:eastAsia="Times New Roman" w:hAnsi="Arial" w:cs="Arial"/>
          <w:sz w:val="24"/>
          <w:szCs w:val="24"/>
          <w:lang w:eastAsia="en-IN"/>
        </w:rPr>
        <w:t>InterContinental Hotels Group (IHG) (2022) Annual Report and Financial Statements 2021. Available at: IHG Annual Reports (Accessed: 7 August 2026).</w:t>
      </w:r>
    </w:p>
    <w:p w14:paraId="1D93CE9B" w14:textId="77777777" w:rsidR="000E3588" w:rsidRPr="00A13576" w:rsidRDefault="000E3588" w:rsidP="00A13576">
      <w:pPr>
        <w:pStyle w:val="ListParagraph"/>
        <w:numPr>
          <w:ilvl w:val="0"/>
          <w:numId w:val="11"/>
        </w:numPr>
        <w:spacing w:before="100" w:beforeAutospacing="1" w:after="100" w:afterAutospacing="1" w:line="240" w:lineRule="auto"/>
        <w:jc w:val="both"/>
        <w:rPr>
          <w:rFonts w:ascii="Arial" w:eastAsia="Times New Roman" w:hAnsi="Arial" w:cs="Arial"/>
          <w:sz w:val="24"/>
          <w:szCs w:val="24"/>
          <w:lang w:eastAsia="en-IN"/>
        </w:rPr>
      </w:pPr>
      <w:r w:rsidRPr="00A13576">
        <w:rPr>
          <w:rFonts w:ascii="Arial" w:eastAsia="Times New Roman" w:hAnsi="Arial" w:cs="Arial"/>
          <w:sz w:val="24"/>
          <w:szCs w:val="24"/>
          <w:lang w:eastAsia="en-IN"/>
        </w:rPr>
        <w:t>InterContinental Hotels Group (IHG) (2023) Annual Report and Financial Statements 2022. Available at: IHG Annual Reports (Accessed: 7 August 2026).</w:t>
      </w:r>
    </w:p>
    <w:p w14:paraId="4A69C73B" w14:textId="77777777" w:rsidR="000E3588" w:rsidRPr="00A13576" w:rsidRDefault="000E3588" w:rsidP="00A13576">
      <w:pPr>
        <w:pStyle w:val="ListParagraph"/>
        <w:numPr>
          <w:ilvl w:val="0"/>
          <w:numId w:val="11"/>
        </w:numPr>
        <w:spacing w:before="100" w:beforeAutospacing="1" w:after="100" w:afterAutospacing="1" w:line="240" w:lineRule="auto"/>
        <w:jc w:val="both"/>
        <w:rPr>
          <w:rFonts w:ascii="Arial" w:eastAsia="Times New Roman" w:hAnsi="Arial" w:cs="Arial"/>
          <w:sz w:val="24"/>
          <w:szCs w:val="24"/>
          <w:lang w:eastAsia="en-IN"/>
        </w:rPr>
      </w:pPr>
      <w:r w:rsidRPr="00A13576">
        <w:rPr>
          <w:rFonts w:ascii="Arial" w:eastAsia="Times New Roman" w:hAnsi="Arial" w:cs="Arial"/>
          <w:sz w:val="24"/>
          <w:szCs w:val="24"/>
          <w:lang w:eastAsia="en-IN"/>
        </w:rPr>
        <w:t>InterContinental Hotels Group (IHG) (2024) Annual Report and Financial Statements 2023. Available at: IHG Annual Reports (Accessed: 7 August 2026).</w:t>
      </w:r>
    </w:p>
    <w:p w14:paraId="570D01BE" w14:textId="77777777" w:rsidR="000E3588" w:rsidRPr="00A13576" w:rsidRDefault="000E3588" w:rsidP="00A13576">
      <w:pPr>
        <w:pStyle w:val="ListParagraph"/>
        <w:numPr>
          <w:ilvl w:val="0"/>
          <w:numId w:val="11"/>
        </w:numPr>
        <w:spacing w:before="100" w:beforeAutospacing="1" w:after="100" w:afterAutospacing="1" w:line="240" w:lineRule="auto"/>
        <w:jc w:val="both"/>
        <w:rPr>
          <w:rFonts w:ascii="Arial" w:eastAsia="Times New Roman" w:hAnsi="Arial" w:cs="Arial"/>
          <w:sz w:val="24"/>
          <w:szCs w:val="24"/>
          <w:lang w:eastAsia="en-IN"/>
        </w:rPr>
      </w:pPr>
      <w:r w:rsidRPr="00A13576">
        <w:rPr>
          <w:rFonts w:ascii="Arial" w:eastAsia="Times New Roman" w:hAnsi="Arial" w:cs="Arial"/>
          <w:sz w:val="24"/>
          <w:szCs w:val="24"/>
          <w:lang w:eastAsia="en-IN"/>
        </w:rPr>
        <w:t>InterContinental Hotels Group (IHG) (2025) Annual Report and Financial Statements 2024. Available at: IHG Annual Reports (Accessed: 7 August 2026).</w:t>
      </w:r>
    </w:p>
    <w:p w14:paraId="2908B1AA" w14:textId="77777777" w:rsidR="000E3588" w:rsidRPr="00A13576" w:rsidRDefault="000E3588" w:rsidP="00A13576">
      <w:pPr>
        <w:pStyle w:val="ListParagraph"/>
        <w:numPr>
          <w:ilvl w:val="0"/>
          <w:numId w:val="11"/>
        </w:numPr>
        <w:spacing w:before="100" w:beforeAutospacing="1" w:after="100" w:afterAutospacing="1" w:line="240" w:lineRule="auto"/>
        <w:jc w:val="both"/>
        <w:rPr>
          <w:rFonts w:ascii="Arial" w:eastAsia="Times New Roman" w:hAnsi="Arial" w:cs="Arial"/>
          <w:sz w:val="24"/>
          <w:szCs w:val="24"/>
          <w:lang w:eastAsia="en-IN"/>
        </w:rPr>
      </w:pPr>
      <w:r w:rsidRPr="00A13576">
        <w:rPr>
          <w:rFonts w:ascii="Arial" w:eastAsia="Times New Roman" w:hAnsi="Arial" w:cs="Arial"/>
          <w:sz w:val="24"/>
          <w:szCs w:val="24"/>
          <w:lang w:eastAsia="en-IN"/>
        </w:rPr>
        <w:t>InterContinental Hotels Group (IHG) (2026) Annual Report and Financial Statements 2025. Available at: IHG Annual Reports (Accessed: 7 August 2026).</w:t>
      </w:r>
    </w:p>
    <w:p w14:paraId="4D947FDA" w14:textId="77777777" w:rsidR="000E3588" w:rsidRPr="00A13576" w:rsidRDefault="000E3588" w:rsidP="00A13576">
      <w:pPr>
        <w:pStyle w:val="ListParagraph"/>
        <w:numPr>
          <w:ilvl w:val="0"/>
          <w:numId w:val="11"/>
        </w:numPr>
        <w:spacing w:before="100" w:beforeAutospacing="1" w:after="100" w:afterAutospacing="1" w:line="240" w:lineRule="auto"/>
        <w:jc w:val="both"/>
        <w:rPr>
          <w:rFonts w:ascii="Arial" w:eastAsia="Times New Roman" w:hAnsi="Arial" w:cs="Arial"/>
          <w:sz w:val="24"/>
          <w:szCs w:val="24"/>
          <w:lang w:eastAsia="en-IN"/>
        </w:rPr>
      </w:pPr>
      <w:r w:rsidRPr="00A13576">
        <w:rPr>
          <w:rFonts w:ascii="Arial" w:eastAsia="Times New Roman" w:hAnsi="Arial" w:cs="Arial"/>
          <w:sz w:val="24"/>
          <w:szCs w:val="24"/>
          <w:lang w:eastAsia="en-IN"/>
        </w:rPr>
        <w:t>Brealey, R.A., Myers, S.C. and Allen, F. (2023) Principles of Corporate Finance. 14th edn. New York: McGraw-Hill Education.</w:t>
      </w:r>
    </w:p>
    <w:p w14:paraId="54F9B7C5" w14:textId="77777777" w:rsidR="000E3588" w:rsidRPr="00A13576" w:rsidRDefault="000E3588" w:rsidP="00A13576">
      <w:pPr>
        <w:pStyle w:val="ListParagraph"/>
        <w:numPr>
          <w:ilvl w:val="0"/>
          <w:numId w:val="11"/>
        </w:numPr>
        <w:spacing w:before="100" w:beforeAutospacing="1" w:after="100" w:afterAutospacing="1" w:line="240" w:lineRule="auto"/>
        <w:jc w:val="both"/>
        <w:rPr>
          <w:rFonts w:ascii="Arial" w:eastAsia="Times New Roman" w:hAnsi="Arial" w:cs="Arial"/>
          <w:sz w:val="24"/>
          <w:szCs w:val="24"/>
          <w:lang w:eastAsia="en-IN"/>
        </w:rPr>
      </w:pPr>
      <w:r w:rsidRPr="00A13576">
        <w:rPr>
          <w:rFonts w:ascii="Arial" w:eastAsia="Times New Roman" w:hAnsi="Arial" w:cs="Arial"/>
          <w:sz w:val="24"/>
          <w:szCs w:val="24"/>
          <w:lang w:eastAsia="en-IN"/>
        </w:rPr>
        <w:t>Damodaran, A. (2012) Investment Valuation: Tools and Techniques for Determining the Value of Any Asset. 3rd edn. Hoboken: John Wiley &amp; Sons.</w:t>
      </w:r>
    </w:p>
    <w:p w14:paraId="0B0BD7C9" w14:textId="77777777" w:rsidR="000E3588" w:rsidRPr="00A13576" w:rsidRDefault="000E3588" w:rsidP="00A13576">
      <w:pPr>
        <w:pStyle w:val="ListParagraph"/>
        <w:numPr>
          <w:ilvl w:val="0"/>
          <w:numId w:val="11"/>
        </w:numPr>
        <w:spacing w:before="100" w:beforeAutospacing="1" w:after="100" w:afterAutospacing="1" w:line="240" w:lineRule="auto"/>
        <w:jc w:val="both"/>
        <w:rPr>
          <w:rFonts w:ascii="Arial" w:eastAsia="Times New Roman" w:hAnsi="Arial" w:cs="Arial"/>
          <w:sz w:val="24"/>
          <w:szCs w:val="24"/>
          <w:lang w:eastAsia="en-IN"/>
        </w:rPr>
      </w:pPr>
      <w:r w:rsidRPr="00A13576">
        <w:rPr>
          <w:rFonts w:ascii="Arial" w:eastAsia="Times New Roman" w:hAnsi="Arial" w:cs="Arial"/>
          <w:sz w:val="24"/>
          <w:szCs w:val="24"/>
          <w:lang w:eastAsia="en-IN"/>
        </w:rPr>
        <w:t>OECD (2023) OECD Guidelines for Multinational Enterprises on Responsible Business Conduct. Available at: OECD Guidelines for Multinational Enterprises (Accessed: 7 August 2026).</w:t>
      </w:r>
    </w:p>
    <w:p w14:paraId="6061FDFA" w14:textId="77777777" w:rsidR="000E3588" w:rsidRPr="00A13576" w:rsidRDefault="000E3588" w:rsidP="00A13576">
      <w:pPr>
        <w:pStyle w:val="ListParagraph"/>
        <w:numPr>
          <w:ilvl w:val="0"/>
          <w:numId w:val="11"/>
        </w:numPr>
        <w:spacing w:before="100" w:beforeAutospacing="1" w:after="100" w:afterAutospacing="1" w:line="240" w:lineRule="auto"/>
        <w:jc w:val="both"/>
        <w:rPr>
          <w:rFonts w:ascii="Arial" w:eastAsia="Times New Roman" w:hAnsi="Arial" w:cs="Arial"/>
          <w:sz w:val="24"/>
          <w:szCs w:val="24"/>
          <w:lang w:eastAsia="en-IN"/>
        </w:rPr>
      </w:pPr>
      <w:r w:rsidRPr="00A13576">
        <w:rPr>
          <w:rFonts w:ascii="Arial" w:eastAsia="Times New Roman" w:hAnsi="Arial" w:cs="Arial"/>
          <w:sz w:val="24"/>
          <w:szCs w:val="24"/>
          <w:lang w:eastAsia="en-IN"/>
        </w:rPr>
        <w:t>UNWTO (2023) World Tourism Barometer: International Tourism Recovery After COVID-19. Available at: UN Tourism (formerly UNWTO) Publications (Accessed: 7 August 2026).</w:t>
      </w:r>
    </w:p>
    <w:p w14:paraId="2A59565C" w14:textId="77777777" w:rsidR="000E3588" w:rsidRPr="00A13576" w:rsidRDefault="000E3588" w:rsidP="00A13576">
      <w:pPr>
        <w:pStyle w:val="ListParagraph"/>
        <w:numPr>
          <w:ilvl w:val="0"/>
          <w:numId w:val="11"/>
        </w:numPr>
        <w:spacing w:before="100" w:beforeAutospacing="1" w:after="100" w:afterAutospacing="1" w:line="240" w:lineRule="auto"/>
        <w:jc w:val="both"/>
        <w:rPr>
          <w:rFonts w:ascii="Arial" w:eastAsia="Times New Roman" w:hAnsi="Arial" w:cs="Arial"/>
          <w:sz w:val="24"/>
          <w:szCs w:val="24"/>
          <w:lang w:eastAsia="en-IN"/>
        </w:rPr>
      </w:pPr>
      <w:r w:rsidRPr="00A13576">
        <w:rPr>
          <w:rFonts w:ascii="Arial" w:eastAsia="Times New Roman" w:hAnsi="Arial" w:cs="Arial"/>
          <w:sz w:val="24"/>
          <w:szCs w:val="24"/>
          <w:lang w:eastAsia="en-IN"/>
        </w:rPr>
        <w:t xml:space="preserve">World Travel &amp; Tourism Council (WTTC) (2024) Economic Impact Research 2024. Available at: </w:t>
      </w:r>
      <w:hyperlink r:id="rId10" w:tgtFrame="_blank" w:history="1">
        <w:r w:rsidRPr="00A13576">
          <w:rPr>
            <w:rFonts w:ascii="Arial" w:eastAsia="Times New Roman" w:hAnsi="Arial" w:cs="Arial"/>
            <w:color w:val="0000FF"/>
            <w:sz w:val="24"/>
            <w:szCs w:val="24"/>
            <w:u w:val="single"/>
            <w:lang w:eastAsia="en-IN"/>
          </w:rPr>
          <w:t>WTTC Economic Impact Reports</w:t>
        </w:r>
      </w:hyperlink>
      <w:r w:rsidRPr="00A13576">
        <w:rPr>
          <w:rFonts w:ascii="Arial" w:eastAsia="Times New Roman" w:hAnsi="Arial" w:cs="Arial"/>
          <w:sz w:val="24"/>
          <w:szCs w:val="24"/>
          <w:lang w:eastAsia="en-IN"/>
        </w:rPr>
        <w:t xml:space="preserve"> (Accessed: 7 August 2026).</w:t>
      </w:r>
    </w:p>
    <w:p w14:paraId="43DAE1AF" w14:textId="77777777" w:rsidR="00BE63B2" w:rsidRPr="00A13576" w:rsidRDefault="00BE63B2" w:rsidP="00A13576">
      <w:pPr>
        <w:pStyle w:val="ListParagraph"/>
        <w:numPr>
          <w:ilvl w:val="0"/>
          <w:numId w:val="11"/>
        </w:numPr>
        <w:spacing w:before="100" w:beforeAutospacing="1" w:after="100" w:afterAutospacing="1" w:line="240" w:lineRule="auto"/>
        <w:jc w:val="both"/>
        <w:rPr>
          <w:rFonts w:ascii="Arial" w:eastAsia="Times New Roman" w:hAnsi="Arial" w:cs="Arial"/>
          <w:sz w:val="24"/>
          <w:szCs w:val="24"/>
          <w:lang w:eastAsia="en-IN"/>
        </w:rPr>
      </w:pPr>
      <w:r w:rsidRPr="00A13576">
        <w:rPr>
          <w:rFonts w:ascii="Arial" w:eastAsia="Times New Roman" w:hAnsi="Arial" w:cs="Arial"/>
          <w:sz w:val="24"/>
          <w:szCs w:val="24"/>
          <w:lang w:eastAsia="en-IN"/>
        </w:rPr>
        <w:t xml:space="preserve">Team, C. (2026, April 20). </w:t>
      </w:r>
      <w:r w:rsidRPr="00A13576">
        <w:rPr>
          <w:rFonts w:ascii="Arial" w:eastAsia="Times New Roman" w:hAnsi="Arial" w:cs="Arial"/>
          <w:i/>
          <w:iCs/>
          <w:sz w:val="24"/>
          <w:szCs w:val="24"/>
          <w:lang w:eastAsia="en-IN"/>
        </w:rPr>
        <w:t>Liquidity ratio</w:t>
      </w:r>
      <w:r w:rsidRPr="00A13576">
        <w:rPr>
          <w:rFonts w:ascii="Arial" w:eastAsia="Times New Roman" w:hAnsi="Arial" w:cs="Arial"/>
          <w:sz w:val="24"/>
          <w:szCs w:val="24"/>
          <w:lang w:eastAsia="en-IN"/>
        </w:rPr>
        <w:t>. Corporate Finance Institute. https://corporatefinanceinstitute.com/resources/accounting/liquidity-ratio/</w:t>
      </w:r>
    </w:p>
    <w:p w14:paraId="3679314B" w14:textId="7A55C338" w:rsidR="00BE63B2" w:rsidRPr="00A13576" w:rsidRDefault="002B0AF7" w:rsidP="00A13576">
      <w:pPr>
        <w:pStyle w:val="ListParagraph"/>
        <w:numPr>
          <w:ilvl w:val="0"/>
          <w:numId w:val="11"/>
        </w:numPr>
        <w:spacing w:before="100" w:beforeAutospacing="1" w:after="100" w:afterAutospacing="1" w:line="240" w:lineRule="auto"/>
        <w:jc w:val="both"/>
        <w:rPr>
          <w:rFonts w:ascii="Arial" w:eastAsia="Times New Roman" w:hAnsi="Arial" w:cs="Arial"/>
          <w:sz w:val="24"/>
          <w:szCs w:val="24"/>
          <w:lang w:eastAsia="en-IN"/>
        </w:rPr>
      </w:pPr>
      <w:r w:rsidRPr="00A13576">
        <w:rPr>
          <w:rFonts w:ascii="Arial" w:eastAsia="Times New Roman" w:hAnsi="Arial" w:cs="Arial"/>
          <w:sz w:val="24"/>
          <w:szCs w:val="24"/>
          <w:lang w:eastAsia="en-IN"/>
        </w:rPr>
        <w:t>Morgan, J. (n.d.). </w:t>
      </w:r>
      <w:r w:rsidRPr="00A13576">
        <w:rPr>
          <w:rFonts w:ascii="Arial" w:eastAsia="Times New Roman" w:hAnsi="Arial" w:cs="Arial"/>
          <w:i/>
          <w:iCs/>
          <w:sz w:val="24"/>
          <w:szCs w:val="24"/>
          <w:lang w:eastAsia="en-IN"/>
        </w:rPr>
        <w:t>Understanding &amp; Optimizing Your Cash Conversion Cycle (CCC)</w:t>
      </w:r>
      <w:r w:rsidRPr="00A13576">
        <w:rPr>
          <w:rFonts w:ascii="Arial" w:eastAsia="Times New Roman" w:hAnsi="Arial" w:cs="Arial"/>
          <w:sz w:val="24"/>
          <w:szCs w:val="24"/>
          <w:lang w:eastAsia="en-IN"/>
        </w:rPr>
        <w:t>. https://www.jpmorgan.com/insights/treasury/receivables/understanding-and-optimizing-your-cash-conversion-cycle</w:t>
      </w:r>
    </w:p>
    <w:p w14:paraId="4052C889" w14:textId="49F50527" w:rsidR="00E109B2" w:rsidRPr="00A13576" w:rsidRDefault="005213F1" w:rsidP="00A13576">
      <w:pPr>
        <w:pStyle w:val="ListParagraph"/>
        <w:numPr>
          <w:ilvl w:val="0"/>
          <w:numId w:val="11"/>
        </w:numPr>
        <w:jc w:val="both"/>
        <w:rPr>
          <w:rFonts w:ascii="Arial" w:hAnsi="Arial" w:cs="Arial"/>
          <w:sz w:val="24"/>
          <w:szCs w:val="24"/>
        </w:rPr>
      </w:pPr>
      <w:r w:rsidRPr="00A13576">
        <w:rPr>
          <w:rFonts w:ascii="Arial" w:hAnsi="Arial" w:cs="Arial"/>
          <w:i/>
          <w:iCs/>
          <w:sz w:val="24"/>
          <w:szCs w:val="24"/>
        </w:rPr>
        <w:t>Annual report</w:t>
      </w:r>
      <w:r w:rsidRPr="00A13576">
        <w:rPr>
          <w:rFonts w:ascii="Arial" w:hAnsi="Arial" w:cs="Arial"/>
          <w:sz w:val="24"/>
          <w:szCs w:val="24"/>
        </w:rPr>
        <w:t>. (n.d.). InterContinental Hotels Group PLC. https://www.ihgplc.com/en/investors/annual-report</w:t>
      </w:r>
    </w:p>
    <w:p w14:paraId="13A2511D" w14:textId="3DE5535C" w:rsidR="00E109B2" w:rsidRPr="00A13576" w:rsidRDefault="0025307A" w:rsidP="00A13576">
      <w:pPr>
        <w:pStyle w:val="ListParagraph"/>
        <w:numPr>
          <w:ilvl w:val="0"/>
          <w:numId w:val="11"/>
        </w:numPr>
        <w:jc w:val="both"/>
        <w:rPr>
          <w:rFonts w:ascii="Arial" w:hAnsi="Arial" w:cs="Arial"/>
          <w:sz w:val="24"/>
          <w:szCs w:val="24"/>
        </w:rPr>
      </w:pPr>
      <w:r w:rsidRPr="00A13576">
        <w:rPr>
          <w:rFonts w:ascii="Arial" w:hAnsi="Arial" w:cs="Arial"/>
          <w:sz w:val="24"/>
          <w:szCs w:val="24"/>
        </w:rPr>
        <w:t xml:space="preserve">Seo, K., Woo, L., Mun, S.G. and Soh, J. (2021) ‘The asset-light business model and firm performance in complex and dynamic environments: The dynamic capabilities view’, </w:t>
      </w:r>
      <w:r w:rsidRPr="00A13576">
        <w:rPr>
          <w:rFonts w:ascii="Arial" w:hAnsi="Arial" w:cs="Arial"/>
          <w:i/>
          <w:iCs/>
          <w:sz w:val="24"/>
          <w:szCs w:val="24"/>
        </w:rPr>
        <w:t>Tourism Management</w:t>
      </w:r>
      <w:r w:rsidRPr="00A13576">
        <w:rPr>
          <w:rFonts w:ascii="Arial" w:hAnsi="Arial" w:cs="Arial"/>
          <w:sz w:val="24"/>
          <w:szCs w:val="24"/>
        </w:rPr>
        <w:t xml:space="preserve">, 85, 104311. Available at: </w:t>
      </w:r>
      <w:hyperlink r:id="rId11" w:tgtFrame="_blank" w:history="1">
        <w:r w:rsidRPr="00A13576">
          <w:rPr>
            <w:rStyle w:val="Hyperlink"/>
            <w:rFonts w:ascii="Arial" w:hAnsi="Arial" w:cs="Arial"/>
            <w:sz w:val="24"/>
            <w:szCs w:val="24"/>
          </w:rPr>
          <w:t>‘Tourism Management article’</w:t>
        </w:r>
      </w:hyperlink>
      <w:r w:rsidRPr="00A13576">
        <w:rPr>
          <w:rFonts w:ascii="Arial" w:hAnsi="Arial" w:cs="Arial"/>
          <w:sz w:val="24"/>
          <w:szCs w:val="24"/>
        </w:rPr>
        <w:t xml:space="preserve"> (Accessed: 13 August 2026).</w:t>
      </w:r>
    </w:p>
    <w:p w14:paraId="70AC3454" w14:textId="683A1E89" w:rsidR="0025307A" w:rsidRPr="00A13576" w:rsidRDefault="0025307A" w:rsidP="00A13576">
      <w:pPr>
        <w:pStyle w:val="ListParagraph"/>
        <w:numPr>
          <w:ilvl w:val="0"/>
          <w:numId w:val="11"/>
        </w:numPr>
        <w:jc w:val="both"/>
        <w:rPr>
          <w:rFonts w:ascii="Arial" w:hAnsi="Arial" w:cs="Arial"/>
          <w:sz w:val="24"/>
          <w:szCs w:val="24"/>
        </w:rPr>
      </w:pPr>
      <w:r w:rsidRPr="00A13576">
        <w:rPr>
          <w:rFonts w:ascii="Arial" w:hAnsi="Arial" w:cs="Arial"/>
          <w:sz w:val="24"/>
          <w:szCs w:val="24"/>
        </w:rPr>
        <w:t xml:space="preserve">Contractor, F.J. and Kundu, S.K. (1998) ‘Modal choice in a world of alliances: Analyzing organizational forms in the international hotel sector’, </w:t>
      </w:r>
      <w:r w:rsidRPr="00A13576">
        <w:rPr>
          <w:rFonts w:ascii="Arial" w:hAnsi="Arial" w:cs="Arial"/>
          <w:i/>
          <w:iCs/>
          <w:sz w:val="24"/>
          <w:szCs w:val="24"/>
        </w:rPr>
        <w:t>Journal of International Business Studies</w:t>
      </w:r>
      <w:r w:rsidRPr="00A13576">
        <w:rPr>
          <w:rFonts w:ascii="Arial" w:hAnsi="Arial" w:cs="Arial"/>
          <w:sz w:val="24"/>
          <w:szCs w:val="24"/>
        </w:rPr>
        <w:t>, 29(2), pp. 325–356.</w:t>
      </w:r>
    </w:p>
    <w:p w14:paraId="47DC871B" w14:textId="47B43FDB" w:rsidR="00766C29" w:rsidRPr="00A13576" w:rsidRDefault="00766C29" w:rsidP="00A13576">
      <w:pPr>
        <w:pStyle w:val="ListParagraph"/>
        <w:numPr>
          <w:ilvl w:val="0"/>
          <w:numId w:val="11"/>
        </w:numPr>
        <w:jc w:val="both"/>
        <w:rPr>
          <w:rFonts w:ascii="Arial" w:hAnsi="Arial" w:cs="Arial"/>
          <w:sz w:val="24"/>
          <w:szCs w:val="24"/>
        </w:rPr>
      </w:pPr>
      <w:r w:rsidRPr="00A13576">
        <w:rPr>
          <w:rFonts w:ascii="Arial" w:hAnsi="Arial" w:cs="Arial"/>
          <w:sz w:val="24"/>
          <w:szCs w:val="24"/>
        </w:rPr>
        <w:t xml:space="preserve">Atrill, P. (2020) </w:t>
      </w:r>
      <w:r w:rsidRPr="00A13576">
        <w:rPr>
          <w:rFonts w:ascii="Arial" w:hAnsi="Arial" w:cs="Arial"/>
          <w:i/>
          <w:iCs/>
          <w:sz w:val="24"/>
          <w:szCs w:val="24"/>
        </w:rPr>
        <w:t>Financial Management for Decision Makers</w:t>
      </w:r>
      <w:r w:rsidRPr="00A13576">
        <w:rPr>
          <w:rFonts w:ascii="Arial" w:hAnsi="Arial" w:cs="Arial"/>
          <w:sz w:val="24"/>
          <w:szCs w:val="24"/>
        </w:rPr>
        <w:t>. 9th edn. Harlow: Pearson.</w:t>
      </w:r>
    </w:p>
    <w:p w14:paraId="3D1F2143" w14:textId="1EDAB45D" w:rsidR="009833F7" w:rsidRPr="00A13576" w:rsidRDefault="009833F7" w:rsidP="00A13576">
      <w:pPr>
        <w:pStyle w:val="ListParagraph"/>
        <w:numPr>
          <w:ilvl w:val="0"/>
          <w:numId w:val="11"/>
        </w:numPr>
        <w:jc w:val="both"/>
        <w:rPr>
          <w:rFonts w:ascii="Arial" w:hAnsi="Arial" w:cs="Arial"/>
          <w:sz w:val="24"/>
          <w:szCs w:val="24"/>
        </w:rPr>
      </w:pPr>
      <w:r w:rsidRPr="00A13576">
        <w:rPr>
          <w:rFonts w:ascii="Arial" w:hAnsi="Arial" w:cs="Arial"/>
          <w:sz w:val="24"/>
          <w:szCs w:val="24"/>
        </w:rPr>
        <w:t xml:space="preserve">Sokolov, M.V. (2023) ‘NPV, IRR, PI, PP, and DPP: A unified view’. Available at: </w:t>
      </w:r>
      <w:hyperlink r:id="rId12" w:tgtFrame="_blank" w:history="1">
        <w:r w:rsidRPr="00A13576">
          <w:rPr>
            <w:rStyle w:val="Hyperlink"/>
            <w:rFonts w:ascii="Arial" w:hAnsi="Arial" w:cs="Arial"/>
            <w:sz w:val="24"/>
            <w:szCs w:val="24"/>
          </w:rPr>
          <w:t>‘NPV, IRR, PI, PP and DPP research’</w:t>
        </w:r>
      </w:hyperlink>
      <w:r w:rsidRPr="00A13576">
        <w:rPr>
          <w:rFonts w:ascii="Arial" w:hAnsi="Arial" w:cs="Arial"/>
          <w:sz w:val="24"/>
          <w:szCs w:val="24"/>
        </w:rPr>
        <w:t xml:space="preserve"> (Accessed: 13 August 2026)</w:t>
      </w:r>
      <w:r w:rsidR="009038B8" w:rsidRPr="00A13576">
        <w:rPr>
          <w:rFonts w:ascii="Arial" w:hAnsi="Arial" w:cs="Arial"/>
          <w:sz w:val="24"/>
          <w:szCs w:val="24"/>
        </w:rPr>
        <w:t>.</w:t>
      </w:r>
    </w:p>
    <w:p w14:paraId="63F90DDD" w14:textId="3D98619A" w:rsidR="009038B8" w:rsidRPr="00A13576" w:rsidRDefault="009038B8" w:rsidP="00A13576">
      <w:pPr>
        <w:pStyle w:val="ListParagraph"/>
        <w:numPr>
          <w:ilvl w:val="0"/>
          <w:numId w:val="11"/>
        </w:numPr>
        <w:jc w:val="both"/>
        <w:rPr>
          <w:rFonts w:ascii="Arial" w:hAnsi="Arial" w:cs="Arial"/>
          <w:sz w:val="24"/>
          <w:szCs w:val="24"/>
        </w:rPr>
      </w:pPr>
      <w:r w:rsidRPr="00A13576">
        <w:rPr>
          <w:rFonts w:ascii="Arial" w:hAnsi="Arial" w:cs="Arial"/>
          <w:sz w:val="24"/>
          <w:szCs w:val="24"/>
        </w:rPr>
        <w:lastRenderedPageBreak/>
        <w:t xml:space="preserve">Mulet-Forteza, C., Ferrer-Rosell, B., Martorell Cunill, O. and Linares-Mustarós, S. (2024) ‘The role of expansion strategies and operational attributes on hotel performance: A compositional approach’. Available at: </w:t>
      </w:r>
      <w:hyperlink r:id="rId13" w:tgtFrame="_blank" w:history="1">
        <w:r w:rsidRPr="00A13576">
          <w:rPr>
            <w:rStyle w:val="Hyperlink"/>
            <w:rFonts w:ascii="Arial" w:hAnsi="Arial" w:cs="Arial"/>
            <w:sz w:val="24"/>
            <w:szCs w:val="24"/>
          </w:rPr>
          <w:t>‘Research paper’</w:t>
        </w:r>
      </w:hyperlink>
      <w:r w:rsidRPr="00A13576">
        <w:rPr>
          <w:rFonts w:ascii="Arial" w:hAnsi="Arial" w:cs="Arial"/>
          <w:sz w:val="24"/>
          <w:szCs w:val="24"/>
        </w:rPr>
        <w:t xml:space="preserve"> (Accessed: 13 August 2026).</w:t>
      </w:r>
    </w:p>
    <w:p w14:paraId="1894F7FC" w14:textId="77777777" w:rsidR="0025307A" w:rsidRDefault="0025307A" w:rsidP="004C540C">
      <w:pPr>
        <w:jc w:val="both"/>
        <w:rPr>
          <w:rFonts w:ascii="Arial" w:hAnsi="Arial" w:cs="Arial"/>
          <w:sz w:val="24"/>
          <w:szCs w:val="24"/>
        </w:rPr>
      </w:pPr>
    </w:p>
    <w:p w14:paraId="0ACB2AC4" w14:textId="77777777" w:rsidR="0025307A" w:rsidRDefault="0025307A" w:rsidP="004C540C">
      <w:pPr>
        <w:jc w:val="both"/>
        <w:rPr>
          <w:rFonts w:ascii="Arial" w:hAnsi="Arial" w:cs="Arial"/>
          <w:sz w:val="24"/>
          <w:szCs w:val="24"/>
        </w:rPr>
      </w:pPr>
    </w:p>
    <w:p w14:paraId="052A1E41" w14:textId="77777777" w:rsidR="0025307A" w:rsidRPr="004C540C" w:rsidRDefault="0025307A" w:rsidP="004C540C">
      <w:pPr>
        <w:jc w:val="both"/>
        <w:rPr>
          <w:rFonts w:ascii="Arial" w:hAnsi="Arial" w:cs="Arial"/>
          <w:sz w:val="24"/>
          <w:szCs w:val="24"/>
        </w:rPr>
      </w:pPr>
    </w:p>
    <w:p w14:paraId="6E6BCD09" w14:textId="77777777" w:rsidR="002A4CF6" w:rsidRDefault="002A4CF6">
      <w:pPr>
        <w:rPr>
          <w:rFonts w:ascii="Arial" w:hAnsi="Arial" w:cs="Arial"/>
          <w:b/>
          <w:bCs/>
          <w:sz w:val="24"/>
          <w:szCs w:val="24"/>
        </w:rPr>
      </w:pPr>
      <w:r>
        <w:rPr>
          <w:rFonts w:ascii="Arial" w:hAnsi="Arial" w:cs="Arial"/>
          <w:b/>
          <w:bCs/>
          <w:sz w:val="24"/>
          <w:szCs w:val="24"/>
        </w:rPr>
        <w:br w:type="page"/>
      </w:r>
    </w:p>
    <w:p w14:paraId="1E515C47" w14:textId="513EB9D4" w:rsidR="00E109B2" w:rsidRPr="004C540C" w:rsidRDefault="00E109B2" w:rsidP="004C540C">
      <w:pPr>
        <w:jc w:val="both"/>
        <w:rPr>
          <w:rFonts w:ascii="Arial" w:hAnsi="Arial" w:cs="Arial"/>
          <w:b/>
          <w:bCs/>
          <w:sz w:val="24"/>
          <w:szCs w:val="24"/>
        </w:rPr>
      </w:pPr>
      <w:r w:rsidRPr="004C540C">
        <w:rPr>
          <w:rFonts w:ascii="Arial" w:hAnsi="Arial" w:cs="Arial"/>
          <w:b/>
          <w:bCs/>
          <w:sz w:val="24"/>
          <w:szCs w:val="24"/>
        </w:rPr>
        <w:lastRenderedPageBreak/>
        <w:t>Appendi</w:t>
      </w:r>
      <w:r w:rsidR="00493D5C" w:rsidRPr="004C540C">
        <w:rPr>
          <w:rFonts w:ascii="Arial" w:hAnsi="Arial" w:cs="Arial"/>
          <w:b/>
          <w:bCs/>
          <w:sz w:val="24"/>
          <w:szCs w:val="24"/>
        </w:rPr>
        <w:t>ces</w:t>
      </w:r>
    </w:p>
    <w:p w14:paraId="70C6CC01" w14:textId="4E9620E1" w:rsidR="00E109B2" w:rsidRPr="004C540C" w:rsidRDefault="00E109B2" w:rsidP="004C540C">
      <w:pPr>
        <w:jc w:val="both"/>
        <w:rPr>
          <w:rFonts w:ascii="Arial" w:hAnsi="Arial" w:cs="Arial"/>
          <w:b/>
          <w:bCs/>
          <w:sz w:val="24"/>
          <w:szCs w:val="24"/>
        </w:rPr>
      </w:pPr>
      <w:r w:rsidRPr="004C540C">
        <w:rPr>
          <w:rFonts w:ascii="Arial" w:hAnsi="Arial" w:cs="Arial"/>
          <w:b/>
          <w:bCs/>
          <w:sz w:val="24"/>
          <w:szCs w:val="24"/>
        </w:rPr>
        <w:t>Append</w:t>
      </w:r>
      <w:r w:rsidR="00493D5C" w:rsidRPr="004C540C">
        <w:rPr>
          <w:rFonts w:ascii="Arial" w:hAnsi="Arial" w:cs="Arial"/>
          <w:b/>
          <w:bCs/>
          <w:sz w:val="24"/>
          <w:szCs w:val="24"/>
        </w:rPr>
        <w:t>ices</w:t>
      </w:r>
      <w:r w:rsidRPr="004C540C">
        <w:rPr>
          <w:rFonts w:ascii="Arial" w:hAnsi="Arial" w:cs="Arial"/>
          <w:b/>
          <w:bCs/>
          <w:sz w:val="24"/>
          <w:szCs w:val="24"/>
        </w:rPr>
        <w:t xml:space="preserve"> A: IHG Financial Performance Data, 2021–2025</w:t>
      </w:r>
    </w:p>
    <w:tbl>
      <w:tblPr>
        <w:tblStyle w:val="GridTable4-Accent5"/>
        <w:tblW w:w="5000" w:type="pct"/>
        <w:tblLook w:val="04A0" w:firstRow="1" w:lastRow="0" w:firstColumn="1" w:lastColumn="0" w:noHBand="0" w:noVBand="1"/>
      </w:tblPr>
      <w:tblGrid>
        <w:gridCol w:w="3831"/>
        <w:gridCol w:w="1037"/>
        <w:gridCol w:w="1037"/>
        <w:gridCol w:w="1037"/>
        <w:gridCol w:w="1037"/>
        <w:gridCol w:w="1037"/>
      </w:tblGrid>
      <w:tr w:rsidR="00E109B2" w:rsidRPr="004C540C" w14:paraId="453F1CDB" w14:textId="77777777" w:rsidTr="00DC76F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4" w:type="pct"/>
            <w:hideMark/>
          </w:tcPr>
          <w:p w14:paraId="158D4351"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Financial Measure</w:t>
            </w:r>
          </w:p>
        </w:tc>
        <w:tc>
          <w:tcPr>
            <w:tcW w:w="575" w:type="pct"/>
            <w:hideMark/>
          </w:tcPr>
          <w:p w14:paraId="675C4521" w14:textId="77777777" w:rsidR="00E109B2" w:rsidRPr="004C540C" w:rsidRDefault="00E109B2" w:rsidP="004C540C">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2021</w:t>
            </w:r>
          </w:p>
        </w:tc>
        <w:tc>
          <w:tcPr>
            <w:tcW w:w="575" w:type="pct"/>
            <w:hideMark/>
          </w:tcPr>
          <w:p w14:paraId="59D4E07F" w14:textId="77777777" w:rsidR="00E109B2" w:rsidRPr="004C540C" w:rsidRDefault="00E109B2" w:rsidP="004C540C">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2022</w:t>
            </w:r>
          </w:p>
        </w:tc>
        <w:tc>
          <w:tcPr>
            <w:tcW w:w="575" w:type="pct"/>
            <w:hideMark/>
          </w:tcPr>
          <w:p w14:paraId="56B55C59" w14:textId="77777777" w:rsidR="00E109B2" w:rsidRPr="004C540C" w:rsidRDefault="00E109B2" w:rsidP="004C540C">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2023</w:t>
            </w:r>
          </w:p>
        </w:tc>
        <w:tc>
          <w:tcPr>
            <w:tcW w:w="575" w:type="pct"/>
            <w:hideMark/>
          </w:tcPr>
          <w:p w14:paraId="06A4B7F9" w14:textId="77777777" w:rsidR="00E109B2" w:rsidRPr="004C540C" w:rsidRDefault="00E109B2" w:rsidP="004C540C">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2024</w:t>
            </w:r>
          </w:p>
        </w:tc>
        <w:tc>
          <w:tcPr>
            <w:tcW w:w="575" w:type="pct"/>
            <w:hideMark/>
          </w:tcPr>
          <w:p w14:paraId="783285AC" w14:textId="77777777" w:rsidR="00E109B2" w:rsidRPr="004C540C" w:rsidRDefault="00E109B2" w:rsidP="004C540C">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2025</w:t>
            </w:r>
          </w:p>
        </w:tc>
      </w:tr>
      <w:tr w:rsidR="00E109B2" w:rsidRPr="004C540C" w14:paraId="43A60A8A" w14:textId="77777777" w:rsidTr="00DC76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4" w:type="pct"/>
            <w:hideMark/>
          </w:tcPr>
          <w:p w14:paraId="2142E3B0"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Total revenue ($m)</w:t>
            </w:r>
          </w:p>
        </w:tc>
        <w:tc>
          <w:tcPr>
            <w:tcW w:w="575" w:type="pct"/>
            <w:hideMark/>
          </w:tcPr>
          <w:p w14:paraId="1E25A085"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2,907</w:t>
            </w:r>
          </w:p>
        </w:tc>
        <w:tc>
          <w:tcPr>
            <w:tcW w:w="575" w:type="pct"/>
            <w:hideMark/>
          </w:tcPr>
          <w:p w14:paraId="248BD008"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3,892</w:t>
            </w:r>
          </w:p>
        </w:tc>
        <w:tc>
          <w:tcPr>
            <w:tcW w:w="575" w:type="pct"/>
            <w:hideMark/>
          </w:tcPr>
          <w:p w14:paraId="22B881D9"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4,624</w:t>
            </w:r>
          </w:p>
        </w:tc>
        <w:tc>
          <w:tcPr>
            <w:tcW w:w="575" w:type="pct"/>
            <w:hideMark/>
          </w:tcPr>
          <w:p w14:paraId="1B5A2B7D"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4,923</w:t>
            </w:r>
          </w:p>
        </w:tc>
        <w:tc>
          <w:tcPr>
            <w:tcW w:w="575" w:type="pct"/>
            <w:hideMark/>
          </w:tcPr>
          <w:p w14:paraId="6D432317"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5,189</w:t>
            </w:r>
          </w:p>
        </w:tc>
      </w:tr>
      <w:tr w:rsidR="00E109B2" w:rsidRPr="004C540C" w14:paraId="739FD120" w14:textId="77777777" w:rsidTr="00DC76F8">
        <w:tc>
          <w:tcPr>
            <w:cnfStyle w:val="001000000000" w:firstRow="0" w:lastRow="0" w:firstColumn="1" w:lastColumn="0" w:oddVBand="0" w:evenVBand="0" w:oddHBand="0" w:evenHBand="0" w:firstRowFirstColumn="0" w:firstRowLastColumn="0" w:lastRowFirstColumn="0" w:lastRowLastColumn="0"/>
            <w:tcW w:w="2124" w:type="pct"/>
            <w:hideMark/>
          </w:tcPr>
          <w:p w14:paraId="53EF1A3C"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Fee-business revenue ($m)</w:t>
            </w:r>
          </w:p>
        </w:tc>
        <w:tc>
          <w:tcPr>
            <w:tcW w:w="575" w:type="pct"/>
            <w:hideMark/>
          </w:tcPr>
          <w:p w14:paraId="16CE624A"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1,144</w:t>
            </w:r>
          </w:p>
        </w:tc>
        <w:tc>
          <w:tcPr>
            <w:tcW w:w="575" w:type="pct"/>
            <w:hideMark/>
          </w:tcPr>
          <w:p w14:paraId="069D7958"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1,434</w:t>
            </w:r>
          </w:p>
        </w:tc>
        <w:tc>
          <w:tcPr>
            <w:tcW w:w="575" w:type="pct"/>
            <w:hideMark/>
          </w:tcPr>
          <w:p w14:paraId="6244CAE1"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1,672</w:t>
            </w:r>
          </w:p>
        </w:tc>
        <w:tc>
          <w:tcPr>
            <w:tcW w:w="575" w:type="pct"/>
            <w:hideMark/>
          </w:tcPr>
          <w:p w14:paraId="0428167F"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1,774</w:t>
            </w:r>
          </w:p>
        </w:tc>
        <w:tc>
          <w:tcPr>
            <w:tcW w:w="575" w:type="pct"/>
            <w:hideMark/>
          </w:tcPr>
          <w:p w14:paraId="10F3CA2D"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1,897</w:t>
            </w:r>
          </w:p>
        </w:tc>
      </w:tr>
      <w:tr w:rsidR="00E109B2" w:rsidRPr="004C540C" w14:paraId="4DCC290E" w14:textId="77777777" w:rsidTr="00DC76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4" w:type="pct"/>
            <w:hideMark/>
          </w:tcPr>
          <w:p w14:paraId="55269BFB"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Operating profit ($m)</w:t>
            </w:r>
          </w:p>
        </w:tc>
        <w:tc>
          <w:tcPr>
            <w:tcW w:w="575" w:type="pct"/>
            <w:hideMark/>
          </w:tcPr>
          <w:p w14:paraId="453AC0A1"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494</w:t>
            </w:r>
          </w:p>
        </w:tc>
        <w:tc>
          <w:tcPr>
            <w:tcW w:w="575" w:type="pct"/>
            <w:hideMark/>
          </w:tcPr>
          <w:p w14:paraId="79FCAF29"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628</w:t>
            </w:r>
          </w:p>
        </w:tc>
        <w:tc>
          <w:tcPr>
            <w:tcW w:w="575" w:type="pct"/>
            <w:hideMark/>
          </w:tcPr>
          <w:p w14:paraId="6DD8AD74"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1,066</w:t>
            </w:r>
          </w:p>
        </w:tc>
        <w:tc>
          <w:tcPr>
            <w:tcW w:w="575" w:type="pct"/>
            <w:hideMark/>
          </w:tcPr>
          <w:p w14:paraId="2C833B32"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1,041</w:t>
            </w:r>
          </w:p>
        </w:tc>
        <w:tc>
          <w:tcPr>
            <w:tcW w:w="575" w:type="pct"/>
            <w:hideMark/>
          </w:tcPr>
          <w:p w14:paraId="4182B0F9"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1,198</w:t>
            </w:r>
          </w:p>
        </w:tc>
      </w:tr>
      <w:tr w:rsidR="00E109B2" w:rsidRPr="004C540C" w14:paraId="4CDEBB5D" w14:textId="77777777" w:rsidTr="00DC76F8">
        <w:tc>
          <w:tcPr>
            <w:cnfStyle w:val="001000000000" w:firstRow="0" w:lastRow="0" w:firstColumn="1" w:lastColumn="0" w:oddVBand="0" w:evenVBand="0" w:oddHBand="0" w:evenHBand="0" w:firstRowFirstColumn="0" w:firstRowLastColumn="0" w:lastRowFirstColumn="0" w:lastRowLastColumn="0"/>
            <w:tcW w:w="2124" w:type="pct"/>
            <w:hideMark/>
          </w:tcPr>
          <w:p w14:paraId="2C4FEDCE"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Profit for the year ($m)</w:t>
            </w:r>
          </w:p>
        </w:tc>
        <w:tc>
          <w:tcPr>
            <w:tcW w:w="575" w:type="pct"/>
            <w:hideMark/>
          </w:tcPr>
          <w:p w14:paraId="1162CB02"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265</w:t>
            </w:r>
          </w:p>
        </w:tc>
        <w:tc>
          <w:tcPr>
            <w:tcW w:w="575" w:type="pct"/>
            <w:hideMark/>
          </w:tcPr>
          <w:p w14:paraId="1612D708"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376</w:t>
            </w:r>
          </w:p>
        </w:tc>
        <w:tc>
          <w:tcPr>
            <w:tcW w:w="575" w:type="pct"/>
            <w:hideMark/>
          </w:tcPr>
          <w:p w14:paraId="6BD0166F"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750</w:t>
            </w:r>
          </w:p>
        </w:tc>
        <w:tc>
          <w:tcPr>
            <w:tcW w:w="575" w:type="pct"/>
            <w:hideMark/>
          </w:tcPr>
          <w:p w14:paraId="28F999EF"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628</w:t>
            </w:r>
          </w:p>
        </w:tc>
        <w:tc>
          <w:tcPr>
            <w:tcW w:w="575" w:type="pct"/>
            <w:hideMark/>
          </w:tcPr>
          <w:p w14:paraId="0A93382D"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759</w:t>
            </w:r>
          </w:p>
        </w:tc>
      </w:tr>
      <w:tr w:rsidR="00E109B2" w:rsidRPr="004C540C" w14:paraId="06305A6E" w14:textId="77777777" w:rsidTr="00DC76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4" w:type="pct"/>
            <w:hideMark/>
          </w:tcPr>
          <w:p w14:paraId="17C6AE49"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Operating profit margin</w:t>
            </w:r>
          </w:p>
        </w:tc>
        <w:tc>
          <w:tcPr>
            <w:tcW w:w="575" w:type="pct"/>
            <w:hideMark/>
          </w:tcPr>
          <w:p w14:paraId="3C18F5A5"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17.0%</w:t>
            </w:r>
          </w:p>
        </w:tc>
        <w:tc>
          <w:tcPr>
            <w:tcW w:w="575" w:type="pct"/>
            <w:hideMark/>
          </w:tcPr>
          <w:p w14:paraId="24948D97"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16.1%</w:t>
            </w:r>
          </w:p>
        </w:tc>
        <w:tc>
          <w:tcPr>
            <w:tcW w:w="575" w:type="pct"/>
            <w:hideMark/>
          </w:tcPr>
          <w:p w14:paraId="72089ABE"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23.1%</w:t>
            </w:r>
          </w:p>
        </w:tc>
        <w:tc>
          <w:tcPr>
            <w:tcW w:w="575" w:type="pct"/>
            <w:hideMark/>
          </w:tcPr>
          <w:p w14:paraId="4F255067"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21.1%</w:t>
            </w:r>
          </w:p>
        </w:tc>
        <w:tc>
          <w:tcPr>
            <w:tcW w:w="575" w:type="pct"/>
            <w:hideMark/>
          </w:tcPr>
          <w:p w14:paraId="658A501D"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23.1%</w:t>
            </w:r>
          </w:p>
        </w:tc>
      </w:tr>
      <w:tr w:rsidR="00E109B2" w:rsidRPr="004C540C" w14:paraId="740D3003" w14:textId="77777777" w:rsidTr="00DC76F8">
        <w:tc>
          <w:tcPr>
            <w:cnfStyle w:val="001000000000" w:firstRow="0" w:lastRow="0" w:firstColumn="1" w:lastColumn="0" w:oddVBand="0" w:evenVBand="0" w:oddHBand="0" w:evenHBand="0" w:firstRowFirstColumn="0" w:firstRowLastColumn="0" w:lastRowFirstColumn="0" w:lastRowLastColumn="0"/>
            <w:tcW w:w="2124" w:type="pct"/>
            <w:hideMark/>
          </w:tcPr>
          <w:p w14:paraId="0809E509"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Net profit margin</w:t>
            </w:r>
          </w:p>
        </w:tc>
        <w:tc>
          <w:tcPr>
            <w:tcW w:w="575" w:type="pct"/>
            <w:hideMark/>
          </w:tcPr>
          <w:p w14:paraId="7EA45126"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9.1%</w:t>
            </w:r>
          </w:p>
        </w:tc>
        <w:tc>
          <w:tcPr>
            <w:tcW w:w="575" w:type="pct"/>
            <w:hideMark/>
          </w:tcPr>
          <w:p w14:paraId="00CA1891"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9.7%</w:t>
            </w:r>
          </w:p>
        </w:tc>
        <w:tc>
          <w:tcPr>
            <w:tcW w:w="575" w:type="pct"/>
            <w:hideMark/>
          </w:tcPr>
          <w:p w14:paraId="641D2C98"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16.2%</w:t>
            </w:r>
          </w:p>
        </w:tc>
        <w:tc>
          <w:tcPr>
            <w:tcW w:w="575" w:type="pct"/>
            <w:hideMark/>
          </w:tcPr>
          <w:p w14:paraId="4E44ACB8"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12.8%</w:t>
            </w:r>
          </w:p>
        </w:tc>
        <w:tc>
          <w:tcPr>
            <w:tcW w:w="575" w:type="pct"/>
            <w:hideMark/>
          </w:tcPr>
          <w:p w14:paraId="3BA2EA8E"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14.6%</w:t>
            </w:r>
          </w:p>
        </w:tc>
      </w:tr>
      <w:tr w:rsidR="00E109B2" w:rsidRPr="004C540C" w14:paraId="6B88B93D" w14:textId="77777777" w:rsidTr="00DC76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4" w:type="pct"/>
            <w:hideMark/>
          </w:tcPr>
          <w:p w14:paraId="38F7C88B"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Basic EPS (cents)</w:t>
            </w:r>
          </w:p>
        </w:tc>
        <w:tc>
          <w:tcPr>
            <w:tcW w:w="575" w:type="pct"/>
            <w:hideMark/>
          </w:tcPr>
          <w:p w14:paraId="14D5543D"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145.4</w:t>
            </w:r>
          </w:p>
        </w:tc>
        <w:tc>
          <w:tcPr>
            <w:tcW w:w="575" w:type="pct"/>
            <w:hideMark/>
          </w:tcPr>
          <w:p w14:paraId="570D7689"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207.2</w:t>
            </w:r>
          </w:p>
        </w:tc>
        <w:tc>
          <w:tcPr>
            <w:tcW w:w="575" w:type="pct"/>
            <w:hideMark/>
          </w:tcPr>
          <w:p w14:paraId="3A893F76"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443.8</w:t>
            </w:r>
          </w:p>
        </w:tc>
        <w:tc>
          <w:tcPr>
            <w:tcW w:w="575" w:type="pct"/>
            <w:hideMark/>
          </w:tcPr>
          <w:p w14:paraId="3E54559A"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389.6</w:t>
            </w:r>
          </w:p>
        </w:tc>
        <w:tc>
          <w:tcPr>
            <w:tcW w:w="575" w:type="pct"/>
            <w:hideMark/>
          </w:tcPr>
          <w:p w14:paraId="4464D694"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490.9</w:t>
            </w:r>
          </w:p>
        </w:tc>
      </w:tr>
      <w:tr w:rsidR="00E109B2" w:rsidRPr="004C540C" w14:paraId="6F8FDE15" w14:textId="77777777" w:rsidTr="00DC76F8">
        <w:tc>
          <w:tcPr>
            <w:cnfStyle w:val="001000000000" w:firstRow="0" w:lastRow="0" w:firstColumn="1" w:lastColumn="0" w:oddVBand="0" w:evenVBand="0" w:oddHBand="0" w:evenHBand="0" w:firstRowFirstColumn="0" w:firstRowLastColumn="0" w:lastRowFirstColumn="0" w:lastRowLastColumn="0"/>
            <w:tcW w:w="2124" w:type="pct"/>
            <w:hideMark/>
          </w:tcPr>
          <w:p w14:paraId="77375251"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Net debt ($m)</w:t>
            </w:r>
          </w:p>
        </w:tc>
        <w:tc>
          <w:tcPr>
            <w:tcW w:w="575" w:type="pct"/>
            <w:hideMark/>
          </w:tcPr>
          <w:p w14:paraId="205DE2B1"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1,881</w:t>
            </w:r>
          </w:p>
        </w:tc>
        <w:tc>
          <w:tcPr>
            <w:tcW w:w="575" w:type="pct"/>
            <w:hideMark/>
          </w:tcPr>
          <w:p w14:paraId="4CCE5E1E"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1,851</w:t>
            </w:r>
          </w:p>
        </w:tc>
        <w:tc>
          <w:tcPr>
            <w:tcW w:w="575" w:type="pct"/>
            <w:hideMark/>
          </w:tcPr>
          <w:p w14:paraId="23FD791F"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2,272</w:t>
            </w:r>
          </w:p>
        </w:tc>
        <w:tc>
          <w:tcPr>
            <w:tcW w:w="575" w:type="pct"/>
            <w:hideMark/>
          </w:tcPr>
          <w:p w14:paraId="4E1C5408"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2,782</w:t>
            </w:r>
          </w:p>
        </w:tc>
        <w:tc>
          <w:tcPr>
            <w:tcW w:w="575" w:type="pct"/>
            <w:hideMark/>
          </w:tcPr>
          <w:p w14:paraId="2FD09278"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3,333</w:t>
            </w:r>
          </w:p>
        </w:tc>
      </w:tr>
    </w:tbl>
    <w:p w14:paraId="7D47B952" w14:textId="7FA37077" w:rsidR="00E109B2" w:rsidRPr="004C540C" w:rsidRDefault="00E109B2" w:rsidP="004C540C">
      <w:pPr>
        <w:jc w:val="both"/>
        <w:rPr>
          <w:rFonts w:ascii="Arial" w:hAnsi="Arial" w:cs="Arial"/>
          <w:sz w:val="24"/>
          <w:szCs w:val="24"/>
        </w:rPr>
      </w:pPr>
    </w:p>
    <w:p w14:paraId="439D7BFF" w14:textId="1434D4A3" w:rsidR="00E109B2" w:rsidRPr="004C540C" w:rsidRDefault="00E109B2" w:rsidP="004C540C">
      <w:pPr>
        <w:jc w:val="both"/>
        <w:rPr>
          <w:rFonts w:ascii="Arial" w:hAnsi="Arial" w:cs="Arial"/>
          <w:sz w:val="24"/>
          <w:szCs w:val="24"/>
        </w:rPr>
      </w:pPr>
    </w:p>
    <w:p w14:paraId="0BAAAD32" w14:textId="7823BCAD" w:rsidR="00E109B2" w:rsidRPr="004C540C" w:rsidRDefault="00E109B2" w:rsidP="004C540C">
      <w:pPr>
        <w:jc w:val="both"/>
        <w:rPr>
          <w:rFonts w:ascii="Arial" w:hAnsi="Arial" w:cs="Arial"/>
          <w:b/>
          <w:bCs/>
          <w:sz w:val="24"/>
          <w:szCs w:val="24"/>
        </w:rPr>
      </w:pPr>
      <w:r w:rsidRPr="004C540C">
        <w:rPr>
          <w:rFonts w:ascii="Arial" w:hAnsi="Arial" w:cs="Arial"/>
          <w:b/>
          <w:bCs/>
          <w:sz w:val="24"/>
          <w:szCs w:val="24"/>
        </w:rPr>
        <w:t>Appendi</w:t>
      </w:r>
      <w:r w:rsidR="00493D5C" w:rsidRPr="004C540C">
        <w:rPr>
          <w:rFonts w:ascii="Arial" w:hAnsi="Arial" w:cs="Arial"/>
          <w:b/>
          <w:bCs/>
          <w:sz w:val="24"/>
          <w:szCs w:val="24"/>
        </w:rPr>
        <w:t>ces</w:t>
      </w:r>
      <w:r w:rsidRPr="004C540C">
        <w:rPr>
          <w:rFonts w:ascii="Arial" w:hAnsi="Arial" w:cs="Arial"/>
          <w:b/>
          <w:bCs/>
          <w:sz w:val="24"/>
          <w:szCs w:val="24"/>
        </w:rPr>
        <w:t xml:space="preserve"> B: Liquidity Calculations</w:t>
      </w:r>
    </w:p>
    <w:p w14:paraId="2DC31C8D" w14:textId="77777777" w:rsidR="00E109B2" w:rsidRPr="004C540C" w:rsidRDefault="00E109B2" w:rsidP="004C540C">
      <w:pPr>
        <w:jc w:val="both"/>
        <w:rPr>
          <w:rFonts w:ascii="Arial" w:hAnsi="Arial" w:cs="Arial"/>
          <w:b/>
          <w:bCs/>
          <w:sz w:val="24"/>
          <w:szCs w:val="24"/>
        </w:rPr>
      </w:pPr>
      <w:r w:rsidRPr="004C540C">
        <w:rPr>
          <w:rFonts w:ascii="Arial" w:hAnsi="Arial" w:cs="Arial"/>
          <w:b/>
          <w:bCs/>
          <w:sz w:val="24"/>
          <w:szCs w:val="24"/>
        </w:rPr>
        <w:t>Current Ratio</w:t>
      </w:r>
    </w:p>
    <w:p w14:paraId="312B0858" w14:textId="77777777" w:rsidR="00E109B2" w:rsidRPr="004C540C" w:rsidRDefault="00E109B2" w:rsidP="004C540C">
      <w:pPr>
        <w:jc w:val="both"/>
        <w:rPr>
          <w:rFonts w:ascii="Arial" w:hAnsi="Arial" w:cs="Arial"/>
          <w:sz w:val="24"/>
          <w:szCs w:val="24"/>
        </w:rPr>
      </w:pPr>
      <w:r w:rsidRPr="004C540C">
        <w:rPr>
          <w:rFonts w:ascii="Arial" w:hAnsi="Arial" w:cs="Arial"/>
          <w:b/>
          <w:bCs/>
          <w:sz w:val="24"/>
          <w:szCs w:val="24"/>
        </w:rPr>
        <w:t>Formula:</w:t>
      </w:r>
    </w:p>
    <w:p w14:paraId="5AEBD782" w14:textId="77777777" w:rsidR="00E109B2" w:rsidRPr="004C540C" w:rsidRDefault="00E109B2" w:rsidP="004C540C">
      <w:pPr>
        <w:jc w:val="both"/>
        <w:rPr>
          <w:rFonts w:ascii="Arial" w:hAnsi="Arial" w:cs="Arial"/>
          <w:sz w:val="24"/>
          <w:szCs w:val="24"/>
        </w:rPr>
      </w:pPr>
      <w:r w:rsidRPr="004C540C">
        <w:rPr>
          <w:rFonts w:ascii="Arial" w:hAnsi="Arial" w:cs="Arial"/>
          <w:sz w:val="24"/>
          <w:szCs w:val="24"/>
        </w:rPr>
        <w:t>Current Ratio = Current Assets ÷ Current Liabilities</w:t>
      </w:r>
    </w:p>
    <w:tbl>
      <w:tblPr>
        <w:tblStyle w:val="GridTable4-Accent5"/>
        <w:tblW w:w="5000" w:type="pct"/>
        <w:tblLook w:val="04A0" w:firstRow="1" w:lastRow="0" w:firstColumn="1" w:lastColumn="0" w:noHBand="0" w:noVBand="1"/>
      </w:tblPr>
      <w:tblGrid>
        <w:gridCol w:w="862"/>
        <w:gridCol w:w="2887"/>
        <w:gridCol w:w="3255"/>
        <w:gridCol w:w="2012"/>
      </w:tblGrid>
      <w:tr w:rsidR="00E109B2" w:rsidRPr="004C540C" w14:paraId="74DB197A" w14:textId="77777777" w:rsidTr="00DC76F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 w:type="pct"/>
            <w:hideMark/>
          </w:tcPr>
          <w:p w14:paraId="24B77144"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Year</w:t>
            </w:r>
          </w:p>
        </w:tc>
        <w:tc>
          <w:tcPr>
            <w:tcW w:w="1601" w:type="pct"/>
            <w:hideMark/>
          </w:tcPr>
          <w:p w14:paraId="2C810BC8" w14:textId="77777777" w:rsidR="00E109B2" w:rsidRPr="004C540C" w:rsidRDefault="00E109B2" w:rsidP="004C540C">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Current Assets ($m)</w:t>
            </w:r>
          </w:p>
        </w:tc>
        <w:tc>
          <w:tcPr>
            <w:tcW w:w="1805" w:type="pct"/>
            <w:hideMark/>
          </w:tcPr>
          <w:p w14:paraId="6DADB578" w14:textId="77777777" w:rsidR="00E109B2" w:rsidRPr="004C540C" w:rsidRDefault="00E109B2" w:rsidP="004C540C">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Current Liabilities ($m)</w:t>
            </w:r>
          </w:p>
        </w:tc>
        <w:tc>
          <w:tcPr>
            <w:tcW w:w="1116" w:type="pct"/>
            <w:hideMark/>
          </w:tcPr>
          <w:p w14:paraId="3C17B72D" w14:textId="77777777" w:rsidR="00E109B2" w:rsidRPr="004C540C" w:rsidRDefault="00E109B2" w:rsidP="004C540C">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Current Ratio</w:t>
            </w:r>
          </w:p>
        </w:tc>
      </w:tr>
      <w:tr w:rsidR="00E109B2" w:rsidRPr="004C540C" w14:paraId="710A8D10" w14:textId="77777777" w:rsidTr="00DC76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 w:type="pct"/>
            <w:hideMark/>
          </w:tcPr>
          <w:p w14:paraId="146D5F40"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2021</w:t>
            </w:r>
          </w:p>
        </w:tc>
        <w:tc>
          <w:tcPr>
            <w:tcW w:w="1601" w:type="pct"/>
            <w:hideMark/>
          </w:tcPr>
          <w:p w14:paraId="42EBCC87"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2,066</w:t>
            </w:r>
          </w:p>
        </w:tc>
        <w:tc>
          <w:tcPr>
            <w:tcW w:w="1805" w:type="pct"/>
            <w:hideMark/>
          </w:tcPr>
          <w:p w14:paraId="6B122C4F"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1,624</w:t>
            </w:r>
          </w:p>
        </w:tc>
        <w:tc>
          <w:tcPr>
            <w:tcW w:w="1116" w:type="pct"/>
            <w:hideMark/>
          </w:tcPr>
          <w:p w14:paraId="333AC7AA"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1.27</w:t>
            </w:r>
          </w:p>
        </w:tc>
      </w:tr>
      <w:tr w:rsidR="00E109B2" w:rsidRPr="004C540C" w14:paraId="4833BC49" w14:textId="77777777" w:rsidTr="00DC76F8">
        <w:tc>
          <w:tcPr>
            <w:cnfStyle w:val="001000000000" w:firstRow="0" w:lastRow="0" w:firstColumn="1" w:lastColumn="0" w:oddVBand="0" w:evenVBand="0" w:oddHBand="0" w:evenHBand="0" w:firstRowFirstColumn="0" w:firstRowLastColumn="0" w:lastRowFirstColumn="0" w:lastRowLastColumn="0"/>
            <w:tcW w:w="478" w:type="pct"/>
            <w:hideMark/>
          </w:tcPr>
          <w:p w14:paraId="3CD28384"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2022</w:t>
            </w:r>
          </w:p>
        </w:tc>
        <w:tc>
          <w:tcPr>
            <w:tcW w:w="1601" w:type="pct"/>
            <w:hideMark/>
          </w:tcPr>
          <w:p w14:paraId="730C3D96"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1,678</w:t>
            </w:r>
          </w:p>
        </w:tc>
        <w:tc>
          <w:tcPr>
            <w:tcW w:w="1805" w:type="pct"/>
            <w:hideMark/>
          </w:tcPr>
          <w:p w14:paraId="37A38D24"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1,544</w:t>
            </w:r>
          </w:p>
        </w:tc>
        <w:tc>
          <w:tcPr>
            <w:tcW w:w="1116" w:type="pct"/>
            <w:hideMark/>
          </w:tcPr>
          <w:p w14:paraId="186A7C6A"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1.09</w:t>
            </w:r>
          </w:p>
        </w:tc>
      </w:tr>
      <w:tr w:rsidR="00E109B2" w:rsidRPr="004C540C" w14:paraId="799BB79C" w14:textId="77777777" w:rsidTr="00DC76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 w:type="pct"/>
            <w:hideMark/>
          </w:tcPr>
          <w:p w14:paraId="03CB04D4"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2023</w:t>
            </w:r>
          </w:p>
        </w:tc>
        <w:tc>
          <w:tcPr>
            <w:tcW w:w="1601" w:type="pct"/>
            <w:hideMark/>
          </w:tcPr>
          <w:p w14:paraId="1E84F75C"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2,129</w:t>
            </w:r>
          </w:p>
        </w:tc>
        <w:tc>
          <w:tcPr>
            <w:tcW w:w="1805" w:type="pct"/>
            <w:hideMark/>
          </w:tcPr>
          <w:p w14:paraId="6E123CB1"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2,190</w:t>
            </w:r>
          </w:p>
        </w:tc>
        <w:tc>
          <w:tcPr>
            <w:tcW w:w="1116" w:type="pct"/>
            <w:hideMark/>
          </w:tcPr>
          <w:p w14:paraId="4CAF3BF3"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0.97</w:t>
            </w:r>
          </w:p>
        </w:tc>
      </w:tr>
      <w:tr w:rsidR="00E109B2" w:rsidRPr="004C540C" w14:paraId="24FF1E92" w14:textId="77777777" w:rsidTr="00DC76F8">
        <w:tc>
          <w:tcPr>
            <w:cnfStyle w:val="001000000000" w:firstRow="0" w:lastRow="0" w:firstColumn="1" w:lastColumn="0" w:oddVBand="0" w:evenVBand="0" w:oddHBand="0" w:evenHBand="0" w:firstRowFirstColumn="0" w:firstRowLastColumn="0" w:lastRowFirstColumn="0" w:lastRowLastColumn="0"/>
            <w:tcW w:w="478" w:type="pct"/>
            <w:hideMark/>
          </w:tcPr>
          <w:p w14:paraId="65DFCFCF"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2024</w:t>
            </w:r>
          </w:p>
        </w:tc>
        <w:tc>
          <w:tcPr>
            <w:tcW w:w="1601" w:type="pct"/>
            <w:hideMark/>
          </w:tcPr>
          <w:p w14:paraId="56342704"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1,869</w:t>
            </w:r>
          </w:p>
        </w:tc>
        <w:tc>
          <w:tcPr>
            <w:tcW w:w="1805" w:type="pct"/>
            <w:hideMark/>
          </w:tcPr>
          <w:p w14:paraId="29C9B718"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1,928</w:t>
            </w:r>
          </w:p>
        </w:tc>
        <w:tc>
          <w:tcPr>
            <w:tcW w:w="1116" w:type="pct"/>
            <w:hideMark/>
          </w:tcPr>
          <w:p w14:paraId="3A81EA1D"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0.97</w:t>
            </w:r>
          </w:p>
        </w:tc>
      </w:tr>
      <w:tr w:rsidR="00E109B2" w:rsidRPr="004C540C" w14:paraId="3517E41B" w14:textId="77777777" w:rsidTr="00DC76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 w:type="pct"/>
            <w:hideMark/>
          </w:tcPr>
          <w:p w14:paraId="6A449E2E"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2025</w:t>
            </w:r>
          </w:p>
        </w:tc>
        <w:tc>
          <w:tcPr>
            <w:tcW w:w="1601" w:type="pct"/>
            <w:hideMark/>
          </w:tcPr>
          <w:p w14:paraId="65752E10"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2,049</w:t>
            </w:r>
          </w:p>
        </w:tc>
        <w:tc>
          <w:tcPr>
            <w:tcW w:w="1805" w:type="pct"/>
            <w:hideMark/>
          </w:tcPr>
          <w:p w14:paraId="5B751678"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2,100</w:t>
            </w:r>
          </w:p>
        </w:tc>
        <w:tc>
          <w:tcPr>
            <w:tcW w:w="1116" w:type="pct"/>
            <w:hideMark/>
          </w:tcPr>
          <w:p w14:paraId="35EBE0B2"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0.98</w:t>
            </w:r>
          </w:p>
        </w:tc>
      </w:tr>
    </w:tbl>
    <w:p w14:paraId="1D9AC757" w14:textId="7FDCD36F" w:rsidR="00FB05D2" w:rsidRPr="004C540C" w:rsidRDefault="00FB05D2" w:rsidP="004C540C">
      <w:pPr>
        <w:jc w:val="both"/>
        <w:rPr>
          <w:rFonts w:ascii="Arial" w:hAnsi="Arial" w:cs="Arial"/>
          <w:b/>
          <w:bCs/>
          <w:sz w:val="24"/>
          <w:szCs w:val="24"/>
        </w:rPr>
      </w:pPr>
    </w:p>
    <w:p w14:paraId="431C7177" w14:textId="77777777" w:rsidR="00FB05D2" w:rsidRPr="004C540C" w:rsidRDefault="00FB05D2" w:rsidP="004C540C">
      <w:pPr>
        <w:jc w:val="both"/>
        <w:rPr>
          <w:rFonts w:ascii="Arial" w:hAnsi="Arial" w:cs="Arial"/>
          <w:b/>
          <w:bCs/>
          <w:sz w:val="24"/>
          <w:szCs w:val="24"/>
        </w:rPr>
      </w:pPr>
      <w:r w:rsidRPr="004C540C">
        <w:rPr>
          <w:rFonts w:ascii="Arial" w:hAnsi="Arial" w:cs="Arial"/>
          <w:b/>
          <w:bCs/>
          <w:sz w:val="24"/>
          <w:szCs w:val="24"/>
        </w:rPr>
        <w:br w:type="page"/>
      </w:r>
    </w:p>
    <w:p w14:paraId="7096B8AC" w14:textId="55DE1019" w:rsidR="00E109B2" w:rsidRPr="004C540C" w:rsidRDefault="00E109B2" w:rsidP="004C540C">
      <w:pPr>
        <w:jc w:val="both"/>
        <w:rPr>
          <w:rFonts w:ascii="Arial" w:hAnsi="Arial" w:cs="Arial"/>
          <w:b/>
          <w:bCs/>
          <w:sz w:val="24"/>
          <w:szCs w:val="24"/>
        </w:rPr>
      </w:pPr>
      <w:r w:rsidRPr="004C540C">
        <w:rPr>
          <w:rFonts w:ascii="Arial" w:hAnsi="Arial" w:cs="Arial"/>
          <w:b/>
          <w:bCs/>
          <w:sz w:val="24"/>
          <w:szCs w:val="24"/>
        </w:rPr>
        <w:lastRenderedPageBreak/>
        <w:t>Quick Ratio</w:t>
      </w:r>
    </w:p>
    <w:p w14:paraId="613788A8" w14:textId="77777777" w:rsidR="00E109B2" w:rsidRPr="004C540C" w:rsidRDefault="00E109B2" w:rsidP="004C540C">
      <w:pPr>
        <w:jc w:val="both"/>
        <w:rPr>
          <w:rFonts w:ascii="Arial" w:hAnsi="Arial" w:cs="Arial"/>
          <w:sz w:val="24"/>
          <w:szCs w:val="24"/>
        </w:rPr>
      </w:pPr>
      <w:r w:rsidRPr="004C540C">
        <w:rPr>
          <w:rFonts w:ascii="Arial" w:hAnsi="Arial" w:cs="Arial"/>
          <w:b/>
          <w:bCs/>
          <w:sz w:val="24"/>
          <w:szCs w:val="24"/>
        </w:rPr>
        <w:t>Formula:</w:t>
      </w:r>
    </w:p>
    <w:p w14:paraId="2A827DB5" w14:textId="77777777" w:rsidR="00E109B2" w:rsidRPr="004C540C" w:rsidRDefault="00E109B2" w:rsidP="004C540C">
      <w:pPr>
        <w:jc w:val="both"/>
        <w:rPr>
          <w:rFonts w:ascii="Arial" w:hAnsi="Arial" w:cs="Arial"/>
          <w:sz w:val="24"/>
          <w:szCs w:val="24"/>
        </w:rPr>
      </w:pPr>
      <w:r w:rsidRPr="004C540C">
        <w:rPr>
          <w:rFonts w:ascii="Arial" w:hAnsi="Arial" w:cs="Arial"/>
          <w:sz w:val="24"/>
          <w:szCs w:val="24"/>
        </w:rPr>
        <w:t>Quick Ratio = (Current Assets − Inventory) ÷ Current Liabilities</w:t>
      </w:r>
    </w:p>
    <w:tbl>
      <w:tblPr>
        <w:tblStyle w:val="GridTable4-Accent5"/>
        <w:tblW w:w="5000" w:type="pct"/>
        <w:tblLook w:val="04A0" w:firstRow="1" w:lastRow="0" w:firstColumn="1" w:lastColumn="0" w:noHBand="0" w:noVBand="1"/>
      </w:tblPr>
      <w:tblGrid>
        <w:gridCol w:w="868"/>
        <w:gridCol w:w="2242"/>
        <w:gridCol w:w="1501"/>
        <w:gridCol w:w="2611"/>
        <w:gridCol w:w="1794"/>
      </w:tblGrid>
      <w:tr w:rsidR="00E109B2" w:rsidRPr="004C540C" w14:paraId="4FDEBA8D" w14:textId="77777777" w:rsidTr="00DC76F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 w:type="pct"/>
            <w:hideMark/>
          </w:tcPr>
          <w:p w14:paraId="6B1D5913"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Year</w:t>
            </w:r>
          </w:p>
        </w:tc>
        <w:tc>
          <w:tcPr>
            <w:tcW w:w="1243" w:type="pct"/>
            <w:hideMark/>
          </w:tcPr>
          <w:p w14:paraId="5FEF2350" w14:textId="77777777" w:rsidR="00E109B2" w:rsidRPr="004C540C" w:rsidRDefault="00E109B2" w:rsidP="004C540C">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Current Assets</w:t>
            </w:r>
          </w:p>
        </w:tc>
        <w:tc>
          <w:tcPr>
            <w:tcW w:w="832" w:type="pct"/>
            <w:hideMark/>
          </w:tcPr>
          <w:p w14:paraId="742AA62D" w14:textId="77777777" w:rsidR="00E109B2" w:rsidRPr="004C540C" w:rsidRDefault="00E109B2" w:rsidP="004C540C">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Inventory</w:t>
            </w:r>
          </w:p>
        </w:tc>
        <w:tc>
          <w:tcPr>
            <w:tcW w:w="1448" w:type="pct"/>
            <w:hideMark/>
          </w:tcPr>
          <w:p w14:paraId="2335FEB1" w14:textId="77777777" w:rsidR="00E109B2" w:rsidRPr="004C540C" w:rsidRDefault="00E109B2" w:rsidP="004C540C">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Current Liabilities</w:t>
            </w:r>
          </w:p>
        </w:tc>
        <w:tc>
          <w:tcPr>
            <w:tcW w:w="995" w:type="pct"/>
            <w:hideMark/>
          </w:tcPr>
          <w:p w14:paraId="697886F8" w14:textId="77777777" w:rsidR="00E109B2" w:rsidRPr="004C540C" w:rsidRDefault="00E109B2" w:rsidP="004C540C">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Quick Ratio</w:t>
            </w:r>
          </w:p>
        </w:tc>
      </w:tr>
      <w:tr w:rsidR="00E109B2" w:rsidRPr="004C540C" w14:paraId="06E8543E" w14:textId="77777777" w:rsidTr="00DC76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 w:type="pct"/>
            <w:hideMark/>
          </w:tcPr>
          <w:p w14:paraId="2EA780A0"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2021</w:t>
            </w:r>
          </w:p>
        </w:tc>
        <w:tc>
          <w:tcPr>
            <w:tcW w:w="1243" w:type="pct"/>
            <w:hideMark/>
          </w:tcPr>
          <w:p w14:paraId="6AFE45F3"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2,066</w:t>
            </w:r>
          </w:p>
        </w:tc>
        <w:tc>
          <w:tcPr>
            <w:tcW w:w="832" w:type="pct"/>
            <w:hideMark/>
          </w:tcPr>
          <w:p w14:paraId="37CE7496"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4</w:t>
            </w:r>
          </w:p>
        </w:tc>
        <w:tc>
          <w:tcPr>
            <w:tcW w:w="1448" w:type="pct"/>
            <w:hideMark/>
          </w:tcPr>
          <w:p w14:paraId="065B7B55"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1,624</w:t>
            </w:r>
          </w:p>
        </w:tc>
        <w:tc>
          <w:tcPr>
            <w:tcW w:w="995" w:type="pct"/>
            <w:hideMark/>
          </w:tcPr>
          <w:p w14:paraId="7E972160"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1.27</w:t>
            </w:r>
          </w:p>
        </w:tc>
      </w:tr>
      <w:tr w:rsidR="00E109B2" w:rsidRPr="004C540C" w14:paraId="529054B3" w14:textId="77777777" w:rsidTr="00DC76F8">
        <w:tc>
          <w:tcPr>
            <w:cnfStyle w:val="001000000000" w:firstRow="0" w:lastRow="0" w:firstColumn="1" w:lastColumn="0" w:oddVBand="0" w:evenVBand="0" w:oddHBand="0" w:evenHBand="0" w:firstRowFirstColumn="0" w:firstRowLastColumn="0" w:lastRowFirstColumn="0" w:lastRowLastColumn="0"/>
            <w:tcW w:w="481" w:type="pct"/>
            <w:hideMark/>
          </w:tcPr>
          <w:p w14:paraId="19F48573"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2022</w:t>
            </w:r>
          </w:p>
        </w:tc>
        <w:tc>
          <w:tcPr>
            <w:tcW w:w="1243" w:type="pct"/>
            <w:hideMark/>
          </w:tcPr>
          <w:p w14:paraId="54B045B9"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1,678</w:t>
            </w:r>
          </w:p>
        </w:tc>
        <w:tc>
          <w:tcPr>
            <w:tcW w:w="832" w:type="pct"/>
            <w:hideMark/>
          </w:tcPr>
          <w:p w14:paraId="096FA5D9"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4</w:t>
            </w:r>
          </w:p>
        </w:tc>
        <w:tc>
          <w:tcPr>
            <w:tcW w:w="1448" w:type="pct"/>
            <w:hideMark/>
          </w:tcPr>
          <w:p w14:paraId="1B3A2EEE"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1,544</w:t>
            </w:r>
          </w:p>
        </w:tc>
        <w:tc>
          <w:tcPr>
            <w:tcW w:w="995" w:type="pct"/>
            <w:hideMark/>
          </w:tcPr>
          <w:p w14:paraId="222723AC"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1.08</w:t>
            </w:r>
          </w:p>
        </w:tc>
      </w:tr>
      <w:tr w:rsidR="00E109B2" w:rsidRPr="004C540C" w14:paraId="1F6E23D7" w14:textId="77777777" w:rsidTr="00DC76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 w:type="pct"/>
            <w:hideMark/>
          </w:tcPr>
          <w:p w14:paraId="060E415B"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2023</w:t>
            </w:r>
          </w:p>
        </w:tc>
        <w:tc>
          <w:tcPr>
            <w:tcW w:w="1243" w:type="pct"/>
            <w:hideMark/>
          </w:tcPr>
          <w:p w14:paraId="6BEDE9DE"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2,129</w:t>
            </w:r>
          </w:p>
        </w:tc>
        <w:tc>
          <w:tcPr>
            <w:tcW w:w="832" w:type="pct"/>
            <w:hideMark/>
          </w:tcPr>
          <w:p w14:paraId="2131D120"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5</w:t>
            </w:r>
          </w:p>
        </w:tc>
        <w:tc>
          <w:tcPr>
            <w:tcW w:w="1448" w:type="pct"/>
            <w:hideMark/>
          </w:tcPr>
          <w:p w14:paraId="0F308C9F"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2,190</w:t>
            </w:r>
          </w:p>
        </w:tc>
        <w:tc>
          <w:tcPr>
            <w:tcW w:w="995" w:type="pct"/>
            <w:hideMark/>
          </w:tcPr>
          <w:p w14:paraId="548F7AFD"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0.97</w:t>
            </w:r>
          </w:p>
        </w:tc>
      </w:tr>
      <w:tr w:rsidR="00E109B2" w:rsidRPr="004C540C" w14:paraId="5F3C4508" w14:textId="77777777" w:rsidTr="00DC76F8">
        <w:tc>
          <w:tcPr>
            <w:cnfStyle w:val="001000000000" w:firstRow="0" w:lastRow="0" w:firstColumn="1" w:lastColumn="0" w:oddVBand="0" w:evenVBand="0" w:oddHBand="0" w:evenHBand="0" w:firstRowFirstColumn="0" w:firstRowLastColumn="0" w:lastRowFirstColumn="0" w:lastRowLastColumn="0"/>
            <w:tcW w:w="481" w:type="pct"/>
            <w:hideMark/>
          </w:tcPr>
          <w:p w14:paraId="5F61A01B"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2024</w:t>
            </w:r>
          </w:p>
        </w:tc>
        <w:tc>
          <w:tcPr>
            <w:tcW w:w="1243" w:type="pct"/>
            <w:hideMark/>
          </w:tcPr>
          <w:p w14:paraId="3F482412"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1,869</w:t>
            </w:r>
          </w:p>
        </w:tc>
        <w:tc>
          <w:tcPr>
            <w:tcW w:w="832" w:type="pct"/>
            <w:hideMark/>
          </w:tcPr>
          <w:p w14:paraId="4D9C8E78"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5</w:t>
            </w:r>
          </w:p>
        </w:tc>
        <w:tc>
          <w:tcPr>
            <w:tcW w:w="1448" w:type="pct"/>
            <w:hideMark/>
          </w:tcPr>
          <w:p w14:paraId="0A1279D3"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1,928</w:t>
            </w:r>
          </w:p>
        </w:tc>
        <w:tc>
          <w:tcPr>
            <w:tcW w:w="995" w:type="pct"/>
            <w:hideMark/>
          </w:tcPr>
          <w:p w14:paraId="01D83A2B"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0.97</w:t>
            </w:r>
          </w:p>
        </w:tc>
      </w:tr>
      <w:tr w:rsidR="00E109B2" w:rsidRPr="004C540C" w14:paraId="516B9CC6" w14:textId="77777777" w:rsidTr="00DC76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 w:type="pct"/>
            <w:hideMark/>
          </w:tcPr>
          <w:p w14:paraId="263133B4"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2025</w:t>
            </w:r>
          </w:p>
        </w:tc>
        <w:tc>
          <w:tcPr>
            <w:tcW w:w="1243" w:type="pct"/>
            <w:hideMark/>
          </w:tcPr>
          <w:p w14:paraId="48994B2B"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2,049</w:t>
            </w:r>
          </w:p>
        </w:tc>
        <w:tc>
          <w:tcPr>
            <w:tcW w:w="832" w:type="pct"/>
            <w:hideMark/>
          </w:tcPr>
          <w:p w14:paraId="3BE5951A"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5</w:t>
            </w:r>
          </w:p>
        </w:tc>
        <w:tc>
          <w:tcPr>
            <w:tcW w:w="1448" w:type="pct"/>
            <w:hideMark/>
          </w:tcPr>
          <w:p w14:paraId="7195D02C"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2,100</w:t>
            </w:r>
          </w:p>
        </w:tc>
        <w:tc>
          <w:tcPr>
            <w:tcW w:w="995" w:type="pct"/>
            <w:hideMark/>
          </w:tcPr>
          <w:p w14:paraId="1B601E00"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0.97</w:t>
            </w:r>
          </w:p>
        </w:tc>
      </w:tr>
    </w:tbl>
    <w:p w14:paraId="0BBF52DB" w14:textId="4C8C4056" w:rsidR="00E109B2" w:rsidRPr="004C540C" w:rsidRDefault="00E109B2" w:rsidP="004C540C">
      <w:pPr>
        <w:jc w:val="both"/>
        <w:rPr>
          <w:rFonts w:ascii="Arial" w:hAnsi="Arial" w:cs="Arial"/>
          <w:sz w:val="24"/>
          <w:szCs w:val="24"/>
        </w:rPr>
      </w:pPr>
    </w:p>
    <w:p w14:paraId="45DA53E8" w14:textId="7D6FA033" w:rsidR="00E109B2" w:rsidRPr="004C540C" w:rsidRDefault="00E109B2" w:rsidP="004C540C">
      <w:pPr>
        <w:jc w:val="both"/>
        <w:rPr>
          <w:rFonts w:ascii="Arial" w:hAnsi="Arial" w:cs="Arial"/>
          <w:b/>
          <w:bCs/>
          <w:sz w:val="24"/>
          <w:szCs w:val="24"/>
        </w:rPr>
      </w:pPr>
      <w:r w:rsidRPr="004C540C">
        <w:rPr>
          <w:rFonts w:ascii="Arial" w:hAnsi="Arial" w:cs="Arial"/>
          <w:b/>
          <w:bCs/>
          <w:sz w:val="24"/>
          <w:szCs w:val="24"/>
        </w:rPr>
        <w:t>Appendi</w:t>
      </w:r>
      <w:r w:rsidR="00493D5C" w:rsidRPr="004C540C">
        <w:rPr>
          <w:rFonts w:ascii="Arial" w:hAnsi="Arial" w:cs="Arial"/>
          <w:b/>
          <w:bCs/>
          <w:sz w:val="24"/>
          <w:szCs w:val="24"/>
        </w:rPr>
        <w:t>ces</w:t>
      </w:r>
      <w:r w:rsidRPr="004C540C">
        <w:rPr>
          <w:rFonts w:ascii="Arial" w:hAnsi="Arial" w:cs="Arial"/>
          <w:b/>
          <w:bCs/>
          <w:sz w:val="24"/>
          <w:szCs w:val="24"/>
        </w:rPr>
        <w:t xml:space="preserve"> C: Efficiency and Working Capital Calculations</w:t>
      </w:r>
    </w:p>
    <w:p w14:paraId="63D1B589" w14:textId="77777777" w:rsidR="00E109B2" w:rsidRPr="004C540C" w:rsidRDefault="00E109B2" w:rsidP="004C540C">
      <w:pPr>
        <w:jc w:val="both"/>
        <w:rPr>
          <w:rFonts w:ascii="Arial" w:hAnsi="Arial" w:cs="Arial"/>
          <w:b/>
          <w:bCs/>
          <w:sz w:val="24"/>
          <w:szCs w:val="24"/>
        </w:rPr>
      </w:pPr>
      <w:r w:rsidRPr="004C540C">
        <w:rPr>
          <w:rFonts w:ascii="Arial" w:hAnsi="Arial" w:cs="Arial"/>
          <w:b/>
          <w:bCs/>
          <w:sz w:val="24"/>
          <w:szCs w:val="24"/>
        </w:rPr>
        <w:t>Cash Conversion Cycle</w:t>
      </w:r>
    </w:p>
    <w:p w14:paraId="7F2E22D4" w14:textId="77777777" w:rsidR="00E109B2" w:rsidRPr="004C540C" w:rsidRDefault="00E109B2" w:rsidP="004C540C">
      <w:pPr>
        <w:jc w:val="both"/>
        <w:rPr>
          <w:rFonts w:ascii="Arial" w:hAnsi="Arial" w:cs="Arial"/>
          <w:sz w:val="24"/>
          <w:szCs w:val="24"/>
        </w:rPr>
      </w:pPr>
      <w:r w:rsidRPr="004C540C">
        <w:rPr>
          <w:rFonts w:ascii="Arial" w:hAnsi="Arial" w:cs="Arial"/>
          <w:b/>
          <w:bCs/>
          <w:sz w:val="24"/>
          <w:szCs w:val="24"/>
        </w:rPr>
        <w:t>Formula:</w:t>
      </w:r>
    </w:p>
    <w:p w14:paraId="27FB2BF5" w14:textId="77777777" w:rsidR="00E109B2" w:rsidRPr="004C540C" w:rsidRDefault="00E109B2" w:rsidP="004C540C">
      <w:pPr>
        <w:jc w:val="both"/>
        <w:rPr>
          <w:rFonts w:ascii="Arial" w:hAnsi="Arial" w:cs="Arial"/>
          <w:sz w:val="24"/>
          <w:szCs w:val="24"/>
        </w:rPr>
      </w:pPr>
      <w:r w:rsidRPr="004C540C">
        <w:rPr>
          <w:rFonts w:ascii="Arial" w:hAnsi="Arial" w:cs="Arial"/>
          <w:sz w:val="24"/>
          <w:szCs w:val="24"/>
        </w:rPr>
        <w:t>CCC = Inventory Days + Receivable Days − Payable Days</w:t>
      </w:r>
    </w:p>
    <w:tbl>
      <w:tblPr>
        <w:tblStyle w:val="GridTable4-Accent5"/>
        <w:tblW w:w="5000" w:type="pct"/>
        <w:tblLook w:val="04A0" w:firstRow="1" w:lastRow="0" w:firstColumn="1" w:lastColumn="0" w:noHBand="0" w:noVBand="1"/>
      </w:tblPr>
      <w:tblGrid>
        <w:gridCol w:w="750"/>
        <w:gridCol w:w="1850"/>
        <w:gridCol w:w="2025"/>
        <w:gridCol w:w="1679"/>
        <w:gridCol w:w="2712"/>
      </w:tblGrid>
      <w:tr w:rsidR="00E109B2" w:rsidRPr="004C540C" w14:paraId="78FC71F3" w14:textId="77777777" w:rsidTr="00FB05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6" w:type="pct"/>
            <w:hideMark/>
          </w:tcPr>
          <w:p w14:paraId="69D2231A"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Year</w:t>
            </w:r>
          </w:p>
        </w:tc>
        <w:tc>
          <w:tcPr>
            <w:tcW w:w="1026" w:type="pct"/>
            <w:hideMark/>
          </w:tcPr>
          <w:p w14:paraId="3D999920" w14:textId="77777777" w:rsidR="00E109B2" w:rsidRPr="004C540C" w:rsidRDefault="00E109B2" w:rsidP="004C540C">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Inventory Days</w:t>
            </w:r>
          </w:p>
        </w:tc>
        <w:tc>
          <w:tcPr>
            <w:tcW w:w="1123" w:type="pct"/>
            <w:hideMark/>
          </w:tcPr>
          <w:p w14:paraId="4894440E" w14:textId="77777777" w:rsidR="00E109B2" w:rsidRPr="004C540C" w:rsidRDefault="00E109B2" w:rsidP="004C540C">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Receivable Days</w:t>
            </w:r>
          </w:p>
        </w:tc>
        <w:tc>
          <w:tcPr>
            <w:tcW w:w="931" w:type="pct"/>
            <w:hideMark/>
          </w:tcPr>
          <w:p w14:paraId="7B03A858" w14:textId="77777777" w:rsidR="00E109B2" w:rsidRPr="004C540C" w:rsidRDefault="00E109B2" w:rsidP="004C540C">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Payable Days</w:t>
            </w:r>
          </w:p>
        </w:tc>
        <w:tc>
          <w:tcPr>
            <w:tcW w:w="1505" w:type="pct"/>
            <w:hideMark/>
          </w:tcPr>
          <w:p w14:paraId="565E4150" w14:textId="77777777" w:rsidR="00E109B2" w:rsidRPr="004C540C" w:rsidRDefault="00E109B2" w:rsidP="004C540C">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Cash Conversion Cycle</w:t>
            </w:r>
          </w:p>
        </w:tc>
      </w:tr>
      <w:tr w:rsidR="00E109B2" w:rsidRPr="004C540C" w14:paraId="421D3971" w14:textId="77777777" w:rsidTr="00FB05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6" w:type="pct"/>
            <w:hideMark/>
          </w:tcPr>
          <w:p w14:paraId="07AC79F5"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2021</w:t>
            </w:r>
          </w:p>
        </w:tc>
        <w:tc>
          <w:tcPr>
            <w:tcW w:w="1026" w:type="pct"/>
            <w:hideMark/>
          </w:tcPr>
          <w:p w14:paraId="7ECF5716"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3.0</w:t>
            </w:r>
          </w:p>
        </w:tc>
        <w:tc>
          <w:tcPr>
            <w:tcW w:w="1123" w:type="pct"/>
            <w:hideMark/>
          </w:tcPr>
          <w:p w14:paraId="734CD1D6"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50.1</w:t>
            </w:r>
          </w:p>
        </w:tc>
        <w:tc>
          <w:tcPr>
            <w:tcW w:w="931" w:type="pct"/>
            <w:hideMark/>
          </w:tcPr>
          <w:p w14:paraId="651AFFD7"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114.2</w:t>
            </w:r>
          </w:p>
        </w:tc>
        <w:tc>
          <w:tcPr>
            <w:tcW w:w="1505" w:type="pct"/>
            <w:hideMark/>
          </w:tcPr>
          <w:p w14:paraId="57D5DA1C"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-61.1</w:t>
            </w:r>
          </w:p>
        </w:tc>
      </w:tr>
      <w:tr w:rsidR="00E109B2" w:rsidRPr="004C540C" w14:paraId="2AB37CDC" w14:textId="77777777" w:rsidTr="00FB05D2">
        <w:tc>
          <w:tcPr>
            <w:cnfStyle w:val="001000000000" w:firstRow="0" w:lastRow="0" w:firstColumn="1" w:lastColumn="0" w:oddVBand="0" w:evenVBand="0" w:oddHBand="0" w:evenHBand="0" w:firstRowFirstColumn="0" w:firstRowLastColumn="0" w:lastRowFirstColumn="0" w:lastRowLastColumn="0"/>
            <w:tcW w:w="416" w:type="pct"/>
            <w:hideMark/>
          </w:tcPr>
          <w:p w14:paraId="763172A6"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2022</w:t>
            </w:r>
          </w:p>
        </w:tc>
        <w:tc>
          <w:tcPr>
            <w:tcW w:w="1026" w:type="pct"/>
            <w:hideMark/>
          </w:tcPr>
          <w:p w14:paraId="620838E6"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2.3</w:t>
            </w:r>
          </w:p>
        </w:tc>
        <w:tc>
          <w:tcPr>
            <w:tcW w:w="1123" w:type="pct"/>
            <w:hideMark/>
          </w:tcPr>
          <w:p w14:paraId="707BAD4A"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46.2</w:t>
            </w:r>
          </w:p>
        </w:tc>
        <w:tc>
          <w:tcPr>
            <w:tcW w:w="931" w:type="pct"/>
            <w:hideMark/>
          </w:tcPr>
          <w:p w14:paraId="53B3D2A3"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71.5</w:t>
            </w:r>
          </w:p>
        </w:tc>
        <w:tc>
          <w:tcPr>
            <w:tcW w:w="1505" w:type="pct"/>
            <w:hideMark/>
          </w:tcPr>
          <w:p w14:paraId="34A4A0A4"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-23.0</w:t>
            </w:r>
          </w:p>
        </w:tc>
      </w:tr>
      <w:tr w:rsidR="00E109B2" w:rsidRPr="004C540C" w14:paraId="35EFE5A3" w14:textId="77777777" w:rsidTr="00FB05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6" w:type="pct"/>
            <w:hideMark/>
          </w:tcPr>
          <w:p w14:paraId="42C9D020"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2023</w:t>
            </w:r>
          </w:p>
        </w:tc>
        <w:tc>
          <w:tcPr>
            <w:tcW w:w="1026" w:type="pct"/>
            <w:hideMark/>
          </w:tcPr>
          <w:p w14:paraId="53422B0C"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2.0</w:t>
            </w:r>
          </w:p>
        </w:tc>
        <w:tc>
          <w:tcPr>
            <w:tcW w:w="1123" w:type="pct"/>
            <w:hideMark/>
          </w:tcPr>
          <w:p w14:paraId="2C7A59E1"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45.8</w:t>
            </w:r>
          </w:p>
        </w:tc>
        <w:tc>
          <w:tcPr>
            <w:tcW w:w="931" w:type="pct"/>
            <w:hideMark/>
          </w:tcPr>
          <w:p w14:paraId="6CD6E381"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54.6</w:t>
            </w:r>
          </w:p>
        </w:tc>
        <w:tc>
          <w:tcPr>
            <w:tcW w:w="1505" w:type="pct"/>
            <w:hideMark/>
          </w:tcPr>
          <w:p w14:paraId="0AE2B2BE"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-6.8</w:t>
            </w:r>
          </w:p>
        </w:tc>
      </w:tr>
      <w:tr w:rsidR="00E109B2" w:rsidRPr="004C540C" w14:paraId="5D6699F2" w14:textId="77777777" w:rsidTr="00FB05D2">
        <w:tc>
          <w:tcPr>
            <w:cnfStyle w:val="001000000000" w:firstRow="0" w:lastRow="0" w:firstColumn="1" w:lastColumn="0" w:oddVBand="0" w:evenVBand="0" w:oddHBand="0" w:evenHBand="0" w:firstRowFirstColumn="0" w:firstRowLastColumn="0" w:lastRowFirstColumn="0" w:lastRowLastColumn="0"/>
            <w:tcW w:w="416" w:type="pct"/>
            <w:hideMark/>
          </w:tcPr>
          <w:p w14:paraId="4F49640C"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2024</w:t>
            </w:r>
          </w:p>
        </w:tc>
        <w:tc>
          <w:tcPr>
            <w:tcW w:w="1026" w:type="pct"/>
            <w:hideMark/>
          </w:tcPr>
          <w:p w14:paraId="4D90054A"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2.0</w:t>
            </w:r>
          </w:p>
        </w:tc>
        <w:tc>
          <w:tcPr>
            <w:tcW w:w="1123" w:type="pct"/>
            <w:hideMark/>
          </w:tcPr>
          <w:p w14:paraId="2927B510"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48.3</w:t>
            </w:r>
          </w:p>
        </w:tc>
        <w:tc>
          <w:tcPr>
            <w:tcW w:w="931" w:type="pct"/>
            <w:hideMark/>
          </w:tcPr>
          <w:p w14:paraId="7359DDBB"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62.2</w:t>
            </w:r>
          </w:p>
        </w:tc>
        <w:tc>
          <w:tcPr>
            <w:tcW w:w="1505" w:type="pct"/>
            <w:hideMark/>
          </w:tcPr>
          <w:p w14:paraId="599C549B"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-11.9</w:t>
            </w:r>
          </w:p>
        </w:tc>
      </w:tr>
      <w:tr w:rsidR="00E109B2" w:rsidRPr="004C540C" w14:paraId="0799400A" w14:textId="77777777" w:rsidTr="00FB05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6" w:type="pct"/>
            <w:hideMark/>
          </w:tcPr>
          <w:p w14:paraId="442CB85F"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2025</w:t>
            </w:r>
          </w:p>
        </w:tc>
        <w:tc>
          <w:tcPr>
            <w:tcW w:w="1026" w:type="pct"/>
            <w:hideMark/>
          </w:tcPr>
          <w:p w14:paraId="02A9FE17"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2.4</w:t>
            </w:r>
          </w:p>
        </w:tc>
        <w:tc>
          <w:tcPr>
            <w:tcW w:w="1123" w:type="pct"/>
            <w:hideMark/>
          </w:tcPr>
          <w:p w14:paraId="4E856935"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49.1</w:t>
            </w:r>
          </w:p>
        </w:tc>
        <w:tc>
          <w:tcPr>
            <w:tcW w:w="931" w:type="pct"/>
            <w:hideMark/>
          </w:tcPr>
          <w:p w14:paraId="6F220094"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49.2</w:t>
            </w:r>
          </w:p>
        </w:tc>
        <w:tc>
          <w:tcPr>
            <w:tcW w:w="1505" w:type="pct"/>
            <w:hideMark/>
          </w:tcPr>
          <w:p w14:paraId="067D14F2"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2.3</w:t>
            </w:r>
          </w:p>
        </w:tc>
      </w:tr>
    </w:tbl>
    <w:p w14:paraId="66A6A79C" w14:textId="79F52DAE" w:rsidR="00E109B2" w:rsidRPr="004C540C" w:rsidRDefault="00E109B2" w:rsidP="004C540C">
      <w:pPr>
        <w:jc w:val="both"/>
        <w:rPr>
          <w:rFonts w:ascii="Arial" w:hAnsi="Arial" w:cs="Arial"/>
          <w:sz w:val="24"/>
          <w:szCs w:val="24"/>
        </w:rPr>
      </w:pPr>
    </w:p>
    <w:p w14:paraId="5058274E" w14:textId="77777777" w:rsidR="00FB05D2" w:rsidRPr="004C540C" w:rsidRDefault="00FB05D2" w:rsidP="004C540C">
      <w:pPr>
        <w:jc w:val="both"/>
        <w:rPr>
          <w:rFonts w:ascii="Arial" w:hAnsi="Arial" w:cs="Arial"/>
          <w:b/>
          <w:bCs/>
          <w:sz w:val="24"/>
          <w:szCs w:val="24"/>
        </w:rPr>
      </w:pPr>
      <w:r w:rsidRPr="004C540C">
        <w:rPr>
          <w:rFonts w:ascii="Arial" w:hAnsi="Arial" w:cs="Arial"/>
          <w:b/>
          <w:bCs/>
          <w:sz w:val="24"/>
          <w:szCs w:val="24"/>
        </w:rPr>
        <w:br w:type="page"/>
      </w:r>
    </w:p>
    <w:p w14:paraId="2278F120" w14:textId="495EAE79" w:rsidR="00E109B2" w:rsidRPr="004C540C" w:rsidRDefault="00E109B2" w:rsidP="004C540C">
      <w:pPr>
        <w:jc w:val="both"/>
        <w:rPr>
          <w:rFonts w:ascii="Arial" w:hAnsi="Arial" w:cs="Arial"/>
          <w:b/>
          <w:bCs/>
          <w:sz w:val="24"/>
          <w:szCs w:val="24"/>
        </w:rPr>
      </w:pPr>
      <w:r w:rsidRPr="004C540C">
        <w:rPr>
          <w:rFonts w:ascii="Arial" w:hAnsi="Arial" w:cs="Arial"/>
          <w:b/>
          <w:bCs/>
          <w:sz w:val="24"/>
          <w:szCs w:val="24"/>
        </w:rPr>
        <w:lastRenderedPageBreak/>
        <w:t>Appendi</w:t>
      </w:r>
      <w:r w:rsidR="00E82F90" w:rsidRPr="004C540C">
        <w:rPr>
          <w:rFonts w:ascii="Arial" w:hAnsi="Arial" w:cs="Arial"/>
          <w:b/>
          <w:bCs/>
          <w:sz w:val="24"/>
          <w:szCs w:val="24"/>
        </w:rPr>
        <w:t>ces</w:t>
      </w:r>
      <w:r w:rsidRPr="004C540C">
        <w:rPr>
          <w:rFonts w:ascii="Arial" w:hAnsi="Arial" w:cs="Arial"/>
          <w:b/>
          <w:bCs/>
          <w:sz w:val="24"/>
          <w:szCs w:val="24"/>
        </w:rPr>
        <w:t xml:space="preserve"> D: Gearing Calculations</w:t>
      </w:r>
    </w:p>
    <w:tbl>
      <w:tblPr>
        <w:tblStyle w:val="GridTable4-Accent5"/>
        <w:tblW w:w="5000" w:type="pct"/>
        <w:tblLook w:val="04A0" w:firstRow="1" w:lastRow="0" w:firstColumn="1" w:lastColumn="0" w:noHBand="0" w:noVBand="1"/>
      </w:tblPr>
      <w:tblGrid>
        <w:gridCol w:w="777"/>
        <w:gridCol w:w="1843"/>
        <w:gridCol w:w="2880"/>
        <w:gridCol w:w="3516"/>
      </w:tblGrid>
      <w:tr w:rsidR="00E109B2" w:rsidRPr="004C540C" w14:paraId="27C925C8" w14:textId="77777777" w:rsidTr="00FB05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1" w:type="pct"/>
            <w:hideMark/>
          </w:tcPr>
          <w:p w14:paraId="14C73038"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Year</w:t>
            </w:r>
          </w:p>
        </w:tc>
        <w:tc>
          <w:tcPr>
            <w:tcW w:w="1022" w:type="pct"/>
            <w:hideMark/>
          </w:tcPr>
          <w:p w14:paraId="389194C8" w14:textId="77777777" w:rsidR="00E109B2" w:rsidRPr="004C540C" w:rsidRDefault="00E109B2" w:rsidP="004C540C">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Net Debt ($m)</w:t>
            </w:r>
          </w:p>
        </w:tc>
        <w:tc>
          <w:tcPr>
            <w:tcW w:w="1597" w:type="pct"/>
            <w:hideMark/>
          </w:tcPr>
          <w:p w14:paraId="44059E96" w14:textId="77777777" w:rsidR="00E109B2" w:rsidRPr="004C540C" w:rsidRDefault="00E109B2" w:rsidP="004C540C">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Adjusted EBITDA ($m)</w:t>
            </w:r>
          </w:p>
        </w:tc>
        <w:tc>
          <w:tcPr>
            <w:tcW w:w="1950" w:type="pct"/>
            <w:hideMark/>
          </w:tcPr>
          <w:p w14:paraId="26A1C9D8" w14:textId="77777777" w:rsidR="00E109B2" w:rsidRPr="004C540C" w:rsidRDefault="00E109B2" w:rsidP="004C540C">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Net Debt / Adjusted EBITDA</w:t>
            </w:r>
          </w:p>
        </w:tc>
      </w:tr>
      <w:tr w:rsidR="00E109B2" w:rsidRPr="004C540C" w14:paraId="68F3AA84" w14:textId="77777777" w:rsidTr="00FB05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1" w:type="pct"/>
            <w:hideMark/>
          </w:tcPr>
          <w:p w14:paraId="6ABB39FA"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2021</w:t>
            </w:r>
          </w:p>
        </w:tc>
        <w:tc>
          <w:tcPr>
            <w:tcW w:w="1022" w:type="pct"/>
            <w:hideMark/>
          </w:tcPr>
          <w:p w14:paraId="2BAC213C"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1,881</w:t>
            </w:r>
          </w:p>
        </w:tc>
        <w:tc>
          <w:tcPr>
            <w:tcW w:w="1597" w:type="pct"/>
            <w:hideMark/>
          </w:tcPr>
          <w:p w14:paraId="0583C67A"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w:t>
            </w:r>
          </w:p>
        </w:tc>
        <w:tc>
          <w:tcPr>
            <w:tcW w:w="1950" w:type="pct"/>
            <w:hideMark/>
          </w:tcPr>
          <w:p w14:paraId="2B61FB55"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w:t>
            </w:r>
          </w:p>
        </w:tc>
      </w:tr>
      <w:tr w:rsidR="00E109B2" w:rsidRPr="004C540C" w14:paraId="7E4F212D" w14:textId="77777777" w:rsidTr="00FB05D2">
        <w:tc>
          <w:tcPr>
            <w:cnfStyle w:val="001000000000" w:firstRow="0" w:lastRow="0" w:firstColumn="1" w:lastColumn="0" w:oddVBand="0" w:evenVBand="0" w:oddHBand="0" w:evenHBand="0" w:firstRowFirstColumn="0" w:firstRowLastColumn="0" w:lastRowFirstColumn="0" w:lastRowLastColumn="0"/>
            <w:tcW w:w="431" w:type="pct"/>
            <w:hideMark/>
          </w:tcPr>
          <w:p w14:paraId="66E18475"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2022</w:t>
            </w:r>
          </w:p>
        </w:tc>
        <w:tc>
          <w:tcPr>
            <w:tcW w:w="1022" w:type="pct"/>
            <w:hideMark/>
          </w:tcPr>
          <w:p w14:paraId="74A37C07"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1,851</w:t>
            </w:r>
          </w:p>
        </w:tc>
        <w:tc>
          <w:tcPr>
            <w:tcW w:w="1597" w:type="pct"/>
            <w:hideMark/>
          </w:tcPr>
          <w:p w14:paraId="3EDA1E97"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896</w:t>
            </w:r>
          </w:p>
        </w:tc>
        <w:tc>
          <w:tcPr>
            <w:tcW w:w="1950" w:type="pct"/>
            <w:hideMark/>
          </w:tcPr>
          <w:p w14:paraId="50D45F0C"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2.1x</w:t>
            </w:r>
          </w:p>
        </w:tc>
      </w:tr>
      <w:tr w:rsidR="00E109B2" w:rsidRPr="004C540C" w14:paraId="231EE66F" w14:textId="77777777" w:rsidTr="00FB05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1" w:type="pct"/>
            <w:hideMark/>
          </w:tcPr>
          <w:p w14:paraId="3CB8C90A"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2023</w:t>
            </w:r>
          </w:p>
        </w:tc>
        <w:tc>
          <w:tcPr>
            <w:tcW w:w="1022" w:type="pct"/>
            <w:hideMark/>
          </w:tcPr>
          <w:p w14:paraId="18054AB2"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2,272</w:t>
            </w:r>
          </w:p>
        </w:tc>
        <w:tc>
          <w:tcPr>
            <w:tcW w:w="1597" w:type="pct"/>
            <w:hideMark/>
          </w:tcPr>
          <w:p w14:paraId="1E0F3BC6"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1,086</w:t>
            </w:r>
          </w:p>
        </w:tc>
        <w:tc>
          <w:tcPr>
            <w:tcW w:w="1950" w:type="pct"/>
            <w:hideMark/>
          </w:tcPr>
          <w:p w14:paraId="4974DBBE"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2.1x</w:t>
            </w:r>
          </w:p>
        </w:tc>
      </w:tr>
      <w:tr w:rsidR="00E109B2" w:rsidRPr="004C540C" w14:paraId="4CF21FD3" w14:textId="77777777" w:rsidTr="00FB05D2">
        <w:tc>
          <w:tcPr>
            <w:cnfStyle w:val="001000000000" w:firstRow="0" w:lastRow="0" w:firstColumn="1" w:lastColumn="0" w:oddVBand="0" w:evenVBand="0" w:oddHBand="0" w:evenHBand="0" w:firstRowFirstColumn="0" w:firstRowLastColumn="0" w:lastRowFirstColumn="0" w:lastRowLastColumn="0"/>
            <w:tcW w:w="431" w:type="pct"/>
            <w:hideMark/>
          </w:tcPr>
          <w:p w14:paraId="737B0511"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2024</w:t>
            </w:r>
          </w:p>
        </w:tc>
        <w:tc>
          <w:tcPr>
            <w:tcW w:w="1022" w:type="pct"/>
            <w:hideMark/>
          </w:tcPr>
          <w:p w14:paraId="517E47B9"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2,782</w:t>
            </w:r>
          </w:p>
        </w:tc>
        <w:tc>
          <w:tcPr>
            <w:tcW w:w="1597" w:type="pct"/>
            <w:hideMark/>
          </w:tcPr>
          <w:p w14:paraId="7492696F"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1,189</w:t>
            </w:r>
          </w:p>
        </w:tc>
        <w:tc>
          <w:tcPr>
            <w:tcW w:w="1950" w:type="pct"/>
            <w:hideMark/>
          </w:tcPr>
          <w:p w14:paraId="2FE3B060"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2.3x</w:t>
            </w:r>
          </w:p>
        </w:tc>
      </w:tr>
      <w:tr w:rsidR="00E109B2" w:rsidRPr="004C540C" w14:paraId="17593469" w14:textId="77777777" w:rsidTr="00FB05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1" w:type="pct"/>
            <w:hideMark/>
          </w:tcPr>
          <w:p w14:paraId="7FBBD065"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2025</w:t>
            </w:r>
          </w:p>
        </w:tc>
        <w:tc>
          <w:tcPr>
            <w:tcW w:w="1022" w:type="pct"/>
            <w:hideMark/>
          </w:tcPr>
          <w:p w14:paraId="63369E5D"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3,333</w:t>
            </w:r>
          </w:p>
        </w:tc>
        <w:tc>
          <w:tcPr>
            <w:tcW w:w="1597" w:type="pct"/>
            <w:hideMark/>
          </w:tcPr>
          <w:p w14:paraId="41663060"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1,332</w:t>
            </w:r>
          </w:p>
        </w:tc>
        <w:tc>
          <w:tcPr>
            <w:tcW w:w="1950" w:type="pct"/>
            <w:hideMark/>
          </w:tcPr>
          <w:p w14:paraId="085A9D82"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2.5x</w:t>
            </w:r>
          </w:p>
        </w:tc>
      </w:tr>
    </w:tbl>
    <w:p w14:paraId="6308C069" w14:textId="77777777" w:rsidR="00F0141F" w:rsidRPr="004C540C" w:rsidRDefault="00F0141F" w:rsidP="004C540C">
      <w:pPr>
        <w:jc w:val="both"/>
        <w:rPr>
          <w:rFonts w:ascii="Arial" w:hAnsi="Arial" w:cs="Arial"/>
          <w:sz w:val="24"/>
          <w:szCs w:val="24"/>
        </w:rPr>
      </w:pPr>
    </w:p>
    <w:p w14:paraId="2832FA04" w14:textId="4D8361D0" w:rsidR="00E109B2" w:rsidRPr="004C540C" w:rsidRDefault="00E109B2" w:rsidP="004C540C">
      <w:pPr>
        <w:jc w:val="both"/>
        <w:rPr>
          <w:rFonts w:ascii="Arial" w:hAnsi="Arial" w:cs="Arial"/>
          <w:sz w:val="24"/>
          <w:szCs w:val="24"/>
        </w:rPr>
      </w:pPr>
    </w:p>
    <w:p w14:paraId="46AE2932" w14:textId="6F965A4D" w:rsidR="00E109B2" w:rsidRPr="004C540C" w:rsidRDefault="00E109B2" w:rsidP="004C540C">
      <w:pPr>
        <w:jc w:val="both"/>
        <w:rPr>
          <w:rFonts w:ascii="Arial" w:hAnsi="Arial" w:cs="Arial"/>
          <w:b/>
          <w:bCs/>
          <w:sz w:val="24"/>
          <w:szCs w:val="24"/>
        </w:rPr>
      </w:pPr>
      <w:r w:rsidRPr="004C540C">
        <w:rPr>
          <w:rFonts w:ascii="Arial" w:hAnsi="Arial" w:cs="Arial"/>
          <w:b/>
          <w:bCs/>
          <w:sz w:val="24"/>
          <w:szCs w:val="24"/>
        </w:rPr>
        <w:t>Appendi</w:t>
      </w:r>
      <w:r w:rsidR="00E82F90" w:rsidRPr="004C540C">
        <w:rPr>
          <w:rFonts w:ascii="Arial" w:hAnsi="Arial" w:cs="Arial"/>
          <w:b/>
          <w:bCs/>
          <w:sz w:val="24"/>
          <w:szCs w:val="24"/>
        </w:rPr>
        <w:t>ces</w:t>
      </w:r>
      <w:r w:rsidRPr="004C540C">
        <w:rPr>
          <w:rFonts w:ascii="Arial" w:hAnsi="Arial" w:cs="Arial"/>
          <w:b/>
          <w:bCs/>
          <w:sz w:val="24"/>
          <w:szCs w:val="24"/>
        </w:rPr>
        <w:t xml:space="preserve"> E: Cash Flow Analysis</w:t>
      </w:r>
    </w:p>
    <w:tbl>
      <w:tblPr>
        <w:tblStyle w:val="GridTable4-Accent5"/>
        <w:tblW w:w="5000" w:type="pct"/>
        <w:tblLook w:val="04A0" w:firstRow="1" w:lastRow="0" w:firstColumn="1" w:lastColumn="0" w:noHBand="0" w:noVBand="1"/>
      </w:tblPr>
      <w:tblGrid>
        <w:gridCol w:w="4794"/>
        <w:gridCol w:w="845"/>
        <w:gridCol w:w="845"/>
        <w:gridCol w:w="844"/>
        <w:gridCol w:w="844"/>
        <w:gridCol w:w="844"/>
      </w:tblGrid>
      <w:tr w:rsidR="00E109B2" w:rsidRPr="004C540C" w14:paraId="2227B366" w14:textId="77777777" w:rsidTr="00FB05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77" w:type="pct"/>
            <w:hideMark/>
          </w:tcPr>
          <w:p w14:paraId="226F306B"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Cash-flow Measure ($m)</w:t>
            </w:r>
          </w:p>
        </w:tc>
        <w:tc>
          <w:tcPr>
            <w:tcW w:w="454" w:type="pct"/>
            <w:hideMark/>
          </w:tcPr>
          <w:p w14:paraId="1EA136C4" w14:textId="77777777" w:rsidR="00E109B2" w:rsidRPr="004C540C" w:rsidRDefault="00E109B2" w:rsidP="004C540C">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2021</w:t>
            </w:r>
          </w:p>
        </w:tc>
        <w:tc>
          <w:tcPr>
            <w:tcW w:w="454" w:type="pct"/>
            <w:hideMark/>
          </w:tcPr>
          <w:p w14:paraId="29BEB207" w14:textId="77777777" w:rsidR="00E109B2" w:rsidRPr="004C540C" w:rsidRDefault="00E109B2" w:rsidP="004C540C">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2022</w:t>
            </w:r>
          </w:p>
        </w:tc>
        <w:tc>
          <w:tcPr>
            <w:tcW w:w="454" w:type="pct"/>
            <w:hideMark/>
          </w:tcPr>
          <w:p w14:paraId="13C0928F" w14:textId="77777777" w:rsidR="00E109B2" w:rsidRPr="004C540C" w:rsidRDefault="00E109B2" w:rsidP="004C540C">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2023</w:t>
            </w:r>
          </w:p>
        </w:tc>
        <w:tc>
          <w:tcPr>
            <w:tcW w:w="454" w:type="pct"/>
            <w:hideMark/>
          </w:tcPr>
          <w:p w14:paraId="5DC32D85" w14:textId="77777777" w:rsidR="00E109B2" w:rsidRPr="004C540C" w:rsidRDefault="00E109B2" w:rsidP="004C540C">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2024</w:t>
            </w:r>
          </w:p>
        </w:tc>
        <w:tc>
          <w:tcPr>
            <w:tcW w:w="454" w:type="pct"/>
            <w:hideMark/>
          </w:tcPr>
          <w:p w14:paraId="23B642A7" w14:textId="77777777" w:rsidR="00E109B2" w:rsidRPr="004C540C" w:rsidRDefault="00E109B2" w:rsidP="004C540C">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2025</w:t>
            </w:r>
          </w:p>
        </w:tc>
      </w:tr>
      <w:tr w:rsidR="00E109B2" w:rsidRPr="004C540C" w14:paraId="78AC9E35" w14:textId="77777777" w:rsidTr="00FB05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77" w:type="pct"/>
            <w:hideMark/>
          </w:tcPr>
          <w:p w14:paraId="681A0268"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Net cash from operating activities</w:t>
            </w:r>
          </w:p>
        </w:tc>
        <w:tc>
          <w:tcPr>
            <w:tcW w:w="454" w:type="pct"/>
            <w:hideMark/>
          </w:tcPr>
          <w:p w14:paraId="48DB2C05"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636</w:t>
            </w:r>
          </w:p>
        </w:tc>
        <w:tc>
          <w:tcPr>
            <w:tcW w:w="454" w:type="pct"/>
            <w:hideMark/>
          </w:tcPr>
          <w:p w14:paraId="1B34864C"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646</w:t>
            </w:r>
          </w:p>
        </w:tc>
        <w:tc>
          <w:tcPr>
            <w:tcW w:w="454" w:type="pct"/>
            <w:hideMark/>
          </w:tcPr>
          <w:p w14:paraId="4910DA37"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893</w:t>
            </w:r>
          </w:p>
        </w:tc>
        <w:tc>
          <w:tcPr>
            <w:tcW w:w="454" w:type="pct"/>
            <w:hideMark/>
          </w:tcPr>
          <w:p w14:paraId="26904A32"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724</w:t>
            </w:r>
          </w:p>
        </w:tc>
        <w:tc>
          <w:tcPr>
            <w:tcW w:w="454" w:type="pct"/>
            <w:hideMark/>
          </w:tcPr>
          <w:p w14:paraId="087B2E51"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898</w:t>
            </w:r>
          </w:p>
        </w:tc>
      </w:tr>
      <w:tr w:rsidR="00E109B2" w:rsidRPr="004C540C" w14:paraId="63E4BB63" w14:textId="77777777" w:rsidTr="00FB05D2">
        <w:tc>
          <w:tcPr>
            <w:cnfStyle w:val="001000000000" w:firstRow="0" w:lastRow="0" w:firstColumn="1" w:lastColumn="0" w:oddVBand="0" w:evenVBand="0" w:oddHBand="0" w:evenHBand="0" w:firstRowFirstColumn="0" w:firstRowLastColumn="0" w:lastRowFirstColumn="0" w:lastRowLastColumn="0"/>
            <w:tcW w:w="2577" w:type="pct"/>
            <w:hideMark/>
          </w:tcPr>
          <w:p w14:paraId="113E4DB8"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Adjusted free cash flow</w:t>
            </w:r>
          </w:p>
        </w:tc>
        <w:tc>
          <w:tcPr>
            <w:tcW w:w="454" w:type="pct"/>
            <w:hideMark/>
          </w:tcPr>
          <w:p w14:paraId="1E384611"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571</w:t>
            </w:r>
          </w:p>
        </w:tc>
        <w:tc>
          <w:tcPr>
            <w:tcW w:w="454" w:type="pct"/>
            <w:hideMark/>
          </w:tcPr>
          <w:p w14:paraId="6FE4B2D2"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565</w:t>
            </w:r>
          </w:p>
        </w:tc>
        <w:tc>
          <w:tcPr>
            <w:tcW w:w="454" w:type="pct"/>
            <w:hideMark/>
          </w:tcPr>
          <w:p w14:paraId="33AD086B"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819</w:t>
            </w:r>
          </w:p>
        </w:tc>
        <w:tc>
          <w:tcPr>
            <w:tcW w:w="454" w:type="pct"/>
            <w:hideMark/>
          </w:tcPr>
          <w:p w14:paraId="1028BA87"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655</w:t>
            </w:r>
          </w:p>
        </w:tc>
        <w:tc>
          <w:tcPr>
            <w:tcW w:w="454" w:type="pct"/>
            <w:hideMark/>
          </w:tcPr>
          <w:p w14:paraId="058895BA"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893</w:t>
            </w:r>
          </w:p>
        </w:tc>
      </w:tr>
      <w:tr w:rsidR="00E109B2" w:rsidRPr="004C540C" w14:paraId="4D42D8EE" w14:textId="77777777" w:rsidTr="00FB05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77" w:type="pct"/>
            <w:hideMark/>
          </w:tcPr>
          <w:p w14:paraId="58F5B55B"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Net debt</w:t>
            </w:r>
          </w:p>
        </w:tc>
        <w:tc>
          <w:tcPr>
            <w:tcW w:w="454" w:type="pct"/>
            <w:hideMark/>
          </w:tcPr>
          <w:p w14:paraId="653B4F94"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1,881</w:t>
            </w:r>
          </w:p>
        </w:tc>
        <w:tc>
          <w:tcPr>
            <w:tcW w:w="454" w:type="pct"/>
            <w:hideMark/>
          </w:tcPr>
          <w:p w14:paraId="2F68D3B5"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1,851</w:t>
            </w:r>
          </w:p>
        </w:tc>
        <w:tc>
          <w:tcPr>
            <w:tcW w:w="454" w:type="pct"/>
            <w:hideMark/>
          </w:tcPr>
          <w:p w14:paraId="638E92A8"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2,272</w:t>
            </w:r>
          </w:p>
        </w:tc>
        <w:tc>
          <w:tcPr>
            <w:tcW w:w="454" w:type="pct"/>
            <w:hideMark/>
          </w:tcPr>
          <w:p w14:paraId="6F9D10F1"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2,782</w:t>
            </w:r>
          </w:p>
        </w:tc>
        <w:tc>
          <w:tcPr>
            <w:tcW w:w="454" w:type="pct"/>
            <w:hideMark/>
          </w:tcPr>
          <w:p w14:paraId="779FEC8D"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3,333</w:t>
            </w:r>
          </w:p>
        </w:tc>
      </w:tr>
      <w:tr w:rsidR="00E109B2" w:rsidRPr="004C540C" w14:paraId="61A9331D" w14:textId="77777777" w:rsidTr="00FB05D2">
        <w:tc>
          <w:tcPr>
            <w:cnfStyle w:val="001000000000" w:firstRow="0" w:lastRow="0" w:firstColumn="1" w:lastColumn="0" w:oddVBand="0" w:evenVBand="0" w:oddHBand="0" w:evenHBand="0" w:firstRowFirstColumn="0" w:firstRowLastColumn="0" w:lastRowFirstColumn="0" w:lastRowLastColumn="0"/>
            <w:tcW w:w="2577" w:type="pct"/>
            <w:hideMark/>
          </w:tcPr>
          <w:p w14:paraId="1888F81B"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Adjusted EBITDA</w:t>
            </w:r>
          </w:p>
        </w:tc>
        <w:tc>
          <w:tcPr>
            <w:tcW w:w="454" w:type="pct"/>
            <w:hideMark/>
          </w:tcPr>
          <w:p w14:paraId="59A2EEE3"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w:t>
            </w:r>
          </w:p>
        </w:tc>
        <w:tc>
          <w:tcPr>
            <w:tcW w:w="454" w:type="pct"/>
            <w:hideMark/>
          </w:tcPr>
          <w:p w14:paraId="5AB35474"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896</w:t>
            </w:r>
          </w:p>
        </w:tc>
        <w:tc>
          <w:tcPr>
            <w:tcW w:w="454" w:type="pct"/>
            <w:hideMark/>
          </w:tcPr>
          <w:p w14:paraId="2CBBC5C0"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1,086</w:t>
            </w:r>
          </w:p>
        </w:tc>
        <w:tc>
          <w:tcPr>
            <w:tcW w:w="454" w:type="pct"/>
            <w:hideMark/>
          </w:tcPr>
          <w:p w14:paraId="3A9E27E6"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1,189</w:t>
            </w:r>
          </w:p>
        </w:tc>
        <w:tc>
          <w:tcPr>
            <w:tcW w:w="454" w:type="pct"/>
            <w:hideMark/>
          </w:tcPr>
          <w:p w14:paraId="606D7187"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1,332</w:t>
            </w:r>
          </w:p>
        </w:tc>
      </w:tr>
    </w:tbl>
    <w:p w14:paraId="2685242C" w14:textId="761329E4" w:rsidR="00E109B2" w:rsidRPr="004C540C" w:rsidRDefault="00E109B2" w:rsidP="004C540C">
      <w:pPr>
        <w:jc w:val="both"/>
        <w:rPr>
          <w:rFonts w:ascii="Arial" w:hAnsi="Arial" w:cs="Arial"/>
          <w:sz w:val="24"/>
          <w:szCs w:val="24"/>
        </w:rPr>
      </w:pPr>
    </w:p>
    <w:p w14:paraId="5CC983A6" w14:textId="37A3FE7F" w:rsidR="00E109B2" w:rsidRPr="004C540C" w:rsidRDefault="00E109B2" w:rsidP="004C540C">
      <w:pPr>
        <w:jc w:val="both"/>
        <w:rPr>
          <w:rFonts w:ascii="Arial" w:hAnsi="Arial" w:cs="Arial"/>
          <w:b/>
          <w:bCs/>
          <w:sz w:val="24"/>
          <w:szCs w:val="24"/>
        </w:rPr>
      </w:pPr>
      <w:r w:rsidRPr="004C540C">
        <w:rPr>
          <w:rFonts w:ascii="Arial" w:hAnsi="Arial" w:cs="Arial"/>
          <w:b/>
          <w:bCs/>
          <w:sz w:val="24"/>
          <w:szCs w:val="24"/>
        </w:rPr>
        <w:t>Appendi</w:t>
      </w:r>
      <w:r w:rsidR="00E82F90" w:rsidRPr="004C540C">
        <w:rPr>
          <w:rFonts w:ascii="Arial" w:hAnsi="Arial" w:cs="Arial"/>
          <w:b/>
          <w:bCs/>
          <w:sz w:val="24"/>
          <w:szCs w:val="24"/>
        </w:rPr>
        <w:t>ces</w:t>
      </w:r>
      <w:r w:rsidRPr="004C540C">
        <w:rPr>
          <w:rFonts w:ascii="Arial" w:hAnsi="Arial" w:cs="Arial"/>
          <w:b/>
          <w:bCs/>
          <w:sz w:val="24"/>
          <w:szCs w:val="24"/>
        </w:rPr>
        <w:t xml:space="preserve"> F: Investment Appraisal Calculations</w:t>
      </w:r>
    </w:p>
    <w:p w14:paraId="39CC6513" w14:textId="77777777" w:rsidR="00E109B2" w:rsidRPr="004C540C" w:rsidRDefault="00E109B2" w:rsidP="004C540C">
      <w:pPr>
        <w:jc w:val="both"/>
        <w:rPr>
          <w:rFonts w:ascii="Arial" w:hAnsi="Arial" w:cs="Arial"/>
          <w:b/>
          <w:bCs/>
          <w:sz w:val="24"/>
          <w:szCs w:val="24"/>
        </w:rPr>
      </w:pPr>
      <w:r w:rsidRPr="004C540C">
        <w:rPr>
          <w:rFonts w:ascii="Arial" w:hAnsi="Arial" w:cs="Arial"/>
          <w:b/>
          <w:bCs/>
          <w:sz w:val="24"/>
          <w:szCs w:val="24"/>
        </w:rPr>
        <w:t>F1. Project Cash Flows</w:t>
      </w:r>
    </w:p>
    <w:tbl>
      <w:tblPr>
        <w:tblStyle w:val="GridTable4-Accent5"/>
        <w:tblW w:w="5000" w:type="pct"/>
        <w:tblLook w:val="04A0" w:firstRow="1" w:lastRow="0" w:firstColumn="1" w:lastColumn="0" w:noHBand="0" w:noVBand="1"/>
      </w:tblPr>
      <w:tblGrid>
        <w:gridCol w:w="1316"/>
        <w:gridCol w:w="2850"/>
        <w:gridCol w:w="970"/>
        <w:gridCol w:w="970"/>
        <w:gridCol w:w="970"/>
        <w:gridCol w:w="970"/>
        <w:gridCol w:w="970"/>
      </w:tblGrid>
      <w:tr w:rsidR="00E109B2" w:rsidRPr="004C540C" w14:paraId="75CB0DD2" w14:textId="77777777" w:rsidTr="00FB05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9" w:type="pct"/>
            <w:hideMark/>
          </w:tcPr>
          <w:p w14:paraId="714E67B6"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Project</w:t>
            </w:r>
          </w:p>
        </w:tc>
        <w:tc>
          <w:tcPr>
            <w:tcW w:w="1580" w:type="pct"/>
            <w:hideMark/>
          </w:tcPr>
          <w:p w14:paraId="67ED9AD7" w14:textId="77777777" w:rsidR="00E109B2" w:rsidRPr="004C540C" w:rsidRDefault="00E109B2" w:rsidP="004C540C">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Initial Investment (£m)</w:t>
            </w:r>
          </w:p>
        </w:tc>
        <w:tc>
          <w:tcPr>
            <w:tcW w:w="538" w:type="pct"/>
            <w:hideMark/>
          </w:tcPr>
          <w:p w14:paraId="215A0F56" w14:textId="77777777" w:rsidR="00E109B2" w:rsidRPr="004C540C" w:rsidRDefault="00E109B2" w:rsidP="004C540C">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Year 1</w:t>
            </w:r>
          </w:p>
        </w:tc>
        <w:tc>
          <w:tcPr>
            <w:tcW w:w="538" w:type="pct"/>
            <w:hideMark/>
          </w:tcPr>
          <w:p w14:paraId="170B18EE" w14:textId="77777777" w:rsidR="00E109B2" w:rsidRPr="004C540C" w:rsidRDefault="00E109B2" w:rsidP="004C540C">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Year 2</w:t>
            </w:r>
          </w:p>
        </w:tc>
        <w:tc>
          <w:tcPr>
            <w:tcW w:w="538" w:type="pct"/>
            <w:hideMark/>
          </w:tcPr>
          <w:p w14:paraId="1FC82F44" w14:textId="77777777" w:rsidR="00E109B2" w:rsidRPr="004C540C" w:rsidRDefault="00E109B2" w:rsidP="004C540C">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Year 3</w:t>
            </w:r>
          </w:p>
        </w:tc>
        <w:tc>
          <w:tcPr>
            <w:tcW w:w="538" w:type="pct"/>
            <w:hideMark/>
          </w:tcPr>
          <w:p w14:paraId="5DC9FE25" w14:textId="77777777" w:rsidR="00E109B2" w:rsidRPr="004C540C" w:rsidRDefault="00E109B2" w:rsidP="004C540C">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Year 4</w:t>
            </w:r>
          </w:p>
        </w:tc>
        <w:tc>
          <w:tcPr>
            <w:tcW w:w="538" w:type="pct"/>
            <w:hideMark/>
          </w:tcPr>
          <w:p w14:paraId="2927C55B" w14:textId="77777777" w:rsidR="00E109B2" w:rsidRPr="004C540C" w:rsidRDefault="00E109B2" w:rsidP="004C540C">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Year 5</w:t>
            </w:r>
          </w:p>
        </w:tc>
      </w:tr>
      <w:tr w:rsidR="00E109B2" w:rsidRPr="004C540C" w14:paraId="6B72BCA1" w14:textId="77777777" w:rsidTr="00FB05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9" w:type="pct"/>
            <w:hideMark/>
          </w:tcPr>
          <w:p w14:paraId="09DE225C"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Project A</w:t>
            </w:r>
          </w:p>
        </w:tc>
        <w:tc>
          <w:tcPr>
            <w:tcW w:w="1580" w:type="pct"/>
            <w:hideMark/>
          </w:tcPr>
          <w:p w14:paraId="29D8DAA5"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50</w:t>
            </w:r>
          </w:p>
        </w:tc>
        <w:tc>
          <w:tcPr>
            <w:tcW w:w="538" w:type="pct"/>
            <w:hideMark/>
          </w:tcPr>
          <w:p w14:paraId="7F48C0C2"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10</w:t>
            </w:r>
          </w:p>
        </w:tc>
        <w:tc>
          <w:tcPr>
            <w:tcW w:w="538" w:type="pct"/>
            <w:hideMark/>
          </w:tcPr>
          <w:p w14:paraId="2517C3FF"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12</w:t>
            </w:r>
          </w:p>
        </w:tc>
        <w:tc>
          <w:tcPr>
            <w:tcW w:w="538" w:type="pct"/>
            <w:hideMark/>
          </w:tcPr>
          <w:p w14:paraId="1BC6C84F"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14</w:t>
            </w:r>
          </w:p>
        </w:tc>
        <w:tc>
          <w:tcPr>
            <w:tcW w:w="538" w:type="pct"/>
            <w:hideMark/>
          </w:tcPr>
          <w:p w14:paraId="33FF3ACB"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10</w:t>
            </w:r>
          </w:p>
        </w:tc>
        <w:tc>
          <w:tcPr>
            <w:tcW w:w="538" w:type="pct"/>
            <w:hideMark/>
          </w:tcPr>
          <w:p w14:paraId="617F4B25"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8</w:t>
            </w:r>
          </w:p>
        </w:tc>
      </w:tr>
      <w:tr w:rsidR="00E109B2" w:rsidRPr="004C540C" w14:paraId="7D19A25B" w14:textId="77777777" w:rsidTr="00FB05D2">
        <w:tc>
          <w:tcPr>
            <w:cnfStyle w:val="001000000000" w:firstRow="0" w:lastRow="0" w:firstColumn="1" w:lastColumn="0" w:oddVBand="0" w:evenVBand="0" w:oddHBand="0" w:evenHBand="0" w:firstRowFirstColumn="0" w:firstRowLastColumn="0" w:lastRowFirstColumn="0" w:lastRowLastColumn="0"/>
            <w:tcW w:w="729" w:type="pct"/>
            <w:hideMark/>
          </w:tcPr>
          <w:p w14:paraId="2BBB65CC"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Project B</w:t>
            </w:r>
          </w:p>
        </w:tc>
        <w:tc>
          <w:tcPr>
            <w:tcW w:w="1580" w:type="pct"/>
            <w:hideMark/>
          </w:tcPr>
          <w:p w14:paraId="4F3D1FF2"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50</w:t>
            </w:r>
          </w:p>
        </w:tc>
        <w:tc>
          <w:tcPr>
            <w:tcW w:w="538" w:type="pct"/>
            <w:hideMark/>
          </w:tcPr>
          <w:p w14:paraId="76FF62C6"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11</w:t>
            </w:r>
          </w:p>
        </w:tc>
        <w:tc>
          <w:tcPr>
            <w:tcW w:w="538" w:type="pct"/>
            <w:hideMark/>
          </w:tcPr>
          <w:p w14:paraId="3E7D3A4B"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11</w:t>
            </w:r>
          </w:p>
        </w:tc>
        <w:tc>
          <w:tcPr>
            <w:tcW w:w="538" w:type="pct"/>
            <w:hideMark/>
          </w:tcPr>
          <w:p w14:paraId="65322C88"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11</w:t>
            </w:r>
          </w:p>
        </w:tc>
        <w:tc>
          <w:tcPr>
            <w:tcW w:w="538" w:type="pct"/>
            <w:hideMark/>
          </w:tcPr>
          <w:p w14:paraId="50E33CB7"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11</w:t>
            </w:r>
          </w:p>
        </w:tc>
        <w:tc>
          <w:tcPr>
            <w:tcW w:w="538" w:type="pct"/>
            <w:hideMark/>
          </w:tcPr>
          <w:p w14:paraId="389D141E"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11</w:t>
            </w:r>
          </w:p>
        </w:tc>
      </w:tr>
      <w:tr w:rsidR="00E109B2" w:rsidRPr="004C540C" w14:paraId="3666E248" w14:textId="77777777" w:rsidTr="00FB05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9" w:type="pct"/>
            <w:hideMark/>
          </w:tcPr>
          <w:p w14:paraId="5B7666A2"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Project C</w:t>
            </w:r>
          </w:p>
        </w:tc>
        <w:tc>
          <w:tcPr>
            <w:tcW w:w="1580" w:type="pct"/>
            <w:hideMark/>
          </w:tcPr>
          <w:p w14:paraId="684C2C24"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50</w:t>
            </w:r>
          </w:p>
        </w:tc>
        <w:tc>
          <w:tcPr>
            <w:tcW w:w="538" w:type="pct"/>
            <w:hideMark/>
          </w:tcPr>
          <w:p w14:paraId="4D46525F"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5</w:t>
            </w:r>
          </w:p>
        </w:tc>
        <w:tc>
          <w:tcPr>
            <w:tcW w:w="538" w:type="pct"/>
            <w:hideMark/>
          </w:tcPr>
          <w:p w14:paraId="1DD2D291"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10</w:t>
            </w:r>
          </w:p>
        </w:tc>
        <w:tc>
          <w:tcPr>
            <w:tcW w:w="538" w:type="pct"/>
            <w:hideMark/>
          </w:tcPr>
          <w:p w14:paraId="3BE4C62A"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20</w:t>
            </w:r>
          </w:p>
        </w:tc>
        <w:tc>
          <w:tcPr>
            <w:tcW w:w="538" w:type="pct"/>
            <w:hideMark/>
          </w:tcPr>
          <w:p w14:paraId="529309A8"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25</w:t>
            </w:r>
          </w:p>
        </w:tc>
        <w:tc>
          <w:tcPr>
            <w:tcW w:w="538" w:type="pct"/>
            <w:hideMark/>
          </w:tcPr>
          <w:p w14:paraId="6DE6480C"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5</w:t>
            </w:r>
          </w:p>
        </w:tc>
      </w:tr>
    </w:tbl>
    <w:p w14:paraId="2403A99E" w14:textId="77777777" w:rsidR="00E109B2" w:rsidRPr="004C540C" w:rsidRDefault="00E109B2" w:rsidP="004C540C">
      <w:pPr>
        <w:jc w:val="both"/>
        <w:rPr>
          <w:rFonts w:ascii="Arial" w:hAnsi="Arial" w:cs="Arial"/>
          <w:sz w:val="24"/>
          <w:szCs w:val="24"/>
        </w:rPr>
      </w:pPr>
      <w:r w:rsidRPr="004C540C">
        <w:rPr>
          <w:rFonts w:ascii="Arial" w:hAnsi="Arial" w:cs="Arial"/>
          <w:sz w:val="24"/>
          <w:szCs w:val="24"/>
        </w:rPr>
        <w:t xml:space="preserve">The required discount rate is </w:t>
      </w:r>
      <w:r w:rsidRPr="004C540C">
        <w:rPr>
          <w:rFonts w:ascii="Arial" w:hAnsi="Arial" w:cs="Arial"/>
          <w:b/>
          <w:bCs/>
          <w:sz w:val="24"/>
          <w:szCs w:val="24"/>
        </w:rPr>
        <w:t>8%</w:t>
      </w:r>
      <w:r w:rsidRPr="004C540C">
        <w:rPr>
          <w:rFonts w:ascii="Arial" w:hAnsi="Arial" w:cs="Arial"/>
          <w:sz w:val="24"/>
          <w:szCs w:val="24"/>
        </w:rPr>
        <w:t xml:space="preserve"> and straight-line depreciation is </w:t>
      </w:r>
      <w:r w:rsidRPr="004C540C">
        <w:rPr>
          <w:rFonts w:ascii="Arial" w:hAnsi="Arial" w:cs="Arial"/>
          <w:b/>
          <w:bCs/>
          <w:sz w:val="24"/>
          <w:szCs w:val="24"/>
        </w:rPr>
        <w:t>£10 million per year</w:t>
      </w:r>
      <w:r w:rsidRPr="004C540C">
        <w:rPr>
          <w:rFonts w:ascii="Arial" w:hAnsi="Arial" w:cs="Arial"/>
          <w:sz w:val="24"/>
          <w:szCs w:val="24"/>
        </w:rPr>
        <w:t>.</w:t>
      </w:r>
    </w:p>
    <w:p w14:paraId="3B8ED47C" w14:textId="29671911" w:rsidR="00E109B2" w:rsidRPr="004C540C" w:rsidRDefault="00E109B2" w:rsidP="004C540C">
      <w:pPr>
        <w:jc w:val="both"/>
        <w:rPr>
          <w:rFonts w:ascii="Arial" w:hAnsi="Arial" w:cs="Arial"/>
          <w:sz w:val="24"/>
          <w:szCs w:val="24"/>
        </w:rPr>
      </w:pPr>
    </w:p>
    <w:p w14:paraId="458369B9" w14:textId="393E7E04" w:rsidR="00E109B2" w:rsidRPr="004C540C" w:rsidRDefault="00FB05D2" w:rsidP="004C540C">
      <w:pPr>
        <w:jc w:val="both"/>
        <w:rPr>
          <w:rFonts w:ascii="Arial" w:hAnsi="Arial" w:cs="Arial"/>
          <w:b/>
          <w:bCs/>
          <w:sz w:val="24"/>
          <w:szCs w:val="24"/>
        </w:rPr>
      </w:pPr>
      <w:r w:rsidRPr="004C540C">
        <w:rPr>
          <w:rFonts w:ascii="Arial" w:hAnsi="Arial" w:cs="Arial"/>
          <w:b/>
          <w:bCs/>
          <w:sz w:val="24"/>
          <w:szCs w:val="24"/>
        </w:rPr>
        <w:br w:type="page"/>
      </w:r>
      <w:r w:rsidR="00F0141F" w:rsidRPr="004C540C">
        <w:rPr>
          <w:rFonts w:ascii="Arial" w:hAnsi="Arial" w:cs="Arial"/>
          <w:b/>
          <w:bCs/>
          <w:sz w:val="24"/>
          <w:szCs w:val="24"/>
        </w:rPr>
        <w:lastRenderedPageBreak/>
        <w:t>F4.</w:t>
      </w:r>
      <w:r w:rsidR="00E109B2" w:rsidRPr="004C540C">
        <w:rPr>
          <w:rFonts w:ascii="Arial" w:hAnsi="Arial" w:cs="Arial"/>
          <w:b/>
          <w:bCs/>
          <w:sz w:val="24"/>
          <w:szCs w:val="24"/>
        </w:rPr>
        <w:t xml:space="preserve"> Net Present Value (NPV)</w:t>
      </w:r>
    </w:p>
    <w:p w14:paraId="5D7BBFE9" w14:textId="77777777" w:rsidR="00E109B2" w:rsidRPr="004C540C" w:rsidRDefault="00E109B2" w:rsidP="004C540C">
      <w:pPr>
        <w:jc w:val="both"/>
        <w:rPr>
          <w:rFonts w:ascii="Arial" w:hAnsi="Arial" w:cs="Arial"/>
          <w:sz w:val="24"/>
          <w:szCs w:val="24"/>
        </w:rPr>
      </w:pPr>
      <w:r w:rsidRPr="004C540C">
        <w:rPr>
          <w:rFonts w:ascii="Arial" w:hAnsi="Arial" w:cs="Arial"/>
          <w:b/>
          <w:bCs/>
          <w:sz w:val="24"/>
          <w:szCs w:val="24"/>
        </w:rPr>
        <w:t>Formula:</w:t>
      </w:r>
    </w:p>
    <w:p w14:paraId="6F7E4873" w14:textId="77777777" w:rsidR="00E109B2" w:rsidRPr="004C540C" w:rsidRDefault="00E109B2" w:rsidP="004C540C">
      <w:pPr>
        <w:jc w:val="both"/>
        <w:rPr>
          <w:rFonts w:ascii="Arial" w:hAnsi="Arial" w:cs="Arial"/>
          <w:sz w:val="24"/>
          <w:szCs w:val="24"/>
        </w:rPr>
      </w:pPr>
      <w:r w:rsidRPr="004C540C">
        <w:rPr>
          <w:rFonts w:ascii="Arial" w:hAnsi="Arial" w:cs="Arial"/>
          <w:sz w:val="24"/>
          <w:szCs w:val="24"/>
        </w:rPr>
        <w:t>NPV = Present Value of Future Cash Flows − Initial Investment</w:t>
      </w:r>
    </w:p>
    <w:p w14:paraId="5AAE58D0" w14:textId="77777777" w:rsidR="00E109B2" w:rsidRPr="004C540C" w:rsidRDefault="00E109B2" w:rsidP="004C540C">
      <w:pPr>
        <w:jc w:val="both"/>
        <w:rPr>
          <w:rFonts w:ascii="Arial" w:hAnsi="Arial" w:cs="Arial"/>
          <w:sz w:val="24"/>
          <w:szCs w:val="24"/>
        </w:rPr>
      </w:pPr>
      <w:r w:rsidRPr="004C540C">
        <w:rPr>
          <w:rFonts w:ascii="Arial" w:hAnsi="Arial" w:cs="Arial"/>
          <w:sz w:val="24"/>
          <w:szCs w:val="24"/>
        </w:rPr>
        <w:t xml:space="preserve">Discount rate = </w:t>
      </w:r>
      <w:r w:rsidRPr="004C540C">
        <w:rPr>
          <w:rFonts w:ascii="Arial" w:hAnsi="Arial" w:cs="Arial"/>
          <w:b/>
          <w:bCs/>
          <w:sz w:val="24"/>
          <w:szCs w:val="24"/>
        </w:rPr>
        <w:t>8%</w:t>
      </w:r>
    </w:p>
    <w:tbl>
      <w:tblPr>
        <w:tblStyle w:val="GridTable4-Accent5"/>
        <w:tblW w:w="5000" w:type="pct"/>
        <w:tblLook w:val="04A0" w:firstRow="1" w:lastRow="0" w:firstColumn="1" w:lastColumn="0" w:noHBand="0" w:noVBand="1"/>
      </w:tblPr>
      <w:tblGrid>
        <w:gridCol w:w="1913"/>
        <w:gridCol w:w="7103"/>
      </w:tblGrid>
      <w:tr w:rsidR="00E109B2" w:rsidRPr="004C540C" w14:paraId="76B46D38" w14:textId="77777777" w:rsidTr="005B37D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61" w:type="pct"/>
            <w:hideMark/>
          </w:tcPr>
          <w:p w14:paraId="6D921946"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Year</w:t>
            </w:r>
          </w:p>
        </w:tc>
        <w:tc>
          <w:tcPr>
            <w:tcW w:w="3939" w:type="pct"/>
            <w:hideMark/>
          </w:tcPr>
          <w:p w14:paraId="18E079FC" w14:textId="77777777" w:rsidR="00E109B2" w:rsidRPr="004C540C" w:rsidRDefault="00E109B2" w:rsidP="004C540C">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Discount Factor at 8%</w:t>
            </w:r>
          </w:p>
        </w:tc>
      </w:tr>
      <w:tr w:rsidR="00E109B2" w:rsidRPr="004C540C" w14:paraId="21D4CAB5" w14:textId="77777777" w:rsidTr="005B37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61" w:type="pct"/>
            <w:hideMark/>
          </w:tcPr>
          <w:p w14:paraId="02CEF1C9"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1</w:t>
            </w:r>
          </w:p>
        </w:tc>
        <w:tc>
          <w:tcPr>
            <w:tcW w:w="3939" w:type="pct"/>
            <w:hideMark/>
          </w:tcPr>
          <w:p w14:paraId="581E69FC"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0.9259</w:t>
            </w:r>
          </w:p>
        </w:tc>
      </w:tr>
      <w:tr w:rsidR="00E109B2" w:rsidRPr="004C540C" w14:paraId="3F53228D" w14:textId="77777777" w:rsidTr="005B37DD">
        <w:tc>
          <w:tcPr>
            <w:cnfStyle w:val="001000000000" w:firstRow="0" w:lastRow="0" w:firstColumn="1" w:lastColumn="0" w:oddVBand="0" w:evenVBand="0" w:oddHBand="0" w:evenHBand="0" w:firstRowFirstColumn="0" w:firstRowLastColumn="0" w:lastRowFirstColumn="0" w:lastRowLastColumn="0"/>
            <w:tcW w:w="1061" w:type="pct"/>
            <w:hideMark/>
          </w:tcPr>
          <w:p w14:paraId="7B714A48"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2</w:t>
            </w:r>
          </w:p>
        </w:tc>
        <w:tc>
          <w:tcPr>
            <w:tcW w:w="3939" w:type="pct"/>
            <w:hideMark/>
          </w:tcPr>
          <w:p w14:paraId="443BA5C4"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0.8573</w:t>
            </w:r>
          </w:p>
        </w:tc>
      </w:tr>
      <w:tr w:rsidR="00E109B2" w:rsidRPr="004C540C" w14:paraId="6CE7519C" w14:textId="77777777" w:rsidTr="005B37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61" w:type="pct"/>
            <w:hideMark/>
          </w:tcPr>
          <w:p w14:paraId="73614699"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3</w:t>
            </w:r>
          </w:p>
        </w:tc>
        <w:tc>
          <w:tcPr>
            <w:tcW w:w="3939" w:type="pct"/>
            <w:hideMark/>
          </w:tcPr>
          <w:p w14:paraId="75DE5171"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0.7938</w:t>
            </w:r>
          </w:p>
        </w:tc>
      </w:tr>
      <w:tr w:rsidR="00E109B2" w:rsidRPr="004C540C" w14:paraId="664C9DD6" w14:textId="77777777" w:rsidTr="005B37DD">
        <w:tc>
          <w:tcPr>
            <w:cnfStyle w:val="001000000000" w:firstRow="0" w:lastRow="0" w:firstColumn="1" w:lastColumn="0" w:oddVBand="0" w:evenVBand="0" w:oddHBand="0" w:evenHBand="0" w:firstRowFirstColumn="0" w:firstRowLastColumn="0" w:lastRowFirstColumn="0" w:lastRowLastColumn="0"/>
            <w:tcW w:w="1061" w:type="pct"/>
            <w:hideMark/>
          </w:tcPr>
          <w:p w14:paraId="0132CDBA"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4</w:t>
            </w:r>
          </w:p>
        </w:tc>
        <w:tc>
          <w:tcPr>
            <w:tcW w:w="3939" w:type="pct"/>
            <w:hideMark/>
          </w:tcPr>
          <w:p w14:paraId="150B1C62"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0.7350</w:t>
            </w:r>
          </w:p>
        </w:tc>
      </w:tr>
      <w:tr w:rsidR="00E109B2" w:rsidRPr="004C540C" w14:paraId="2BE34D17" w14:textId="77777777" w:rsidTr="005B37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61" w:type="pct"/>
            <w:hideMark/>
          </w:tcPr>
          <w:p w14:paraId="245015F7"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5</w:t>
            </w:r>
          </w:p>
        </w:tc>
        <w:tc>
          <w:tcPr>
            <w:tcW w:w="3939" w:type="pct"/>
            <w:hideMark/>
          </w:tcPr>
          <w:p w14:paraId="2F67603A"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0.6806</w:t>
            </w:r>
          </w:p>
        </w:tc>
      </w:tr>
    </w:tbl>
    <w:p w14:paraId="4A1131CA" w14:textId="77777777" w:rsidR="00E109B2" w:rsidRPr="004C540C" w:rsidRDefault="00E109B2" w:rsidP="004C540C">
      <w:pPr>
        <w:jc w:val="both"/>
        <w:rPr>
          <w:rFonts w:ascii="Arial" w:hAnsi="Arial" w:cs="Arial"/>
          <w:b/>
          <w:bCs/>
          <w:sz w:val="24"/>
          <w:szCs w:val="24"/>
        </w:rPr>
      </w:pPr>
      <w:r w:rsidRPr="004C540C">
        <w:rPr>
          <w:rFonts w:ascii="Arial" w:hAnsi="Arial" w:cs="Arial"/>
          <w:b/>
          <w:bCs/>
          <w:sz w:val="24"/>
          <w:szCs w:val="24"/>
        </w:rPr>
        <w:t>NPV Results</w:t>
      </w:r>
    </w:p>
    <w:tbl>
      <w:tblPr>
        <w:tblStyle w:val="GridTable4-Accent5"/>
        <w:tblW w:w="5000" w:type="pct"/>
        <w:tblLook w:val="04A0" w:firstRow="1" w:lastRow="0" w:firstColumn="1" w:lastColumn="0" w:noHBand="0" w:noVBand="1"/>
      </w:tblPr>
      <w:tblGrid>
        <w:gridCol w:w="4247"/>
        <w:gridCol w:w="4769"/>
      </w:tblGrid>
      <w:tr w:rsidR="00E109B2" w:rsidRPr="004C540C" w14:paraId="5093810F" w14:textId="77777777" w:rsidTr="005B37D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5" w:type="pct"/>
            <w:hideMark/>
          </w:tcPr>
          <w:p w14:paraId="10AFE256"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Project</w:t>
            </w:r>
          </w:p>
        </w:tc>
        <w:tc>
          <w:tcPr>
            <w:tcW w:w="2645" w:type="pct"/>
            <w:hideMark/>
          </w:tcPr>
          <w:p w14:paraId="468AA973" w14:textId="77777777" w:rsidR="00E109B2" w:rsidRPr="004C540C" w:rsidRDefault="00E109B2" w:rsidP="004C540C">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NPV</w:t>
            </w:r>
          </w:p>
        </w:tc>
      </w:tr>
      <w:tr w:rsidR="00E109B2" w:rsidRPr="004C540C" w14:paraId="34B70220" w14:textId="77777777" w:rsidTr="005B37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5" w:type="pct"/>
            <w:hideMark/>
          </w:tcPr>
          <w:p w14:paraId="45CB05F3"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A</w:t>
            </w:r>
          </w:p>
        </w:tc>
        <w:tc>
          <w:tcPr>
            <w:tcW w:w="2645" w:type="pct"/>
            <w:hideMark/>
          </w:tcPr>
          <w:p w14:paraId="18B00B87"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-£6.54m</w:t>
            </w:r>
          </w:p>
        </w:tc>
      </w:tr>
      <w:tr w:rsidR="00E109B2" w:rsidRPr="004C540C" w14:paraId="52E8EEF5" w14:textId="77777777" w:rsidTr="005B37DD">
        <w:tc>
          <w:tcPr>
            <w:cnfStyle w:val="001000000000" w:firstRow="0" w:lastRow="0" w:firstColumn="1" w:lastColumn="0" w:oddVBand="0" w:evenVBand="0" w:oddHBand="0" w:evenHBand="0" w:firstRowFirstColumn="0" w:firstRowLastColumn="0" w:lastRowFirstColumn="0" w:lastRowLastColumn="0"/>
            <w:tcW w:w="2355" w:type="pct"/>
            <w:hideMark/>
          </w:tcPr>
          <w:p w14:paraId="6BD9556C"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B</w:t>
            </w:r>
          </w:p>
        </w:tc>
        <w:tc>
          <w:tcPr>
            <w:tcW w:w="2645" w:type="pct"/>
            <w:hideMark/>
          </w:tcPr>
          <w:p w14:paraId="0BAEFB3C"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-£6.08m</w:t>
            </w:r>
          </w:p>
        </w:tc>
      </w:tr>
      <w:tr w:rsidR="00E109B2" w:rsidRPr="004C540C" w14:paraId="0C0FB4B7" w14:textId="77777777" w:rsidTr="005B37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5" w:type="pct"/>
            <w:hideMark/>
          </w:tcPr>
          <w:p w14:paraId="4D2415C1"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C</w:t>
            </w:r>
          </w:p>
        </w:tc>
        <w:tc>
          <w:tcPr>
            <w:tcW w:w="2645" w:type="pct"/>
            <w:hideMark/>
          </w:tcPr>
          <w:p w14:paraId="7C636467"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+£0.86m</w:t>
            </w:r>
          </w:p>
        </w:tc>
      </w:tr>
    </w:tbl>
    <w:p w14:paraId="47863779" w14:textId="5727FB48" w:rsidR="00E109B2" w:rsidRPr="004C540C" w:rsidRDefault="00E109B2" w:rsidP="004C540C">
      <w:pPr>
        <w:jc w:val="both"/>
        <w:rPr>
          <w:rFonts w:ascii="Arial" w:hAnsi="Arial" w:cs="Arial"/>
          <w:sz w:val="24"/>
          <w:szCs w:val="24"/>
        </w:rPr>
      </w:pPr>
    </w:p>
    <w:p w14:paraId="030AED5C" w14:textId="77777777" w:rsidR="00E109B2" w:rsidRPr="004C540C" w:rsidRDefault="00E109B2" w:rsidP="004C540C">
      <w:pPr>
        <w:jc w:val="both"/>
        <w:rPr>
          <w:rFonts w:ascii="Arial" w:hAnsi="Arial" w:cs="Arial"/>
          <w:b/>
          <w:bCs/>
          <w:sz w:val="24"/>
          <w:szCs w:val="24"/>
        </w:rPr>
      </w:pPr>
      <w:r w:rsidRPr="004C540C">
        <w:rPr>
          <w:rFonts w:ascii="Arial" w:hAnsi="Arial" w:cs="Arial"/>
          <w:b/>
          <w:bCs/>
          <w:sz w:val="24"/>
          <w:szCs w:val="24"/>
        </w:rPr>
        <w:t>F5. Profitability Index (PI)</w:t>
      </w:r>
    </w:p>
    <w:p w14:paraId="55409213" w14:textId="77777777" w:rsidR="00E109B2" w:rsidRPr="004C540C" w:rsidRDefault="00E109B2" w:rsidP="004C540C">
      <w:pPr>
        <w:jc w:val="both"/>
        <w:rPr>
          <w:rFonts w:ascii="Arial" w:hAnsi="Arial" w:cs="Arial"/>
          <w:sz w:val="24"/>
          <w:szCs w:val="24"/>
        </w:rPr>
      </w:pPr>
      <w:r w:rsidRPr="004C540C">
        <w:rPr>
          <w:rFonts w:ascii="Arial" w:hAnsi="Arial" w:cs="Arial"/>
          <w:b/>
          <w:bCs/>
          <w:sz w:val="24"/>
          <w:szCs w:val="24"/>
        </w:rPr>
        <w:t>Formula:</w:t>
      </w:r>
    </w:p>
    <w:p w14:paraId="2930D0D4" w14:textId="77777777" w:rsidR="00E109B2" w:rsidRPr="004C540C" w:rsidRDefault="00E109B2" w:rsidP="004C540C">
      <w:pPr>
        <w:jc w:val="both"/>
        <w:rPr>
          <w:rFonts w:ascii="Arial" w:hAnsi="Arial" w:cs="Arial"/>
          <w:sz w:val="24"/>
          <w:szCs w:val="24"/>
        </w:rPr>
      </w:pPr>
      <w:r w:rsidRPr="004C540C">
        <w:rPr>
          <w:rFonts w:ascii="Arial" w:hAnsi="Arial" w:cs="Arial"/>
          <w:sz w:val="24"/>
          <w:szCs w:val="24"/>
        </w:rPr>
        <w:t>PI = Present Value of Future Cash Inflows ÷ Initial Investment</w:t>
      </w:r>
    </w:p>
    <w:tbl>
      <w:tblPr>
        <w:tblStyle w:val="GridTable4-Accent5"/>
        <w:tblW w:w="5000" w:type="pct"/>
        <w:tblLook w:val="04A0" w:firstRow="1" w:lastRow="0" w:firstColumn="1" w:lastColumn="0" w:noHBand="0" w:noVBand="1"/>
      </w:tblPr>
      <w:tblGrid>
        <w:gridCol w:w="3031"/>
        <w:gridCol w:w="2404"/>
        <w:gridCol w:w="3581"/>
      </w:tblGrid>
      <w:tr w:rsidR="00E109B2" w:rsidRPr="004C540C" w14:paraId="08B47CF5" w14:textId="77777777" w:rsidTr="005B37D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81" w:type="pct"/>
            <w:hideMark/>
          </w:tcPr>
          <w:p w14:paraId="50C80B0A"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Project</w:t>
            </w:r>
          </w:p>
        </w:tc>
        <w:tc>
          <w:tcPr>
            <w:tcW w:w="1333" w:type="pct"/>
            <w:hideMark/>
          </w:tcPr>
          <w:p w14:paraId="255C570D" w14:textId="77777777" w:rsidR="00E109B2" w:rsidRPr="004C540C" w:rsidRDefault="00E109B2" w:rsidP="004C540C">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PI</w:t>
            </w:r>
          </w:p>
        </w:tc>
        <w:tc>
          <w:tcPr>
            <w:tcW w:w="1986" w:type="pct"/>
            <w:hideMark/>
          </w:tcPr>
          <w:p w14:paraId="62844E16" w14:textId="77777777" w:rsidR="00E109B2" w:rsidRPr="004C540C" w:rsidRDefault="00E109B2" w:rsidP="004C540C">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Decision</w:t>
            </w:r>
          </w:p>
        </w:tc>
      </w:tr>
      <w:tr w:rsidR="00E109B2" w:rsidRPr="004C540C" w14:paraId="1A0CB934" w14:textId="77777777" w:rsidTr="005B37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81" w:type="pct"/>
            <w:hideMark/>
          </w:tcPr>
          <w:p w14:paraId="0F2A8A1D"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A</w:t>
            </w:r>
          </w:p>
        </w:tc>
        <w:tc>
          <w:tcPr>
            <w:tcW w:w="1333" w:type="pct"/>
            <w:hideMark/>
          </w:tcPr>
          <w:p w14:paraId="6E013C78"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0.869</w:t>
            </w:r>
          </w:p>
        </w:tc>
        <w:tc>
          <w:tcPr>
            <w:tcW w:w="1986" w:type="pct"/>
            <w:hideMark/>
          </w:tcPr>
          <w:p w14:paraId="4079C1CD"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Reject</w:t>
            </w:r>
          </w:p>
        </w:tc>
      </w:tr>
      <w:tr w:rsidR="00E109B2" w:rsidRPr="004C540C" w14:paraId="7C2A8B96" w14:textId="77777777" w:rsidTr="005B37DD">
        <w:tc>
          <w:tcPr>
            <w:cnfStyle w:val="001000000000" w:firstRow="0" w:lastRow="0" w:firstColumn="1" w:lastColumn="0" w:oddVBand="0" w:evenVBand="0" w:oddHBand="0" w:evenHBand="0" w:firstRowFirstColumn="0" w:firstRowLastColumn="0" w:lastRowFirstColumn="0" w:lastRowLastColumn="0"/>
            <w:tcW w:w="1681" w:type="pct"/>
            <w:hideMark/>
          </w:tcPr>
          <w:p w14:paraId="7529D0A9"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B</w:t>
            </w:r>
          </w:p>
        </w:tc>
        <w:tc>
          <w:tcPr>
            <w:tcW w:w="1333" w:type="pct"/>
            <w:hideMark/>
          </w:tcPr>
          <w:p w14:paraId="6036DC41"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0.878</w:t>
            </w:r>
          </w:p>
        </w:tc>
        <w:tc>
          <w:tcPr>
            <w:tcW w:w="1986" w:type="pct"/>
            <w:hideMark/>
          </w:tcPr>
          <w:p w14:paraId="33AC8301"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Reject</w:t>
            </w:r>
          </w:p>
        </w:tc>
      </w:tr>
      <w:tr w:rsidR="00E109B2" w:rsidRPr="004C540C" w14:paraId="6D53AFD8" w14:textId="77777777" w:rsidTr="005B37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81" w:type="pct"/>
            <w:hideMark/>
          </w:tcPr>
          <w:p w14:paraId="0739EB9D"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C</w:t>
            </w:r>
          </w:p>
        </w:tc>
        <w:tc>
          <w:tcPr>
            <w:tcW w:w="1333" w:type="pct"/>
            <w:hideMark/>
          </w:tcPr>
          <w:p w14:paraId="54108BB9"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1.017</w:t>
            </w:r>
          </w:p>
        </w:tc>
        <w:tc>
          <w:tcPr>
            <w:tcW w:w="1986" w:type="pct"/>
            <w:hideMark/>
          </w:tcPr>
          <w:p w14:paraId="19CD200F"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Accept</w:t>
            </w:r>
          </w:p>
        </w:tc>
      </w:tr>
    </w:tbl>
    <w:p w14:paraId="65EA8BC0" w14:textId="33DFDD30" w:rsidR="00E109B2" w:rsidRPr="004C540C" w:rsidRDefault="00E109B2" w:rsidP="004C540C">
      <w:pPr>
        <w:jc w:val="both"/>
        <w:rPr>
          <w:rFonts w:ascii="Arial" w:hAnsi="Arial" w:cs="Arial"/>
          <w:sz w:val="24"/>
          <w:szCs w:val="24"/>
        </w:rPr>
      </w:pPr>
    </w:p>
    <w:p w14:paraId="1261B4C0" w14:textId="77777777" w:rsidR="00FB05D2" w:rsidRPr="004C540C" w:rsidRDefault="00FB05D2" w:rsidP="004C540C">
      <w:pPr>
        <w:jc w:val="both"/>
        <w:rPr>
          <w:rFonts w:ascii="Arial" w:hAnsi="Arial" w:cs="Arial"/>
          <w:b/>
          <w:bCs/>
          <w:sz w:val="24"/>
          <w:szCs w:val="24"/>
        </w:rPr>
      </w:pPr>
      <w:r w:rsidRPr="004C540C">
        <w:rPr>
          <w:rFonts w:ascii="Arial" w:hAnsi="Arial" w:cs="Arial"/>
          <w:b/>
          <w:bCs/>
          <w:sz w:val="24"/>
          <w:szCs w:val="24"/>
        </w:rPr>
        <w:br w:type="page"/>
      </w:r>
    </w:p>
    <w:p w14:paraId="7200307F" w14:textId="50D4E4FE" w:rsidR="00E109B2" w:rsidRPr="004C540C" w:rsidRDefault="00E109B2" w:rsidP="004C540C">
      <w:pPr>
        <w:jc w:val="both"/>
        <w:rPr>
          <w:rFonts w:ascii="Arial" w:hAnsi="Arial" w:cs="Arial"/>
          <w:b/>
          <w:bCs/>
          <w:sz w:val="24"/>
          <w:szCs w:val="24"/>
        </w:rPr>
      </w:pPr>
      <w:r w:rsidRPr="004C540C">
        <w:rPr>
          <w:rFonts w:ascii="Arial" w:hAnsi="Arial" w:cs="Arial"/>
          <w:b/>
          <w:bCs/>
          <w:sz w:val="24"/>
          <w:szCs w:val="24"/>
        </w:rPr>
        <w:lastRenderedPageBreak/>
        <w:t>F6. Internal Rate of Return (IRR)</w:t>
      </w:r>
    </w:p>
    <w:tbl>
      <w:tblPr>
        <w:tblStyle w:val="GridTable4-Accent5"/>
        <w:tblW w:w="5000" w:type="pct"/>
        <w:tblLook w:val="04A0" w:firstRow="1" w:lastRow="0" w:firstColumn="1" w:lastColumn="0" w:noHBand="0" w:noVBand="1"/>
      </w:tblPr>
      <w:tblGrid>
        <w:gridCol w:w="1772"/>
        <w:gridCol w:w="1544"/>
        <w:gridCol w:w="3608"/>
        <w:gridCol w:w="2092"/>
      </w:tblGrid>
      <w:tr w:rsidR="00E109B2" w:rsidRPr="004C540C" w14:paraId="3A55F1A4" w14:textId="77777777" w:rsidTr="003E69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3" w:type="pct"/>
            <w:hideMark/>
          </w:tcPr>
          <w:p w14:paraId="0C51599F"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Project</w:t>
            </w:r>
          </w:p>
        </w:tc>
        <w:tc>
          <w:tcPr>
            <w:tcW w:w="856" w:type="pct"/>
            <w:hideMark/>
          </w:tcPr>
          <w:p w14:paraId="27E7E861" w14:textId="77777777" w:rsidR="00E109B2" w:rsidRPr="004C540C" w:rsidRDefault="00E109B2" w:rsidP="004C540C">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IRR</w:t>
            </w:r>
          </w:p>
        </w:tc>
        <w:tc>
          <w:tcPr>
            <w:tcW w:w="2001" w:type="pct"/>
            <w:hideMark/>
          </w:tcPr>
          <w:p w14:paraId="06CA8CE3" w14:textId="77777777" w:rsidR="00E109B2" w:rsidRPr="004C540C" w:rsidRDefault="00E109B2" w:rsidP="004C540C">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Required Return</w:t>
            </w:r>
          </w:p>
        </w:tc>
        <w:tc>
          <w:tcPr>
            <w:tcW w:w="1161" w:type="pct"/>
            <w:hideMark/>
          </w:tcPr>
          <w:p w14:paraId="238B840F" w14:textId="77777777" w:rsidR="00E109B2" w:rsidRPr="004C540C" w:rsidRDefault="00E109B2" w:rsidP="004C540C">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Decision</w:t>
            </w:r>
          </w:p>
        </w:tc>
      </w:tr>
      <w:tr w:rsidR="00E109B2" w:rsidRPr="004C540C" w14:paraId="07AE2A0A" w14:textId="77777777" w:rsidTr="003E69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3" w:type="pct"/>
            <w:hideMark/>
          </w:tcPr>
          <w:p w14:paraId="0E23F147"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A</w:t>
            </w:r>
          </w:p>
        </w:tc>
        <w:tc>
          <w:tcPr>
            <w:tcW w:w="856" w:type="pct"/>
            <w:hideMark/>
          </w:tcPr>
          <w:p w14:paraId="13EBFC53"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2.72%</w:t>
            </w:r>
          </w:p>
        </w:tc>
        <w:tc>
          <w:tcPr>
            <w:tcW w:w="2001" w:type="pct"/>
            <w:hideMark/>
          </w:tcPr>
          <w:p w14:paraId="5F3BB339"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8%</w:t>
            </w:r>
          </w:p>
        </w:tc>
        <w:tc>
          <w:tcPr>
            <w:tcW w:w="1161" w:type="pct"/>
            <w:hideMark/>
          </w:tcPr>
          <w:p w14:paraId="10577EF5"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Reject</w:t>
            </w:r>
          </w:p>
        </w:tc>
      </w:tr>
      <w:tr w:rsidR="00E109B2" w:rsidRPr="004C540C" w14:paraId="417E70AA" w14:textId="77777777" w:rsidTr="003E69BD">
        <w:tc>
          <w:tcPr>
            <w:cnfStyle w:val="001000000000" w:firstRow="0" w:lastRow="0" w:firstColumn="1" w:lastColumn="0" w:oddVBand="0" w:evenVBand="0" w:oddHBand="0" w:evenHBand="0" w:firstRowFirstColumn="0" w:firstRowLastColumn="0" w:lastRowFirstColumn="0" w:lastRowLastColumn="0"/>
            <w:tcW w:w="983" w:type="pct"/>
            <w:hideMark/>
          </w:tcPr>
          <w:p w14:paraId="3F8F7B7A"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B</w:t>
            </w:r>
          </w:p>
        </w:tc>
        <w:tc>
          <w:tcPr>
            <w:tcW w:w="856" w:type="pct"/>
            <w:hideMark/>
          </w:tcPr>
          <w:p w14:paraId="7E80D9D9"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3.26%</w:t>
            </w:r>
          </w:p>
        </w:tc>
        <w:tc>
          <w:tcPr>
            <w:tcW w:w="2001" w:type="pct"/>
            <w:hideMark/>
          </w:tcPr>
          <w:p w14:paraId="30325491"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8%</w:t>
            </w:r>
          </w:p>
        </w:tc>
        <w:tc>
          <w:tcPr>
            <w:tcW w:w="1161" w:type="pct"/>
            <w:hideMark/>
          </w:tcPr>
          <w:p w14:paraId="15E30689"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Reject</w:t>
            </w:r>
          </w:p>
        </w:tc>
      </w:tr>
      <w:tr w:rsidR="00E109B2" w:rsidRPr="004C540C" w14:paraId="5C0E67F0" w14:textId="77777777" w:rsidTr="003E69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3" w:type="pct"/>
            <w:hideMark/>
          </w:tcPr>
          <w:p w14:paraId="2AB4FAC2"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C</w:t>
            </w:r>
          </w:p>
        </w:tc>
        <w:tc>
          <w:tcPr>
            <w:tcW w:w="856" w:type="pct"/>
            <w:hideMark/>
          </w:tcPr>
          <w:p w14:paraId="7C04A583"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8.59%</w:t>
            </w:r>
          </w:p>
        </w:tc>
        <w:tc>
          <w:tcPr>
            <w:tcW w:w="2001" w:type="pct"/>
            <w:hideMark/>
          </w:tcPr>
          <w:p w14:paraId="594E85E7"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8%</w:t>
            </w:r>
          </w:p>
        </w:tc>
        <w:tc>
          <w:tcPr>
            <w:tcW w:w="1161" w:type="pct"/>
            <w:hideMark/>
          </w:tcPr>
          <w:p w14:paraId="3473DDBD"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Accept</w:t>
            </w:r>
          </w:p>
        </w:tc>
      </w:tr>
    </w:tbl>
    <w:p w14:paraId="7CA57029" w14:textId="2E3540B9" w:rsidR="00E109B2" w:rsidRPr="004C540C" w:rsidRDefault="00E109B2" w:rsidP="004C540C">
      <w:pPr>
        <w:jc w:val="both"/>
        <w:rPr>
          <w:rFonts w:ascii="Arial" w:hAnsi="Arial" w:cs="Arial"/>
          <w:sz w:val="24"/>
          <w:szCs w:val="24"/>
        </w:rPr>
      </w:pPr>
    </w:p>
    <w:p w14:paraId="71CCD266" w14:textId="77777777" w:rsidR="00E109B2" w:rsidRPr="004C540C" w:rsidRDefault="00E109B2" w:rsidP="004C540C">
      <w:pPr>
        <w:jc w:val="both"/>
        <w:rPr>
          <w:rFonts w:ascii="Arial" w:hAnsi="Arial" w:cs="Arial"/>
          <w:b/>
          <w:bCs/>
          <w:sz w:val="24"/>
          <w:szCs w:val="24"/>
        </w:rPr>
      </w:pPr>
      <w:r w:rsidRPr="004C540C">
        <w:rPr>
          <w:rFonts w:ascii="Arial" w:hAnsi="Arial" w:cs="Arial"/>
          <w:b/>
          <w:bCs/>
          <w:sz w:val="24"/>
          <w:szCs w:val="24"/>
        </w:rPr>
        <w:t>F7. Overall Investment Appraisal</w:t>
      </w:r>
    </w:p>
    <w:tbl>
      <w:tblPr>
        <w:tblStyle w:val="GridTable4-Accent5"/>
        <w:tblW w:w="5000" w:type="pct"/>
        <w:tblLook w:val="04A0" w:firstRow="1" w:lastRow="0" w:firstColumn="1" w:lastColumn="0" w:noHBand="0" w:noVBand="1"/>
      </w:tblPr>
      <w:tblGrid>
        <w:gridCol w:w="3200"/>
        <w:gridCol w:w="1919"/>
        <w:gridCol w:w="1919"/>
        <w:gridCol w:w="1978"/>
      </w:tblGrid>
      <w:tr w:rsidR="00E109B2" w:rsidRPr="004C540C" w14:paraId="30055817" w14:textId="77777777" w:rsidTr="003E69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5" w:type="pct"/>
            <w:hideMark/>
          </w:tcPr>
          <w:p w14:paraId="59B0767C"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Appraisal Method</w:t>
            </w:r>
          </w:p>
        </w:tc>
        <w:tc>
          <w:tcPr>
            <w:tcW w:w="1064" w:type="pct"/>
            <w:hideMark/>
          </w:tcPr>
          <w:p w14:paraId="61BE4E62" w14:textId="77777777" w:rsidR="00E109B2" w:rsidRPr="004C540C" w:rsidRDefault="00E109B2" w:rsidP="004C540C">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Project A</w:t>
            </w:r>
          </w:p>
        </w:tc>
        <w:tc>
          <w:tcPr>
            <w:tcW w:w="1064" w:type="pct"/>
            <w:hideMark/>
          </w:tcPr>
          <w:p w14:paraId="5CD1EF8C" w14:textId="77777777" w:rsidR="00E109B2" w:rsidRPr="004C540C" w:rsidRDefault="00E109B2" w:rsidP="004C540C">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Project B</w:t>
            </w:r>
          </w:p>
        </w:tc>
        <w:tc>
          <w:tcPr>
            <w:tcW w:w="1097" w:type="pct"/>
            <w:hideMark/>
          </w:tcPr>
          <w:p w14:paraId="7CDFC7EA" w14:textId="77777777" w:rsidR="00E109B2" w:rsidRPr="004C540C" w:rsidRDefault="00E109B2" w:rsidP="004C540C">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Project C</w:t>
            </w:r>
          </w:p>
        </w:tc>
      </w:tr>
      <w:tr w:rsidR="00E109B2" w:rsidRPr="004C540C" w14:paraId="16C59B25" w14:textId="77777777" w:rsidTr="003E69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5" w:type="pct"/>
            <w:hideMark/>
          </w:tcPr>
          <w:p w14:paraId="58113C67"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Payback Period</w:t>
            </w:r>
          </w:p>
        </w:tc>
        <w:tc>
          <w:tcPr>
            <w:tcW w:w="1064" w:type="pct"/>
            <w:hideMark/>
          </w:tcPr>
          <w:p w14:paraId="2847114A"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4.50 years</w:t>
            </w:r>
          </w:p>
        </w:tc>
        <w:tc>
          <w:tcPr>
            <w:tcW w:w="1064" w:type="pct"/>
            <w:hideMark/>
          </w:tcPr>
          <w:p w14:paraId="496EFD81"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4.55 years</w:t>
            </w:r>
          </w:p>
        </w:tc>
        <w:tc>
          <w:tcPr>
            <w:tcW w:w="1097" w:type="pct"/>
            <w:hideMark/>
          </w:tcPr>
          <w:p w14:paraId="42000B7D"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b/>
                <w:bCs/>
                <w:sz w:val="24"/>
                <w:szCs w:val="24"/>
              </w:rPr>
              <w:t>3.60 years</w:t>
            </w:r>
          </w:p>
        </w:tc>
      </w:tr>
      <w:tr w:rsidR="00E109B2" w:rsidRPr="004C540C" w14:paraId="13653FA6" w14:textId="77777777" w:rsidTr="003E69BD">
        <w:tc>
          <w:tcPr>
            <w:cnfStyle w:val="001000000000" w:firstRow="0" w:lastRow="0" w:firstColumn="1" w:lastColumn="0" w:oddVBand="0" w:evenVBand="0" w:oddHBand="0" w:evenHBand="0" w:firstRowFirstColumn="0" w:firstRowLastColumn="0" w:lastRowFirstColumn="0" w:lastRowLastColumn="0"/>
            <w:tcW w:w="1775" w:type="pct"/>
            <w:hideMark/>
          </w:tcPr>
          <w:p w14:paraId="35DDA106"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ARR</w:t>
            </w:r>
          </w:p>
        </w:tc>
        <w:tc>
          <w:tcPr>
            <w:tcW w:w="1064" w:type="pct"/>
            <w:hideMark/>
          </w:tcPr>
          <w:p w14:paraId="12774111"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1.60%</w:t>
            </w:r>
          </w:p>
        </w:tc>
        <w:tc>
          <w:tcPr>
            <w:tcW w:w="1064" w:type="pct"/>
            <w:hideMark/>
          </w:tcPr>
          <w:p w14:paraId="0407F382"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2.00%</w:t>
            </w:r>
          </w:p>
        </w:tc>
        <w:tc>
          <w:tcPr>
            <w:tcW w:w="1097" w:type="pct"/>
            <w:hideMark/>
          </w:tcPr>
          <w:p w14:paraId="40157CE5"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b/>
                <w:bCs/>
                <w:sz w:val="24"/>
                <w:szCs w:val="24"/>
              </w:rPr>
              <w:t>6.00%</w:t>
            </w:r>
          </w:p>
        </w:tc>
      </w:tr>
      <w:tr w:rsidR="00E109B2" w:rsidRPr="004C540C" w14:paraId="1BD9D5A8" w14:textId="77777777" w:rsidTr="003E69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5" w:type="pct"/>
            <w:hideMark/>
          </w:tcPr>
          <w:p w14:paraId="2E4790B5"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NPV</w:t>
            </w:r>
          </w:p>
        </w:tc>
        <w:tc>
          <w:tcPr>
            <w:tcW w:w="1064" w:type="pct"/>
            <w:hideMark/>
          </w:tcPr>
          <w:p w14:paraId="0A873B96"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-£6.54m</w:t>
            </w:r>
          </w:p>
        </w:tc>
        <w:tc>
          <w:tcPr>
            <w:tcW w:w="1064" w:type="pct"/>
            <w:hideMark/>
          </w:tcPr>
          <w:p w14:paraId="01059614"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-£6.08m</w:t>
            </w:r>
          </w:p>
        </w:tc>
        <w:tc>
          <w:tcPr>
            <w:tcW w:w="1097" w:type="pct"/>
            <w:hideMark/>
          </w:tcPr>
          <w:p w14:paraId="4E5B33AA"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b/>
                <w:bCs/>
                <w:sz w:val="24"/>
                <w:szCs w:val="24"/>
              </w:rPr>
              <w:t>+£0.86m</w:t>
            </w:r>
          </w:p>
        </w:tc>
      </w:tr>
      <w:tr w:rsidR="00E109B2" w:rsidRPr="004C540C" w14:paraId="5B55286E" w14:textId="77777777" w:rsidTr="003E69BD">
        <w:tc>
          <w:tcPr>
            <w:cnfStyle w:val="001000000000" w:firstRow="0" w:lastRow="0" w:firstColumn="1" w:lastColumn="0" w:oddVBand="0" w:evenVBand="0" w:oddHBand="0" w:evenHBand="0" w:firstRowFirstColumn="0" w:firstRowLastColumn="0" w:lastRowFirstColumn="0" w:lastRowLastColumn="0"/>
            <w:tcW w:w="1775" w:type="pct"/>
            <w:hideMark/>
          </w:tcPr>
          <w:p w14:paraId="0EE64542"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PI</w:t>
            </w:r>
          </w:p>
        </w:tc>
        <w:tc>
          <w:tcPr>
            <w:tcW w:w="1064" w:type="pct"/>
            <w:hideMark/>
          </w:tcPr>
          <w:p w14:paraId="32FBA36F"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0.869</w:t>
            </w:r>
          </w:p>
        </w:tc>
        <w:tc>
          <w:tcPr>
            <w:tcW w:w="1064" w:type="pct"/>
            <w:hideMark/>
          </w:tcPr>
          <w:p w14:paraId="7AB9A479"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0.878</w:t>
            </w:r>
          </w:p>
        </w:tc>
        <w:tc>
          <w:tcPr>
            <w:tcW w:w="1097" w:type="pct"/>
            <w:hideMark/>
          </w:tcPr>
          <w:p w14:paraId="3EE7BD47"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b/>
                <w:bCs/>
                <w:sz w:val="24"/>
                <w:szCs w:val="24"/>
              </w:rPr>
              <w:t>1.017</w:t>
            </w:r>
          </w:p>
        </w:tc>
      </w:tr>
      <w:tr w:rsidR="00E109B2" w:rsidRPr="004C540C" w14:paraId="0F8860A1" w14:textId="77777777" w:rsidTr="003E69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5" w:type="pct"/>
            <w:hideMark/>
          </w:tcPr>
          <w:p w14:paraId="6CFCE36B"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IRR</w:t>
            </w:r>
          </w:p>
        </w:tc>
        <w:tc>
          <w:tcPr>
            <w:tcW w:w="1064" w:type="pct"/>
            <w:hideMark/>
          </w:tcPr>
          <w:p w14:paraId="3CAD6972"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2.72%</w:t>
            </w:r>
          </w:p>
        </w:tc>
        <w:tc>
          <w:tcPr>
            <w:tcW w:w="1064" w:type="pct"/>
            <w:hideMark/>
          </w:tcPr>
          <w:p w14:paraId="63B311B4"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3.26%</w:t>
            </w:r>
          </w:p>
        </w:tc>
        <w:tc>
          <w:tcPr>
            <w:tcW w:w="1097" w:type="pct"/>
            <w:hideMark/>
          </w:tcPr>
          <w:p w14:paraId="67BB17AE"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b/>
                <w:bCs/>
                <w:sz w:val="24"/>
                <w:szCs w:val="24"/>
              </w:rPr>
              <w:t>8.59%</w:t>
            </w:r>
          </w:p>
        </w:tc>
      </w:tr>
      <w:tr w:rsidR="00E109B2" w:rsidRPr="004C540C" w14:paraId="4A95381D" w14:textId="77777777" w:rsidTr="003E69BD">
        <w:tc>
          <w:tcPr>
            <w:cnfStyle w:val="001000000000" w:firstRow="0" w:lastRow="0" w:firstColumn="1" w:lastColumn="0" w:oddVBand="0" w:evenVBand="0" w:oddHBand="0" w:evenHBand="0" w:firstRowFirstColumn="0" w:firstRowLastColumn="0" w:lastRowFirstColumn="0" w:lastRowLastColumn="0"/>
            <w:tcW w:w="1775" w:type="pct"/>
            <w:hideMark/>
          </w:tcPr>
          <w:p w14:paraId="7DEFC1F9"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Overall ranking</w:t>
            </w:r>
          </w:p>
        </w:tc>
        <w:tc>
          <w:tcPr>
            <w:tcW w:w="1064" w:type="pct"/>
            <w:hideMark/>
          </w:tcPr>
          <w:p w14:paraId="71F16437"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3rd</w:t>
            </w:r>
          </w:p>
        </w:tc>
        <w:tc>
          <w:tcPr>
            <w:tcW w:w="1064" w:type="pct"/>
            <w:hideMark/>
          </w:tcPr>
          <w:p w14:paraId="549E8E6F"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2nd</w:t>
            </w:r>
          </w:p>
        </w:tc>
        <w:tc>
          <w:tcPr>
            <w:tcW w:w="1097" w:type="pct"/>
            <w:hideMark/>
          </w:tcPr>
          <w:p w14:paraId="61CB2D49"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b/>
                <w:bCs/>
                <w:sz w:val="24"/>
                <w:szCs w:val="24"/>
              </w:rPr>
              <w:t>1st</w:t>
            </w:r>
          </w:p>
        </w:tc>
      </w:tr>
    </w:tbl>
    <w:p w14:paraId="7FDCCFD1" w14:textId="4C00BB38" w:rsidR="00E109B2" w:rsidRPr="004C540C" w:rsidRDefault="00E109B2" w:rsidP="004C540C">
      <w:pPr>
        <w:jc w:val="both"/>
        <w:rPr>
          <w:rFonts w:ascii="Arial" w:hAnsi="Arial" w:cs="Arial"/>
          <w:sz w:val="24"/>
          <w:szCs w:val="24"/>
        </w:rPr>
      </w:pPr>
    </w:p>
    <w:p w14:paraId="551D9490" w14:textId="4D9EE827" w:rsidR="00E109B2" w:rsidRPr="004C540C" w:rsidRDefault="00E109B2" w:rsidP="004C540C">
      <w:pPr>
        <w:jc w:val="both"/>
        <w:rPr>
          <w:rFonts w:ascii="Arial" w:hAnsi="Arial" w:cs="Arial"/>
          <w:b/>
          <w:bCs/>
          <w:sz w:val="24"/>
          <w:szCs w:val="24"/>
        </w:rPr>
      </w:pPr>
      <w:r w:rsidRPr="004C540C">
        <w:rPr>
          <w:rFonts w:ascii="Arial" w:hAnsi="Arial" w:cs="Arial"/>
          <w:b/>
          <w:bCs/>
          <w:sz w:val="24"/>
          <w:szCs w:val="24"/>
        </w:rPr>
        <w:t>Appendi</w:t>
      </w:r>
      <w:r w:rsidR="00E82F90" w:rsidRPr="004C540C">
        <w:rPr>
          <w:rFonts w:ascii="Arial" w:hAnsi="Arial" w:cs="Arial"/>
          <w:b/>
          <w:bCs/>
          <w:sz w:val="24"/>
          <w:szCs w:val="24"/>
        </w:rPr>
        <w:t>ces</w:t>
      </w:r>
      <w:r w:rsidRPr="004C540C">
        <w:rPr>
          <w:rFonts w:ascii="Arial" w:hAnsi="Arial" w:cs="Arial"/>
          <w:b/>
          <w:bCs/>
          <w:sz w:val="24"/>
          <w:szCs w:val="24"/>
        </w:rPr>
        <w:t xml:space="preserve"> G: Capital Rationing Analysis</w:t>
      </w:r>
    </w:p>
    <w:p w14:paraId="6AD93A17" w14:textId="39D84975" w:rsidR="00E109B2" w:rsidRPr="004C540C" w:rsidRDefault="00E109B2" w:rsidP="004C540C">
      <w:pPr>
        <w:jc w:val="both"/>
        <w:rPr>
          <w:rFonts w:ascii="Arial" w:hAnsi="Arial" w:cs="Arial"/>
          <w:sz w:val="24"/>
          <w:szCs w:val="24"/>
        </w:rPr>
      </w:pPr>
    </w:p>
    <w:tbl>
      <w:tblPr>
        <w:tblStyle w:val="GridTable4-Accent5"/>
        <w:tblW w:w="5000" w:type="pct"/>
        <w:tblLook w:val="04A0" w:firstRow="1" w:lastRow="0" w:firstColumn="1" w:lastColumn="0" w:noHBand="0" w:noVBand="1"/>
      </w:tblPr>
      <w:tblGrid>
        <w:gridCol w:w="2177"/>
        <w:gridCol w:w="2744"/>
        <w:gridCol w:w="2521"/>
        <w:gridCol w:w="1574"/>
      </w:tblGrid>
      <w:tr w:rsidR="00E109B2" w:rsidRPr="004C540C" w14:paraId="41237AEF" w14:textId="77777777" w:rsidTr="00FB05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07" w:type="pct"/>
            <w:hideMark/>
          </w:tcPr>
          <w:p w14:paraId="2A968622"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Combination</w:t>
            </w:r>
          </w:p>
        </w:tc>
        <w:tc>
          <w:tcPr>
            <w:tcW w:w="1522" w:type="pct"/>
            <w:hideMark/>
          </w:tcPr>
          <w:p w14:paraId="6BA490E7" w14:textId="77777777" w:rsidR="00E109B2" w:rsidRPr="004C540C" w:rsidRDefault="00E109B2" w:rsidP="004C540C">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Total Investment</w:t>
            </w:r>
          </w:p>
        </w:tc>
        <w:tc>
          <w:tcPr>
            <w:tcW w:w="1398" w:type="pct"/>
            <w:hideMark/>
          </w:tcPr>
          <w:p w14:paraId="2357E3DB" w14:textId="77777777" w:rsidR="00E109B2" w:rsidRPr="004C540C" w:rsidRDefault="00E109B2" w:rsidP="004C540C">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Combined NPV</w:t>
            </w:r>
          </w:p>
        </w:tc>
        <w:tc>
          <w:tcPr>
            <w:tcW w:w="873" w:type="pct"/>
            <w:hideMark/>
          </w:tcPr>
          <w:p w14:paraId="7DCD1ECC" w14:textId="77777777" w:rsidR="00E109B2" w:rsidRPr="004C540C" w:rsidRDefault="00E109B2" w:rsidP="004C540C">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Decision</w:t>
            </w:r>
          </w:p>
        </w:tc>
      </w:tr>
      <w:tr w:rsidR="00E109B2" w:rsidRPr="004C540C" w14:paraId="4129EB88" w14:textId="77777777" w:rsidTr="00FB05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07" w:type="pct"/>
            <w:hideMark/>
          </w:tcPr>
          <w:p w14:paraId="0930025D"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A + B</w:t>
            </w:r>
          </w:p>
        </w:tc>
        <w:tc>
          <w:tcPr>
            <w:tcW w:w="1522" w:type="pct"/>
            <w:hideMark/>
          </w:tcPr>
          <w:p w14:paraId="11D74D9B"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£100m</w:t>
            </w:r>
          </w:p>
        </w:tc>
        <w:tc>
          <w:tcPr>
            <w:tcW w:w="1398" w:type="pct"/>
            <w:hideMark/>
          </w:tcPr>
          <w:p w14:paraId="0BC8E00B"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-£12.62m</w:t>
            </w:r>
          </w:p>
        </w:tc>
        <w:tc>
          <w:tcPr>
            <w:tcW w:w="873" w:type="pct"/>
            <w:hideMark/>
          </w:tcPr>
          <w:p w14:paraId="3447CA55"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Reject</w:t>
            </w:r>
          </w:p>
        </w:tc>
      </w:tr>
      <w:tr w:rsidR="00E109B2" w:rsidRPr="004C540C" w14:paraId="04C83EFD" w14:textId="77777777" w:rsidTr="00FB05D2">
        <w:tc>
          <w:tcPr>
            <w:cnfStyle w:val="001000000000" w:firstRow="0" w:lastRow="0" w:firstColumn="1" w:lastColumn="0" w:oddVBand="0" w:evenVBand="0" w:oddHBand="0" w:evenHBand="0" w:firstRowFirstColumn="0" w:firstRowLastColumn="0" w:lastRowFirstColumn="0" w:lastRowLastColumn="0"/>
            <w:tcW w:w="1207" w:type="pct"/>
            <w:hideMark/>
          </w:tcPr>
          <w:p w14:paraId="003D9348"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A + C</w:t>
            </w:r>
          </w:p>
        </w:tc>
        <w:tc>
          <w:tcPr>
            <w:tcW w:w="1522" w:type="pct"/>
            <w:hideMark/>
          </w:tcPr>
          <w:p w14:paraId="5547E096"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£100m</w:t>
            </w:r>
          </w:p>
        </w:tc>
        <w:tc>
          <w:tcPr>
            <w:tcW w:w="1398" w:type="pct"/>
            <w:hideMark/>
          </w:tcPr>
          <w:p w14:paraId="417FB382"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-£5.68m</w:t>
            </w:r>
          </w:p>
        </w:tc>
        <w:tc>
          <w:tcPr>
            <w:tcW w:w="873" w:type="pct"/>
            <w:hideMark/>
          </w:tcPr>
          <w:p w14:paraId="5B16625C" w14:textId="77777777" w:rsidR="00E109B2" w:rsidRPr="004C540C" w:rsidRDefault="00E109B2" w:rsidP="004C540C">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C540C">
              <w:rPr>
                <w:rFonts w:ascii="Arial" w:hAnsi="Arial" w:cs="Arial"/>
                <w:sz w:val="24"/>
                <w:szCs w:val="24"/>
              </w:rPr>
              <w:t>Reject</w:t>
            </w:r>
          </w:p>
        </w:tc>
      </w:tr>
      <w:tr w:rsidR="00E109B2" w:rsidRPr="004C540C" w14:paraId="7F73E2E0" w14:textId="77777777" w:rsidTr="00FB05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07" w:type="pct"/>
            <w:hideMark/>
          </w:tcPr>
          <w:p w14:paraId="1125220A" w14:textId="77777777" w:rsidR="00E109B2" w:rsidRPr="004C540C" w:rsidRDefault="00E109B2" w:rsidP="004C540C">
            <w:pPr>
              <w:spacing w:after="160" w:line="259" w:lineRule="auto"/>
              <w:jc w:val="both"/>
              <w:rPr>
                <w:rFonts w:ascii="Arial" w:hAnsi="Arial" w:cs="Arial"/>
                <w:sz w:val="24"/>
                <w:szCs w:val="24"/>
              </w:rPr>
            </w:pPr>
            <w:r w:rsidRPr="004C540C">
              <w:rPr>
                <w:rFonts w:ascii="Arial" w:hAnsi="Arial" w:cs="Arial"/>
                <w:sz w:val="24"/>
                <w:szCs w:val="24"/>
              </w:rPr>
              <w:t>B + C</w:t>
            </w:r>
          </w:p>
        </w:tc>
        <w:tc>
          <w:tcPr>
            <w:tcW w:w="1522" w:type="pct"/>
            <w:hideMark/>
          </w:tcPr>
          <w:p w14:paraId="5897A0F7"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£100m</w:t>
            </w:r>
          </w:p>
        </w:tc>
        <w:tc>
          <w:tcPr>
            <w:tcW w:w="1398" w:type="pct"/>
            <w:hideMark/>
          </w:tcPr>
          <w:p w14:paraId="4C06FA92"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-£5.22m</w:t>
            </w:r>
          </w:p>
        </w:tc>
        <w:tc>
          <w:tcPr>
            <w:tcW w:w="873" w:type="pct"/>
            <w:hideMark/>
          </w:tcPr>
          <w:p w14:paraId="42C7A0E2" w14:textId="77777777" w:rsidR="00E109B2" w:rsidRPr="004C540C" w:rsidRDefault="00E109B2" w:rsidP="004C540C">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C540C">
              <w:rPr>
                <w:rFonts w:ascii="Arial" w:hAnsi="Arial" w:cs="Arial"/>
                <w:sz w:val="24"/>
                <w:szCs w:val="24"/>
              </w:rPr>
              <w:t>Reject</w:t>
            </w:r>
          </w:p>
        </w:tc>
      </w:tr>
    </w:tbl>
    <w:p w14:paraId="242D6A23" w14:textId="643D0ADD" w:rsidR="00E109B2" w:rsidRPr="004C540C" w:rsidRDefault="00E109B2" w:rsidP="004C540C">
      <w:pPr>
        <w:jc w:val="both"/>
        <w:rPr>
          <w:rFonts w:ascii="Arial" w:hAnsi="Arial" w:cs="Arial"/>
          <w:sz w:val="24"/>
          <w:szCs w:val="24"/>
        </w:rPr>
      </w:pPr>
    </w:p>
    <w:p w14:paraId="5E235C30" w14:textId="3EFBB535" w:rsidR="00697062" w:rsidRPr="004C540C" w:rsidRDefault="00697062" w:rsidP="004C540C">
      <w:pPr>
        <w:jc w:val="both"/>
        <w:rPr>
          <w:rFonts w:ascii="Arial" w:hAnsi="Arial" w:cs="Arial"/>
          <w:b/>
          <w:bCs/>
          <w:sz w:val="24"/>
          <w:szCs w:val="24"/>
        </w:rPr>
      </w:pPr>
    </w:p>
    <w:sectPr w:rsidR="00697062" w:rsidRPr="004C54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A6E58"/>
    <w:multiLevelType w:val="hybridMultilevel"/>
    <w:tmpl w:val="2ABE133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48A276B"/>
    <w:multiLevelType w:val="hybridMultilevel"/>
    <w:tmpl w:val="8124CD4A"/>
    <w:lvl w:ilvl="0" w:tplc="4009000F">
      <w:start w:val="1"/>
      <w:numFmt w:val="decimal"/>
      <w:lvlText w:val="%1."/>
      <w:lvlJc w:val="left"/>
      <w:pPr>
        <w:ind w:left="720" w:hanging="360"/>
      </w:pPr>
      <w:rPr>
        <w:rFonts w:hint="default"/>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B024235"/>
    <w:multiLevelType w:val="multilevel"/>
    <w:tmpl w:val="56323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3E73B4"/>
    <w:multiLevelType w:val="multilevel"/>
    <w:tmpl w:val="3E28E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AC76FE"/>
    <w:multiLevelType w:val="multilevel"/>
    <w:tmpl w:val="940C0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7D0F2E"/>
    <w:multiLevelType w:val="multilevel"/>
    <w:tmpl w:val="EECC9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9C22ADF"/>
    <w:multiLevelType w:val="hybridMultilevel"/>
    <w:tmpl w:val="B7106FB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6E381995"/>
    <w:multiLevelType w:val="multilevel"/>
    <w:tmpl w:val="4CACB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EDC2E92"/>
    <w:multiLevelType w:val="multilevel"/>
    <w:tmpl w:val="BB0A1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AD4583E"/>
    <w:multiLevelType w:val="multilevel"/>
    <w:tmpl w:val="32C893CE"/>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7E8B63B0"/>
    <w:multiLevelType w:val="multilevel"/>
    <w:tmpl w:val="58DEA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4693282">
    <w:abstractNumId w:val="2"/>
  </w:num>
  <w:num w:numId="2" w16cid:durableId="1260873724">
    <w:abstractNumId w:val="3"/>
  </w:num>
  <w:num w:numId="3" w16cid:durableId="53968283">
    <w:abstractNumId w:val="0"/>
  </w:num>
  <w:num w:numId="4" w16cid:durableId="917636797">
    <w:abstractNumId w:val="9"/>
  </w:num>
  <w:num w:numId="5" w16cid:durableId="1426001932">
    <w:abstractNumId w:val="1"/>
  </w:num>
  <w:num w:numId="6" w16cid:durableId="199055915">
    <w:abstractNumId w:val="8"/>
  </w:num>
  <w:num w:numId="7" w16cid:durableId="488519832">
    <w:abstractNumId w:val="5"/>
  </w:num>
  <w:num w:numId="8" w16cid:durableId="1630427643">
    <w:abstractNumId w:val="7"/>
  </w:num>
  <w:num w:numId="9" w16cid:durableId="930890772">
    <w:abstractNumId w:val="4"/>
  </w:num>
  <w:num w:numId="10" w16cid:durableId="243102711">
    <w:abstractNumId w:val="10"/>
  </w:num>
  <w:num w:numId="11" w16cid:durableId="16015212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7FA9"/>
    <w:rsid w:val="000146E4"/>
    <w:rsid w:val="000244C5"/>
    <w:rsid w:val="00027FA9"/>
    <w:rsid w:val="00067211"/>
    <w:rsid w:val="000757CA"/>
    <w:rsid w:val="000927A3"/>
    <w:rsid w:val="000969BD"/>
    <w:rsid w:val="000A169E"/>
    <w:rsid w:val="000A6CDF"/>
    <w:rsid w:val="000D2423"/>
    <w:rsid w:val="000E3588"/>
    <w:rsid w:val="000F5891"/>
    <w:rsid w:val="00115FED"/>
    <w:rsid w:val="00134E0C"/>
    <w:rsid w:val="00145982"/>
    <w:rsid w:val="0014607A"/>
    <w:rsid w:val="00146435"/>
    <w:rsid w:val="0015715B"/>
    <w:rsid w:val="00167A22"/>
    <w:rsid w:val="001C4C9E"/>
    <w:rsid w:val="001C6501"/>
    <w:rsid w:val="001C6BA0"/>
    <w:rsid w:val="001F424D"/>
    <w:rsid w:val="00201C52"/>
    <w:rsid w:val="002025FD"/>
    <w:rsid w:val="002121B5"/>
    <w:rsid w:val="002427D2"/>
    <w:rsid w:val="00242BE3"/>
    <w:rsid w:val="0025307A"/>
    <w:rsid w:val="00262367"/>
    <w:rsid w:val="00274535"/>
    <w:rsid w:val="0028181A"/>
    <w:rsid w:val="00282401"/>
    <w:rsid w:val="002A2F37"/>
    <w:rsid w:val="002A4CF6"/>
    <w:rsid w:val="002B0AF7"/>
    <w:rsid w:val="002C5EEC"/>
    <w:rsid w:val="002E110A"/>
    <w:rsid w:val="002E1434"/>
    <w:rsid w:val="002F4933"/>
    <w:rsid w:val="003176BE"/>
    <w:rsid w:val="00323673"/>
    <w:rsid w:val="003405F8"/>
    <w:rsid w:val="00346FB8"/>
    <w:rsid w:val="0035114E"/>
    <w:rsid w:val="0037782C"/>
    <w:rsid w:val="003A11EC"/>
    <w:rsid w:val="003A29D6"/>
    <w:rsid w:val="003A7D16"/>
    <w:rsid w:val="003B66C8"/>
    <w:rsid w:val="003C01D6"/>
    <w:rsid w:val="003D564A"/>
    <w:rsid w:val="003D7568"/>
    <w:rsid w:val="003E69BD"/>
    <w:rsid w:val="003F1E92"/>
    <w:rsid w:val="003F3316"/>
    <w:rsid w:val="003F4325"/>
    <w:rsid w:val="003F4D8E"/>
    <w:rsid w:val="00404ABA"/>
    <w:rsid w:val="00415908"/>
    <w:rsid w:val="0043187F"/>
    <w:rsid w:val="004371EA"/>
    <w:rsid w:val="00445AEF"/>
    <w:rsid w:val="004721EC"/>
    <w:rsid w:val="00493D5C"/>
    <w:rsid w:val="004B4FE0"/>
    <w:rsid w:val="004C540C"/>
    <w:rsid w:val="004C59B9"/>
    <w:rsid w:val="004F06C0"/>
    <w:rsid w:val="00517F05"/>
    <w:rsid w:val="005213F1"/>
    <w:rsid w:val="0052474E"/>
    <w:rsid w:val="0053501B"/>
    <w:rsid w:val="00565646"/>
    <w:rsid w:val="005A6142"/>
    <w:rsid w:val="005A7717"/>
    <w:rsid w:val="005B1A37"/>
    <w:rsid w:val="005B37DD"/>
    <w:rsid w:val="005B51B3"/>
    <w:rsid w:val="005C429D"/>
    <w:rsid w:val="005D265D"/>
    <w:rsid w:val="005D5FDB"/>
    <w:rsid w:val="0063005A"/>
    <w:rsid w:val="00662908"/>
    <w:rsid w:val="0069106C"/>
    <w:rsid w:val="00694572"/>
    <w:rsid w:val="00696705"/>
    <w:rsid w:val="00696C25"/>
    <w:rsid w:val="00697062"/>
    <w:rsid w:val="006B7652"/>
    <w:rsid w:val="006D0F6D"/>
    <w:rsid w:val="006D7A82"/>
    <w:rsid w:val="006E15CC"/>
    <w:rsid w:val="007101D9"/>
    <w:rsid w:val="0071521B"/>
    <w:rsid w:val="00733ED2"/>
    <w:rsid w:val="00766C29"/>
    <w:rsid w:val="00784F10"/>
    <w:rsid w:val="007925E2"/>
    <w:rsid w:val="007D28AC"/>
    <w:rsid w:val="007F7300"/>
    <w:rsid w:val="008063FA"/>
    <w:rsid w:val="00833418"/>
    <w:rsid w:val="008465A3"/>
    <w:rsid w:val="008538EB"/>
    <w:rsid w:val="008A042F"/>
    <w:rsid w:val="008A2868"/>
    <w:rsid w:val="008A6BB8"/>
    <w:rsid w:val="008D26F2"/>
    <w:rsid w:val="008D2AE2"/>
    <w:rsid w:val="008D4429"/>
    <w:rsid w:val="008D65C1"/>
    <w:rsid w:val="008E132E"/>
    <w:rsid w:val="008E2323"/>
    <w:rsid w:val="008F4182"/>
    <w:rsid w:val="009038B8"/>
    <w:rsid w:val="00926CDA"/>
    <w:rsid w:val="009405F1"/>
    <w:rsid w:val="00955242"/>
    <w:rsid w:val="00957475"/>
    <w:rsid w:val="00960E0B"/>
    <w:rsid w:val="009833F7"/>
    <w:rsid w:val="00997440"/>
    <w:rsid w:val="009A1C1C"/>
    <w:rsid w:val="009E2AC1"/>
    <w:rsid w:val="00A13576"/>
    <w:rsid w:val="00A27653"/>
    <w:rsid w:val="00A53861"/>
    <w:rsid w:val="00A558D4"/>
    <w:rsid w:val="00A5736E"/>
    <w:rsid w:val="00AB5380"/>
    <w:rsid w:val="00AC5207"/>
    <w:rsid w:val="00B36219"/>
    <w:rsid w:val="00B36748"/>
    <w:rsid w:val="00B4663A"/>
    <w:rsid w:val="00B7698C"/>
    <w:rsid w:val="00B77D19"/>
    <w:rsid w:val="00B910AF"/>
    <w:rsid w:val="00B928AF"/>
    <w:rsid w:val="00B95E9C"/>
    <w:rsid w:val="00B965FF"/>
    <w:rsid w:val="00BA31DE"/>
    <w:rsid w:val="00BB436D"/>
    <w:rsid w:val="00BC37C3"/>
    <w:rsid w:val="00BC453C"/>
    <w:rsid w:val="00BE63B2"/>
    <w:rsid w:val="00BE778D"/>
    <w:rsid w:val="00BF48C9"/>
    <w:rsid w:val="00C06B79"/>
    <w:rsid w:val="00C179B6"/>
    <w:rsid w:val="00C2606E"/>
    <w:rsid w:val="00C714A8"/>
    <w:rsid w:val="00C73B6A"/>
    <w:rsid w:val="00C91386"/>
    <w:rsid w:val="00CA252F"/>
    <w:rsid w:val="00CA4B89"/>
    <w:rsid w:val="00CE5EEF"/>
    <w:rsid w:val="00CF3979"/>
    <w:rsid w:val="00D05D5F"/>
    <w:rsid w:val="00D45386"/>
    <w:rsid w:val="00D57142"/>
    <w:rsid w:val="00DA1E39"/>
    <w:rsid w:val="00DB1F5C"/>
    <w:rsid w:val="00DC76F8"/>
    <w:rsid w:val="00E109B2"/>
    <w:rsid w:val="00E2639A"/>
    <w:rsid w:val="00E32F79"/>
    <w:rsid w:val="00E469CD"/>
    <w:rsid w:val="00E50FB6"/>
    <w:rsid w:val="00E649C0"/>
    <w:rsid w:val="00E82EDB"/>
    <w:rsid w:val="00E82F90"/>
    <w:rsid w:val="00E95F07"/>
    <w:rsid w:val="00E976DA"/>
    <w:rsid w:val="00E97D88"/>
    <w:rsid w:val="00EA11E6"/>
    <w:rsid w:val="00EB3474"/>
    <w:rsid w:val="00EF4A67"/>
    <w:rsid w:val="00F0141F"/>
    <w:rsid w:val="00F03D50"/>
    <w:rsid w:val="00F30E53"/>
    <w:rsid w:val="00F52104"/>
    <w:rsid w:val="00F61E55"/>
    <w:rsid w:val="00F71027"/>
    <w:rsid w:val="00F73563"/>
    <w:rsid w:val="00F825B7"/>
    <w:rsid w:val="00FB05D2"/>
    <w:rsid w:val="00FD0E27"/>
    <w:rsid w:val="00FF6F24"/>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A8BA2"/>
  <w15:chartTrackingRefBased/>
  <w15:docId w15:val="{36582AB2-7F30-4B8F-B764-E48E21292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gu-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Shruti"/>
    </w:rPr>
  </w:style>
  <w:style w:type="paragraph" w:styleId="Heading1">
    <w:name w:val="heading 1"/>
    <w:basedOn w:val="Normal"/>
    <w:next w:val="Normal"/>
    <w:link w:val="Heading1Char"/>
    <w:uiPriority w:val="9"/>
    <w:qFormat/>
    <w:rsid w:val="00C714A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027FA9"/>
    <w:pPr>
      <w:spacing w:before="100" w:beforeAutospacing="1" w:after="100" w:afterAutospacing="1" w:line="240" w:lineRule="auto"/>
      <w:outlineLvl w:val="1"/>
    </w:pPr>
    <w:rPr>
      <w:rFonts w:ascii="Times New Roman" w:eastAsia="Times New Roman" w:hAnsi="Times New Roman" w:cs="Times New Roman"/>
      <w:b/>
      <w:bCs/>
      <w:sz w:val="36"/>
      <w:szCs w:val="36"/>
      <w:lang w:eastAsia="en-IN"/>
    </w:rPr>
  </w:style>
  <w:style w:type="paragraph" w:styleId="Heading3">
    <w:name w:val="heading 3"/>
    <w:basedOn w:val="Normal"/>
    <w:link w:val="Heading3Char"/>
    <w:uiPriority w:val="9"/>
    <w:qFormat/>
    <w:rsid w:val="00027FA9"/>
    <w:pPr>
      <w:spacing w:before="100" w:beforeAutospacing="1" w:after="100" w:afterAutospacing="1" w:line="240" w:lineRule="auto"/>
      <w:outlineLvl w:val="2"/>
    </w:pPr>
    <w:rPr>
      <w:rFonts w:ascii="Times New Roman" w:eastAsia="Times New Roman" w:hAnsi="Times New Roman" w:cs="Times New Roman"/>
      <w:b/>
      <w:bCs/>
      <w:sz w:val="27"/>
      <w:szCs w:val="27"/>
      <w:lang w:eastAsia="en-IN"/>
    </w:rPr>
  </w:style>
  <w:style w:type="paragraph" w:styleId="Heading4">
    <w:name w:val="heading 4"/>
    <w:basedOn w:val="Normal"/>
    <w:next w:val="Normal"/>
    <w:link w:val="Heading4Char"/>
    <w:uiPriority w:val="9"/>
    <w:semiHidden/>
    <w:unhideWhenUsed/>
    <w:qFormat/>
    <w:rsid w:val="00AB538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27FA9"/>
    <w:rPr>
      <w:rFonts w:ascii="Times New Roman" w:eastAsia="Times New Roman" w:hAnsi="Times New Roman" w:cs="Times New Roman"/>
      <w:b/>
      <w:bCs/>
      <w:sz w:val="36"/>
      <w:szCs w:val="36"/>
      <w:lang w:eastAsia="en-IN"/>
    </w:rPr>
  </w:style>
  <w:style w:type="character" w:customStyle="1" w:styleId="Heading3Char">
    <w:name w:val="Heading 3 Char"/>
    <w:basedOn w:val="DefaultParagraphFont"/>
    <w:link w:val="Heading3"/>
    <w:uiPriority w:val="9"/>
    <w:rsid w:val="00027FA9"/>
    <w:rPr>
      <w:rFonts w:ascii="Times New Roman" w:eastAsia="Times New Roman" w:hAnsi="Times New Roman" w:cs="Times New Roman"/>
      <w:b/>
      <w:bCs/>
      <w:sz w:val="27"/>
      <w:szCs w:val="27"/>
      <w:lang w:eastAsia="en-IN"/>
    </w:rPr>
  </w:style>
  <w:style w:type="paragraph" w:styleId="NormalWeb">
    <w:name w:val="Normal (Web)"/>
    <w:basedOn w:val="Normal"/>
    <w:uiPriority w:val="99"/>
    <w:unhideWhenUsed/>
    <w:rsid w:val="00027FA9"/>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027FA9"/>
    <w:rPr>
      <w:b/>
      <w:bCs/>
    </w:rPr>
  </w:style>
  <w:style w:type="character" w:styleId="Emphasis">
    <w:name w:val="Emphasis"/>
    <w:basedOn w:val="DefaultParagraphFont"/>
    <w:uiPriority w:val="20"/>
    <w:qFormat/>
    <w:rsid w:val="00027FA9"/>
    <w:rPr>
      <w:i/>
      <w:iCs/>
    </w:rPr>
  </w:style>
  <w:style w:type="paragraph" w:customStyle="1" w:styleId="isselectedend">
    <w:name w:val="isselectedend"/>
    <w:basedOn w:val="Normal"/>
    <w:rsid w:val="00C714A8"/>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Heading1Char">
    <w:name w:val="Heading 1 Char"/>
    <w:basedOn w:val="DefaultParagraphFont"/>
    <w:link w:val="Heading1"/>
    <w:uiPriority w:val="9"/>
    <w:rsid w:val="00C714A8"/>
    <w:rPr>
      <w:rFonts w:asciiTheme="majorHAnsi" w:eastAsiaTheme="majorEastAsia" w:hAnsiTheme="majorHAnsi" w:cstheme="majorBidi"/>
      <w:color w:val="2E74B5" w:themeColor="accent1" w:themeShade="BF"/>
      <w:sz w:val="32"/>
      <w:szCs w:val="32"/>
    </w:rPr>
  </w:style>
  <w:style w:type="paragraph" w:customStyle="1" w:styleId="pdq2pgselectionanchorcontainer">
    <w:name w:val="pdq2pg_selectionanchorcontainer"/>
    <w:basedOn w:val="Normal"/>
    <w:rsid w:val="000E3588"/>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contents">
    <w:name w:val="contents"/>
    <w:basedOn w:val="DefaultParagraphFont"/>
    <w:rsid w:val="000E3588"/>
  </w:style>
  <w:style w:type="character" w:styleId="Hyperlink">
    <w:name w:val="Hyperlink"/>
    <w:basedOn w:val="DefaultParagraphFont"/>
    <w:uiPriority w:val="99"/>
    <w:unhideWhenUsed/>
    <w:rsid w:val="000E3588"/>
    <w:rPr>
      <w:color w:val="0000FF"/>
      <w:u w:val="single"/>
    </w:rPr>
  </w:style>
  <w:style w:type="paragraph" w:styleId="ListParagraph">
    <w:name w:val="List Paragraph"/>
    <w:basedOn w:val="Normal"/>
    <w:uiPriority w:val="34"/>
    <w:qFormat/>
    <w:rsid w:val="00E649C0"/>
    <w:pPr>
      <w:ind w:left="720"/>
      <w:contextualSpacing/>
    </w:pPr>
  </w:style>
  <w:style w:type="table" w:styleId="GridTable4-Accent5">
    <w:name w:val="Grid Table 4 Accent 5"/>
    <w:basedOn w:val="TableNormal"/>
    <w:uiPriority w:val="49"/>
    <w:rsid w:val="00662908"/>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Heading4Char">
    <w:name w:val="Heading 4 Char"/>
    <w:basedOn w:val="DefaultParagraphFont"/>
    <w:link w:val="Heading4"/>
    <w:uiPriority w:val="9"/>
    <w:semiHidden/>
    <w:rsid w:val="00AB5380"/>
    <w:rPr>
      <w:rFonts w:asciiTheme="majorHAnsi" w:eastAsiaTheme="majorEastAsia" w:hAnsiTheme="majorHAnsi" w:cstheme="majorBidi"/>
      <w:i/>
      <w:iCs/>
      <w:color w:val="2E74B5" w:themeColor="accent1" w:themeShade="BF"/>
    </w:rPr>
  </w:style>
  <w:style w:type="paragraph" w:styleId="NoSpacing">
    <w:name w:val="No Spacing"/>
    <w:uiPriority w:val="1"/>
    <w:qFormat/>
    <w:rsid w:val="00B77D19"/>
    <w:pPr>
      <w:spacing w:after="0" w:line="240" w:lineRule="auto"/>
    </w:pPr>
    <w:rPr>
      <w:kern w:val="2"/>
      <w:lang w:bidi="ar-SA"/>
      <w14:ligatures w14:val="standardContextual"/>
    </w:rPr>
  </w:style>
  <w:style w:type="paragraph" w:styleId="TOCHeading">
    <w:name w:val="TOC Heading"/>
    <w:basedOn w:val="Heading1"/>
    <w:next w:val="Normal"/>
    <w:uiPriority w:val="39"/>
    <w:unhideWhenUsed/>
    <w:qFormat/>
    <w:rsid w:val="009E2AC1"/>
    <w:pPr>
      <w:outlineLvl w:val="9"/>
    </w:pPr>
    <w:rPr>
      <w:lang w:val="en-US" w:bidi="ar-SA"/>
    </w:rPr>
  </w:style>
  <w:style w:type="paragraph" w:styleId="TOC1">
    <w:name w:val="toc 1"/>
    <w:basedOn w:val="Normal"/>
    <w:next w:val="Normal"/>
    <w:autoRedefine/>
    <w:uiPriority w:val="39"/>
    <w:unhideWhenUsed/>
    <w:rsid w:val="009E2AC1"/>
    <w:pPr>
      <w:spacing w:after="100"/>
    </w:pPr>
  </w:style>
  <w:style w:type="paragraph" w:styleId="TOC2">
    <w:name w:val="toc 2"/>
    <w:basedOn w:val="Normal"/>
    <w:next w:val="Normal"/>
    <w:autoRedefine/>
    <w:uiPriority w:val="39"/>
    <w:unhideWhenUsed/>
    <w:rsid w:val="009E2AC1"/>
    <w:pPr>
      <w:spacing w:after="100"/>
      <w:ind w:left="220"/>
    </w:pPr>
  </w:style>
  <w:style w:type="paragraph" w:styleId="TOC3">
    <w:name w:val="toc 3"/>
    <w:basedOn w:val="Normal"/>
    <w:next w:val="Normal"/>
    <w:autoRedefine/>
    <w:uiPriority w:val="39"/>
    <w:unhideWhenUsed/>
    <w:rsid w:val="009E2AC1"/>
    <w:pPr>
      <w:spacing w:after="100"/>
      <w:ind w:left="440"/>
    </w:pPr>
  </w:style>
  <w:style w:type="table" w:styleId="TableGrid">
    <w:name w:val="Table Grid"/>
    <w:basedOn w:val="TableNormal"/>
    <w:uiPriority w:val="39"/>
    <w:rsid w:val="00B95E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2530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09470">
      <w:bodyDiv w:val="1"/>
      <w:marLeft w:val="0"/>
      <w:marRight w:val="0"/>
      <w:marTop w:val="0"/>
      <w:marBottom w:val="0"/>
      <w:divBdr>
        <w:top w:val="none" w:sz="0" w:space="0" w:color="auto"/>
        <w:left w:val="none" w:sz="0" w:space="0" w:color="auto"/>
        <w:bottom w:val="none" w:sz="0" w:space="0" w:color="auto"/>
        <w:right w:val="none" w:sz="0" w:space="0" w:color="auto"/>
      </w:divBdr>
    </w:div>
    <w:div w:id="25983478">
      <w:bodyDiv w:val="1"/>
      <w:marLeft w:val="0"/>
      <w:marRight w:val="0"/>
      <w:marTop w:val="0"/>
      <w:marBottom w:val="0"/>
      <w:divBdr>
        <w:top w:val="none" w:sz="0" w:space="0" w:color="auto"/>
        <w:left w:val="none" w:sz="0" w:space="0" w:color="auto"/>
        <w:bottom w:val="none" w:sz="0" w:space="0" w:color="auto"/>
        <w:right w:val="none" w:sz="0" w:space="0" w:color="auto"/>
      </w:divBdr>
    </w:div>
    <w:div w:id="40904473">
      <w:bodyDiv w:val="1"/>
      <w:marLeft w:val="0"/>
      <w:marRight w:val="0"/>
      <w:marTop w:val="0"/>
      <w:marBottom w:val="0"/>
      <w:divBdr>
        <w:top w:val="none" w:sz="0" w:space="0" w:color="auto"/>
        <w:left w:val="none" w:sz="0" w:space="0" w:color="auto"/>
        <w:bottom w:val="none" w:sz="0" w:space="0" w:color="auto"/>
        <w:right w:val="none" w:sz="0" w:space="0" w:color="auto"/>
      </w:divBdr>
      <w:divsChild>
        <w:div w:id="1716272430">
          <w:marLeft w:val="0"/>
          <w:marRight w:val="0"/>
          <w:marTop w:val="0"/>
          <w:marBottom w:val="0"/>
          <w:divBdr>
            <w:top w:val="none" w:sz="0" w:space="0" w:color="auto"/>
            <w:left w:val="none" w:sz="0" w:space="0" w:color="auto"/>
            <w:bottom w:val="none" w:sz="0" w:space="0" w:color="auto"/>
            <w:right w:val="none" w:sz="0" w:space="0" w:color="auto"/>
          </w:divBdr>
          <w:divsChild>
            <w:div w:id="501090300">
              <w:marLeft w:val="0"/>
              <w:marRight w:val="0"/>
              <w:marTop w:val="0"/>
              <w:marBottom w:val="0"/>
              <w:divBdr>
                <w:top w:val="none" w:sz="0" w:space="0" w:color="auto"/>
                <w:left w:val="none" w:sz="0" w:space="0" w:color="auto"/>
                <w:bottom w:val="none" w:sz="0" w:space="0" w:color="auto"/>
                <w:right w:val="none" w:sz="0" w:space="0" w:color="auto"/>
              </w:divBdr>
            </w:div>
          </w:divsChild>
        </w:div>
        <w:div w:id="1891725794">
          <w:marLeft w:val="0"/>
          <w:marRight w:val="0"/>
          <w:marTop w:val="0"/>
          <w:marBottom w:val="0"/>
          <w:divBdr>
            <w:top w:val="none" w:sz="0" w:space="0" w:color="auto"/>
            <w:left w:val="none" w:sz="0" w:space="0" w:color="auto"/>
            <w:bottom w:val="none" w:sz="0" w:space="0" w:color="auto"/>
            <w:right w:val="none" w:sz="0" w:space="0" w:color="auto"/>
          </w:divBdr>
          <w:divsChild>
            <w:div w:id="463277557">
              <w:marLeft w:val="0"/>
              <w:marRight w:val="0"/>
              <w:marTop w:val="0"/>
              <w:marBottom w:val="0"/>
              <w:divBdr>
                <w:top w:val="none" w:sz="0" w:space="0" w:color="auto"/>
                <w:left w:val="none" w:sz="0" w:space="0" w:color="auto"/>
                <w:bottom w:val="none" w:sz="0" w:space="0" w:color="auto"/>
                <w:right w:val="none" w:sz="0" w:space="0" w:color="auto"/>
              </w:divBdr>
              <w:divsChild>
                <w:div w:id="1746610586">
                  <w:marLeft w:val="0"/>
                  <w:marRight w:val="0"/>
                  <w:marTop w:val="0"/>
                  <w:marBottom w:val="0"/>
                  <w:divBdr>
                    <w:top w:val="none" w:sz="0" w:space="0" w:color="auto"/>
                    <w:left w:val="none" w:sz="0" w:space="0" w:color="auto"/>
                    <w:bottom w:val="none" w:sz="0" w:space="0" w:color="auto"/>
                    <w:right w:val="none" w:sz="0" w:space="0" w:color="auto"/>
                  </w:divBdr>
                  <w:divsChild>
                    <w:div w:id="390538876">
                      <w:marLeft w:val="0"/>
                      <w:marRight w:val="0"/>
                      <w:marTop w:val="0"/>
                      <w:marBottom w:val="0"/>
                      <w:divBdr>
                        <w:top w:val="none" w:sz="0" w:space="0" w:color="auto"/>
                        <w:left w:val="none" w:sz="0" w:space="0" w:color="auto"/>
                        <w:bottom w:val="none" w:sz="0" w:space="0" w:color="auto"/>
                        <w:right w:val="none" w:sz="0" w:space="0" w:color="auto"/>
                      </w:divBdr>
                      <w:divsChild>
                        <w:div w:id="886258139">
                          <w:marLeft w:val="0"/>
                          <w:marRight w:val="0"/>
                          <w:marTop w:val="0"/>
                          <w:marBottom w:val="0"/>
                          <w:divBdr>
                            <w:top w:val="none" w:sz="0" w:space="0" w:color="auto"/>
                            <w:left w:val="none" w:sz="0" w:space="0" w:color="auto"/>
                            <w:bottom w:val="none" w:sz="0" w:space="0" w:color="auto"/>
                            <w:right w:val="none" w:sz="0" w:space="0" w:color="auto"/>
                          </w:divBdr>
                          <w:divsChild>
                            <w:div w:id="1446849090">
                              <w:marLeft w:val="0"/>
                              <w:marRight w:val="0"/>
                              <w:marTop w:val="0"/>
                              <w:marBottom w:val="0"/>
                              <w:divBdr>
                                <w:top w:val="none" w:sz="0" w:space="0" w:color="auto"/>
                                <w:left w:val="none" w:sz="0" w:space="0" w:color="auto"/>
                                <w:bottom w:val="none" w:sz="0" w:space="0" w:color="auto"/>
                                <w:right w:val="none" w:sz="0" w:space="0" w:color="auto"/>
                              </w:divBdr>
                              <w:divsChild>
                                <w:div w:id="1629431416">
                                  <w:marLeft w:val="0"/>
                                  <w:marRight w:val="0"/>
                                  <w:marTop w:val="0"/>
                                  <w:marBottom w:val="0"/>
                                  <w:divBdr>
                                    <w:top w:val="none" w:sz="0" w:space="0" w:color="auto"/>
                                    <w:left w:val="none" w:sz="0" w:space="0" w:color="auto"/>
                                    <w:bottom w:val="none" w:sz="0" w:space="0" w:color="auto"/>
                                    <w:right w:val="none" w:sz="0" w:space="0" w:color="auto"/>
                                  </w:divBdr>
                                  <w:divsChild>
                                    <w:div w:id="1301770737">
                                      <w:marLeft w:val="0"/>
                                      <w:marRight w:val="0"/>
                                      <w:marTop w:val="0"/>
                                      <w:marBottom w:val="0"/>
                                      <w:divBdr>
                                        <w:top w:val="none" w:sz="0" w:space="0" w:color="auto"/>
                                        <w:left w:val="none" w:sz="0" w:space="0" w:color="auto"/>
                                        <w:bottom w:val="none" w:sz="0" w:space="0" w:color="auto"/>
                                        <w:right w:val="none" w:sz="0" w:space="0" w:color="auto"/>
                                      </w:divBdr>
                                      <w:divsChild>
                                        <w:div w:id="755515275">
                                          <w:marLeft w:val="0"/>
                                          <w:marRight w:val="0"/>
                                          <w:marTop w:val="0"/>
                                          <w:marBottom w:val="0"/>
                                          <w:divBdr>
                                            <w:top w:val="none" w:sz="0" w:space="0" w:color="auto"/>
                                            <w:left w:val="none" w:sz="0" w:space="0" w:color="auto"/>
                                            <w:bottom w:val="none" w:sz="0" w:space="0" w:color="auto"/>
                                            <w:right w:val="none" w:sz="0" w:space="0" w:color="auto"/>
                                          </w:divBdr>
                                          <w:divsChild>
                                            <w:div w:id="1806893374">
                                              <w:marLeft w:val="0"/>
                                              <w:marRight w:val="0"/>
                                              <w:marTop w:val="0"/>
                                              <w:marBottom w:val="0"/>
                                              <w:divBdr>
                                                <w:top w:val="none" w:sz="0" w:space="0" w:color="auto"/>
                                                <w:left w:val="none" w:sz="0" w:space="0" w:color="auto"/>
                                                <w:bottom w:val="none" w:sz="0" w:space="0" w:color="auto"/>
                                                <w:right w:val="none" w:sz="0" w:space="0" w:color="auto"/>
                                              </w:divBdr>
                                              <w:divsChild>
                                                <w:div w:id="1163469205">
                                                  <w:marLeft w:val="0"/>
                                                  <w:marRight w:val="0"/>
                                                  <w:marTop w:val="0"/>
                                                  <w:marBottom w:val="0"/>
                                                  <w:divBdr>
                                                    <w:top w:val="none" w:sz="0" w:space="0" w:color="auto"/>
                                                    <w:left w:val="none" w:sz="0" w:space="0" w:color="auto"/>
                                                    <w:bottom w:val="none" w:sz="0" w:space="0" w:color="auto"/>
                                                    <w:right w:val="none" w:sz="0" w:space="0" w:color="auto"/>
                                                  </w:divBdr>
                                                  <w:divsChild>
                                                    <w:div w:id="1690377143">
                                                      <w:marLeft w:val="0"/>
                                                      <w:marRight w:val="0"/>
                                                      <w:marTop w:val="0"/>
                                                      <w:marBottom w:val="0"/>
                                                      <w:divBdr>
                                                        <w:top w:val="none" w:sz="0" w:space="0" w:color="auto"/>
                                                        <w:left w:val="none" w:sz="0" w:space="0" w:color="auto"/>
                                                        <w:bottom w:val="none" w:sz="0" w:space="0" w:color="auto"/>
                                                        <w:right w:val="none" w:sz="0" w:space="0" w:color="auto"/>
                                                      </w:divBdr>
                                                      <w:divsChild>
                                                        <w:div w:id="334380679">
                                                          <w:marLeft w:val="0"/>
                                                          <w:marRight w:val="0"/>
                                                          <w:marTop w:val="0"/>
                                                          <w:marBottom w:val="0"/>
                                                          <w:divBdr>
                                                            <w:top w:val="none" w:sz="0" w:space="0" w:color="auto"/>
                                                            <w:left w:val="none" w:sz="0" w:space="0" w:color="auto"/>
                                                            <w:bottom w:val="none" w:sz="0" w:space="0" w:color="auto"/>
                                                            <w:right w:val="none" w:sz="0" w:space="0" w:color="auto"/>
                                                          </w:divBdr>
                                                          <w:divsChild>
                                                            <w:div w:id="1277571">
                                                              <w:marLeft w:val="0"/>
                                                              <w:marRight w:val="0"/>
                                                              <w:marTop w:val="0"/>
                                                              <w:marBottom w:val="0"/>
                                                              <w:divBdr>
                                                                <w:top w:val="none" w:sz="0" w:space="0" w:color="auto"/>
                                                                <w:left w:val="none" w:sz="0" w:space="0" w:color="auto"/>
                                                                <w:bottom w:val="none" w:sz="0" w:space="0" w:color="auto"/>
                                                                <w:right w:val="none" w:sz="0" w:space="0" w:color="auto"/>
                                                              </w:divBdr>
                                                              <w:divsChild>
                                                                <w:div w:id="156649764">
                                                                  <w:marLeft w:val="0"/>
                                                                  <w:marRight w:val="0"/>
                                                                  <w:marTop w:val="0"/>
                                                                  <w:marBottom w:val="0"/>
                                                                  <w:divBdr>
                                                                    <w:top w:val="none" w:sz="0" w:space="0" w:color="auto"/>
                                                                    <w:left w:val="none" w:sz="0" w:space="0" w:color="auto"/>
                                                                    <w:bottom w:val="none" w:sz="0" w:space="0" w:color="auto"/>
                                                                    <w:right w:val="none" w:sz="0" w:space="0" w:color="auto"/>
                                                                  </w:divBdr>
                                                                  <w:divsChild>
                                                                    <w:div w:id="375588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48985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93802">
      <w:bodyDiv w:val="1"/>
      <w:marLeft w:val="0"/>
      <w:marRight w:val="0"/>
      <w:marTop w:val="0"/>
      <w:marBottom w:val="0"/>
      <w:divBdr>
        <w:top w:val="none" w:sz="0" w:space="0" w:color="auto"/>
        <w:left w:val="none" w:sz="0" w:space="0" w:color="auto"/>
        <w:bottom w:val="none" w:sz="0" w:space="0" w:color="auto"/>
        <w:right w:val="none" w:sz="0" w:space="0" w:color="auto"/>
      </w:divBdr>
    </w:div>
    <w:div w:id="124547869">
      <w:bodyDiv w:val="1"/>
      <w:marLeft w:val="0"/>
      <w:marRight w:val="0"/>
      <w:marTop w:val="0"/>
      <w:marBottom w:val="0"/>
      <w:divBdr>
        <w:top w:val="none" w:sz="0" w:space="0" w:color="auto"/>
        <w:left w:val="none" w:sz="0" w:space="0" w:color="auto"/>
        <w:bottom w:val="none" w:sz="0" w:space="0" w:color="auto"/>
        <w:right w:val="none" w:sz="0" w:space="0" w:color="auto"/>
      </w:divBdr>
      <w:divsChild>
        <w:div w:id="776411856">
          <w:marLeft w:val="0"/>
          <w:marRight w:val="0"/>
          <w:marTop w:val="0"/>
          <w:marBottom w:val="0"/>
          <w:divBdr>
            <w:top w:val="none" w:sz="0" w:space="0" w:color="auto"/>
            <w:left w:val="none" w:sz="0" w:space="0" w:color="auto"/>
            <w:bottom w:val="none" w:sz="0" w:space="0" w:color="auto"/>
            <w:right w:val="none" w:sz="0" w:space="0" w:color="auto"/>
          </w:divBdr>
        </w:div>
        <w:div w:id="560412352">
          <w:marLeft w:val="0"/>
          <w:marRight w:val="0"/>
          <w:marTop w:val="0"/>
          <w:marBottom w:val="0"/>
          <w:divBdr>
            <w:top w:val="none" w:sz="0" w:space="0" w:color="auto"/>
            <w:left w:val="none" w:sz="0" w:space="0" w:color="auto"/>
            <w:bottom w:val="none" w:sz="0" w:space="0" w:color="auto"/>
            <w:right w:val="none" w:sz="0" w:space="0" w:color="auto"/>
          </w:divBdr>
        </w:div>
      </w:divsChild>
    </w:div>
    <w:div w:id="189956054">
      <w:bodyDiv w:val="1"/>
      <w:marLeft w:val="0"/>
      <w:marRight w:val="0"/>
      <w:marTop w:val="0"/>
      <w:marBottom w:val="0"/>
      <w:divBdr>
        <w:top w:val="none" w:sz="0" w:space="0" w:color="auto"/>
        <w:left w:val="none" w:sz="0" w:space="0" w:color="auto"/>
        <w:bottom w:val="none" w:sz="0" w:space="0" w:color="auto"/>
        <w:right w:val="none" w:sz="0" w:space="0" w:color="auto"/>
      </w:divBdr>
      <w:divsChild>
        <w:div w:id="1031494099">
          <w:marLeft w:val="0"/>
          <w:marRight w:val="0"/>
          <w:marTop w:val="0"/>
          <w:marBottom w:val="0"/>
          <w:divBdr>
            <w:top w:val="none" w:sz="0" w:space="0" w:color="auto"/>
            <w:left w:val="none" w:sz="0" w:space="0" w:color="auto"/>
            <w:bottom w:val="none" w:sz="0" w:space="0" w:color="auto"/>
            <w:right w:val="none" w:sz="0" w:space="0" w:color="auto"/>
          </w:divBdr>
          <w:divsChild>
            <w:div w:id="109297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866101">
      <w:bodyDiv w:val="1"/>
      <w:marLeft w:val="0"/>
      <w:marRight w:val="0"/>
      <w:marTop w:val="0"/>
      <w:marBottom w:val="0"/>
      <w:divBdr>
        <w:top w:val="none" w:sz="0" w:space="0" w:color="auto"/>
        <w:left w:val="none" w:sz="0" w:space="0" w:color="auto"/>
        <w:bottom w:val="none" w:sz="0" w:space="0" w:color="auto"/>
        <w:right w:val="none" w:sz="0" w:space="0" w:color="auto"/>
      </w:divBdr>
    </w:div>
    <w:div w:id="263192979">
      <w:bodyDiv w:val="1"/>
      <w:marLeft w:val="0"/>
      <w:marRight w:val="0"/>
      <w:marTop w:val="0"/>
      <w:marBottom w:val="0"/>
      <w:divBdr>
        <w:top w:val="none" w:sz="0" w:space="0" w:color="auto"/>
        <w:left w:val="none" w:sz="0" w:space="0" w:color="auto"/>
        <w:bottom w:val="none" w:sz="0" w:space="0" w:color="auto"/>
        <w:right w:val="none" w:sz="0" w:space="0" w:color="auto"/>
      </w:divBdr>
    </w:div>
    <w:div w:id="317653542">
      <w:bodyDiv w:val="1"/>
      <w:marLeft w:val="0"/>
      <w:marRight w:val="0"/>
      <w:marTop w:val="0"/>
      <w:marBottom w:val="0"/>
      <w:divBdr>
        <w:top w:val="none" w:sz="0" w:space="0" w:color="auto"/>
        <w:left w:val="none" w:sz="0" w:space="0" w:color="auto"/>
        <w:bottom w:val="none" w:sz="0" w:space="0" w:color="auto"/>
        <w:right w:val="none" w:sz="0" w:space="0" w:color="auto"/>
      </w:divBdr>
      <w:divsChild>
        <w:div w:id="725177203">
          <w:marLeft w:val="0"/>
          <w:marRight w:val="0"/>
          <w:marTop w:val="0"/>
          <w:marBottom w:val="0"/>
          <w:divBdr>
            <w:top w:val="none" w:sz="0" w:space="0" w:color="auto"/>
            <w:left w:val="none" w:sz="0" w:space="0" w:color="auto"/>
            <w:bottom w:val="none" w:sz="0" w:space="0" w:color="auto"/>
            <w:right w:val="none" w:sz="0" w:space="0" w:color="auto"/>
          </w:divBdr>
          <w:divsChild>
            <w:div w:id="1706905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2176196">
      <w:bodyDiv w:val="1"/>
      <w:marLeft w:val="0"/>
      <w:marRight w:val="0"/>
      <w:marTop w:val="0"/>
      <w:marBottom w:val="0"/>
      <w:divBdr>
        <w:top w:val="none" w:sz="0" w:space="0" w:color="auto"/>
        <w:left w:val="none" w:sz="0" w:space="0" w:color="auto"/>
        <w:bottom w:val="none" w:sz="0" w:space="0" w:color="auto"/>
        <w:right w:val="none" w:sz="0" w:space="0" w:color="auto"/>
      </w:divBdr>
    </w:div>
    <w:div w:id="761951355">
      <w:bodyDiv w:val="1"/>
      <w:marLeft w:val="0"/>
      <w:marRight w:val="0"/>
      <w:marTop w:val="0"/>
      <w:marBottom w:val="0"/>
      <w:divBdr>
        <w:top w:val="none" w:sz="0" w:space="0" w:color="auto"/>
        <w:left w:val="none" w:sz="0" w:space="0" w:color="auto"/>
        <w:bottom w:val="none" w:sz="0" w:space="0" w:color="auto"/>
        <w:right w:val="none" w:sz="0" w:space="0" w:color="auto"/>
      </w:divBdr>
    </w:div>
    <w:div w:id="801113250">
      <w:bodyDiv w:val="1"/>
      <w:marLeft w:val="0"/>
      <w:marRight w:val="0"/>
      <w:marTop w:val="0"/>
      <w:marBottom w:val="0"/>
      <w:divBdr>
        <w:top w:val="none" w:sz="0" w:space="0" w:color="auto"/>
        <w:left w:val="none" w:sz="0" w:space="0" w:color="auto"/>
        <w:bottom w:val="none" w:sz="0" w:space="0" w:color="auto"/>
        <w:right w:val="none" w:sz="0" w:space="0" w:color="auto"/>
      </w:divBdr>
    </w:div>
    <w:div w:id="926692598">
      <w:bodyDiv w:val="1"/>
      <w:marLeft w:val="0"/>
      <w:marRight w:val="0"/>
      <w:marTop w:val="0"/>
      <w:marBottom w:val="0"/>
      <w:divBdr>
        <w:top w:val="none" w:sz="0" w:space="0" w:color="auto"/>
        <w:left w:val="none" w:sz="0" w:space="0" w:color="auto"/>
        <w:bottom w:val="none" w:sz="0" w:space="0" w:color="auto"/>
        <w:right w:val="none" w:sz="0" w:space="0" w:color="auto"/>
      </w:divBdr>
      <w:divsChild>
        <w:div w:id="951866735">
          <w:marLeft w:val="0"/>
          <w:marRight w:val="0"/>
          <w:marTop w:val="0"/>
          <w:marBottom w:val="0"/>
          <w:divBdr>
            <w:top w:val="none" w:sz="0" w:space="0" w:color="auto"/>
            <w:left w:val="none" w:sz="0" w:space="0" w:color="auto"/>
            <w:bottom w:val="none" w:sz="0" w:space="0" w:color="auto"/>
            <w:right w:val="none" w:sz="0" w:space="0" w:color="auto"/>
          </w:divBdr>
          <w:divsChild>
            <w:div w:id="1538739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589769">
      <w:bodyDiv w:val="1"/>
      <w:marLeft w:val="0"/>
      <w:marRight w:val="0"/>
      <w:marTop w:val="0"/>
      <w:marBottom w:val="0"/>
      <w:divBdr>
        <w:top w:val="none" w:sz="0" w:space="0" w:color="auto"/>
        <w:left w:val="none" w:sz="0" w:space="0" w:color="auto"/>
        <w:bottom w:val="none" w:sz="0" w:space="0" w:color="auto"/>
        <w:right w:val="none" w:sz="0" w:space="0" w:color="auto"/>
      </w:divBdr>
      <w:divsChild>
        <w:div w:id="173610681">
          <w:marLeft w:val="0"/>
          <w:marRight w:val="0"/>
          <w:marTop w:val="0"/>
          <w:marBottom w:val="0"/>
          <w:divBdr>
            <w:top w:val="none" w:sz="0" w:space="0" w:color="auto"/>
            <w:left w:val="none" w:sz="0" w:space="0" w:color="auto"/>
            <w:bottom w:val="none" w:sz="0" w:space="0" w:color="auto"/>
            <w:right w:val="none" w:sz="0" w:space="0" w:color="auto"/>
          </w:divBdr>
          <w:divsChild>
            <w:div w:id="1992712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890562">
      <w:bodyDiv w:val="1"/>
      <w:marLeft w:val="0"/>
      <w:marRight w:val="0"/>
      <w:marTop w:val="0"/>
      <w:marBottom w:val="0"/>
      <w:divBdr>
        <w:top w:val="none" w:sz="0" w:space="0" w:color="auto"/>
        <w:left w:val="none" w:sz="0" w:space="0" w:color="auto"/>
        <w:bottom w:val="none" w:sz="0" w:space="0" w:color="auto"/>
        <w:right w:val="none" w:sz="0" w:space="0" w:color="auto"/>
      </w:divBdr>
      <w:divsChild>
        <w:div w:id="2014333949">
          <w:marLeft w:val="0"/>
          <w:marRight w:val="0"/>
          <w:marTop w:val="0"/>
          <w:marBottom w:val="0"/>
          <w:divBdr>
            <w:top w:val="none" w:sz="0" w:space="0" w:color="auto"/>
            <w:left w:val="none" w:sz="0" w:space="0" w:color="auto"/>
            <w:bottom w:val="none" w:sz="0" w:space="0" w:color="auto"/>
            <w:right w:val="none" w:sz="0" w:space="0" w:color="auto"/>
          </w:divBdr>
          <w:divsChild>
            <w:div w:id="1194922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827610">
      <w:bodyDiv w:val="1"/>
      <w:marLeft w:val="0"/>
      <w:marRight w:val="0"/>
      <w:marTop w:val="0"/>
      <w:marBottom w:val="0"/>
      <w:divBdr>
        <w:top w:val="none" w:sz="0" w:space="0" w:color="auto"/>
        <w:left w:val="none" w:sz="0" w:space="0" w:color="auto"/>
        <w:bottom w:val="none" w:sz="0" w:space="0" w:color="auto"/>
        <w:right w:val="none" w:sz="0" w:space="0" w:color="auto"/>
      </w:divBdr>
      <w:divsChild>
        <w:div w:id="891844751">
          <w:marLeft w:val="0"/>
          <w:marRight w:val="0"/>
          <w:marTop w:val="0"/>
          <w:marBottom w:val="0"/>
          <w:divBdr>
            <w:top w:val="none" w:sz="0" w:space="0" w:color="auto"/>
            <w:left w:val="none" w:sz="0" w:space="0" w:color="auto"/>
            <w:bottom w:val="none" w:sz="0" w:space="0" w:color="auto"/>
            <w:right w:val="none" w:sz="0" w:space="0" w:color="auto"/>
          </w:divBdr>
          <w:divsChild>
            <w:div w:id="1653943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2459890">
      <w:bodyDiv w:val="1"/>
      <w:marLeft w:val="0"/>
      <w:marRight w:val="0"/>
      <w:marTop w:val="0"/>
      <w:marBottom w:val="0"/>
      <w:divBdr>
        <w:top w:val="none" w:sz="0" w:space="0" w:color="auto"/>
        <w:left w:val="none" w:sz="0" w:space="0" w:color="auto"/>
        <w:bottom w:val="none" w:sz="0" w:space="0" w:color="auto"/>
        <w:right w:val="none" w:sz="0" w:space="0" w:color="auto"/>
      </w:divBdr>
    </w:div>
    <w:div w:id="1132018781">
      <w:bodyDiv w:val="1"/>
      <w:marLeft w:val="0"/>
      <w:marRight w:val="0"/>
      <w:marTop w:val="0"/>
      <w:marBottom w:val="0"/>
      <w:divBdr>
        <w:top w:val="none" w:sz="0" w:space="0" w:color="auto"/>
        <w:left w:val="none" w:sz="0" w:space="0" w:color="auto"/>
        <w:bottom w:val="none" w:sz="0" w:space="0" w:color="auto"/>
        <w:right w:val="none" w:sz="0" w:space="0" w:color="auto"/>
      </w:divBdr>
    </w:div>
    <w:div w:id="1254239308">
      <w:bodyDiv w:val="1"/>
      <w:marLeft w:val="0"/>
      <w:marRight w:val="0"/>
      <w:marTop w:val="0"/>
      <w:marBottom w:val="0"/>
      <w:divBdr>
        <w:top w:val="none" w:sz="0" w:space="0" w:color="auto"/>
        <w:left w:val="none" w:sz="0" w:space="0" w:color="auto"/>
        <w:bottom w:val="none" w:sz="0" w:space="0" w:color="auto"/>
        <w:right w:val="none" w:sz="0" w:space="0" w:color="auto"/>
      </w:divBdr>
      <w:divsChild>
        <w:div w:id="713038580">
          <w:marLeft w:val="0"/>
          <w:marRight w:val="0"/>
          <w:marTop w:val="0"/>
          <w:marBottom w:val="0"/>
          <w:divBdr>
            <w:top w:val="none" w:sz="0" w:space="0" w:color="auto"/>
            <w:left w:val="none" w:sz="0" w:space="0" w:color="auto"/>
            <w:bottom w:val="none" w:sz="0" w:space="0" w:color="auto"/>
            <w:right w:val="none" w:sz="0" w:space="0" w:color="auto"/>
          </w:divBdr>
          <w:divsChild>
            <w:div w:id="469979870">
              <w:marLeft w:val="0"/>
              <w:marRight w:val="0"/>
              <w:marTop w:val="0"/>
              <w:marBottom w:val="0"/>
              <w:divBdr>
                <w:top w:val="none" w:sz="0" w:space="0" w:color="auto"/>
                <w:left w:val="none" w:sz="0" w:space="0" w:color="auto"/>
                <w:bottom w:val="none" w:sz="0" w:space="0" w:color="auto"/>
                <w:right w:val="none" w:sz="0" w:space="0" w:color="auto"/>
              </w:divBdr>
              <w:divsChild>
                <w:div w:id="364647276">
                  <w:marLeft w:val="0"/>
                  <w:marRight w:val="0"/>
                  <w:marTop w:val="0"/>
                  <w:marBottom w:val="0"/>
                  <w:divBdr>
                    <w:top w:val="none" w:sz="0" w:space="0" w:color="auto"/>
                    <w:left w:val="none" w:sz="0" w:space="0" w:color="auto"/>
                    <w:bottom w:val="none" w:sz="0" w:space="0" w:color="auto"/>
                    <w:right w:val="none" w:sz="0" w:space="0" w:color="auto"/>
                  </w:divBdr>
                  <w:divsChild>
                    <w:div w:id="1672293029">
                      <w:marLeft w:val="0"/>
                      <w:marRight w:val="0"/>
                      <w:marTop w:val="0"/>
                      <w:marBottom w:val="0"/>
                      <w:divBdr>
                        <w:top w:val="none" w:sz="0" w:space="0" w:color="auto"/>
                        <w:left w:val="none" w:sz="0" w:space="0" w:color="auto"/>
                        <w:bottom w:val="none" w:sz="0" w:space="0" w:color="auto"/>
                        <w:right w:val="none" w:sz="0" w:space="0" w:color="auto"/>
                      </w:divBdr>
                      <w:divsChild>
                        <w:div w:id="1987658355">
                          <w:marLeft w:val="0"/>
                          <w:marRight w:val="0"/>
                          <w:marTop w:val="0"/>
                          <w:marBottom w:val="0"/>
                          <w:divBdr>
                            <w:top w:val="none" w:sz="0" w:space="0" w:color="auto"/>
                            <w:left w:val="none" w:sz="0" w:space="0" w:color="auto"/>
                            <w:bottom w:val="none" w:sz="0" w:space="0" w:color="auto"/>
                            <w:right w:val="none" w:sz="0" w:space="0" w:color="auto"/>
                          </w:divBdr>
                          <w:divsChild>
                            <w:div w:id="297033461">
                              <w:marLeft w:val="0"/>
                              <w:marRight w:val="0"/>
                              <w:marTop w:val="0"/>
                              <w:marBottom w:val="0"/>
                              <w:divBdr>
                                <w:top w:val="none" w:sz="0" w:space="0" w:color="auto"/>
                                <w:left w:val="none" w:sz="0" w:space="0" w:color="auto"/>
                                <w:bottom w:val="none" w:sz="0" w:space="0" w:color="auto"/>
                                <w:right w:val="none" w:sz="0" w:space="0" w:color="auto"/>
                              </w:divBdr>
                              <w:divsChild>
                                <w:div w:id="2068644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4826517">
          <w:marLeft w:val="0"/>
          <w:marRight w:val="0"/>
          <w:marTop w:val="0"/>
          <w:marBottom w:val="0"/>
          <w:divBdr>
            <w:top w:val="none" w:sz="0" w:space="0" w:color="auto"/>
            <w:left w:val="none" w:sz="0" w:space="0" w:color="auto"/>
            <w:bottom w:val="none" w:sz="0" w:space="0" w:color="auto"/>
            <w:right w:val="none" w:sz="0" w:space="0" w:color="auto"/>
          </w:divBdr>
        </w:div>
      </w:divsChild>
    </w:div>
    <w:div w:id="1330133478">
      <w:bodyDiv w:val="1"/>
      <w:marLeft w:val="0"/>
      <w:marRight w:val="0"/>
      <w:marTop w:val="0"/>
      <w:marBottom w:val="0"/>
      <w:divBdr>
        <w:top w:val="none" w:sz="0" w:space="0" w:color="auto"/>
        <w:left w:val="none" w:sz="0" w:space="0" w:color="auto"/>
        <w:bottom w:val="none" w:sz="0" w:space="0" w:color="auto"/>
        <w:right w:val="none" w:sz="0" w:space="0" w:color="auto"/>
      </w:divBdr>
      <w:divsChild>
        <w:div w:id="1804497730">
          <w:marLeft w:val="0"/>
          <w:marRight w:val="0"/>
          <w:marTop w:val="0"/>
          <w:marBottom w:val="0"/>
          <w:divBdr>
            <w:top w:val="none" w:sz="0" w:space="0" w:color="auto"/>
            <w:left w:val="none" w:sz="0" w:space="0" w:color="auto"/>
            <w:bottom w:val="none" w:sz="0" w:space="0" w:color="auto"/>
            <w:right w:val="none" w:sz="0" w:space="0" w:color="auto"/>
          </w:divBdr>
          <w:divsChild>
            <w:div w:id="982808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958202">
      <w:bodyDiv w:val="1"/>
      <w:marLeft w:val="0"/>
      <w:marRight w:val="0"/>
      <w:marTop w:val="0"/>
      <w:marBottom w:val="0"/>
      <w:divBdr>
        <w:top w:val="none" w:sz="0" w:space="0" w:color="auto"/>
        <w:left w:val="none" w:sz="0" w:space="0" w:color="auto"/>
        <w:bottom w:val="none" w:sz="0" w:space="0" w:color="auto"/>
        <w:right w:val="none" w:sz="0" w:space="0" w:color="auto"/>
      </w:divBdr>
    </w:div>
    <w:div w:id="1505591044">
      <w:bodyDiv w:val="1"/>
      <w:marLeft w:val="0"/>
      <w:marRight w:val="0"/>
      <w:marTop w:val="0"/>
      <w:marBottom w:val="0"/>
      <w:divBdr>
        <w:top w:val="none" w:sz="0" w:space="0" w:color="auto"/>
        <w:left w:val="none" w:sz="0" w:space="0" w:color="auto"/>
        <w:bottom w:val="none" w:sz="0" w:space="0" w:color="auto"/>
        <w:right w:val="none" w:sz="0" w:space="0" w:color="auto"/>
      </w:divBdr>
    </w:div>
    <w:div w:id="1593009293">
      <w:bodyDiv w:val="1"/>
      <w:marLeft w:val="0"/>
      <w:marRight w:val="0"/>
      <w:marTop w:val="0"/>
      <w:marBottom w:val="0"/>
      <w:divBdr>
        <w:top w:val="none" w:sz="0" w:space="0" w:color="auto"/>
        <w:left w:val="none" w:sz="0" w:space="0" w:color="auto"/>
        <w:bottom w:val="none" w:sz="0" w:space="0" w:color="auto"/>
        <w:right w:val="none" w:sz="0" w:space="0" w:color="auto"/>
      </w:divBdr>
    </w:div>
    <w:div w:id="1624002509">
      <w:bodyDiv w:val="1"/>
      <w:marLeft w:val="0"/>
      <w:marRight w:val="0"/>
      <w:marTop w:val="0"/>
      <w:marBottom w:val="0"/>
      <w:divBdr>
        <w:top w:val="none" w:sz="0" w:space="0" w:color="auto"/>
        <w:left w:val="none" w:sz="0" w:space="0" w:color="auto"/>
        <w:bottom w:val="none" w:sz="0" w:space="0" w:color="auto"/>
        <w:right w:val="none" w:sz="0" w:space="0" w:color="auto"/>
      </w:divBdr>
    </w:div>
    <w:div w:id="1636567603">
      <w:bodyDiv w:val="1"/>
      <w:marLeft w:val="0"/>
      <w:marRight w:val="0"/>
      <w:marTop w:val="0"/>
      <w:marBottom w:val="0"/>
      <w:divBdr>
        <w:top w:val="none" w:sz="0" w:space="0" w:color="auto"/>
        <w:left w:val="none" w:sz="0" w:space="0" w:color="auto"/>
        <w:bottom w:val="none" w:sz="0" w:space="0" w:color="auto"/>
        <w:right w:val="none" w:sz="0" w:space="0" w:color="auto"/>
      </w:divBdr>
    </w:div>
    <w:div w:id="1679772252">
      <w:bodyDiv w:val="1"/>
      <w:marLeft w:val="0"/>
      <w:marRight w:val="0"/>
      <w:marTop w:val="0"/>
      <w:marBottom w:val="0"/>
      <w:divBdr>
        <w:top w:val="none" w:sz="0" w:space="0" w:color="auto"/>
        <w:left w:val="none" w:sz="0" w:space="0" w:color="auto"/>
        <w:bottom w:val="none" w:sz="0" w:space="0" w:color="auto"/>
        <w:right w:val="none" w:sz="0" w:space="0" w:color="auto"/>
      </w:divBdr>
      <w:divsChild>
        <w:div w:id="1969435327">
          <w:marLeft w:val="0"/>
          <w:marRight w:val="0"/>
          <w:marTop w:val="0"/>
          <w:marBottom w:val="0"/>
          <w:divBdr>
            <w:top w:val="none" w:sz="0" w:space="0" w:color="auto"/>
            <w:left w:val="none" w:sz="0" w:space="0" w:color="auto"/>
            <w:bottom w:val="none" w:sz="0" w:space="0" w:color="auto"/>
            <w:right w:val="none" w:sz="0" w:space="0" w:color="auto"/>
          </w:divBdr>
          <w:divsChild>
            <w:div w:id="104190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123175">
      <w:bodyDiv w:val="1"/>
      <w:marLeft w:val="0"/>
      <w:marRight w:val="0"/>
      <w:marTop w:val="0"/>
      <w:marBottom w:val="0"/>
      <w:divBdr>
        <w:top w:val="none" w:sz="0" w:space="0" w:color="auto"/>
        <w:left w:val="none" w:sz="0" w:space="0" w:color="auto"/>
        <w:bottom w:val="none" w:sz="0" w:space="0" w:color="auto"/>
        <w:right w:val="none" w:sz="0" w:space="0" w:color="auto"/>
      </w:divBdr>
    </w:div>
    <w:div w:id="1741630551">
      <w:bodyDiv w:val="1"/>
      <w:marLeft w:val="0"/>
      <w:marRight w:val="0"/>
      <w:marTop w:val="0"/>
      <w:marBottom w:val="0"/>
      <w:divBdr>
        <w:top w:val="none" w:sz="0" w:space="0" w:color="auto"/>
        <w:left w:val="none" w:sz="0" w:space="0" w:color="auto"/>
        <w:bottom w:val="none" w:sz="0" w:space="0" w:color="auto"/>
        <w:right w:val="none" w:sz="0" w:space="0" w:color="auto"/>
      </w:divBdr>
    </w:div>
    <w:div w:id="1885362074">
      <w:bodyDiv w:val="1"/>
      <w:marLeft w:val="0"/>
      <w:marRight w:val="0"/>
      <w:marTop w:val="0"/>
      <w:marBottom w:val="0"/>
      <w:divBdr>
        <w:top w:val="none" w:sz="0" w:space="0" w:color="auto"/>
        <w:left w:val="none" w:sz="0" w:space="0" w:color="auto"/>
        <w:bottom w:val="none" w:sz="0" w:space="0" w:color="auto"/>
        <w:right w:val="none" w:sz="0" w:space="0" w:color="auto"/>
      </w:divBdr>
    </w:div>
    <w:div w:id="1994330547">
      <w:bodyDiv w:val="1"/>
      <w:marLeft w:val="0"/>
      <w:marRight w:val="0"/>
      <w:marTop w:val="0"/>
      <w:marBottom w:val="0"/>
      <w:divBdr>
        <w:top w:val="none" w:sz="0" w:space="0" w:color="auto"/>
        <w:left w:val="none" w:sz="0" w:space="0" w:color="auto"/>
        <w:bottom w:val="none" w:sz="0" w:space="0" w:color="auto"/>
        <w:right w:val="none" w:sz="0" w:space="0" w:color="auto"/>
      </w:divBdr>
    </w:div>
    <w:div w:id="2031753844">
      <w:bodyDiv w:val="1"/>
      <w:marLeft w:val="0"/>
      <w:marRight w:val="0"/>
      <w:marTop w:val="0"/>
      <w:marBottom w:val="0"/>
      <w:divBdr>
        <w:top w:val="none" w:sz="0" w:space="0" w:color="auto"/>
        <w:left w:val="none" w:sz="0" w:space="0" w:color="auto"/>
        <w:bottom w:val="none" w:sz="0" w:space="0" w:color="auto"/>
        <w:right w:val="none" w:sz="0" w:space="0" w:color="auto"/>
      </w:divBdr>
      <w:divsChild>
        <w:div w:id="147332795">
          <w:marLeft w:val="0"/>
          <w:marRight w:val="0"/>
          <w:marTop w:val="0"/>
          <w:marBottom w:val="0"/>
          <w:divBdr>
            <w:top w:val="none" w:sz="0" w:space="0" w:color="auto"/>
            <w:left w:val="none" w:sz="0" w:space="0" w:color="auto"/>
            <w:bottom w:val="none" w:sz="0" w:space="0" w:color="auto"/>
            <w:right w:val="none" w:sz="0" w:space="0" w:color="auto"/>
          </w:divBdr>
          <w:divsChild>
            <w:div w:id="95414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arxiv.org/abs/2411.04640?utm_source=chatgpt.com"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arxiv.org/abs/2302.02875?utm_source=chatgpt.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016/j.tourman.2021.104311?utm_source=chatgpt.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ttc.org/research/economic-impact?utm_source=chatgpt.com"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2138FB-80F1-4F8F-86C1-106CBC7284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29</Pages>
  <Words>7415</Words>
  <Characters>42267</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RUPANSHI SETALVAD</cp:lastModifiedBy>
  <cp:revision>179</cp:revision>
  <dcterms:created xsi:type="dcterms:W3CDTF">2026-08-11T18:10:00Z</dcterms:created>
  <dcterms:modified xsi:type="dcterms:W3CDTF">2026-08-12T23:42:00Z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1eebc828-1c66-4fe1-896c-e123be6e9a3f</vt:lpwstr>
  </property>
</Properties>
</file>