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1A2F98" w14:textId="4B66EA33" w:rsidR="00290CC5" w:rsidRDefault="00160A49">
      <w:r>
        <w:t xml:space="preserve">Before the death of King Prasutagus, the Iceni tribe in East Anglia had a truce alongside the Roman Empire. When he passed in 60 </w:t>
      </w:r>
      <w:proofErr w:type="gramStart"/>
      <w:r>
        <w:t>AD</w:t>
      </w:r>
      <w:proofErr w:type="gramEnd"/>
      <w:r>
        <w:t xml:space="preserve">, his will </w:t>
      </w:r>
      <w:proofErr w:type="gramStart"/>
      <w:r>
        <w:t>offered</w:t>
      </w:r>
      <w:proofErr w:type="gramEnd"/>
      <w:r>
        <w:t xml:space="preserve"> that ownership of his properties went half to the Romans (at the time the Roman Emperor Nero) and half to his daughters. It has been suggested that his wife Boudicca was </w:t>
      </w:r>
      <w:r w:rsidR="00FD7709">
        <w:t>truly</w:t>
      </w:r>
      <w:r>
        <w:t xml:space="preserve"> the one he intended it to go to, but this cannot be confirmed as there is no certainty whether she was named in his will</w:t>
      </w:r>
      <w:r w:rsidR="00E01A49">
        <w:rPr>
          <w:rStyle w:val="FootnoteReference"/>
        </w:rPr>
        <w:footnoteReference w:id="1"/>
      </w:r>
      <w:r>
        <w:t xml:space="preserve">. </w:t>
      </w:r>
      <w:r w:rsidR="00F14856">
        <w:t>Nonetheless, f</w:t>
      </w:r>
      <w:r>
        <w:t xml:space="preserve">or a brief but impactful time, Boudicca was </w:t>
      </w:r>
      <w:r w:rsidR="00F14856">
        <w:t xml:space="preserve">placed in charge </w:t>
      </w:r>
      <w:r>
        <w:t xml:space="preserve">of the Iceni tribe after her husband </w:t>
      </w:r>
      <w:r w:rsidR="00F14856">
        <w:t xml:space="preserve">passed </w:t>
      </w:r>
      <w:r w:rsidR="00E01A49">
        <w:t xml:space="preserve">– </w:t>
      </w:r>
      <w:r w:rsidR="00F14856">
        <w:t xml:space="preserve">and </w:t>
      </w:r>
      <w:r w:rsidR="00E01A49">
        <w:t>one way or another, Roman soldiers attempted to seize the half they were not owed in the belief that Boudicca, as a woman, would not fight back.</w:t>
      </w:r>
    </w:p>
    <w:p w14:paraId="4497E601" w14:textId="77777777" w:rsidR="00290CC5" w:rsidRDefault="00FE4F3B">
      <w:r>
        <w:t>It cannot be known if she was Iceni by birth or by marriage; next to nothing is known about where she was born or her adolescence, however it can be said for certain that she was not able to take the Roman’s mistreatment against the Iceni tribe passively. In fact, there appears to be little archaeological evidence proving that the Iceni adopted many, if any, Roman habits</w:t>
      </w:r>
      <w:r w:rsidR="0089798F">
        <w:t xml:space="preserve">, </w:t>
      </w:r>
      <w:proofErr w:type="gramStart"/>
      <w:r w:rsidR="0089798F">
        <w:t>in particular</w:t>
      </w:r>
      <w:r>
        <w:t xml:space="preserve"> of</w:t>
      </w:r>
      <w:proofErr w:type="gramEnd"/>
      <w:r>
        <w:t xml:space="preserve"> cooking or drinking – this led to imply the revolt that would take place further on. Boudicca’s story can be found earliest in Holinshed’s ‘Chronicles’</w:t>
      </w:r>
      <w:r>
        <w:rPr>
          <w:rStyle w:val="FootnoteReference"/>
        </w:rPr>
        <w:footnoteReference w:id="2"/>
      </w:r>
      <w:r>
        <w:t xml:space="preserve">, and despite the Roman’s distaste towards a female in power, historians have noted that </w:t>
      </w:r>
      <w:r w:rsidR="006C2C5D">
        <w:t>“the account of the Boudican rebellion was much more favourable toward the Britons than to their adversaries, the ostensibly more civilized Romans.”</w:t>
      </w:r>
      <w:r w:rsidR="006C2C5D">
        <w:rPr>
          <w:rStyle w:val="FootnoteReference"/>
        </w:rPr>
        <w:footnoteReference w:id="3"/>
      </w:r>
      <w:r w:rsidR="006C2C5D">
        <w:t xml:space="preserve"> However, their distaste can still be noted in the works of Livy or Tacitus; “Queens […] are insatiable in their greed and lust for power, and are willing to compromise their morality in order to achieve their arms.”</w:t>
      </w:r>
      <w:r w:rsidR="006C2C5D">
        <w:rPr>
          <w:rStyle w:val="FootnoteReference"/>
        </w:rPr>
        <w:footnoteReference w:id="4"/>
      </w:r>
    </w:p>
    <w:p w14:paraId="3552F661" w14:textId="294FBC0F" w:rsidR="00160A49" w:rsidRDefault="0089798F">
      <w:r>
        <w:t>Her history is a tribute to the fact that femininity can thrive even under oppressive circumstances – despite these predisposed notions of female leaders, Boudicca successfully led a revolt through Britannica to fight back against the Romans. It is said between Camulodunum, Londinium (modern day London) and Verulamium (modern day St Albans)</w:t>
      </w:r>
      <w:r w:rsidR="00D079A5">
        <w:t xml:space="preserve">, there was 70,000 killed in all three towns. </w:t>
      </w:r>
      <w:r w:rsidR="008F4A0C">
        <w:t>Although she managed to reclaim these territories for her tribe, the Romans were eager to crush her path of destruction. This was not something she was willing to give them satisfaction for – Tacitus wrote that she exclaimed “Win the battle or perish! That is what I, a woman, intend to do. Let the men live in slavery if they wish!”</w:t>
      </w:r>
      <w:r w:rsidR="008F4A0C">
        <w:rPr>
          <w:rStyle w:val="FootnoteReference"/>
        </w:rPr>
        <w:footnoteReference w:id="5"/>
      </w:r>
      <w:r w:rsidR="00160A49">
        <w:t xml:space="preserve"> </w:t>
      </w:r>
      <w:r w:rsidR="00F14856">
        <w:t xml:space="preserve">She committed herself heavily to this phrase – Roman legionaries destroyed Boudicca’s army, slaughtering an estimate of 80,000 fighters as well as spectators, and once they attempted to take her as slave she instead committed suicide by poison, as she would rather have died alongside her </w:t>
      </w:r>
      <w:r w:rsidR="00F14856">
        <w:lastRenderedPageBreak/>
        <w:t xml:space="preserve">warriors than be taken hostage by the people she was fighting against. </w:t>
      </w:r>
      <w:r w:rsidR="00290CC5">
        <w:t>Ultimately, this act of sacrifice solidified Boudicca in history as one of the most formidable and fearless women in power. Despite the odds stacked against her, she was endlessly brave and led her army into a battle that, whether she won or not, left her successful</w:t>
      </w:r>
      <w:r w:rsidR="000E70B2">
        <w:t>ly</w:t>
      </w:r>
      <w:r w:rsidR="00290CC5">
        <w:t xml:space="preserve"> having reclaimed her power.</w:t>
      </w:r>
    </w:p>
    <w:p w14:paraId="70E1F28B" w14:textId="1BA8F837" w:rsidR="00290CC5" w:rsidRDefault="00290CC5">
      <w:r>
        <w:t xml:space="preserve">In hindsight, great historians have described her as masculine as possible </w:t>
      </w:r>
      <w:proofErr w:type="gramStart"/>
      <w:r>
        <w:t>in order to</w:t>
      </w:r>
      <w:proofErr w:type="gramEnd"/>
      <w:r>
        <w:t xml:space="preserve"> downplay her great victory – “She had uncommon intelligence for a woman […] She was very tall and grim; her gaze was </w:t>
      </w:r>
      <w:proofErr w:type="gramStart"/>
      <w:r>
        <w:t>penetrating</w:t>
      </w:r>
      <w:proofErr w:type="gramEnd"/>
      <w:r>
        <w:t xml:space="preserve"> and her voice was harsh.”</w:t>
      </w:r>
      <w:r>
        <w:rPr>
          <w:rStyle w:val="FootnoteReference"/>
        </w:rPr>
        <w:footnoteReference w:id="6"/>
      </w:r>
      <w:r>
        <w:t xml:space="preserve">, as well as </w:t>
      </w:r>
      <w:proofErr w:type="spellStart"/>
      <w:r>
        <w:t>Frenee</w:t>
      </w:r>
      <w:proofErr w:type="spellEnd"/>
      <w:r>
        <w:t>-Hutchins argument that she was “transformed into ‘a fierce, destructive and unnatural mother’ following the arrival of James I.”</w:t>
      </w:r>
      <w:r>
        <w:rPr>
          <w:rStyle w:val="FootnoteReference"/>
        </w:rPr>
        <w:footnoteReference w:id="7"/>
      </w:r>
      <w:r>
        <w:t xml:space="preserve"> This should not be taken as fact</w:t>
      </w:r>
      <w:r w:rsidR="00FD7709">
        <w:t xml:space="preserve">, knowing that </w:t>
      </w:r>
      <w:r>
        <w:t>Boudicca herself described Romans as the feminine ones, believing they were spoiled and lived in luxury</w:t>
      </w:r>
      <w:r w:rsidR="00FD7709">
        <w:t>, “While Nero may have the name of ‘man’, she scoffed, ‘he is in fact a woman, and the evidence for this is that he sings and plays the lyre’.”</w:t>
      </w:r>
      <w:r w:rsidR="00FD7709">
        <w:rPr>
          <w:rStyle w:val="FootnoteReference"/>
        </w:rPr>
        <w:footnoteReference w:id="8"/>
      </w:r>
      <w:r w:rsidR="00FD7709">
        <w:t xml:space="preserve"> She</w:t>
      </w:r>
      <w:r w:rsidR="000E70B2">
        <w:t xml:space="preserve"> did not believe in being oppressed as a woman, and determinedly made herself famous for being </w:t>
      </w:r>
      <w:r w:rsidR="00FD7709">
        <w:t xml:space="preserve">a fearless leader who won against all odds, and </w:t>
      </w:r>
      <w:r w:rsidR="000E70B2">
        <w:t>one who</w:t>
      </w:r>
      <w:r w:rsidR="00FD7709">
        <w:t xml:space="preserve"> deserves to go down in history as such.</w:t>
      </w:r>
      <w:r w:rsidR="000E70B2">
        <w:t xml:space="preserve"> Therefore, Boudicca can be marked as a well-deserved historical female leader in the long-running history of the Celts.</w:t>
      </w:r>
    </w:p>
    <w:p w14:paraId="03AE1AC8" w14:textId="77777777" w:rsidR="00FD7709" w:rsidRDefault="00FD7709"/>
    <w:p w14:paraId="39C87212" w14:textId="0AEF8429" w:rsidR="000E70B2" w:rsidRDefault="000E70B2">
      <w:pPr>
        <w:rPr>
          <w:u w:val="single"/>
        </w:rPr>
      </w:pPr>
      <w:r w:rsidRPr="000E70B2">
        <w:rPr>
          <w:u w:val="single"/>
        </w:rPr>
        <w:t>Bibliography</w:t>
      </w:r>
    </w:p>
    <w:p w14:paraId="4D5AED1D" w14:textId="613F811D" w:rsidR="006625DC" w:rsidRDefault="006625DC" w:rsidP="006625DC">
      <w:r>
        <w:t xml:space="preserve">Adair, John, </w:t>
      </w:r>
      <w:r>
        <w:rPr>
          <w:i/>
          <w:iCs/>
        </w:rPr>
        <w:t>Inspiring Leadership - Learning from Great Leaders</w:t>
      </w:r>
      <w:r>
        <w:t xml:space="preserve"> (Thorogood Publishing, 2012), page 279 (Chapter 13 – Women as Leaders</w:t>
      </w:r>
      <w:r>
        <w:t>)</w:t>
      </w:r>
    </w:p>
    <w:p w14:paraId="11A909A7" w14:textId="77777777" w:rsidR="006625DC" w:rsidRDefault="006625DC" w:rsidP="006625DC">
      <w:r>
        <w:t xml:space="preserve">Gillespie, Caitlin C., 'Wife, Queen, Roman?', </w:t>
      </w:r>
      <w:r>
        <w:rPr>
          <w:i/>
          <w:iCs/>
        </w:rPr>
        <w:t>Boudica: Warrior Woman of Roman Britain</w:t>
      </w:r>
      <w:r>
        <w:t xml:space="preserve">, Women in Antiquity (New York, 2018; online </w:t>
      </w:r>
      <w:proofErr w:type="spellStart"/>
      <w:r>
        <w:t>edn</w:t>
      </w:r>
      <w:proofErr w:type="spellEnd"/>
      <w:r>
        <w:t xml:space="preserve">, Oxford Academic, 21 June 2018), </w:t>
      </w:r>
      <w:hyperlink r:id="rId7" w:history="1">
        <w:r>
          <w:rPr>
            <w:rStyle w:val="Hyperlink"/>
          </w:rPr>
          <w:t>https://doi.org/10.1093/oso/978</w:t>
        </w:r>
        <w:r>
          <w:rPr>
            <w:rStyle w:val="Hyperlink"/>
          </w:rPr>
          <w:t>0</w:t>
        </w:r>
        <w:r>
          <w:rPr>
            <w:rStyle w:val="Hyperlink"/>
          </w:rPr>
          <w:t>190609078.003.0003</w:t>
        </w:r>
      </w:hyperlink>
      <w:r>
        <w:t xml:space="preserve">, accessed 11 Nov. 2025. </w:t>
      </w:r>
    </w:p>
    <w:p w14:paraId="34B5BBDF" w14:textId="77777777" w:rsidR="006625DC" w:rsidRDefault="006625DC" w:rsidP="006625DC">
      <w:r>
        <w:t xml:space="preserve">Kershaw, Stephen, </w:t>
      </w:r>
      <w:r>
        <w:rPr>
          <w:i/>
          <w:iCs/>
        </w:rPr>
        <w:t>A Brief History of the Roman Empire.</w:t>
      </w:r>
      <w:r>
        <w:t xml:space="preserve"> (Constable &amp; Robinson, 2013)</w:t>
      </w:r>
      <w:bookmarkStart w:id="0" w:name="_Hlk213782362"/>
    </w:p>
    <w:p w14:paraId="5D40A209" w14:textId="531228D4" w:rsidR="006625DC" w:rsidRDefault="006625DC" w:rsidP="006625DC">
      <w:r w:rsidRPr="00AE4C82">
        <w:t>Kewes,</w:t>
      </w:r>
      <w:r>
        <w:t xml:space="preserve"> Paulina,</w:t>
      </w:r>
      <w:r w:rsidRPr="00AE4C82">
        <w:t xml:space="preserve"> I</w:t>
      </w:r>
      <w:r>
        <w:t xml:space="preserve">an </w:t>
      </w:r>
      <w:r w:rsidRPr="00AE4C82">
        <w:t>W. Archer, and F</w:t>
      </w:r>
      <w:r>
        <w:t>elicity</w:t>
      </w:r>
      <w:r w:rsidRPr="00AE4C82">
        <w:t xml:space="preserve"> Heal (eds), </w:t>
      </w:r>
      <w:r w:rsidRPr="006625DC">
        <w:rPr>
          <w:i/>
          <w:iCs/>
        </w:rPr>
        <w:t>Oxford Handbook to Holinshed’s Chronicles</w:t>
      </w:r>
      <w:r w:rsidRPr="00AE4C82">
        <w:t xml:space="preserve"> (Oxford, 2013)</w:t>
      </w:r>
    </w:p>
    <w:p w14:paraId="25D92F6A" w14:textId="4E598C4A" w:rsidR="000E70B2" w:rsidRPr="000E70B2" w:rsidRDefault="006625DC">
      <w:bookmarkStart w:id="1" w:name="_Hlk213782572"/>
      <w:bookmarkEnd w:id="0"/>
      <w:proofErr w:type="spellStart"/>
      <w:r w:rsidRPr="007F6586">
        <w:t>Vandrei</w:t>
      </w:r>
      <w:proofErr w:type="spellEnd"/>
      <w:r w:rsidRPr="007F6586">
        <w:t xml:space="preserve">, Martha, 'Introduction: Queen Boudica and the Idea of Historical Culture', </w:t>
      </w:r>
      <w:r w:rsidRPr="007F6586">
        <w:rPr>
          <w:i/>
          <w:iCs/>
        </w:rPr>
        <w:t>Queen Boudica and Historical Culture in Britain: An Image of Truth</w:t>
      </w:r>
      <w:r w:rsidRPr="007F6586">
        <w:t xml:space="preserve">, The Past and Present Book Series (Oxford, 2018; online </w:t>
      </w:r>
      <w:proofErr w:type="spellStart"/>
      <w:r w:rsidRPr="007F6586">
        <w:t>edn</w:t>
      </w:r>
      <w:proofErr w:type="spellEnd"/>
      <w:r w:rsidRPr="007F6586">
        <w:t>, Oxford Academic, 19 July 2018)</w:t>
      </w:r>
      <w:bookmarkEnd w:id="1"/>
      <w:r w:rsidRPr="007F6586">
        <w:t xml:space="preserve">, </w:t>
      </w:r>
      <w:hyperlink r:id="rId8" w:history="1">
        <w:r w:rsidRPr="007F6586">
          <w:rPr>
            <w:rStyle w:val="Hyperlink"/>
          </w:rPr>
          <w:t>https://doi.org/10.1093/oso/9780198816720.003.0001</w:t>
        </w:r>
      </w:hyperlink>
      <w:r w:rsidRPr="007F6586">
        <w:t xml:space="preserve">, accessed 11 Nov. 2025. </w:t>
      </w:r>
    </w:p>
    <w:sectPr w:rsidR="000E70B2" w:rsidRPr="000E70B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75C066" w14:textId="77777777" w:rsidR="00065555" w:rsidRDefault="00065555" w:rsidP="00E01A49">
      <w:pPr>
        <w:spacing w:after="0" w:line="240" w:lineRule="auto"/>
      </w:pPr>
      <w:r>
        <w:separator/>
      </w:r>
    </w:p>
  </w:endnote>
  <w:endnote w:type="continuationSeparator" w:id="0">
    <w:p w14:paraId="46EF9C29" w14:textId="77777777" w:rsidR="00065555" w:rsidRDefault="00065555" w:rsidP="00E01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21521" w14:textId="77777777" w:rsidR="00065555" w:rsidRDefault="00065555" w:rsidP="00E01A49">
      <w:pPr>
        <w:spacing w:after="0" w:line="240" w:lineRule="auto"/>
      </w:pPr>
      <w:r>
        <w:separator/>
      </w:r>
    </w:p>
  </w:footnote>
  <w:footnote w:type="continuationSeparator" w:id="0">
    <w:p w14:paraId="521441B1" w14:textId="77777777" w:rsidR="00065555" w:rsidRDefault="00065555" w:rsidP="00E01A49">
      <w:pPr>
        <w:spacing w:after="0" w:line="240" w:lineRule="auto"/>
      </w:pPr>
      <w:r>
        <w:continuationSeparator/>
      </w:r>
    </w:p>
  </w:footnote>
  <w:footnote w:id="1">
    <w:p w14:paraId="22B1D1B0" w14:textId="7458D364" w:rsidR="00E01A49" w:rsidRPr="00E01A49" w:rsidRDefault="00E01A49" w:rsidP="006C2C5D">
      <w:pPr>
        <w:pStyle w:val="FootnoteText"/>
      </w:pPr>
      <w:r>
        <w:rPr>
          <w:rStyle w:val="FootnoteReference"/>
        </w:rPr>
        <w:footnoteRef/>
      </w:r>
      <w:r>
        <w:t xml:space="preserve"> Caitlin Gillespie, </w:t>
      </w:r>
      <w:r>
        <w:rPr>
          <w:i/>
          <w:iCs/>
        </w:rPr>
        <w:t>‘Wife, Queen, Roman?’, Boudica: Warrior Woman of Roman Britain,</w:t>
      </w:r>
      <w:r>
        <w:t xml:space="preserve"> Woman in Antiquity (New York, 2018; online </w:t>
      </w:r>
      <w:proofErr w:type="spellStart"/>
      <w:r>
        <w:t>edn</w:t>
      </w:r>
      <w:proofErr w:type="spellEnd"/>
      <w:r>
        <w:t>, Oxford Academic, 21 June 2018)</w:t>
      </w:r>
    </w:p>
  </w:footnote>
  <w:footnote w:id="2">
    <w:p w14:paraId="2751AFA4" w14:textId="542D3F12" w:rsidR="00FE4F3B" w:rsidRPr="00F14856" w:rsidRDefault="00FE4F3B" w:rsidP="00F14856">
      <w:pPr>
        <w:suppressAutoHyphens/>
        <w:autoSpaceDN w:val="0"/>
        <w:spacing w:line="240" w:lineRule="auto"/>
        <w:rPr>
          <w:sz w:val="20"/>
          <w:szCs w:val="20"/>
        </w:rPr>
      </w:pPr>
      <w:r w:rsidRPr="00F14856">
        <w:rPr>
          <w:rStyle w:val="FootnoteReference"/>
          <w:sz w:val="20"/>
          <w:szCs w:val="20"/>
        </w:rPr>
        <w:footnoteRef/>
      </w:r>
      <w:r w:rsidRPr="00F14856">
        <w:rPr>
          <w:sz w:val="20"/>
          <w:szCs w:val="20"/>
        </w:rPr>
        <w:t xml:space="preserve"> </w:t>
      </w:r>
      <w:r w:rsidRPr="00F14856">
        <w:rPr>
          <w:sz w:val="20"/>
          <w:szCs w:val="20"/>
        </w:rPr>
        <w:t xml:space="preserve">P. Kewes, I.W. Archer, and F. Heal (eds), </w:t>
      </w:r>
      <w:r w:rsidRPr="00F14856">
        <w:rPr>
          <w:i/>
          <w:iCs/>
          <w:sz w:val="20"/>
          <w:szCs w:val="20"/>
        </w:rPr>
        <w:t>Oxford Handbook to Holinshed’s Chronicles</w:t>
      </w:r>
      <w:r w:rsidRPr="00F14856">
        <w:rPr>
          <w:sz w:val="20"/>
          <w:szCs w:val="20"/>
        </w:rPr>
        <w:t xml:space="preserve"> (Oxford, 2013</w:t>
      </w:r>
      <w:r w:rsidR="006C2C5D" w:rsidRPr="00F14856">
        <w:rPr>
          <w:sz w:val="20"/>
          <w:szCs w:val="20"/>
        </w:rPr>
        <w:t>)</w:t>
      </w:r>
    </w:p>
  </w:footnote>
  <w:footnote w:id="3">
    <w:p w14:paraId="7BFC22C1" w14:textId="2C52DCB1" w:rsidR="006C2C5D" w:rsidRDefault="006C2C5D" w:rsidP="00F14856">
      <w:pPr>
        <w:pStyle w:val="FootnoteText"/>
      </w:pPr>
      <w:r w:rsidRPr="00F14856">
        <w:rPr>
          <w:rStyle w:val="FootnoteReference"/>
        </w:rPr>
        <w:footnoteRef/>
      </w:r>
      <w:r w:rsidRPr="00F14856">
        <w:t xml:space="preserve"> </w:t>
      </w:r>
      <w:r w:rsidRPr="007F6586">
        <w:t>Martha</w:t>
      </w:r>
      <w:r w:rsidR="00F14856" w:rsidRPr="00F14856">
        <w:t xml:space="preserve"> Vandrei</w:t>
      </w:r>
      <w:r w:rsidRPr="007F6586">
        <w:t xml:space="preserve">, 'Introduction: Queen Boudica and the Idea of Historical Culture', </w:t>
      </w:r>
      <w:r w:rsidRPr="007F6586">
        <w:rPr>
          <w:i/>
          <w:iCs/>
        </w:rPr>
        <w:t>Queen Boudica and Historical Culture in Britain: An Image of Truth</w:t>
      </w:r>
      <w:r w:rsidRPr="007F6586">
        <w:t xml:space="preserve">, The Past and Present Book Series (Oxford, 2018; online </w:t>
      </w:r>
      <w:proofErr w:type="spellStart"/>
      <w:r w:rsidRPr="007F6586">
        <w:t>edn</w:t>
      </w:r>
      <w:proofErr w:type="spellEnd"/>
      <w:r w:rsidRPr="007F6586">
        <w:t>, Oxford Academic, 19 July 2018)</w:t>
      </w:r>
      <w:r>
        <w:t xml:space="preserve"> </w:t>
      </w:r>
    </w:p>
  </w:footnote>
  <w:footnote w:id="4">
    <w:p w14:paraId="73B4E00D" w14:textId="1A5A4EEE" w:rsidR="006C2C5D" w:rsidRPr="006C2C5D" w:rsidRDefault="006C2C5D">
      <w:pPr>
        <w:pStyle w:val="FootnoteText"/>
      </w:pPr>
      <w:r>
        <w:rPr>
          <w:rStyle w:val="FootnoteReference"/>
        </w:rPr>
        <w:footnoteRef/>
      </w:r>
      <w:r>
        <w:t xml:space="preserve"> Gillespie, </w:t>
      </w:r>
      <w:r>
        <w:rPr>
          <w:i/>
          <w:iCs/>
        </w:rPr>
        <w:t>Boudica: Warrior Woman of Roman Britain,</w:t>
      </w:r>
      <w:r>
        <w:t xml:space="preserve"> Woman in Antiquity</w:t>
      </w:r>
    </w:p>
  </w:footnote>
  <w:footnote w:id="5">
    <w:p w14:paraId="698DA43F" w14:textId="3DA49582" w:rsidR="008F4A0C" w:rsidRDefault="008F4A0C">
      <w:pPr>
        <w:pStyle w:val="FootnoteText"/>
      </w:pPr>
      <w:r>
        <w:rPr>
          <w:rStyle w:val="FootnoteReference"/>
        </w:rPr>
        <w:footnoteRef/>
      </w:r>
      <w:r w:rsidR="000E70B2">
        <w:t xml:space="preserve"> </w:t>
      </w:r>
      <w:r>
        <w:t>John</w:t>
      </w:r>
      <w:r w:rsidR="000E70B2">
        <w:t xml:space="preserve"> Adair</w:t>
      </w:r>
      <w:r>
        <w:t xml:space="preserve">, </w:t>
      </w:r>
      <w:r>
        <w:rPr>
          <w:i/>
          <w:iCs/>
        </w:rPr>
        <w:t>Inspiring Leadership - Learning from Great Leaders</w:t>
      </w:r>
      <w:r>
        <w:t xml:space="preserve"> (Thorogood Publishing, 2012), page 279</w:t>
      </w:r>
    </w:p>
  </w:footnote>
  <w:footnote w:id="6">
    <w:p w14:paraId="754AFBEB" w14:textId="1CD97DDB" w:rsidR="00290CC5" w:rsidRDefault="00290CC5">
      <w:pPr>
        <w:pStyle w:val="FootnoteText"/>
      </w:pPr>
      <w:r>
        <w:rPr>
          <w:rStyle w:val="FootnoteReference"/>
        </w:rPr>
        <w:footnoteRef/>
      </w:r>
      <w:r>
        <w:t xml:space="preserve"> </w:t>
      </w:r>
      <w:r>
        <w:t>Stephen</w:t>
      </w:r>
      <w:r w:rsidR="00FD7709">
        <w:t xml:space="preserve"> Kershaw</w:t>
      </w:r>
      <w:r>
        <w:t xml:space="preserve">, </w:t>
      </w:r>
      <w:r>
        <w:rPr>
          <w:i/>
          <w:iCs/>
        </w:rPr>
        <w:t>A Brief History of the Roman Empire.</w:t>
      </w:r>
      <w:r>
        <w:t xml:space="preserve"> (Constable &amp; Robinson, 2013), page 12</w:t>
      </w:r>
      <w:r>
        <w:t>9</w:t>
      </w:r>
    </w:p>
  </w:footnote>
  <w:footnote w:id="7">
    <w:p w14:paraId="120CD733" w14:textId="7C2DCB7E" w:rsidR="00290CC5" w:rsidRPr="00290CC5" w:rsidRDefault="00290CC5">
      <w:pPr>
        <w:pStyle w:val="FootnoteText"/>
        <w:rPr>
          <w:i/>
          <w:iCs/>
        </w:rPr>
      </w:pPr>
      <w:r>
        <w:rPr>
          <w:rStyle w:val="FootnoteReference"/>
        </w:rPr>
        <w:footnoteRef/>
      </w:r>
      <w:r w:rsidRPr="00290CC5">
        <w:t xml:space="preserve"> </w:t>
      </w:r>
      <w:proofErr w:type="spellStart"/>
      <w:r w:rsidRPr="00290CC5">
        <w:t>Vandrei</w:t>
      </w:r>
      <w:proofErr w:type="spellEnd"/>
      <w:r w:rsidRPr="00290CC5">
        <w:t xml:space="preserve">, </w:t>
      </w:r>
      <w:r w:rsidRPr="00290CC5">
        <w:rPr>
          <w:i/>
          <w:iCs/>
        </w:rPr>
        <w:t>Queen Boudica and Historical Culture in Britain: An Imag</w:t>
      </w:r>
      <w:r>
        <w:rPr>
          <w:i/>
          <w:iCs/>
        </w:rPr>
        <w:t>e of Truth</w:t>
      </w:r>
    </w:p>
  </w:footnote>
  <w:footnote w:id="8">
    <w:p w14:paraId="1E18A660" w14:textId="296645AF" w:rsidR="00FD7709" w:rsidRPr="00FD7709" w:rsidRDefault="00FD7709">
      <w:pPr>
        <w:pStyle w:val="FootnoteText"/>
      </w:pPr>
      <w:r>
        <w:rPr>
          <w:rStyle w:val="FootnoteReference"/>
        </w:rPr>
        <w:footnoteRef/>
      </w:r>
      <w:r>
        <w:t xml:space="preserve"> Kershaw, </w:t>
      </w:r>
      <w:r>
        <w:rPr>
          <w:i/>
          <w:iCs/>
        </w:rPr>
        <w:t>History of the Roman Empire,</w:t>
      </w:r>
      <w:r>
        <w:t xml:space="preserve"> page 130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B8F76C" w14:textId="01FFB912" w:rsidR="00FE5EAE" w:rsidRDefault="00FE5EAE">
    <w:pPr>
      <w:pStyle w:val="Header"/>
    </w:pPr>
    <w:r>
      <w:t>Flynn Theisler</w:t>
    </w:r>
  </w:p>
  <w:p w14:paraId="1C001763" w14:textId="020CAF02" w:rsidR="00FE5EAE" w:rsidRDefault="00FE5EAE">
    <w:pPr>
      <w:pStyle w:val="Header"/>
    </w:pPr>
    <w:r>
      <w:t>2503772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544F0F"/>
    <w:multiLevelType w:val="hybridMultilevel"/>
    <w:tmpl w:val="B9D4B06E"/>
    <w:lvl w:ilvl="0" w:tplc="1ADA995A">
      <w:numFmt w:val="bullet"/>
      <w:lvlText w:val="-"/>
      <w:lvlJc w:val="left"/>
      <w:pPr>
        <w:ind w:left="720" w:hanging="360"/>
      </w:pPr>
      <w:rPr>
        <w:rFonts w:ascii="Aptos" w:eastAsia="Aptos"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802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A49"/>
    <w:rsid w:val="00065555"/>
    <w:rsid w:val="000E70B2"/>
    <w:rsid w:val="00160A49"/>
    <w:rsid w:val="002237AD"/>
    <w:rsid w:val="00290CC5"/>
    <w:rsid w:val="0041382A"/>
    <w:rsid w:val="005E2EE3"/>
    <w:rsid w:val="006625DC"/>
    <w:rsid w:val="00673F58"/>
    <w:rsid w:val="006C2C5D"/>
    <w:rsid w:val="0089798F"/>
    <w:rsid w:val="008F4A0C"/>
    <w:rsid w:val="00D079A5"/>
    <w:rsid w:val="00E01A49"/>
    <w:rsid w:val="00F14856"/>
    <w:rsid w:val="00FD7709"/>
    <w:rsid w:val="00FE4F3B"/>
    <w:rsid w:val="00FE5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9A037"/>
  <w15:chartTrackingRefBased/>
  <w15:docId w15:val="{160FFE8F-4583-4B60-A1C5-684CF1A96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1A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1A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1A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1A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1A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1A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1A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1A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1A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A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1A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1A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1A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1A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1A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1A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1A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1A49"/>
    <w:rPr>
      <w:rFonts w:eastAsiaTheme="majorEastAsia" w:cstheme="majorBidi"/>
      <w:color w:val="272727" w:themeColor="text1" w:themeTint="D8"/>
    </w:rPr>
  </w:style>
  <w:style w:type="paragraph" w:styleId="Title">
    <w:name w:val="Title"/>
    <w:basedOn w:val="Normal"/>
    <w:next w:val="Normal"/>
    <w:link w:val="TitleChar"/>
    <w:uiPriority w:val="10"/>
    <w:qFormat/>
    <w:rsid w:val="00E01A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1A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1A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1A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1A49"/>
    <w:pPr>
      <w:spacing w:before="160"/>
      <w:jc w:val="center"/>
    </w:pPr>
    <w:rPr>
      <w:i/>
      <w:iCs/>
      <w:color w:val="404040" w:themeColor="text1" w:themeTint="BF"/>
    </w:rPr>
  </w:style>
  <w:style w:type="character" w:customStyle="1" w:styleId="QuoteChar">
    <w:name w:val="Quote Char"/>
    <w:basedOn w:val="DefaultParagraphFont"/>
    <w:link w:val="Quote"/>
    <w:uiPriority w:val="29"/>
    <w:rsid w:val="00E01A49"/>
    <w:rPr>
      <w:i/>
      <w:iCs/>
      <w:color w:val="404040" w:themeColor="text1" w:themeTint="BF"/>
    </w:rPr>
  </w:style>
  <w:style w:type="paragraph" w:styleId="ListParagraph">
    <w:name w:val="List Paragraph"/>
    <w:basedOn w:val="Normal"/>
    <w:qFormat/>
    <w:rsid w:val="00E01A49"/>
    <w:pPr>
      <w:ind w:left="720"/>
      <w:contextualSpacing/>
    </w:pPr>
  </w:style>
  <w:style w:type="character" w:styleId="IntenseEmphasis">
    <w:name w:val="Intense Emphasis"/>
    <w:basedOn w:val="DefaultParagraphFont"/>
    <w:uiPriority w:val="21"/>
    <w:qFormat/>
    <w:rsid w:val="00E01A49"/>
    <w:rPr>
      <w:i/>
      <w:iCs/>
      <w:color w:val="0F4761" w:themeColor="accent1" w:themeShade="BF"/>
    </w:rPr>
  </w:style>
  <w:style w:type="paragraph" w:styleId="IntenseQuote">
    <w:name w:val="Intense Quote"/>
    <w:basedOn w:val="Normal"/>
    <w:next w:val="Normal"/>
    <w:link w:val="IntenseQuoteChar"/>
    <w:uiPriority w:val="30"/>
    <w:qFormat/>
    <w:rsid w:val="00E01A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1A49"/>
    <w:rPr>
      <w:i/>
      <w:iCs/>
      <w:color w:val="0F4761" w:themeColor="accent1" w:themeShade="BF"/>
    </w:rPr>
  </w:style>
  <w:style w:type="character" w:styleId="IntenseReference">
    <w:name w:val="Intense Reference"/>
    <w:basedOn w:val="DefaultParagraphFont"/>
    <w:uiPriority w:val="32"/>
    <w:qFormat/>
    <w:rsid w:val="00E01A49"/>
    <w:rPr>
      <w:b/>
      <w:bCs/>
      <w:smallCaps/>
      <w:color w:val="0F4761" w:themeColor="accent1" w:themeShade="BF"/>
      <w:spacing w:val="5"/>
    </w:rPr>
  </w:style>
  <w:style w:type="paragraph" w:styleId="FootnoteText">
    <w:name w:val="footnote text"/>
    <w:basedOn w:val="Normal"/>
    <w:link w:val="FootnoteTextChar"/>
    <w:uiPriority w:val="99"/>
    <w:semiHidden/>
    <w:unhideWhenUsed/>
    <w:rsid w:val="00E01A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01A49"/>
    <w:rPr>
      <w:sz w:val="20"/>
      <w:szCs w:val="20"/>
    </w:rPr>
  </w:style>
  <w:style w:type="character" w:styleId="FootnoteReference">
    <w:name w:val="footnote reference"/>
    <w:basedOn w:val="DefaultParagraphFont"/>
    <w:uiPriority w:val="99"/>
    <w:semiHidden/>
    <w:unhideWhenUsed/>
    <w:rsid w:val="00E01A49"/>
    <w:rPr>
      <w:vertAlign w:val="superscript"/>
    </w:rPr>
  </w:style>
  <w:style w:type="character" w:styleId="Hyperlink">
    <w:name w:val="Hyperlink"/>
    <w:basedOn w:val="DefaultParagraphFont"/>
    <w:rsid w:val="006625DC"/>
    <w:rPr>
      <w:color w:val="467886"/>
      <w:u w:val="single"/>
    </w:rPr>
  </w:style>
  <w:style w:type="character" w:styleId="FollowedHyperlink">
    <w:name w:val="FollowedHyperlink"/>
    <w:basedOn w:val="DefaultParagraphFont"/>
    <w:uiPriority w:val="99"/>
    <w:semiHidden/>
    <w:unhideWhenUsed/>
    <w:rsid w:val="006625DC"/>
    <w:rPr>
      <w:color w:val="96607D" w:themeColor="followedHyperlink"/>
      <w:u w:val="single"/>
    </w:rPr>
  </w:style>
  <w:style w:type="paragraph" w:styleId="Header">
    <w:name w:val="header"/>
    <w:basedOn w:val="Normal"/>
    <w:link w:val="HeaderChar"/>
    <w:uiPriority w:val="99"/>
    <w:unhideWhenUsed/>
    <w:rsid w:val="00FE5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EAE"/>
  </w:style>
  <w:style w:type="paragraph" w:styleId="Footer">
    <w:name w:val="footer"/>
    <w:basedOn w:val="Normal"/>
    <w:link w:val="FooterChar"/>
    <w:uiPriority w:val="99"/>
    <w:unhideWhenUsed/>
    <w:rsid w:val="00FE5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so/9780198816720.003.0001" TargetMode="External"/><Relationship Id="rId3" Type="http://schemas.openxmlformats.org/officeDocument/2006/relationships/settings" Target="settings.xml"/><Relationship Id="rId7" Type="http://schemas.openxmlformats.org/officeDocument/2006/relationships/hyperlink" Target="https://doi.org/10.1093/oso/9780190609078.003.000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767</Words>
  <Characters>4376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17</cp:revision>
  <dcterms:created xsi:type="dcterms:W3CDTF">2025-11-11T19:21:00Z</dcterms:created>
  <dcterms:modified xsi:type="dcterms:W3CDTF">2025-11-11T21:38:00Z</dcterms:modified>
</cp:coreProperties>
</file>