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6F92D0" w14:textId="77777777" w:rsidR="00922F98" w:rsidRPr="00BE3D3E" w:rsidRDefault="00922F98" w:rsidP="00E4620E">
      <w:pPr>
        <w:spacing w:line="360" w:lineRule="auto"/>
        <w:jc w:val="center"/>
        <w:rPr>
          <w:rFonts w:ascii="Arial" w:hAnsi="Arial" w:cs="Arial"/>
          <w:sz w:val="32"/>
          <w:szCs w:val="32"/>
        </w:rPr>
      </w:pPr>
    </w:p>
    <w:p w14:paraId="0BBE6A5B" w14:textId="77777777" w:rsidR="00922F98" w:rsidRPr="00BE3D3E" w:rsidRDefault="00922F98" w:rsidP="00E4620E">
      <w:pPr>
        <w:spacing w:line="360" w:lineRule="auto"/>
        <w:jc w:val="center"/>
        <w:rPr>
          <w:rFonts w:ascii="Arial" w:hAnsi="Arial" w:cs="Arial"/>
          <w:sz w:val="32"/>
          <w:szCs w:val="32"/>
        </w:rPr>
      </w:pPr>
    </w:p>
    <w:p w14:paraId="3D26095E" w14:textId="50834815" w:rsidR="00922F98" w:rsidRPr="00BE3D3E" w:rsidRDefault="000168CE" w:rsidP="00E4620E">
      <w:pPr>
        <w:spacing w:line="360" w:lineRule="auto"/>
        <w:jc w:val="center"/>
        <w:rPr>
          <w:rFonts w:ascii="Arial" w:hAnsi="Arial" w:cs="Arial"/>
          <w:sz w:val="32"/>
          <w:szCs w:val="32"/>
        </w:rPr>
      </w:pPr>
      <w:r>
        <w:rPr>
          <w:noProof/>
        </w:rPr>
        <w:drawing>
          <wp:anchor distT="0" distB="0" distL="114300" distR="114300" simplePos="0" relativeHeight="251658240" behindDoc="1" locked="0" layoutInCell="1" allowOverlap="1" wp14:anchorId="5CF5AE2E" wp14:editId="5A317F18">
            <wp:simplePos x="0" y="0"/>
            <wp:positionH relativeFrom="margin">
              <wp:posOffset>-666750</wp:posOffset>
            </wp:positionH>
            <wp:positionV relativeFrom="paragraph">
              <wp:posOffset>541655</wp:posOffset>
            </wp:positionV>
            <wp:extent cx="3606800" cy="881380"/>
            <wp:effectExtent l="0" t="0" r="0" b="0"/>
            <wp:wrapTight wrapText="bothSides">
              <wp:wrapPolygon edited="0">
                <wp:start x="570" y="2801"/>
                <wp:lineTo x="685" y="12138"/>
                <wp:lineTo x="1597" y="17274"/>
                <wp:lineTo x="1825" y="18207"/>
                <wp:lineTo x="9241" y="18207"/>
                <wp:lineTo x="10382" y="17274"/>
                <wp:lineTo x="13348" y="13072"/>
                <wp:lineTo x="13234" y="11205"/>
                <wp:lineTo x="16200" y="8870"/>
                <wp:lineTo x="16428" y="5135"/>
                <wp:lineTo x="14831" y="2801"/>
                <wp:lineTo x="570" y="2801"/>
              </wp:wrapPolygon>
            </wp:wrapTight>
            <wp:docPr id="1" name="Picture 1" descr="Free Employability Workshop with University of Wales Trinity Sain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ree Employability Workshop with University of Wales Trinity Saint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06800" cy="8813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12B88C4" w14:textId="068A636A" w:rsidR="00922F98" w:rsidRPr="00BE3D3E" w:rsidRDefault="00922F98" w:rsidP="00E4620E">
      <w:pPr>
        <w:spacing w:line="360" w:lineRule="auto"/>
        <w:jc w:val="center"/>
        <w:rPr>
          <w:rFonts w:ascii="Arial" w:hAnsi="Arial" w:cs="Arial"/>
          <w:sz w:val="32"/>
          <w:szCs w:val="32"/>
        </w:rPr>
      </w:pPr>
    </w:p>
    <w:p w14:paraId="023D8E05" w14:textId="4F677F16" w:rsidR="00922F98" w:rsidRPr="00BE3D3E" w:rsidRDefault="00922F98" w:rsidP="00E4620E">
      <w:pPr>
        <w:spacing w:line="360" w:lineRule="auto"/>
        <w:jc w:val="center"/>
        <w:rPr>
          <w:rFonts w:ascii="Arial" w:hAnsi="Arial" w:cs="Arial"/>
          <w:sz w:val="32"/>
          <w:szCs w:val="32"/>
        </w:rPr>
      </w:pPr>
    </w:p>
    <w:p w14:paraId="14769114" w14:textId="77777777" w:rsidR="00922F98" w:rsidRPr="00BE3D3E" w:rsidRDefault="00922F98" w:rsidP="00E4620E">
      <w:pPr>
        <w:spacing w:line="360" w:lineRule="auto"/>
        <w:jc w:val="center"/>
        <w:rPr>
          <w:rFonts w:ascii="Arial" w:hAnsi="Arial" w:cs="Arial"/>
          <w:sz w:val="32"/>
          <w:szCs w:val="32"/>
        </w:rPr>
      </w:pPr>
    </w:p>
    <w:p w14:paraId="0EB85ED3" w14:textId="77777777" w:rsidR="00922F98" w:rsidRPr="00BE3D3E" w:rsidRDefault="00922F98" w:rsidP="00E4620E">
      <w:pPr>
        <w:spacing w:line="360" w:lineRule="auto"/>
        <w:jc w:val="center"/>
        <w:rPr>
          <w:rFonts w:ascii="Arial" w:hAnsi="Arial" w:cs="Arial"/>
          <w:sz w:val="32"/>
          <w:szCs w:val="32"/>
        </w:rPr>
      </w:pPr>
    </w:p>
    <w:p w14:paraId="602591A1" w14:textId="77777777" w:rsidR="00922F98" w:rsidRPr="00BE3D3E" w:rsidRDefault="00922F98" w:rsidP="00E4620E">
      <w:pPr>
        <w:spacing w:line="360" w:lineRule="auto"/>
        <w:jc w:val="center"/>
        <w:rPr>
          <w:rFonts w:ascii="Arial" w:hAnsi="Arial" w:cs="Arial"/>
          <w:sz w:val="32"/>
          <w:szCs w:val="32"/>
        </w:rPr>
      </w:pPr>
    </w:p>
    <w:p w14:paraId="6E66FD49" w14:textId="521A907B" w:rsidR="00EF27B0" w:rsidRPr="00BE3D3E" w:rsidRDefault="00922F98" w:rsidP="00E4620E">
      <w:pPr>
        <w:spacing w:line="360" w:lineRule="auto"/>
        <w:jc w:val="center"/>
        <w:rPr>
          <w:rFonts w:ascii="Arial" w:hAnsi="Arial" w:cs="Arial"/>
          <w:sz w:val="32"/>
          <w:szCs w:val="32"/>
        </w:rPr>
      </w:pPr>
      <w:r w:rsidRPr="00BE3D3E">
        <w:rPr>
          <w:rFonts w:ascii="Arial" w:hAnsi="Arial" w:cs="Arial"/>
          <w:sz w:val="32"/>
          <w:szCs w:val="32"/>
        </w:rPr>
        <w:t>Component 2- Individual Report</w:t>
      </w:r>
    </w:p>
    <w:p w14:paraId="53655B0F" w14:textId="7263309A" w:rsidR="00922F98" w:rsidRPr="00BE3D3E" w:rsidRDefault="00922F98" w:rsidP="00E4620E">
      <w:pPr>
        <w:spacing w:line="360" w:lineRule="auto"/>
        <w:jc w:val="center"/>
        <w:rPr>
          <w:rFonts w:ascii="Arial" w:eastAsia="Times New Roman" w:hAnsi="Arial" w:cs="Arial"/>
          <w:sz w:val="32"/>
          <w:szCs w:val="32"/>
          <w:lang w:eastAsia="en-GB"/>
        </w:rPr>
      </w:pPr>
      <w:r w:rsidRPr="00BE3D3E">
        <w:rPr>
          <w:rFonts w:ascii="Arial" w:eastAsia="Times New Roman" w:hAnsi="Arial" w:cs="Arial"/>
          <w:sz w:val="32"/>
          <w:szCs w:val="32"/>
          <w:lang w:eastAsia="en-GB"/>
        </w:rPr>
        <w:t>Developing and Managing Individuals and Teams</w:t>
      </w:r>
    </w:p>
    <w:p w14:paraId="33503FFD" w14:textId="28B38ED9" w:rsidR="00922F98" w:rsidRPr="00BE3D3E" w:rsidRDefault="00922F98" w:rsidP="00E4620E">
      <w:pPr>
        <w:spacing w:line="360" w:lineRule="auto"/>
        <w:jc w:val="center"/>
        <w:rPr>
          <w:rFonts w:ascii="Arial" w:eastAsia="Times New Roman" w:hAnsi="Arial" w:cs="Arial"/>
          <w:sz w:val="32"/>
          <w:szCs w:val="32"/>
          <w:lang w:eastAsia="en-GB"/>
        </w:rPr>
      </w:pPr>
      <w:r w:rsidRPr="00BE3D3E">
        <w:rPr>
          <w:rFonts w:ascii="Arial" w:eastAsia="Times New Roman" w:hAnsi="Arial" w:cs="Arial"/>
          <w:sz w:val="32"/>
          <w:szCs w:val="32"/>
          <w:lang w:eastAsia="en-GB"/>
        </w:rPr>
        <w:t>LCLM5002</w:t>
      </w:r>
    </w:p>
    <w:p w14:paraId="18AA52BE" w14:textId="2478E06D" w:rsidR="00922F98" w:rsidRPr="00BE3D3E" w:rsidRDefault="00922F98" w:rsidP="00E4620E">
      <w:pPr>
        <w:spacing w:line="360" w:lineRule="auto"/>
        <w:jc w:val="center"/>
        <w:rPr>
          <w:rFonts w:ascii="Arial" w:eastAsia="Times New Roman" w:hAnsi="Arial" w:cs="Arial"/>
          <w:sz w:val="32"/>
          <w:szCs w:val="32"/>
          <w:lang w:eastAsia="en-GB"/>
        </w:rPr>
      </w:pPr>
      <w:r w:rsidRPr="00BE3D3E">
        <w:rPr>
          <w:rFonts w:ascii="Arial" w:eastAsia="Times New Roman" w:hAnsi="Arial" w:cs="Arial"/>
          <w:sz w:val="32"/>
          <w:szCs w:val="32"/>
          <w:lang w:eastAsia="en-GB"/>
        </w:rPr>
        <w:t>Module leader: Dr Mudassar Hasan</w:t>
      </w:r>
    </w:p>
    <w:p w14:paraId="159C69BA" w14:textId="34EDFD4E" w:rsidR="00922F98" w:rsidRPr="00BE3D3E" w:rsidRDefault="00922F98" w:rsidP="00E4620E">
      <w:pPr>
        <w:spacing w:line="360" w:lineRule="auto"/>
        <w:jc w:val="center"/>
        <w:rPr>
          <w:rFonts w:ascii="Arial" w:eastAsia="Times New Roman" w:hAnsi="Arial" w:cs="Arial"/>
          <w:sz w:val="32"/>
          <w:szCs w:val="32"/>
          <w:lang w:eastAsia="en-GB"/>
        </w:rPr>
      </w:pPr>
      <w:r w:rsidRPr="00BE3D3E">
        <w:rPr>
          <w:rFonts w:ascii="Arial" w:eastAsia="Times New Roman" w:hAnsi="Arial" w:cs="Arial"/>
          <w:sz w:val="32"/>
          <w:szCs w:val="32"/>
          <w:lang w:eastAsia="en-GB"/>
        </w:rPr>
        <w:t>Student Name/Number Nicolae Bogdan Sandu Rizea 2418689</w:t>
      </w:r>
    </w:p>
    <w:p w14:paraId="5DA02E24" w14:textId="77777777" w:rsidR="00922F98" w:rsidRPr="00BE3D3E" w:rsidRDefault="00922F98" w:rsidP="00E4620E">
      <w:pPr>
        <w:spacing w:line="360" w:lineRule="auto"/>
        <w:jc w:val="center"/>
        <w:rPr>
          <w:rFonts w:ascii="Arial" w:eastAsia="Times New Roman" w:hAnsi="Arial" w:cs="Arial"/>
          <w:sz w:val="32"/>
          <w:szCs w:val="32"/>
          <w:lang w:eastAsia="en-GB"/>
        </w:rPr>
      </w:pPr>
    </w:p>
    <w:p w14:paraId="41565826" w14:textId="77777777" w:rsidR="00922F98" w:rsidRPr="00BE3D3E" w:rsidRDefault="00922F98" w:rsidP="00E4620E">
      <w:pPr>
        <w:spacing w:line="360" w:lineRule="auto"/>
        <w:jc w:val="center"/>
        <w:rPr>
          <w:rFonts w:ascii="Arial" w:eastAsia="Times New Roman" w:hAnsi="Arial" w:cs="Arial"/>
          <w:sz w:val="32"/>
          <w:szCs w:val="32"/>
          <w:lang w:eastAsia="en-GB"/>
        </w:rPr>
      </w:pPr>
    </w:p>
    <w:p w14:paraId="6594BF1F" w14:textId="77777777" w:rsidR="00922F98" w:rsidRPr="00BE3D3E" w:rsidRDefault="00922F98" w:rsidP="00E4620E">
      <w:pPr>
        <w:spacing w:line="360" w:lineRule="auto"/>
        <w:jc w:val="center"/>
        <w:rPr>
          <w:rFonts w:ascii="Arial" w:eastAsia="Times New Roman" w:hAnsi="Arial" w:cs="Arial"/>
          <w:sz w:val="32"/>
          <w:szCs w:val="32"/>
          <w:lang w:eastAsia="en-GB"/>
        </w:rPr>
      </w:pPr>
    </w:p>
    <w:p w14:paraId="1D942B4D" w14:textId="77777777" w:rsidR="00922F98" w:rsidRPr="00BE3D3E" w:rsidRDefault="00922F98" w:rsidP="00E4620E">
      <w:pPr>
        <w:spacing w:line="360" w:lineRule="auto"/>
        <w:jc w:val="center"/>
        <w:rPr>
          <w:rFonts w:ascii="Arial" w:eastAsia="Times New Roman" w:hAnsi="Arial" w:cs="Arial"/>
          <w:sz w:val="32"/>
          <w:szCs w:val="32"/>
          <w:lang w:eastAsia="en-GB"/>
        </w:rPr>
      </w:pPr>
    </w:p>
    <w:p w14:paraId="3EF20F3C" w14:textId="77777777" w:rsidR="00922F98" w:rsidRPr="00BE3D3E" w:rsidRDefault="00922F98" w:rsidP="00E4620E">
      <w:pPr>
        <w:spacing w:line="360" w:lineRule="auto"/>
        <w:jc w:val="center"/>
        <w:rPr>
          <w:rFonts w:ascii="Arial" w:eastAsia="Times New Roman" w:hAnsi="Arial" w:cs="Arial"/>
          <w:sz w:val="32"/>
          <w:szCs w:val="32"/>
          <w:lang w:eastAsia="en-GB"/>
        </w:rPr>
      </w:pPr>
    </w:p>
    <w:p w14:paraId="7F4221DC" w14:textId="77777777" w:rsidR="00922F98" w:rsidRPr="00BE3D3E" w:rsidRDefault="00922F98" w:rsidP="00E4620E">
      <w:pPr>
        <w:spacing w:line="360" w:lineRule="auto"/>
        <w:jc w:val="center"/>
        <w:rPr>
          <w:rFonts w:ascii="Arial" w:eastAsia="Times New Roman" w:hAnsi="Arial" w:cs="Arial"/>
          <w:sz w:val="32"/>
          <w:szCs w:val="32"/>
          <w:lang w:eastAsia="en-GB"/>
        </w:rPr>
      </w:pPr>
    </w:p>
    <w:p w14:paraId="2C0E253B" w14:textId="77777777" w:rsidR="00922F98" w:rsidRPr="00BE3D3E" w:rsidRDefault="00922F98" w:rsidP="00E4620E">
      <w:pPr>
        <w:spacing w:line="360" w:lineRule="auto"/>
        <w:jc w:val="center"/>
        <w:rPr>
          <w:rFonts w:ascii="Arial" w:eastAsia="Times New Roman" w:hAnsi="Arial" w:cs="Arial"/>
          <w:sz w:val="32"/>
          <w:szCs w:val="32"/>
          <w:lang w:eastAsia="en-GB"/>
        </w:rPr>
      </w:pPr>
    </w:p>
    <w:p w14:paraId="4A3DF08C" w14:textId="77777777" w:rsidR="00922F98" w:rsidRPr="00BE3D3E" w:rsidRDefault="00922F98" w:rsidP="00E4620E">
      <w:pPr>
        <w:spacing w:line="360" w:lineRule="auto"/>
        <w:jc w:val="center"/>
        <w:rPr>
          <w:rFonts w:ascii="Arial" w:eastAsia="Times New Roman" w:hAnsi="Arial" w:cs="Arial"/>
          <w:sz w:val="32"/>
          <w:szCs w:val="32"/>
          <w:lang w:eastAsia="en-GB"/>
        </w:rPr>
      </w:pPr>
    </w:p>
    <w:p w14:paraId="0F4E0920" w14:textId="77777777" w:rsidR="00922F98" w:rsidRPr="00BE3D3E" w:rsidRDefault="00922F98" w:rsidP="00E4620E">
      <w:pPr>
        <w:spacing w:line="360" w:lineRule="auto"/>
        <w:jc w:val="center"/>
        <w:rPr>
          <w:rFonts w:ascii="Arial" w:eastAsia="Times New Roman" w:hAnsi="Arial" w:cs="Arial"/>
          <w:sz w:val="32"/>
          <w:szCs w:val="32"/>
          <w:lang w:eastAsia="en-GB"/>
        </w:rPr>
      </w:pPr>
    </w:p>
    <w:p w14:paraId="64D06158" w14:textId="77777777" w:rsidR="00922F98" w:rsidRPr="00BE3D3E" w:rsidRDefault="00922F98" w:rsidP="00E4620E">
      <w:pPr>
        <w:spacing w:line="360" w:lineRule="auto"/>
        <w:jc w:val="center"/>
        <w:rPr>
          <w:rFonts w:ascii="Arial" w:eastAsia="Times New Roman" w:hAnsi="Arial" w:cs="Arial"/>
          <w:sz w:val="32"/>
          <w:szCs w:val="32"/>
          <w:lang w:eastAsia="en-GB"/>
        </w:rPr>
      </w:pPr>
    </w:p>
    <w:p w14:paraId="30DC919A" w14:textId="77777777" w:rsidR="00922F98" w:rsidRPr="00BE3D3E" w:rsidRDefault="00922F98" w:rsidP="00E4620E">
      <w:pPr>
        <w:spacing w:line="360" w:lineRule="auto"/>
        <w:jc w:val="center"/>
        <w:rPr>
          <w:rFonts w:ascii="Arial" w:eastAsia="Times New Roman" w:hAnsi="Arial" w:cs="Arial"/>
          <w:sz w:val="32"/>
          <w:szCs w:val="32"/>
          <w:lang w:eastAsia="en-GB"/>
        </w:rPr>
      </w:pPr>
    </w:p>
    <w:p w14:paraId="2F8703DB" w14:textId="77777777" w:rsidR="00922F98" w:rsidRPr="00BE3D3E" w:rsidRDefault="00922F98" w:rsidP="00E4620E">
      <w:pPr>
        <w:spacing w:line="360" w:lineRule="auto"/>
        <w:jc w:val="center"/>
        <w:rPr>
          <w:rFonts w:ascii="Arial" w:eastAsia="Times New Roman" w:hAnsi="Arial" w:cs="Arial"/>
          <w:sz w:val="32"/>
          <w:szCs w:val="32"/>
          <w:lang w:eastAsia="en-GB"/>
        </w:rPr>
      </w:pPr>
    </w:p>
    <w:p w14:paraId="7D0B77B3" w14:textId="77777777" w:rsidR="00922F98" w:rsidRPr="00BE3D3E" w:rsidRDefault="00922F98" w:rsidP="00E4620E">
      <w:pPr>
        <w:spacing w:line="360" w:lineRule="auto"/>
        <w:jc w:val="center"/>
        <w:rPr>
          <w:rFonts w:ascii="Arial" w:eastAsia="Times New Roman" w:hAnsi="Arial" w:cs="Arial"/>
          <w:sz w:val="32"/>
          <w:szCs w:val="32"/>
          <w:lang w:eastAsia="en-GB"/>
        </w:rPr>
      </w:pPr>
    </w:p>
    <w:p w14:paraId="4C9E8314" w14:textId="7C6CC318" w:rsidR="00922F98" w:rsidRPr="00BE3D3E" w:rsidRDefault="00922F98" w:rsidP="00E4620E">
      <w:pPr>
        <w:spacing w:line="360" w:lineRule="auto"/>
        <w:jc w:val="center"/>
        <w:rPr>
          <w:rFonts w:ascii="Arial" w:eastAsia="Times New Roman" w:hAnsi="Arial" w:cs="Arial"/>
          <w:sz w:val="32"/>
          <w:szCs w:val="32"/>
          <w:lang w:eastAsia="en-GB"/>
        </w:rPr>
      </w:pPr>
      <w:r w:rsidRPr="00BE3D3E">
        <w:rPr>
          <w:rFonts w:ascii="Arial" w:eastAsia="Times New Roman" w:hAnsi="Arial" w:cs="Arial"/>
          <w:sz w:val="32"/>
          <w:szCs w:val="32"/>
          <w:lang w:eastAsia="en-GB"/>
        </w:rPr>
        <w:t>Table of Contents</w:t>
      </w:r>
    </w:p>
    <w:p w14:paraId="2F7A9752" w14:textId="1574CCAF" w:rsidR="00922F98" w:rsidRPr="00BE3D3E" w:rsidRDefault="00922F98" w:rsidP="00E4620E">
      <w:pPr>
        <w:pStyle w:val="ListParagraph"/>
        <w:numPr>
          <w:ilvl w:val="0"/>
          <w:numId w:val="1"/>
        </w:numPr>
        <w:spacing w:line="360" w:lineRule="auto"/>
        <w:rPr>
          <w:rFonts w:ascii="Arial" w:hAnsi="Arial" w:cs="Arial"/>
          <w:sz w:val="32"/>
          <w:szCs w:val="32"/>
        </w:rPr>
      </w:pPr>
      <w:r w:rsidRPr="00BE3D3E">
        <w:rPr>
          <w:rFonts w:ascii="Arial" w:hAnsi="Arial" w:cs="Arial"/>
          <w:sz w:val="32"/>
          <w:szCs w:val="32"/>
        </w:rPr>
        <w:t>Introduction</w:t>
      </w:r>
    </w:p>
    <w:p w14:paraId="62337D10" w14:textId="03789482" w:rsidR="00922F98" w:rsidRPr="00BE3D3E" w:rsidRDefault="00922F98" w:rsidP="00E4620E">
      <w:pPr>
        <w:pStyle w:val="ListParagraph"/>
        <w:numPr>
          <w:ilvl w:val="0"/>
          <w:numId w:val="1"/>
        </w:numPr>
        <w:spacing w:line="360" w:lineRule="auto"/>
        <w:rPr>
          <w:rFonts w:ascii="Arial" w:hAnsi="Arial" w:cs="Arial"/>
          <w:sz w:val="32"/>
          <w:szCs w:val="32"/>
        </w:rPr>
      </w:pPr>
      <w:r w:rsidRPr="00BE3D3E">
        <w:rPr>
          <w:rFonts w:ascii="Arial" w:hAnsi="Arial" w:cs="Arial"/>
          <w:sz w:val="32"/>
          <w:szCs w:val="32"/>
        </w:rPr>
        <w:t>Specific HR factors facing Blue Earth Foods Ltd</w:t>
      </w:r>
    </w:p>
    <w:p w14:paraId="6DE64A67" w14:textId="33F42BE3" w:rsidR="00922F98" w:rsidRPr="00BE3D3E" w:rsidRDefault="00922F98" w:rsidP="00E4620E">
      <w:pPr>
        <w:pStyle w:val="ListParagraph"/>
        <w:numPr>
          <w:ilvl w:val="1"/>
          <w:numId w:val="1"/>
        </w:numPr>
        <w:spacing w:line="360" w:lineRule="auto"/>
        <w:rPr>
          <w:rFonts w:ascii="Arial" w:hAnsi="Arial" w:cs="Arial"/>
          <w:sz w:val="32"/>
          <w:szCs w:val="32"/>
        </w:rPr>
      </w:pPr>
      <w:r w:rsidRPr="00BE3D3E">
        <w:rPr>
          <w:rFonts w:ascii="Arial" w:hAnsi="Arial" w:cs="Arial"/>
          <w:sz w:val="32"/>
          <w:szCs w:val="32"/>
        </w:rPr>
        <w:t>Meeting Technological Advancement</w:t>
      </w:r>
    </w:p>
    <w:p w14:paraId="4DE70D40" w14:textId="6F2B8F23" w:rsidR="00922F98" w:rsidRPr="00BE3D3E" w:rsidRDefault="00922F98" w:rsidP="00E4620E">
      <w:pPr>
        <w:pStyle w:val="ListParagraph"/>
        <w:numPr>
          <w:ilvl w:val="1"/>
          <w:numId w:val="1"/>
        </w:numPr>
        <w:spacing w:line="360" w:lineRule="auto"/>
        <w:rPr>
          <w:rFonts w:ascii="Arial" w:hAnsi="Arial" w:cs="Arial"/>
          <w:sz w:val="32"/>
          <w:szCs w:val="32"/>
        </w:rPr>
      </w:pPr>
      <w:r w:rsidRPr="00BE3D3E">
        <w:rPr>
          <w:rFonts w:ascii="Arial" w:hAnsi="Arial" w:cs="Arial"/>
          <w:sz w:val="32"/>
          <w:szCs w:val="32"/>
        </w:rPr>
        <w:t>Talent Acquisition and Retention</w:t>
      </w:r>
    </w:p>
    <w:p w14:paraId="449206BF" w14:textId="76976CDA" w:rsidR="00922F98" w:rsidRPr="00BE3D3E" w:rsidRDefault="00922F98" w:rsidP="00E4620E">
      <w:pPr>
        <w:pStyle w:val="ListParagraph"/>
        <w:numPr>
          <w:ilvl w:val="1"/>
          <w:numId w:val="1"/>
        </w:numPr>
        <w:spacing w:line="360" w:lineRule="auto"/>
        <w:rPr>
          <w:rFonts w:ascii="Arial" w:hAnsi="Arial" w:cs="Arial"/>
          <w:sz w:val="32"/>
          <w:szCs w:val="32"/>
        </w:rPr>
      </w:pPr>
      <w:r w:rsidRPr="00BE3D3E">
        <w:rPr>
          <w:rFonts w:ascii="Arial" w:hAnsi="Arial" w:cs="Arial"/>
          <w:sz w:val="32"/>
          <w:szCs w:val="32"/>
        </w:rPr>
        <w:t>Diversity, Equity and Inclusion (DEI)</w:t>
      </w:r>
    </w:p>
    <w:p w14:paraId="7225CE76" w14:textId="68288284" w:rsidR="00922F98" w:rsidRPr="00BE3D3E" w:rsidRDefault="00922F98" w:rsidP="00E4620E">
      <w:pPr>
        <w:pStyle w:val="ListParagraph"/>
        <w:numPr>
          <w:ilvl w:val="0"/>
          <w:numId w:val="1"/>
        </w:numPr>
        <w:spacing w:line="360" w:lineRule="auto"/>
        <w:rPr>
          <w:rFonts w:ascii="Arial" w:hAnsi="Arial" w:cs="Arial"/>
          <w:sz w:val="32"/>
          <w:szCs w:val="32"/>
        </w:rPr>
      </w:pPr>
      <w:r w:rsidRPr="00BE3D3E">
        <w:rPr>
          <w:rFonts w:ascii="Arial" w:hAnsi="Arial" w:cs="Arial"/>
          <w:sz w:val="32"/>
          <w:szCs w:val="32"/>
        </w:rPr>
        <w:t>Evaluation of Contemporary HR Practices</w:t>
      </w:r>
    </w:p>
    <w:p w14:paraId="3EA24EC7" w14:textId="7777DE44" w:rsidR="00922F98" w:rsidRPr="00BE3D3E" w:rsidRDefault="00922F98" w:rsidP="00E4620E">
      <w:pPr>
        <w:pStyle w:val="ListParagraph"/>
        <w:numPr>
          <w:ilvl w:val="1"/>
          <w:numId w:val="1"/>
        </w:numPr>
        <w:spacing w:line="360" w:lineRule="auto"/>
        <w:rPr>
          <w:rFonts w:ascii="Arial" w:hAnsi="Arial" w:cs="Arial"/>
          <w:sz w:val="32"/>
          <w:szCs w:val="32"/>
        </w:rPr>
      </w:pPr>
      <w:r w:rsidRPr="00BE3D3E">
        <w:rPr>
          <w:rFonts w:ascii="Arial" w:hAnsi="Arial" w:cs="Arial"/>
          <w:sz w:val="32"/>
          <w:szCs w:val="32"/>
        </w:rPr>
        <w:t>Addressing Technological Advancement</w:t>
      </w:r>
    </w:p>
    <w:p w14:paraId="52DC71C2" w14:textId="57B2CFD0" w:rsidR="00922F98" w:rsidRPr="00BE3D3E" w:rsidRDefault="00922F98" w:rsidP="00E4620E">
      <w:pPr>
        <w:pStyle w:val="ListParagraph"/>
        <w:numPr>
          <w:ilvl w:val="1"/>
          <w:numId w:val="1"/>
        </w:numPr>
        <w:spacing w:line="360" w:lineRule="auto"/>
        <w:rPr>
          <w:rFonts w:ascii="Arial" w:hAnsi="Arial" w:cs="Arial"/>
          <w:sz w:val="32"/>
          <w:szCs w:val="32"/>
        </w:rPr>
      </w:pPr>
      <w:r w:rsidRPr="00BE3D3E">
        <w:rPr>
          <w:rFonts w:ascii="Arial" w:hAnsi="Arial" w:cs="Arial"/>
          <w:sz w:val="32"/>
          <w:szCs w:val="32"/>
        </w:rPr>
        <w:t>Addressing Talent Acquisition and Retention</w:t>
      </w:r>
    </w:p>
    <w:p w14:paraId="51B95CF8" w14:textId="23E6A9A7" w:rsidR="00922F98" w:rsidRPr="00BE3D3E" w:rsidRDefault="00922F98" w:rsidP="00E4620E">
      <w:pPr>
        <w:pStyle w:val="ListParagraph"/>
        <w:numPr>
          <w:ilvl w:val="1"/>
          <w:numId w:val="1"/>
        </w:numPr>
        <w:spacing w:line="360" w:lineRule="auto"/>
        <w:rPr>
          <w:rFonts w:ascii="Arial" w:hAnsi="Arial" w:cs="Arial"/>
          <w:sz w:val="32"/>
          <w:szCs w:val="32"/>
        </w:rPr>
      </w:pPr>
      <w:r w:rsidRPr="00BE3D3E">
        <w:rPr>
          <w:rFonts w:ascii="Arial" w:hAnsi="Arial" w:cs="Arial"/>
          <w:sz w:val="32"/>
          <w:szCs w:val="32"/>
        </w:rPr>
        <w:t>Addressing DEI: Inclusive Recruitment</w:t>
      </w:r>
    </w:p>
    <w:p w14:paraId="298629E2" w14:textId="2CC9F61B" w:rsidR="00922F98" w:rsidRPr="00BE3D3E" w:rsidRDefault="00922F98" w:rsidP="00E4620E">
      <w:pPr>
        <w:pStyle w:val="ListParagraph"/>
        <w:numPr>
          <w:ilvl w:val="0"/>
          <w:numId w:val="1"/>
        </w:numPr>
        <w:spacing w:line="360" w:lineRule="auto"/>
        <w:rPr>
          <w:rFonts w:ascii="Arial" w:hAnsi="Arial" w:cs="Arial"/>
          <w:sz w:val="32"/>
          <w:szCs w:val="32"/>
        </w:rPr>
      </w:pPr>
      <w:r w:rsidRPr="00BE3D3E">
        <w:rPr>
          <w:rFonts w:ascii="Arial" w:hAnsi="Arial" w:cs="Arial"/>
          <w:sz w:val="32"/>
          <w:szCs w:val="32"/>
        </w:rPr>
        <w:t>Critical Evaluation: The Role of Departmental Managers</w:t>
      </w:r>
    </w:p>
    <w:p w14:paraId="4051D62B" w14:textId="5C3292A5" w:rsidR="00922F98" w:rsidRPr="00BE3D3E" w:rsidRDefault="00922F98" w:rsidP="00E4620E">
      <w:pPr>
        <w:pStyle w:val="ListParagraph"/>
        <w:numPr>
          <w:ilvl w:val="0"/>
          <w:numId w:val="1"/>
        </w:numPr>
        <w:spacing w:line="360" w:lineRule="auto"/>
        <w:rPr>
          <w:rFonts w:ascii="Arial" w:hAnsi="Arial" w:cs="Arial"/>
          <w:sz w:val="32"/>
          <w:szCs w:val="32"/>
        </w:rPr>
      </w:pPr>
      <w:r w:rsidRPr="00BE3D3E">
        <w:rPr>
          <w:rFonts w:ascii="Arial" w:hAnsi="Arial" w:cs="Arial"/>
          <w:sz w:val="32"/>
          <w:szCs w:val="32"/>
        </w:rPr>
        <w:t>Conclusion and Recommendations</w:t>
      </w:r>
    </w:p>
    <w:p w14:paraId="37606272" w14:textId="03938B30" w:rsidR="00922F98" w:rsidRPr="00BE3D3E" w:rsidRDefault="00922F98" w:rsidP="00E4620E">
      <w:pPr>
        <w:pStyle w:val="ListParagraph"/>
        <w:spacing w:line="360" w:lineRule="auto"/>
        <w:rPr>
          <w:rFonts w:ascii="Arial" w:hAnsi="Arial" w:cs="Arial"/>
          <w:sz w:val="32"/>
          <w:szCs w:val="32"/>
        </w:rPr>
      </w:pPr>
      <w:r w:rsidRPr="00BE3D3E">
        <w:rPr>
          <w:rFonts w:ascii="Arial" w:hAnsi="Arial" w:cs="Arial"/>
          <w:sz w:val="32"/>
          <w:szCs w:val="32"/>
        </w:rPr>
        <w:t>References</w:t>
      </w:r>
    </w:p>
    <w:p w14:paraId="57DE0C7D" w14:textId="77777777" w:rsidR="00922F98" w:rsidRPr="00BE3D3E" w:rsidRDefault="00922F98" w:rsidP="00E4620E">
      <w:pPr>
        <w:pStyle w:val="ListParagraph"/>
        <w:spacing w:line="360" w:lineRule="auto"/>
        <w:rPr>
          <w:rFonts w:ascii="Arial" w:hAnsi="Arial" w:cs="Arial"/>
          <w:sz w:val="32"/>
          <w:szCs w:val="32"/>
        </w:rPr>
      </w:pPr>
    </w:p>
    <w:p w14:paraId="060EF3DB" w14:textId="77777777" w:rsidR="00922F98" w:rsidRPr="00BE3D3E" w:rsidRDefault="00922F98" w:rsidP="00E4620E">
      <w:pPr>
        <w:pStyle w:val="ListParagraph"/>
        <w:spacing w:line="360" w:lineRule="auto"/>
        <w:rPr>
          <w:rFonts w:ascii="Arial" w:hAnsi="Arial" w:cs="Arial"/>
          <w:sz w:val="32"/>
          <w:szCs w:val="32"/>
        </w:rPr>
      </w:pPr>
    </w:p>
    <w:p w14:paraId="560BB4D6" w14:textId="77777777" w:rsidR="00922F98" w:rsidRPr="00BE3D3E" w:rsidRDefault="00922F98" w:rsidP="00E4620E">
      <w:pPr>
        <w:pStyle w:val="ListParagraph"/>
        <w:spacing w:line="360" w:lineRule="auto"/>
        <w:rPr>
          <w:rFonts w:ascii="Arial" w:hAnsi="Arial" w:cs="Arial"/>
          <w:sz w:val="32"/>
          <w:szCs w:val="32"/>
        </w:rPr>
      </w:pPr>
    </w:p>
    <w:p w14:paraId="4A6939F3" w14:textId="77777777" w:rsidR="00922F98" w:rsidRPr="00E4620E" w:rsidRDefault="00922F98" w:rsidP="00E4620E">
      <w:pPr>
        <w:spacing w:line="360" w:lineRule="auto"/>
        <w:rPr>
          <w:rFonts w:ascii="Arial" w:hAnsi="Arial" w:cs="Arial"/>
          <w:sz w:val="32"/>
          <w:szCs w:val="32"/>
        </w:rPr>
      </w:pPr>
    </w:p>
    <w:p w14:paraId="7093709E" w14:textId="24A34414" w:rsidR="00922F98" w:rsidRPr="00BE3D3E" w:rsidRDefault="00922F98" w:rsidP="00E4620E">
      <w:pPr>
        <w:pStyle w:val="ListParagraph"/>
        <w:numPr>
          <w:ilvl w:val="0"/>
          <w:numId w:val="2"/>
        </w:numPr>
        <w:spacing w:line="360" w:lineRule="auto"/>
        <w:rPr>
          <w:rFonts w:ascii="Arial" w:hAnsi="Arial" w:cs="Arial"/>
          <w:sz w:val="32"/>
          <w:szCs w:val="32"/>
        </w:rPr>
      </w:pPr>
      <w:r w:rsidRPr="00BE3D3E">
        <w:rPr>
          <w:rFonts w:ascii="Arial" w:hAnsi="Arial" w:cs="Arial"/>
          <w:sz w:val="32"/>
          <w:szCs w:val="32"/>
        </w:rPr>
        <w:lastRenderedPageBreak/>
        <w:t xml:space="preserve">Introduction </w:t>
      </w:r>
    </w:p>
    <w:p w14:paraId="5468F35E" w14:textId="14AB3041" w:rsidR="00BE3D3E" w:rsidRDefault="00BE3D3E" w:rsidP="00E4620E">
      <w:pPr>
        <w:pStyle w:val="ListParagraph"/>
        <w:spacing w:line="360" w:lineRule="auto"/>
        <w:ind w:left="0"/>
        <w:jc w:val="both"/>
        <w:rPr>
          <w:rFonts w:ascii="Arial" w:hAnsi="Arial" w:cs="Arial"/>
        </w:rPr>
      </w:pPr>
      <w:r w:rsidRPr="00BE3D3E">
        <w:rPr>
          <w:rFonts w:ascii="Arial" w:hAnsi="Arial" w:cs="Arial"/>
        </w:rPr>
        <w:t xml:space="preserve">Blue Earth Foods Limited is a private company that makes chilled seafood. Its main office is at Ocean House, Oxleasow Road, Redditch, Worcestershire B98 0RE. The company was founded in 2008 and is part of the </w:t>
      </w:r>
      <w:r w:rsidR="007B3F26" w:rsidRPr="00BE3D3E">
        <w:rPr>
          <w:rFonts w:ascii="Arial" w:hAnsi="Arial" w:cs="Arial"/>
        </w:rPr>
        <w:t>Seafresh</w:t>
      </w:r>
      <w:r w:rsidRPr="00BE3D3E">
        <w:rPr>
          <w:rFonts w:ascii="Arial" w:hAnsi="Arial" w:cs="Arial"/>
        </w:rPr>
        <w:t xml:space="preserve"> Group. It specialises in finding, processing, and supplying high-quality seafood products like king prawns, </w:t>
      </w:r>
      <w:r w:rsidR="007B3F26" w:rsidRPr="00BE3D3E">
        <w:rPr>
          <w:rFonts w:ascii="Arial" w:hAnsi="Arial" w:cs="Arial"/>
        </w:rPr>
        <w:t>Coldwater</w:t>
      </w:r>
      <w:r w:rsidRPr="00BE3D3E">
        <w:rPr>
          <w:rFonts w:ascii="Arial" w:hAnsi="Arial" w:cs="Arial"/>
        </w:rPr>
        <w:t xml:space="preserve"> North Atlantic prawns, and Madagascan black tiger prawns to major UK supermarket chains like Ocado, Aldi, and Marks &amp; Spencer. Blue Earth Foods has </w:t>
      </w:r>
      <w:r w:rsidR="007B3F26">
        <w:rPr>
          <w:rFonts w:ascii="Arial" w:hAnsi="Arial" w:cs="Arial"/>
        </w:rPr>
        <w:t>around 300</w:t>
      </w:r>
      <w:r w:rsidRPr="00BE3D3E">
        <w:rPr>
          <w:rFonts w:ascii="Arial" w:hAnsi="Arial" w:cs="Arial"/>
        </w:rPr>
        <w:t xml:space="preserve"> employees. The company's four core values are Teamwork, Quality, Honesty, and Passion</w:t>
      </w:r>
      <w:r w:rsidR="007B3F26">
        <w:rPr>
          <w:rFonts w:ascii="Arial" w:hAnsi="Arial" w:cs="Arial"/>
        </w:rPr>
        <w:t xml:space="preserve"> (Blue Earth, Website)</w:t>
      </w:r>
      <w:r w:rsidRPr="00BE3D3E">
        <w:rPr>
          <w:rFonts w:ascii="Arial" w:hAnsi="Arial" w:cs="Arial"/>
        </w:rPr>
        <w:t>. Armstrong and Taylor (2014) assert that effective HR management necessitates the alignment of personnel practices with organisational objectives to maintain competitive performance</w:t>
      </w:r>
      <w:r>
        <w:rPr>
          <w:rFonts w:ascii="Arial" w:hAnsi="Arial" w:cs="Arial"/>
        </w:rPr>
        <w:t xml:space="preserve">, </w:t>
      </w:r>
      <w:r w:rsidRPr="00BE3D3E">
        <w:rPr>
          <w:rFonts w:ascii="Arial" w:hAnsi="Arial" w:cs="Arial"/>
        </w:rPr>
        <w:t>a principle especially pertinent to a values-driven seafood manufacturer contending with post-Brexit labour disruptions and escalating retailer standards. Leatherbarrow and Fletcher (2019) further underscore that HR professionals are pivotal in identifying challenges in people management and converting strategic objectives into operational execution. This report examines three critical HR challenges facing Blue Earth Foods</w:t>
      </w:r>
      <w:r>
        <w:rPr>
          <w:rFonts w:ascii="Arial" w:hAnsi="Arial" w:cs="Arial"/>
        </w:rPr>
        <w:t xml:space="preserve">, </w:t>
      </w:r>
      <w:r w:rsidRPr="00BE3D3E">
        <w:rPr>
          <w:rFonts w:ascii="Arial" w:hAnsi="Arial" w:cs="Arial"/>
        </w:rPr>
        <w:t>technological advancement, talent acquisition and retention, and Diversity, Equity and Inclusion (DEI), evaluating contemporary practices to address each and critically assessing the role of departmental managers in ensuring timely implementation.</w:t>
      </w:r>
    </w:p>
    <w:p w14:paraId="45E5B738" w14:textId="77777777" w:rsidR="00E4620E" w:rsidRDefault="00E4620E" w:rsidP="00E4620E">
      <w:pPr>
        <w:pStyle w:val="ListParagraph"/>
        <w:spacing w:line="360" w:lineRule="auto"/>
        <w:ind w:left="0"/>
        <w:jc w:val="both"/>
        <w:rPr>
          <w:rFonts w:ascii="Arial" w:hAnsi="Arial" w:cs="Arial"/>
        </w:rPr>
      </w:pPr>
    </w:p>
    <w:p w14:paraId="1A3ADFF9" w14:textId="77777777" w:rsidR="00E4620E" w:rsidRPr="00BE3D3E" w:rsidRDefault="00E4620E" w:rsidP="00E4620E">
      <w:pPr>
        <w:pStyle w:val="ListParagraph"/>
        <w:spacing w:line="360" w:lineRule="auto"/>
        <w:ind w:left="0"/>
        <w:jc w:val="both"/>
        <w:rPr>
          <w:rFonts w:ascii="Arial" w:hAnsi="Arial" w:cs="Arial"/>
        </w:rPr>
      </w:pPr>
    </w:p>
    <w:p w14:paraId="5122B0DD" w14:textId="58C78A2C" w:rsidR="00922F98" w:rsidRPr="00E4620E" w:rsidRDefault="00BE3D3E" w:rsidP="00E4620E">
      <w:pPr>
        <w:pStyle w:val="ListParagraph"/>
        <w:numPr>
          <w:ilvl w:val="0"/>
          <w:numId w:val="2"/>
        </w:numPr>
        <w:spacing w:line="360" w:lineRule="auto"/>
        <w:rPr>
          <w:rFonts w:ascii="Arial" w:hAnsi="Arial" w:cs="Arial"/>
          <w:sz w:val="32"/>
          <w:szCs w:val="32"/>
        </w:rPr>
      </w:pPr>
      <w:r w:rsidRPr="00E4620E">
        <w:rPr>
          <w:rFonts w:ascii="Arial" w:hAnsi="Arial" w:cs="Arial"/>
          <w:sz w:val="32"/>
          <w:szCs w:val="32"/>
        </w:rPr>
        <w:t>Specific HR Factors Facing Blue Earth Food Ltd</w:t>
      </w:r>
    </w:p>
    <w:p w14:paraId="5005B205" w14:textId="2DB44ACE" w:rsidR="00BE3D3E" w:rsidRPr="00E4620E" w:rsidRDefault="00BE3D3E" w:rsidP="00E4620E">
      <w:pPr>
        <w:pStyle w:val="ListParagraph"/>
        <w:numPr>
          <w:ilvl w:val="1"/>
          <w:numId w:val="2"/>
        </w:numPr>
        <w:spacing w:line="360" w:lineRule="auto"/>
        <w:rPr>
          <w:rFonts w:ascii="Arial" w:hAnsi="Arial" w:cs="Arial"/>
          <w:sz w:val="28"/>
          <w:szCs w:val="28"/>
        </w:rPr>
      </w:pPr>
      <w:r w:rsidRPr="00E4620E">
        <w:rPr>
          <w:rFonts w:ascii="Arial" w:hAnsi="Arial" w:cs="Arial"/>
          <w:sz w:val="28"/>
          <w:szCs w:val="28"/>
        </w:rPr>
        <w:t>Meeting Technological Advancement</w:t>
      </w:r>
    </w:p>
    <w:p w14:paraId="72222D47" w14:textId="77777777" w:rsidR="009D7D13" w:rsidRDefault="00E4620E" w:rsidP="002D2767">
      <w:pPr>
        <w:spacing w:line="360" w:lineRule="auto"/>
        <w:jc w:val="both"/>
        <w:rPr>
          <w:rFonts w:ascii="Arial" w:hAnsi="Arial" w:cs="Arial"/>
        </w:rPr>
      </w:pPr>
      <w:r w:rsidRPr="00E4620E">
        <w:rPr>
          <w:rFonts w:ascii="Arial" w:hAnsi="Arial" w:cs="Arial"/>
        </w:rPr>
        <w:t>To meet retailer assurance requirements, Blue Earth Foods tracks</w:t>
      </w:r>
      <w:r w:rsidR="002D2767" w:rsidRPr="002D2767">
        <w:rPr>
          <w:rFonts w:ascii="Roboto" w:hAnsi="Roboto"/>
          <w:color w:val="252C30"/>
          <w:shd w:val="clear" w:color="auto" w:fill="FFFFFF"/>
        </w:rPr>
        <w:t xml:space="preserve"> </w:t>
      </w:r>
      <w:r w:rsidR="002D2767">
        <w:rPr>
          <w:rFonts w:ascii="Roboto" w:hAnsi="Roboto"/>
          <w:color w:val="252C30"/>
          <w:shd w:val="clear" w:color="auto" w:fill="FFFFFF"/>
        </w:rPr>
        <w:t>100% of their production</w:t>
      </w:r>
      <w:r w:rsidR="009D7D13">
        <w:rPr>
          <w:rFonts w:ascii="Roboto" w:hAnsi="Roboto"/>
          <w:color w:val="252C30"/>
          <w:shd w:val="clear" w:color="auto" w:fill="FFFFFF"/>
        </w:rPr>
        <w:t>,</w:t>
      </w:r>
      <w:r w:rsidR="002D2767">
        <w:rPr>
          <w:rFonts w:ascii="Roboto" w:hAnsi="Roboto"/>
          <w:color w:val="252C30"/>
          <w:shd w:val="clear" w:color="auto" w:fill="FFFFFF"/>
        </w:rPr>
        <w:t xml:space="preserve"> and use the most advanced technology to guarantee it</w:t>
      </w:r>
      <w:r w:rsidRPr="00E4620E">
        <w:rPr>
          <w:rFonts w:ascii="Arial" w:hAnsi="Arial" w:cs="Arial"/>
        </w:rPr>
        <w:t xml:space="preserve">. The seafood processing industry's rapid investment in automated portioning, glazing, and cold chain monitoring systems has major HR implications. Dermol and Cater (2013) note that training, knowledge transfer, and organisational performance are directly and measurable. Technology adoption fails to boost productivity without deliberate workforce capability investment. </w:t>
      </w:r>
    </w:p>
    <w:p w14:paraId="6FBD7B4A" w14:textId="4F0EB70C" w:rsidR="00E4620E" w:rsidRDefault="00E4620E" w:rsidP="002D2767">
      <w:pPr>
        <w:spacing w:line="360" w:lineRule="auto"/>
        <w:jc w:val="both"/>
        <w:rPr>
          <w:rFonts w:ascii="Arial" w:hAnsi="Arial" w:cs="Arial"/>
        </w:rPr>
      </w:pPr>
      <w:r w:rsidRPr="00E4620E">
        <w:rPr>
          <w:rFonts w:ascii="Arial" w:hAnsi="Arial" w:cs="Arial"/>
        </w:rPr>
        <w:t xml:space="preserve">Blue Earth Foods' production-floor workers, recruited for physical dexterity rather than digital skills, face a growing skills gap as machinery interfaces, quality inspection software, and HR information systems become essential. Technology adoption involves psychological risk as well as skills. Ford, Ford, and D'Amelio (2008) argue that employee resistance to change is usually rational and stems from identity, competency, and job security concerns. If not handled sensitively, automated portioning lines may cause anxiety in Blue Earth Foods' production workers, reducing engagement and increasing voluntary turnover. HR should be a strategic </w:t>
      </w:r>
      <w:r w:rsidRPr="00E4620E">
        <w:rPr>
          <w:rFonts w:ascii="Arial" w:hAnsi="Arial" w:cs="Arial"/>
        </w:rPr>
        <w:lastRenderedPageBreak/>
        <w:t>partner during technological change rather than just administering it</w:t>
      </w:r>
      <w:r w:rsidR="00F231A8">
        <w:rPr>
          <w:rFonts w:ascii="Arial" w:hAnsi="Arial" w:cs="Arial"/>
        </w:rPr>
        <w:t xml:space="preserve"> (</w:t>
      </w:r>
      <w:r w:rsidR="00F231A8" w:rsidRPr="00E4620E">
        <w:rPr>
          <w:rFonts w:ascii="Arial" w:hAnsi="Arial" w:cs="Arial"/>
        </w:rPr>
        <w:t>Reilly</w:t>
      </w:r>
      <w:r w:rsidR="00F231A8">
        <w:rPr>
          <w:rFonts w:ascii="Arial" w:hAnsi="Arial" w:cs="Arial"/>
        </w:rPr>
        <w:t xml:space="preserve">, </w:t>
      </w:r>
      <w:r w:rsidR="00F231A8" w:rsidRPr="00E4620E">
        <w:rPr>
          <w:rFonts w:ascii="Arial" w:hAnsi="Arial" w:cs="Arial"/>
        </w:rPr>
        <w:t>2012)</w:t>
      </w:r>
      <w:r w:rsidRPr="00E4620E">
        <w:rPr>
          <w:rFonts w:ascii="Arial" w:hAnsi="Arial" w:cs="Arial"/>
        </w:rPr>
        <w:t>. Blue Earth Foods' HR function must urgently adopt this role.</w:t>
      </w:r>
    </w:p>
    <w:p w14:paraId="59970269" w14:textId="0C087DAC" w:rsidR="00E4620E" w:rsidRPr="00E4620E" w:rsidRDefault="00E4620E" w:rsidP="00E4620E">
      <w:pPr>
        <w:pStyle w:val="ListParagraph"/>
        <w:numPr>
          <w:ilvl w:val="1"/>
          <w:numId w:val="2"/>
        </w:numPr>
        <w:spacing w:line="360" w:lineRule="auto"/>
        <w:jc w:val="both"/>
        <w:rPr>
          <w:rFonts w:ascii="Arial" w:hAnsi="Arial" w:cs="Arial"/>
          <w:sz w:val="28"/>
          <w:szCs w:val="28"/>
        </w:rPr>
      </w:pPr>
      <w:r w:rsidRPr="00E4620E">
        <w:rPr>
          <w:rFonts w:ascii="Arial" w:hAnsi="Arial" w:cs="Arial"/>
          <w:sz w:val="28"/>
          <w:szCs w:val="28"/>
        </w:rPr>
        <w:t>Talent Acquisition and Retention</w:t>
      </w:r>
    </w:p>
    <w:p w14:paraId="3E83ADB5" w14:textId="694283F8" w:rsidR="005C1FBF" w:rsidRDefault="00E4620E" w:rsidP="00E4620E">
      <w:pPr>
        <w:spacing w:line="360" w:lineRule="auto"/>
        <w:jc w:val="both"/>
        <w:rPr>
          <w:rFonts w:ascii="Arial" w:hAnsi="Arial" w:cs="Arial"/>
        </w:rPr>
      </w:pPr>
      <w:r w:rsidRPr="00E4620E">
        <w:rPr>
          <w:rFonts w:ascii="Arial" w:hAnsi="Arial" w:cs="Arial"/>
        </w:rPr>
        <w:t xml:space="preserve">Blue Earth Foods works in a labour market that has gotten very tight since Brexit. Before 2021, the company, like many other UK food processors, relied heavily on EU nationals from Eastern Europe to work on the production lines. Taking away the right to move around greatly cut down on this pool of talent. Because Redditch is only 15 miles north of Birmingham, workers in the area can easily reach a wide range of competing employers in logistics, retail, and light manufacturing. Taylor (2014) says that businesses in fields with physically demanding jobs have a double challenge when it comes to attracting workers: they </w:t>
      </w:r>
      <w:r w:rsidR="00D93C0F" w:rsidRPr="00E4620E">
        <w:rPr>
          <w:rFonts w:ascii="Arial" w:hAnsi="Arial" w:cs="Arial"/>
        </w:rPr>
        <w:t>must</w:t>
      </w:r>
      <w:r w:rsidRPr="00E4620E">
        <w:rPr>
          <w:rFonts w:ascii="Arial" w:hAnsi="Arial" w:cs="Arial"/>
        </w:rPr>
        <w:t xml:space="preserve"> compete on both ext</w:t>
      </w:r>
      <w:r w:rsidR="00D93C0F">
        <w:rPr>
          <w:rFonts w:ascii="Arial" w:hAnsi="Arial" w:cs="Arial"/>
        </w:rPr>
        <w:t>ernal</w:t>
      </w:r>
      <w:r w:rsidRPr="00E4620E">
        <w:rPr>
          <w:rFonts w:ascii="Arial" w:hAnsi="Arial" w:cs="Arial"/>
        </w:rPr>
        <w:t xml:space="preserve"> rewards</w:t>
      </w:r>
      <w:r w:rsidR="00D93C0F">
        <w:rPr>
          <w:rFonts w:ascii="Arial" w:hAnsi="Arial" w:cs="Arial"/>
        </w:rPr>
        <w:t xml:space="preserve"> (e.g. bonuses and benefits)</w:t>
      </w:r>
      <w:r w:rsidRPr="00E4620E">
        <w:rPr>
          <w:rFonts w:ascii="Arial" w:hAnsi="Arial" w:cs="Arial"/>
        </w:rPr>
        <w:t xml:space="preserve"> and the experience of working there</w:t>
      </w:r>
      <w:r w:rsidR="00D93C0F">
        <w:rPr>
          <w:rFonts w:ascii="Arial" w:hAnsi="Arial" w:cs="Arial"/>
        </w:rPr>
        <w:t xml:space="preserve"> (e.g. workplace culture and sense of belonging) </w:t>
      </w:r>
      <w:r w:rsidR="00D93C0F" w:rsidRPr="00E4620E">
        <w:rPr>
          <w:rFonts w:ascii="Arial" w:hAnsi="Arial" w:cs="Arial"/>
        </w:rPr>
        <w:t>to</w:t>
      </w:r>
      <w:r w:rsidRPr="00E4620E">
        <w:rPr>
          <w:rFonts w:ascii="Arial" w:hAnsi="Arial" w:cs="Arial"/>
        </w:rPr>
        <w:t xml:space="preserve"> get people who could work in more comfortable settings. Blue Earth Foods' Facebook job ad that </w:t>
      </w:r>
      <w:r w:rsidR="005C1FBF" w:rsidRPr="00E4620E">
        <w:rPr>
          <w:rFonts w:ascii="Arial" w:hAnsi="Arial" w:cs="Arial"/>
        </w:rPr>
        <w:t>says</w:t>
      </w:r>
      <w:r w:rsidR="005C1FBF">
        <w:rPr>
          <w:rFonts w:ascii="Arial" w:hAnsi="Arial" w:cs="Arial"/>
        </w:rPr>
        <w:t>: ‘</w:t>
      </w:r>
      <w:r w:rsidRPr="00E4620E">
        <w:rPr>
          <w:rFonts w:ascii="Arial" w:hAnsi="Arial" w:cs="Arial"/>
        </w:rPr>
        <w:t>immediate start, full training provided</w:t>
      </w:r>
      <w:r w:rsidR="005C1FBF">
        <w:rPr>
          <w:rFonts w:ascii="Arial" w:hAnsi="Arial" w:cs="Arial"/>
        </w:rPr>
        <w:t>’,</w:t>
      </w:r>
      <w:r w:rsidRPr="00E4620E">
        <w:rPr>
          <w:rFonts w:ascii="Arial" w:hAnsi="Arial" w:cs="Arial"/>
        </w:rPr>
        <w:t xml:space="preserve"> shows that the company is hiring quickly instead of planning ahead for its workforce. CIPD (2017b) stresses that sustainable talent management needs a proactive, integrated approach that connects attraction, development, and retention, instead of treating each one as a separate transaction. High turnover is expensive in real terms. </w:t>
      </w:r>
    </w:p>
    <w:p w14:paraId="1AD6B13C" w14:textId="792C9601" w:rsidR="00E4620E" w:rsidRDefault="00E4620E" w:rsidP="00E4620E">
      <w:pPr>
        <w:spacing w:line="360" w:lineRule="auto"/>
        <w:jc w:val="both"/>
        <w:rPr>
          <w:rFonts w:ascii="Arial" w:hAnsi="Arial" w:cs="Arial"/>
        </w:rPr>
      </w:pPr>
      <w:r w:rsidRPr="00E4620E">
        <w:rPr>
          <w:rFonts w:ascii="Arial" w:hAnsi="Arial" w:cs="Arial"/>
        </w:rPr>
        <w:t>Buller and McEvoy (2012) show that aligning HR strategy with broader business strategy, including strong retention practices, is one of the best ways to predict long-term organisational performance. Blue Earth Foods has values of teamwork and passion. If they want to significantly reduce voluntary turnover, they need to close the gap between what they say their culture is and what employees experience.</w:t>
      </w:r>
    </w:p>
    <w:p w14:paraId="759E3A27" w14:textId="2CBDEAC9" w:rsidR="00E4620E" w:rsidRPr="00E71912" w:rsidRDefault="00E4620E" w:rsidP="00E71912">
      <w:pPr>
        <w:pStyle w:val="ListParagraph"/>
        <w:numPr>
          <w:ilvl w:val="1"/>
          <w:numId w:val="2"/>
        </w:numPr>
        <w:spacing w:line="360" w:lineRule="auto"/>
        <w:jc w:val="both"/>
        <w:rPr>
          <w:rFonts w:ascii="Arial" w:hAnsi="Arial" w:cs="Arial"/>
        </w:rPr>
      </w:pPr>
      <w:r w:rsidRPr="00E4620E">
        <w:rPr>
          <w:rFonts w:ascii="Arial" w:hAnsi="Arial" w:cs="Arial"/>
        </w:rPr>
        <w:t>Diversity, Equity and Inclusion (DEI)</w:t>
      </w:r>
    </w:p>
    <w:p w14:paraId="64DFA2C3" w14:textId="01585C4A" w:rsidR="00E71912" w:rsidRDefault="00D26582" w:rsidP="00D26582">
      <w:pPr>
        <w:spacing w:line="360" w:lineRule="auto"/>
        <w:jc w:val="both"/>
        <w:rPr>
          <w:rFonts w:ascii="Arial" w:hAnsi="Arial" w:cs="Arial"/>
        </w:rPr>
      </w:pPr>
      <w:r w:rsidRPr="00D26582">
        <w:rPr>
          <w:rFonts w:ascii="Arial" w:hAnsi="Arial" w:cs="Arial"/>
        </w:rPr>
        <w:t>The workforce of Blue Earth Foods reflects the multicultural nature of Redditch, a New Town with substantial South Asian, Eastern European, and Black heritage communities. Additionally, the company's international operations, which encompass Madagascar, Thailand, and Denmark, are reflected in the workforce. Hofstede (2001) says that cultural aspects including power distance, individualism, and uncertainty avoidance are quite different from one nationality to the next. These differences have a big effect on how employees accept authority, communication, and justice in the workplace. For Blue Earth Foods, which has employees from many different countries, it is important to know about these factors to create fair people management methods.</w:t>
      </w:r>
      <w:r w:rsidR="00E71912" w:rsidRPr="00E71912">
        <w:t xml:space="preserve"> </w:t>
      </w:r>
      <w:r w:rsidR="00E71912" w:rsidRPr="00E71912">
        <w:rPr>
          <w:rFonts w:ascii="Arial" w:hAnsi="Arial" w:cs="Arial"/>
        </w:rPr>
        <w:t>Javidan, House, and Dorfman (2004) argue</w:t>
      </w:r>
      <w:r w:rsidR="00E71912">
        <w:rPr>
          <w:rFonts w:ascii="Arial" w:hAnsi="Arial" w:cs="Arial"/>
        </w:rPr>
        <w:t xml:space="preserve"> </w:t>
      </w:r>
      <w:r w:rsidR="00E71912" w:rsidRPr="00E71912">
        <w:rPr>
          <w:rFonts w:ascii="Arial" w:hAnsi="Arial" w:cs="Arial"/>
        </w:rPr>
        <w:t>that leaders with strong cultural intelligence are crucial for building inclusive, high</w:t>
      </w:r>
      <w:r w:rsidR="00E71912" w:rsidRPr="00E71912">
        <w:rPr>
          <w:rFonts w:ascii="Cambria Math" w:hAnsi="Cambria Math" w:cs="Cambria Math"/>
        </w:rPr>
        <w:t>‑</w:t>
      </w:r>
      <w:r w:rsidR="00E71912" w:rsidRPr="00E71912">
        <w:rPr>
          <w:rFonts w:ascii="Arial" w:hAnsi="Arial" w:cs="Arial"/>
        </w:rPr>
        <w:t>performing teams made up of diverse members.</w:t>
      </w:r>
    </w:p>
    <w:p w14:paraId="28130270" w14:textId="2BE77E71" w:rsidR="00865CC3" w:rsidRDefault="00D26582" w:rsidP="00D26582">
      <w:pPr>
        <w:spacing w:line="360" w:lineRule="auto"/>
        <w:jc w:val="both"/>
        <w:rPr>
          <w:rFonts w:ascii="Arial" w:hAnsi="Arial" w:cs="Arial"/>
        </w:rPr>
      </w:pPr>
      <w:r w:rsidRPr="00D26582">
        <w:rPr>
          <w:rFonts w:ascii="Arial" w:hAnsi="Arial" w:cs="Arial"/>
        </w:rPr>
        <w:lastRenderedPageBreak/>
        <w:t xml:space="preserve">Blue Earth Foods' release of a Modern Slavery Statement (updated August 2025) shows </w:t>
      </w:r>
      <w:r w:rsidR="00865CC3" w:rsidRPr="00865CC3">
        <w:rPr>
          <w:rFonts w:ascii="Arial" w:hAnsi="Arial" w:cs="Arial"/>
        </w:rPr>
        <w:t>the company’s recognition of the ethical risks associated with employing workers across international food supply chains</w:t>
      </w:r>
      <w:r w:rsidR="00ED0360">
        <w:rPr>
          <w:rFonts w:ascii="Arial" w:hAnsi="Arial" w:cs="Arial"/>
        </w:rPr>
        <w:t>.</w:t>
      </w:r>
    </w:p>
    <w:p w14:paraId="6E03D683" w14:textId="10BD92EC" w:rsidR="00D26582" w:rsidRDefault="00D26582" w:rsidP="00D26582">
      <w:pPr>
        <w:spacing w:line="360" w:lineRule="auto"/>
        <w:jc w:val="both"/>
        <w:rPr>
          <w:rFonts w:ascii="Arial" w:hAnsi="Arial" w:cs="Arial"/>
        </w:rPr>
      </w:pPr>
      <w:r w:rsidRPr="00D26582">
        <w:rPr>
          <w:rFonts w:ascii="Arial" w:hAnsi="Arial" w:cs="Arial"/>
        </w:rPr>
        <w:t xml:space="preserve">However, DEI </w:t>
      </w:r>
      <w:r w:rsidR="00BB6A0A" w:rsidRPr="00D26582">
        <w:rPr>
          <w:rFonts w:ascii="Arial" w:hAnsi="Arial" w:cs="Arial"/>
        </w:rPr>
        <w:t>must</w:t>
      </w:r>
      <w:r w:rsidRPr="00D26582">
        <w:rPr>
          <w:rFonts w:ascii="Arial" w:hAnsi="Arial" w:cs="Arial"/>
        </w:rPr>
        <w:t xml:space="preserve"> go beyond just following the rules and into real inclusion. Mullins and McLean (2019) assert that corporate culture</w:t>
      </w:r>
      <w:r w:rsidR="004775CF">
        <w:rPr>
          <w:rFonts w:ascii="Arial" w:hAnsi="Arial" w:cs="Arial"/>
        </w:rPr>
        <w:t xml:space="preserve">, </w:t>
      </w:r>
      <w:r w:rsidRPr="00D26582">
        <w:rPr>
          <w:rFonts w:ascii="Arial" w:hAnsi="Arial" w:cs="Arial"/>
        </w:rPr>
        <w:t>the collective values, norms, and assumptions influencing behavio</w:t>
      </w:r>
      <w:r w:rsidR="004775CF">
        <w:rPr>
          <w:rFonts w:ascii="Arial" w:hAnsi="Arial" w:cs="Arial"/>
        </w:rPr>
        <w:t>u</w:t>
      </w:r>
      <w:r w:rsidRPr="00D26582">
        <w:rPr>
          <w:rFonts w:ascii="Arial" w:hAnsi="Arial" w:cs="Arial"/>
        </w:rPr>
        <w:t>r</w:t>
      </w:r>
      <w:r w:rsidR="004775CF">
        <w:rPr>
          <w:rFonts w:ascii="Arial" w:hAnsi="Arial" w:cs="Arial"/>
        </w:rPr>
        <w:t xml:space="preserve">, </w:t>
      </w:r>
      <w:r w:rsidRPr="00D26582">
        <w:rPr>
          <w:rFonts w:ascii="Arial" w:hAnsi="Arial" w:cs="Arial"/>
        </w:rPr>
        <w:t>either facilitates or hinders inclusion, emphasising that leaders must take the initiative to cultivate an inclusive culture rather than presuming its spontaneous development.</w:t>
      </w:r>
    </w:p>
    <w:p w14:paraId="43900D94" w14:textId="1D30DB0C" w:rsidR="00D26582" w:rsidRPr="00D26582" w:rsidRDefault="00F20461" w:rsidP="00D26582">
      <w:pPr>
        <w:spacing w:line="360" w:lineRule="auto"/>
        <w:jc w:val="both"/>
        <w:rPr>
          <w:rFonts w:ascii="Arial" w:hAnsi="Arial" w:cs="Arial"/>
          <w:sz w:val="32"/>
          <w:szCs w:val="32"/>
        </w:rPr>
      </w:pPr>
      <w:r>
        <w:rPr>
          <w:rFonts w:ascii="Arial" w:hAnsi="Arial" w:cs="Arial"/>
          <w:sz w:val="32"/>
          <w:szCs w:val="32"/>
        </w:rPr>
        <w:t xml:space="preserve">3. </w:t>
      </w:r>
      <w:r w:rsidR="00D26582" w:rsidRPr="00D26582">
        <w:rPr>
          <w:rFonts w:ascii="Arial" w:hAnsi="Arial" w:cs="Arial"/>
          <w:sz w:val="32"/>
          <w:szCs w:val="32"/>
        </w:rPr>
        <w:t>Evaluation of Contemporary HR Practices</w:t>
      </w:r>
    </w:p>
    <w:p w14:paraId="68E08846" w14:textId="77B00C13" w:rsidR="00D26582" w:rsidRDefault="00D26582" w:rsidP="00D26582">
      <w:pPr>
        <w:spacing w:line="360" w:lineRule="auto"/>
        <w:jc w:val="both"/>
        <w:rPr>
          <w:rFonts w:ascii="Arial" w:hAnsi="Arial" w:cs="Arial"/>
          <w:sz w:val="28"/>
          <w:szCs w:val="28"/>
        </w:rPr>
      </w:pPr>
      <w:r w:rsidRPr="00D26582">
        <w:rPr>
          <w:rFonts w:ascii="Arial" w:hAnsi="Arial" w:cs="Arial"/>
          <w:sz w:val="32"/>
          <w:szCs w:val="32"/>
        </w:rPr>
        <w:t>3.1</w:t>
      </w:r>
      <w:r w:rsidRPr="00D26582">
        <w:rPr>
          <w:rFonts w:ascii="Arial" w:hAnsi="Arial" w:cs="Arial"/>
          <w:sz w:val="32"/>
          <w:szCs w:val="32"/>
        </w:rPr>
        <w:tab/>
      </w:r>
      <w:r w:rsidRPr="00D26582">
        <w:rPr>
          <w:rFonts w:ascii="Arial" w:hAnsi="Arial" w:cs="Arial"/>
          <w:sz w:val="28"/>
          <w:szCs w:val="28"/>
        </w:rPr>
        <w:t>Addressing Technological Advancement</w:t>
      </w:r>
      <w:r>
        <w:rPr>
          <w:rFonts w:ascii="Arial" w:hAnsi="Arial" w:cs="Arial"/>
          <w:sz w:val="28"/>
          <w:szCs w:val="28"/>
        </w:rPr>
        <w:t>: Structured Learning and Development</w:t>
      </w:r>
    </w:p>
    <w:p w14:paraId="69A19164" w14:textId="507CA4EC" w:rsidR="00D26582" w:rsidRPr="00D26582" w:rsidRDefault="00D26582" w:rsidP="00D26582">
      <w:pPr>
        <w:spacing w:line="360" w:lineRule="auto"/>
        <w:jc w:val="both"/>
        <w:rPr>
          <w:rFonts w:ascii="Arial" w:hAnsi="Arial" w:cs="Arial"/>
        </w:rPr>
      </w:pPr>
      <w:r w:rsidRPr="00D26582">
        <w:rPr>
          <w:rFonts w:ascii="Arial" w:hAnsi="Arial" w:cs="Arial"/>
        </w:rPr>
        <w:t>A structured Learning and Development strategy is the most suitable way for Blue Earth Foods to tackle its technology</w:t>
      </w:r>
      <w:r w:rsidRPr="00D26582">
        <w:rPr>
          <w:rFonts w:ascii="Cambria Math" w:hAnsi="Cambria Math" w:cs="Cambria Math"/>
        </w:rPr>
        <w:t>‑</w:t>
      </w:r>
      <w:r w:rsidRPr="00D26582">
        <w:rPr>
          <w:rFonts w:ascii="Arial" w:hAnsi="Arial" w:cs="Arial"/>
        </w:rPr>
        <w:t>related skills gap. Fiol and Lyles (1985) explain that organisations learn on two levels: lower</w:t>
      </w:r>
      <w:r w:rsidRPr="00D26582">
        <w:rPr>
          <w:rFonts w:ascii="Cambria Math" w:hAnsi="Cambria Math" w:cs="Cambria Math"/>
        </w:rPr>
        <w:t>‑</w:t>
      </w:r>
      <w:r w:rsidRPr="00D26582">
        <w:rPr>
          <w:rFonts w:ascii="Arial" w:hAnsi="Arial" w:cs="Arial"/>
        </w:rPr>
        <w:t>level learning, which focuses on adjusting behaviour within existing routines, and higher</w:t>
      </w:r>
      <w:r w:rsidRPr="00D26582">
        <w:rPr>
          <w:rFonts w:ascii="Cambria Math" w:hAnsi="Cambria Math" w:cs="Cambria Math"/>
        </w:rPr>
        <w:t>‑</w:t>
      </w:r>
      <w:r w:rsidRPr="00D26582">
        <w:rPr>
          <w:rFonts w:ascii="Arial" w:hAnsi="Arial" w:cs="Arial"/>
        </w:rPr>
        <w:t>level learning, which involves reshaping the way people think about their work. Blue Earth Foods needs both. Operatives must get comfortable with new machinery interfaces</w:t>
      </w:r>
      <w:r>
        <w:rPr>
          <w:rFonts w:ascii="Arial" w:hAnsi="Arial" w:cs="Arial"/>
        </w:rPr>
        <w:t>,</w:t>
      </w:r>
      <w:r w:rsidRPr="00D26582">
        <w:rPr>
          <w:rFonts w:ascii="Arial" w:hAnsi="Arial" w:cs="Arial"/>
        </w:rPr>
        <w:t xml:space="preserve"> a clear example of lower</w:t>
      </w:r>
      <w:r w:rsidRPr="00D26582">
        <w:rPr>
          <w:rFonts w:ascii="Cambria Math" w:hAnsi="Cambria Math" w:cs="Cambria Math"/>
        </w:rPr>
        <w:t>‑</w:t>
      </w:r>
      <w:r w:rsidRPr="00D26582">
        <w:rPr>
          <w:rFonts w:ascii="Arial" w:hAnsi="Arial" w:cs="Arial"/>
        </w:rPr>
        <w:t>level learning</w:t>
      </w:r>
      <w:r>
        <w:rPr>
          <w:rFonts w:ascii="Arial" w:hAnsi="Arial" w:cs="Arial"/>
        </w:rPr>
        <w:t>,</w:t>
      </w:r>
      <w:r w:rsidRPr="00D26582">
        <w:rPr>
          <w:rFonts w:ascii="Arial" w:hAnsi="Arial" w:cs="Arial"/>
        </w:rPr>
        <w:t xml:space="preserve"> while supervisors and HR teams need to rethink how they manage a workforce that is becoming increasingly digital, reflecting higher</w:t>
      </w:r>
      <w:r w:rsidRPr="00D26582">
        <w:rPr>
          <w:rFonts w:ascii="Cambria Math" w:hAnsi="Cambria Math" w:cs="Cambria Math"/>
        </w:rPr>
        <w:t>‑</w:t>
      </w:r>
      <w:r w:rsidRPr="00D26582">
        <w:rPr>
          <w:rFonts w:ascii="Arial" w:hAnsi="Arial" w:cs="Arial"/>
        </w:rPr>
        <w:t>level learning.</w:t>
      </w:r>
    </w:p>
    <w:p w14:paraId="76538BB5" w14:textId="69E9C1E7" w:rsidR="00D26582" w:rsidRPr="00D26582" w:rsidRDefault="008D0ECB" w:rsidP="00D26582">
      <w:pPr>
        <w:spacing w:line="360" w:lineRule="auto"/>
        <w:jc w:val="both"/>
        <w:rPr>
          <w:rFonts w:ascii="Arial" w:hAnsi="Arial" w:cs="Arial"/>
        </w:rPr>
      </w:pPr>
      <w:r>
        <w:rPr>
          <w:rFonts w:ascii="Arial" w:hAnsi="Arial" w:cs="Arial"/>
        </w:rPr>
        <w:t xml:space="preserve">According to </w:t>
      </w:r>
      <w:r w:rsidR="00D26582" w:rsidRPr="00D26582">
        <w:rPr>
          <w:rFonts w:ascii="Arial" w:hAnsi="Arial" w:cs="Arial"/>
        </w:rPr>
        <w:t>Dermol and Cater (2013)</w:t>
      </w:r>
      <w:r>
        <w:rPr>
          <w:rFonts w:ascii="Arial" w:hAnsi="Arial" w:cs="Arial"/>
        </w:rPr>
        <w:t>,</w:t>
      </w:r>
      <w:r w:rsidR="00D26582" w:rsidRPr="00D26582">
        <w:rPr>
          <w:rFonts w:ascii="Arial" w:hAnsi="Arial" w:cs="Arial"/>
        </w:rPr>
        <w:t xml:space="preserve"> training is most effective when employees can apply new knowledge directly in their work environment</w:t>
      </w:r>
      <w:r>
        <w:rPr>
          <w:rFonts w:ascii="Arial" w:hAnsi="Arial" w:cs="Arial"/>
        </w:rPr>
        <w:t xml:space="preserve">, </w:t>
      </w:r>
      <w:r w:rsidRPr="008D0ECB">
        <w:rPr>
          <w:rFonts w:ascii="Arial" w:hAnsi="Arial" w:cs="Arial"/>
        </w:rPr>
        <w:t>reinforcing the value of blending formal instruction with on</w:t>
      </w:r>
      <w:r w:rsidRPr="008D0ECB">
        <w:rPr>
          <w:rFonts w:ascii="Cambria Math" w:hAnsi="Cambria Math" w:cs="Cambria Math"/>
        </w:rPr>
        <w:t>‑</w:t>
      </w:r>
      <w:r w:rsidRPr="008D0ECB">
        <w:rPr>
          <w:rFonts w:ascii="Arial" w:hAnsi="Arial" w:cs="Arial"/>
        </w:rPr>
        <w:t>the</w:t>
      </w:r>
      <w:r w:rsidRPr="008D0ECB">
        <w:rPr>
          <w:rFonts w:ascii="Cambria Math" w:hAnsi="Cambria Math" w:cs="Cambria Math"/>
        </w:rPr>
        <w:t>‑</w:t>
      </w:r>
      <w:r w:rsidRPr="008D0ECB">
        <w:rPr>
          <w:rFonts w:ascii="Arial" w:hAnsi="Arial" w:cs="Arial"/>
        </w:rPr>
        <w:t>job learning.</w:t>
      </w:r>
      <w:r w:rsidR="0079388E">
        <w:rPr>
          <w:rFonts w:ascii="Arial" w:hAnsi="Arial" w:cs="Arial"/>
        </w:rPr>
        <w:t xml:space="preserve"> </w:t>
      </w:r>
      <w:r w:rsidR="00D26582" w:rsidRPr="00D26582">
        <w:rPr>
          <w:rFonts w:ascii="Arial" w:hAnsi="Arial" w:cs="Arial"/>
        </w:rPr>
        <w:t>One practical step would be to appoint experienced “technology champions” on each production line who can guide colleagues, encourage peer learning, and reduce uncertainty around automation.</w:t>
      </w:r>
    </w:p>
    <w:p w14:paraId="5F599DD2" w14:textId="519C1232" w:rsidR="00E4620E" w:rsidRDefault="00D26582" w:rsidP="00D26582">
      <w:pPr>
        <w:spacing w:line="360" w:lineRule="auto"/>
        <w:jc w:val="both"/>
        <w:rPr>
          <w:rFonts w:ascii="Arial" w:hAnsi="Arial" w:cs="Arial"/>
        </w:rPr>
      </w:pPr>
      <w:r w:rsidRPr="00D26582">
        <w:rPr>
          <w:rFonts w:ascii="Arial" w:hAnsi="Arial" w:cs="Arial"/>
        </w:rPr>
        <w:t>Brockbank (2012) also emphasises the importance of coaching and reflective support when employees are developing new technical skills, especially when confidence is low. Regular one</w:t>
      </w:r>
      <w:r w:rsidRPr="00D26582">
        <w:rPr>
          <w:rFonts w:ascii="Cambria Math" w:hAnsi="Cambria Math" w:cs="Cambria Math"/>
        </w:rPr>
        <w:t>‑</w:t>
      </w:r>
      <w:r w:rsidRPr="00D26582">
        <w:rPr>
          <w:rFonts w:ascii="Arial" w:hAnsi="Arial" w:cs="Arial"/>
        </w:rPr>
        <w:t>to</w:t>
      </w:r>
      <w:r w:rsidRPr="00D26582">
        <w:rPr>
          <w:rFonts w:ascii="Cambria Math" w:hAnsi="Cambria Math" w:cs="Cambria Math"/>
        </w:rPr>
        <w:t>‑</w:t>
      </w:r>
      <w:r w:rsidRPr="00D26582">
        <w:rPr>
          <w:rFonts w:ascii="Arial" w:hAnsi="Arial" w:cs="Arial"/>
        </w:rPr>
        <w:t>one coaching sessions between team leaders and operatives, focused on using digital tools, would help people build competence more quickly while strengthening psychological safety across the production teams.</w:t>
      </w:r>
    </w:p>
    <w:p w14:paraId="34770DF4" w14:textId="1DB0121D" w:rsidR="00D26582" w:rsidRPr="00CC1212" w:rsidRDefault="00D26582" w:rsidP="00D26582">
      <w:pPr>
        <w:spacing w:line="360" w:lineRule="auto"/>
        <w:jc w:val="both"/>
        <w:rPr>
          <w:rFonts w:ascii="Arial" w:hAnsi="Arial" w:cs="Arial"/>
          <w:sz w:val="28"/>
          <w:szCs w:val="28"/>
        </w:rPr>
      </w:pPr>
      <w:r w:rsidRPr="00CC1212">
        <w:rPr>
          <w:rFonts w:ascii="Arial" w:hAnsi="Arial" w:cs="Arial"/>
          <w:sz w:val="28"/>
          <w:szCs w:val="28"/>
        </w:rPr>
        <w:t xml:space="preserve">3.2 </w:t>
      </w:r>
      <w:r w:rsidR="00CC1212" w:rsidRPr="00CC1212">
        <w:rPr>
          <w:rFonts w:ascii="Arial" w:hAnsi="Arial" w:cs="Arial"/>
          <w:sz w:val="28"/>
          <w:szCs w:val="28"/>
        </w:rPr>
        <w:t>Addressing</w:t>
      </w:r>
      <w:r w:rsidRPr="00CC1212">
        <w:rPr>
          <w:rFonts w:ascii="Arial" w:hAnsi="Arial" w:cs="Arial"/>
          <w:sz w:val="28"/>
          <w:szCs w:val="28"/>
        </w:rPr>
        <w:t xml:space="preserve"> Talent Acquisition and Retention</w:t>
      </w:r>
      <w:r w:rsidR="00815B74">
        <w:rPr>
          <w:rFonts w:ascii="Arial" w:hAnsi="Arial" w:cs="Arial"/>
          <w:sz w:val="28"/>
          <w:szCs w:val="28"/>
        </w:rPr>
        <w:t xml:space="preserve">. </w:t>
      </w:r>
      <w:r w:rsidRPr="00CC1212">
        <w:rPr>
          <w:rFonts w:ascii="Arial" w:hAnsi="Arial" w:cs="Arial"/>
          <w:sz w:val="28"/>
          <w:szCs w:val="28"/>
        </w:rPr>
        <w:t>Employer Branding and Total Re</w:t>
      </w:r>
      <w:r w:rsidR="00CC1212" w:rsidRPr="00CC1212">
        <w:rPr>
          <w:rFonts w:ascii="Arial" w:hAnsi="Arial" w:cs="Arial"/>
          <w:sz w:val="28"/>
          <w:szCs w:val="28"/>
        </w:rPr>
        <w:t>ward</w:t>
      </w:r>
    </w:p>
    <w:p w14:paraId="53C2DB0D" w14:textId="77777777" w:rsidR="00E03174" w:rsidRDefault="00CC1212" w:rsidP="00CC1212">
      <w:pPr>
        <w:spacing w:line="360" w:lineRule="auto"/>
        <w:jc w:val="both"/>
        <w:rPr>
          <w:rFonts w:ascii="Arial" w:hAnsi="Arial" w:cs="Arial"/>
        </w:rPr>
      </w:pPr>
      <w:r w:rsidRPr="00CC1212">
        <w:rPr>
          <w:rFonts w:ascii="Arial" w:hAnsi="Arial" w:cs="Arial"/>
        </w:rPr>
        <w:lastRenderedPageBreak/>
        <w:t xml:space="preserve">Blue Earth Foods </w:t>
      </w:r>
      <w:r w:rsidR="00E03174" w:rsidRPr="00CC1212">
        <w:rPr>
          <w:rFonts w:ascii="Arial" w:hAnsi="Arial" w:cs="Arial"/>
        </w:rPr>
        <w:t>has</w:t>
      </w:r>
      <w:r w:rsidRPr="00CC1212">
        <w:rPr>
          <w:rFonts w:ascii="Arial" w:hAnsi="Arial" w:cs="Arial"/>
        </w:rPr>
        <w:t xml:space="preserve"> a compelling but underdeveloped employer brand. Its sustainability credentials, responsibly sourced seafood, DNA provenance tracking, and Seafresh Group international partnerships offer a differentiated Employee Value Proposition (EVP) that local logistics and retail competitors cannot replicate. Taylor (2014) argues that employer branding</w:t>
      </w:r>
      <w:r w:rsidR="00E03174">
        <w:rPr>
          <w:rFonts w:ascii="Arial" w:hAnsi="Arial" w:cs="Arial"/>
        </w:rPr>
        <w:t xml:space="preserve">, </w:t>
      </w:r>
      <w:r w:rsidRPr="00CC1212">
        <w:rPr>
          <w:rFonts w:ascii="Arial" w:hAnsi="Arial" w:cs="Arial"/>
        </w:rPr>
        <w:t>the consistent communication of an organisation's identity, culture, and employment offer to current and prospective staff</w:t>
      </w:r>
      <w:r w:rsidR="00E03174">
        <w:rPr>
          <w:rFonts w:ascii="Arial" w:hAnsi="Arial" w:cs="Arial"/>
        </w:rPr>
        <w:t xml:space="preserve">, </w:t>
      </w:r>
      <w:r w:rsidRPr="00CC1212">
        <w:rPr>
          <w:rFonts w:ascii="Arial" w:hAnsi="Arial" w:cs="Arial"/>
        </w:rPr>
        <w:t>is among the most cost-effective long-term talent attraction tools available to HR practitioners. Investment in a careers page,</w:t>
      </w:r>
      <w:r w:rsidR="00E03174">
        <w:rPr>
          <w:rFonts w:ascii="Arial" w:hAnsi="Arial" w:cs="Arial"/>
        </w:rPr>
        <w:t xml:space="preserve"> a more active</w:t>
      </w:r>
      <w:r w:rsidRPr="00CC1212">
        <w:rPr>
          <w:rFonts w:ascii="Arial" w:hAnsi="Arial" w:cs="Arial"/>
        </w:rPr>
        <w:t xml:space="preserve"> LinkedIn presence, and employee video testimonials would significantly strengthen Blue Earth Foods' talent pipeline without requiring disproportionate recruitment spend. </w:t>
      </w:r>
    </w:p>
    <w:p w14:paraId="7FCC3F72" w14:textId="0CC097E9" w:rsidR="00CC1212" w:rsidRDefault="00CC1212" w:rsidP="00CC1212">
      <w:pPr>
        <w:spacing w:line="360" w:lineRule="auto"/>
        <w:jc w:val="both"/>
        <w:rPr>
          <w:rFonts w:ascii="Arial" w:hAnsi="Arial" w:cs="Arial"/>
        </w:rPr>
      </w:pPr>
      <w:r w:rsidRPr="00CC1212">
        <w:rPr>
          <w:rFonts w:ascii="Arial" w:hAnsi="Arial" w:cs="Arial"/>
        </w:rPr>
        <w:t xml:space="preserve">On retention, a </w:t>
      </w:r>
      <w:r w:rsidR="00E03174">
        <w:rPr>
          <w:rFonts w:ascii="Arial" w:hAnsi="Arial" w:cs="Arial"/>
        </w:rPr>
        <w:t>r</w:t>
      </w:r>
      <w:r w:rsidRPr="00CC1212">
        <w:rPr>
          <w:rFonts w:ascii="Arial" w:hAnsi="Arial" w:cs="Arial"/>
        </w:rPr>
        <w:t>eward approach is recommended. Wellington (2011) identifies that effective people management goes beyond transactional pay and conditions to encompass recognition, development, and a sense of organisational purpose</w:t>
      </w:r>
      <w:r w:rsidR="00E03174">
        <w:rPr>
          <w:rFonts w:ascii="Arial" w:hAnsi="Arial" w:cs="Arial"/>
        </w:rPr>
        <w:t>,</w:t>
      </w:r>
      <w:r w:rsidRPr="00CC1212">
        <w:rPr>
          <w:rFonts w:ascii="Arial" w:hAnsi="Arial" w:cs="Arial"/>
        </w:rPr>
        <w:t xml:space="preserve"> all of which are attainable at relatively low cost. Practical recommendations include</w:t>
      </w:r>
      <w:r w:rsidR="00E03174">
        <w:rPr>
          <w:rFonts w:ascii="Arial" w:hAnsi="Arial" w:cs="Arial"/>
        </w:rPr>
        <w:t xml:space="preserve"> </w:t>
      </w:r>
      <w:r w:rsidRPr="00CC1212">
        <w:rPr>
          <w:rFonts w:ascii="Arial" w:hAnsi="Arial" w:cs="Arial"/>
        </w:rPr>
        <w:t>service-linked annual leave, a health cash plan, shift premiums, and a values-aligned recognition scheme</w:t>
      </w:r>
      <w:r w:rsidR="00E03174">
        <w:rPr>
          <w:rFonts w:ascii="Arial" w:hAnsi="Arial" w:cs="Arial"/>
        </w:rPr>
        <w:t xml:space="preserve">, </w:t>
      </w:r>
      <w:r w:rsidRPr="00CC1212">
        <w:rPr>
          <w:rFonts w:ascii="Arial" w:hAnsi="Arial" w:cs="Arial"/>
        </w:rPr>
        <w:t xml:space="preserve">for example, quarterly awards named after Blue Earth Foods' values of Teamwork, Quality, Honesty, and Passion. CIPD (2017a) further recommends structured succession planning as a retention mechanism, ensuring that high-potential employees have visible and credible development pathways within the organisation. A formal 90-day onboarding programme with mentor pairing should be introduced to address early </w:t>
      </w:r>
      <w:r w:rsidR="00E03174">
        <w:rPr>
          <w:rFonts w:ascii="Arial" w:hAnsi="Arial" w:cs="Arial"/>
        </w:rPr>
        <w:t>loss</w:t>
      </w:r>
      <w:r w:rsidRPr="00CC1212">
        <w:rPr>
          <w:rFonts w:ascii="Arial" w:hAnsi="Arial" w:cs="Arial"/>
        </w:rPr>
        <w:t>, which is disproportionately high in food processing environments.</w:t>
      </w:r>
    </w:p>
    <w:p w14:paraId="1427D9BA" w14:textId="456BEDFB" w:rsidR="00CC1212" w:rsidRDefault="00F20461" w:rsidP="00CC1212">
      <w:pPr>
        <w:spacing w:line="360" w:lineRule="auto"/>
        <w:jc w:val="both"/>
        <w:rPr>
          <w:rFonts w:ascii="Arial" w:hAnsi="Arial" w:cs="Arial"/>
        </w:rPr>
      </w:pPr>
      <w:r>
        <w:rPr>
          <w:rFonts w:ascii="Arial" w:hAnsi="Arial" w:cs="Arial"/>
        </w:rPr>
        <w:t>3.3 Addressing DEI</w:t>
      </w:r>
      <w:r w:rsidR="00815B74">
        <w:rPr>
          <w:rFonts w:ascii="Arial" w:hAnsi="Arial" w:cs="Arial"/>
        </w:rPr>
        <w:t xml:space="preserve">. </w:t>
      </w:r>
      <w:r>
        <w:rPr>
          <w:rFonts w:ascii="Arial" w:hAnsi="Arial" w:cs="Arial"/>
        </w:rPr>
        <w:t>Inclusive Recruitment and Cultural Intelligence</w:t>
      </w:r>
    </w:p>
    <w:p w14:paraId="7A21A668" w14:textId="1256239D" w:rsidR="00F20461" w:rsidRPr="00F20461" w:rsidRDefault="00F20461" w:rsidP="00F20461">
      <w:pPr>
        <w:spacing w:line="360" w:lineRule="auto"/>
        <w:jc w:val="both"/>
        <w:rPr>
          <w:rFonts w:ascii="Arial" w:hAnsi="Arial" w:cs="Arial"/>
        </w:rPr>
      </w:pPr>
      <w:r w:rsidRPr="00F20461">
        <w:rPr>
          <w:rFonts w:ascii="Arial" w:hAnsi="Arial" w:cs="Arial"/>
        </w:rPr>
        <w:t>Blue Earth Foods should implement inclusive recruitment practices as an immediate priority: anonymising CVs during shortlisting, using structured competency-based interviews with standardised scoring, and broadening advertising channels to reach underrepresented candidates through community organisations and Jobcentre Plus partnerships. Leatherbarrow and Fletcher (2019) emphasise that selection processes are among the most powerful instruments through which organisations either reproduce or disrupt existing demographic inequalities; structured, evidence-based methods are demonstrably more equitable than informal, manager-discretion approaches. Given the linguistic diversity of Blue Earth Foods' production workforce, multilingual onboarding materials and safety communications are both an equity intervention and a food safety necessity: miscommunication in a chilled allergen-handling environment carries genuine regulatory risk. Building on Hofstede's (2001) cultural dimensions framework, Blue Earth Foods' HR team should develop cultural awareness training for all supervisors, enabling team leaders to adapt their communication style to the varied cultural expectations present across their teams. An Employee Voice Forum</w:t>
      </w:r>
      <w:r w:rsidR="00903221">
        <w:rPr>
          <w:rFonts w:ascii="Arial" w:hAnsi="Arial" w:cs="Arial"/>
        </w:rPr>
        <w:t>,</w:t>
      </w:r>
      <w:r w:rsidRPr="00F20461">
        <w:rPr>
          <w:rFonts w:ascii="Arial" w:hAnsi="Arial" w:cs="Arial"/>
        </w:rPr>
        <w:t xml:space="preserve"> meeting </w:t>
      </w:r>
      <w:r w:rsidRPr="00F20461">
        <w:rPr>
          <w:rFonts w:ascii="Arial" w:hAnsi="Arial" w:cs="Arial"/>
        </w:rPr>
        <w:lastRenderedPageBreak/>
        <w:t>quarterly with representatives from production, logistics, quality, and administration</w:t>
      </w:r>
      <w:r w:rsidR="00903221">
        <w:rPr>
          <w:rFonts w:ascii="Arial" w:hAnsi="Arial" w:cs="Arial"/>
        </w:rPr>
        <w:t xml:space="preserve">, </w:t>
      </w:r>
      <w:r w:rsidRPr="00F20461">
        <w:rPr>
          <w:rFonts w:ascii="Arial" w:hAnsi="Arial" w:cs="Arial"/>
        </w:rPr>
        <w:t>would provide a structured mechanism through which diverse employees contribute to organisational decisions, directly embodying Blue Earth Foods' stated value of Teamwork and creating the conditions for genuine inclusion.</w:t>
      </w:r>
    </w:p>
    <w:p w14:paraId="2DD2060E" w14:textId="2AE21EC5" w:rsidR="00F20461" w:rsidRDefault="00F20461" w:rsidP="00F20461">
      <w:pPr>
        <w:spacing w:line="360" w:lineRule="auto"/>
        <w:jc w:val="both"/>
        <w:rPr>
          <w:rFonts w:ascii="Arial" w:hAnsi="Arial" w:cs="Arial"/>
          <w:sz w:val="32"/>
          <w:szCs w:val="32"/>
        </w:rPr>
      </w:pPr>
      <w:r w:rsidRPr="00F20461">
        <w:rPr>
          <w:rFonts w:ascii="Arial" w:hAnsi="Arial" w:cs="Arial"/>
          <w:sz w:val="32"/>
          <w:szCs w:val="32"/>
        </w:rPr>
        <w:t xml:space="preserve">4. </w:t>
      </w:r>
      <w:r>
        <w:rPr>
          <w:rFonts w:ascii="Arial" w:hAnsi="Arial" w:cs="Arial"/>
          <w:sz w:val="32"/>
          <w:szCs w:val="32"/>
        </w:rPr>
        <w:t>Critical Evaluation</w:t>
      </w:r>
      <w:r w:rsidR="009C092B">
        <w:rPr>
          <w:rFonts w:ascii="Arial" w:hAnsi="Arial" w:cs="Arial"/>
          <w:sz w:val="32"/>
          <w:szCs w:val="32"/>
        </w:rPr>
        <w:t xml:space="preserve"> on</w:t>
      </w:r>
      <w:r>
        <w:rPr>
          <w:rFonts w:ascii="Arial" w:hAnsi="Arial" w:cs="Arial"/>
          <w:sz w:val="32"/>
          <w:szCs w:val="32"/>
        </w:rPr>
        <w:t xml:space="preserve"> </w:t>
      </w:r>
      <w:r w:rsidR="009C092B">
        <w:rPr>
          <w:rFonts w:ascii="Arial" w:hAnsi="Arial" w:cs="Arial"/>
          <w:sz w:val="32"/>
          <w:szCs w:val="32"/>
        </w:rPr>
        <w:t>The</w:t>
      </w:r>
      <w:r>
        <w:rPr>
          <w:rFonts w:ascii="Arial" w:hAnsi="Arial" w:cs="Arial"/>
          <w:sz w:val="32"/>
          <w:szCs w:val="32"/>
        </w:rPr>
        <w:t xml:space="preserve"> Role of Departmental Managers in Implementation</w:t>
      </w:r>
    </w:p>
    <w:p w14:paraId="1D8FC73E" w14:textId="77777777" w:rsidR="00CB6B45" w:rsidRDefault="00F20461" w:rsidP="00F20461">
      <w:pPr>
        <w:spacing w:line="360" w:lineRule="auto"/>
        <w:jc w:val="both"/>
        <w:rPr>
          <w:rFonts w:ascii="Arial" w:hAnsi="Arial" w:cs="Arial"/>
        </w:rPr>
      </w:pPr>
      <w:r w:rsidRPr="00F20461">
        <w:rPr>
          <w:rFonts w:ascii="Arial" w:hAnsi="Arial" w:cs="Arial"/>
        </w:rPr>
        <w:t>Despite well-designed HR policies, implementation ultimately rests with Blue Earth Foods' departmental and line managers</w:t>
      </w:r>
      <w:r w:rsidR="00CB6B45">
        <w:rPr>
          <w:rFonts w:ascii="Arial" w:hAnsi="Arial" w:cs="Arial"/>
        </w:rPr>
        <w:t xml:space="preserve">, </w:t>
      </w:r>
      <w:r w:rsidRPr="00F20461">
        <w:rPr>
          <w:rFonts w:ascii="Arial" w:hAnsi="Arial" w:cs="Arial"/>
        </w:rPr>
        <w:t>shift supervisors, team leaders, quality assurance managers, and logistics coordinators. Hutchinson (2013) demonstrates that line managers are the primary vehicle through which HR practices are brought to life at team level</w:t>
      </w:r>
      <w:r w:rsidR="00CB6B45">
        <w:rPr>
          <w:rFonts w:ascii="Arial" w:hAnsi="Arial" w:cs="Arial"/>
        </w:rPr>
        <w:t>.</w:t>
      </w:r>
      <w:r w:rsidRPr="00F20461">
        <w:rPr>
          <w:rFonts w:ascii="Arial" w:hAnsi="Arial" w:cs="Arial"/>
        </w:rPr>
        <w:t xml:space="preserve"> </w:t>
      </w:r>
      <w:r w:rsidR="00CB6B45">
        <w:rPr>
          <w:rFonts w:ascii="Arial" w:hAnsi="Arial" w:cs="Arial"/>
        </w:rPr>
        <w:t>T</w:t>
      </w:r>
      <w:r w:rsidRPr="00F20461">
        <w:rPr>
          <w:rFonts w:ascii="Arial" w:hAnsi="Arial" w:cs="Arial"/>
        </w:rPr>
        <w:t xml:space="preserve">heir behaviour in conducting performance conversations, managing absences, facilitating development, and modelling inclusive conduct determines whether strategic HR intent translates into day-to-day employee experience. </w:t>
      </w:r>
    </w:p>
    <w:p w14:paraId="2523405C" w14:textId="1FA87B52" w:rsidR="00F20461" w:rsidRPr="00F20461" w:rsidRDefault="00F20461" w:rsidP="00F20461">
      <w:pPr>
        <w:spacing w:line="360" w:lineRule="auto"/>
        <w:jc w:val="both"/>
        <w:rPr>
          <w:rFonts w:ascii="Arial" w:hAnsi="Arial" w:cs="Arial"/>
        </w:rPr>
      </w:pPr>
      <w:r w:rsidRPr="00F20461">
        <w:rPr>
          <w:rFonts w:ascii="Arial" w:hAnsi="Arial" w:cs="Arial"/>
        </w:rPr>
        <w:t>At Blue Earth Foods, managers are typically promoted on the basis of seafood processing expertise rather than people management capability. Rees (2015) argues that effective management and leadership require a distinct set of interpersonal, coaching, and communication skills that must be deliberately developed rather than assumed to emerge from technical seniority. A mandatory Management Development Programme (MDP) must therefore be implemented at Blue Earth Foods, covering performance management, inclusive leadership, coaching skills, and the application of the company's four values in day-to-day team interactions.</w:t>
      </w:r>
    </w:p>
    <w:p w14:paraId="5468CAAF" w14:textId="0A81673A" w:rsidR="00F20461" w:rsidRPr="00F20461" w:rsidRDefault="00F20461" w:rsidP="00F20461">
      <w:pPr>
        <w:spacing w:line="360" w:lineRule="auto"/>
        <w:jc w:val="both"/>
        <w:rPr>
          <w:rFonts w:ascii="Arial" w:hAnsi="Arial" w:cs="Arial"/>
        </w:rPr>
      </w:pPr>
      <w:r w:rsidRPr="00F20461">
        <w:rPr>
          <w:rFonts w:ascii="Arial" w:hAnsi="Arial" w:cs="Arial"/>
        </w:rPr>
        <w:t xml:space="preserve">Accountability is equally critical. Mullins and McLean (2019) </w:t>
      </w:r>
      <w:r w:rsidR="00CB6B45" w:rsidRPr="00F20461">
        <w:rPr>
          <w:rFonts w:ascii="Arial" w:hAnsi="Arial" w:cs="Arial"/>
        </w:rPr>
        <w:t>emphasize</w:t>
      </w:r>
      <w:r w:rsidRPr="00F20461">
        <w:rPr>
          <w:rFonts w:ascii="Arial" w:hAnsi="Arial" w:cs="Arial"/>
        </w:rPr>
        <w:t xml:space="preserve"> that without clear accountability structures, even the most carefully designed HR policies risk becoming aspirational documents rather than lived organisational practice. Blue Earth Foods should embed HR-related metrics</w:t>
      </w:r>
      <w:r w:rsidR="00CB6B45">
        <w:rPr>
          <w:rFonts w:ascii="Arial" w:hAnsi="Arial" w:cs="Arial"/>
        </w:rPr>
        <w:t xml:space="preserve"> (e.g. </w:t>
      </w:r>
      <w:r w:rsidRPr="00F20461">
        <w:rPr>
          <w:rFonts w:ascii="Arial" w:hAnsi="Arial" w:cs="Arial"/>
        </w:rPr>
        <w:t>team turnover rates, training completion, DEI representation, and engagement scores</w:t>
      </w:r>
      <w:r w:rsidR="00CB6B45">
        <w:rPr>
          <w:rFonts w:ascii="Arial" w:hAnsi="Arial" w:cs="Arial"/>
        </w:rPr>
        <w:t>)</w:t>
      </w:r>
      <w:r w:rsidRPr="00F20461">
        <w:rPr>
          <w:rFonts w:ascii="Arial" w:hAnsi="Arial" w:cs="Arial"/>
        </w:rPr>
        <w:t xml:space="preserve"> within all departmental managers' annual performance objectives, signalling unambiguously that people management is a core responsibility. The urgency of implementation must be emphasised. Kotter (1996) argues that successful organisational change requires the creation of a compelling sense of urgency, a guiding coalition of committed leaders, and the generation of short-term wins to maintain momentum. Applied at Blue Earth Foods, this means senior leaders must communicate clearly why HR investment is a business-critical priority</w:t>
      </w:r>
      <w:r w:rsidR="00CB6B45">
        <w:rPr>
          <w:rFonts w:ascii="Arial" w:hAnsi="Arial" w:cs="Arial"/>
        </w:rPr>
        <w:t xml:space="preserve">, </w:t>
      </w:r>
      <w:r w:rsidRPr="00F20461">
        <w:rPr>
          <w:rFonts w:ascii="Arial" w:hAnsi="Arial" w:cs="Arial"/>
        </w:rPr>
        <w:t>not merely a compliance requirement</w:t>
      </w:r>
      <w:r w:rsidR="00CB6B45">
        <w:rPr>
          <w:rFonts w:ascii="Arial" w:hAnsi="Arial" w:cs="Arial"/>
        </w:rPr>
        <w:t xml:space="preserve">, </w:t>
      </w:r>
      <w:r w:rsidRPr="00F20461">
        <w:rPr>
          <w:rFonts w:ascii="Arial" w:hAnsi="Arial" w:cs="Arial"/>
        </w:rPr>
        <w:t>and must ensure that managers celebrate team-level progress in upskilling, retention, and inclusion to build confidence in the change process.</w:t>
      </w:r>
    </w:p>
    <w:p w14:paraId="53347D6E" w14:textId="194C4832" w:rsidR="00F20461" w:rsidRPr="00F20461" w:rsidRDefault="00F20461" w:rsidP="00F20461">
      <w:pPr>
        <w:spacing w:line="360" w:lineRule="auto"/>
        <w:jc w:val="both"/>
        <w:rPr>
          <w:rFonts w:ascii="Arial" w:hAnsi="Arial" w:cs="Arial"/>
        </w:rPr>
      </w:pPr>
      <w:r w:rsidRPr="00F20461">
        <w:rPr>
          <w:rFonts w:ascii="Arial" w:hAnsi="Arial" w:cs="Arial"/>
        </w:rPr>
        <w:lastRenderedPageBreak/>
        <w:t xml:space="preserve">Furthermore, the day-to-day quality of the manager–employee relationship is the single greatest determinant of retention at Blue Earth Foods. </w:t>
      </w:r>
      <w:r w:rsidR="00CB6B45">
        <w:rPr>
          <w:rFonts w:ascii="Arial" w:hAnsi="Arial" w:cs="Arial"/>
        </w:rPr>
        <w:t xml:space="preserve">According to </w:t>
      </w:r>
      <w:r w:rsidRPr="00F20461">
        <w:rPr>
          <w:rFonts w:ascii="Arial" w:hAnsi="Arial" w:cs="Arial"/>
        </w:rPr>
        <w:t>Wellington (2011)</w:t>
      </w:r>
      <w:r w:rsidR="00CB6B45">
        <w:rPr>
          <w:rFonts w:ascii="Arial" w:hAnsi="Arial" w:cs="Arial"/>
        </w:rPr>
        <w:t xml:space="preserve">, </w:t>
      </w:r>
      <w:r w:rsidRPr="00F20461">
        <w:rPr>
          <w:rFonts w:ascii="Arial" w:hAnsi="Arial" w:cs="Arial"/>
        </w:rPr>
        <w:t>employees who feel genuinely recognised, heard, and developed by their line manager are substantially less likely to seek employment elsewhere, even where pay differentials exist. In a physically demanding chilled processing environment</w:t>
      </w:r>
      <w:r w:rsidR="00CB6B45">
        <w:rPr>
          <w:rFonts w:ascii="Arial" w:hAnsi="Arial" w:cs="Arial"/>
        </w:rPr>
        <w:t xml:space="preserve">, </w:t>
      </w:r>
      <w:r w:rsidRPr="00F20461">
        <w:rPr>
          <w:rFonts w:ascii="Arial" w:hAnsi="Arial" w:cs="Arial"/>
        </w:rPr>
        <w:t>where working conditions are inherently challenging</w:t>
      </w:r>
      <w:r w:rsidR="00CB6B45">
        <w:rPr>
          <w:rFonts w:ascii="Arial" w:hAnsi="Arial" w:cs="Arial"/>
        </w:rPr>
        <w:t>,</w:t>
      </w:r>
      <w:r w:rsidRPr="00F20461">
        <w:rPr>
          <w:rFonts w:ascii="Arial" w:hAnsi="Arial" w:cs="Arial"/>
        </w:rPr>
        <w:t xml:space="preserve"> managers who conduct regular one-to-ones, recognise contributions aligned to Blue Earth Foods' values, and respond promptly to DEI concerns create the psychological safety that underpins both engagement and retention. However, it must be acknowledged that loading managers with extensive HR responsibilities without structural support is counterproductive. Molloy and Whittington (2005) caution that HR devolution to line managers without adequate resourcing and HR business partner proximity leads to role overload and inconsistent policy application</w:t>
      </w:r>
      <w:r w:rsidR="00CB6B45">
        <w:rPr>
          <w:rFonts w:ascii="Arial" w:hAnsi="Arial" w:cs="Arial"/>
        </w:rPr>
        <w:t xml:space="preserve">, </w:t>
      </w:r>
      <w:r w:rsidRPr="00F20461">
        <w:rPr>
          <w:rFonts w:ascii="Arial" w:hAnsi="Arial" w:cs="Arial"/>
        </w:rPr>
        <w:t>outcomes that would undermine the very improvements Blue Earth Foods seeks to achieve. HR professionals must therefore remain operationally embedded, providing timely guidance and monitoring implementation quality in real time.</w:t>
      </w:r>
    </w:p>
    <w:p w14:paraId="001C7DBF" w14:textId="1FF9F821" w:rsidR="00F20461" w:rsidRDefault="00F20461" w:rsidP="00F20461">
      <w:pPr>
        <w:spacing w:line="360" w:lineRule="auto"/>
        <w:jc w:val="both"/>
        <w:rPr>
          <w:rFonts w:ascii="Arial" w:hAnsi="Arial" w:cs="Arial"/>
          <w:sz w:val="32"/>
          <w:szCs w:val="32"/>
        </w:rPr>
      </w:pPr>
      <w:r>
        <w:rPr>
          <w:rFonts w:ascii="Arial" w:hAnsi="Arial" w:cs="Arial"/>
          <w:sz w:val="32"/>
          <w:szCs w:val="32"/>
        </w:rPr>
        <w:t>5. Conclusion and Recommendations</w:t>
      </w:r>
    </w:p>
    <w:p w14:paraId="24E27D6F" w14:textId="77777777" w:rsidR="0098038B" w:rsidRDefault="00F20461" w:rsidP="00F20461">
      <w:pPr>
        <w:spacing w:line="360" w:lineRule="auto"/>
        <w:jc w:val="both"/>
        <w:rPr>
          <w:rFonts w:ascii="Arial" w:hAnsi="Arial" w:cs="Arial"/>
        </w:rPr>
      </w:pPr>
      <w:r w:rsidRPr="00F20461">
        <w:rPr>
          <w:rFonts w:ascii="Arial" w:hAnsi="Arial" w:cs="Arial"/>
        </w:rPr>
        <w:t xml:space="preserve">Blue Earth Foods Limited faces three urgent and interconnected HR challenges. Its investment in DNA traceability and premium seafood production demands a digitally capable workforce; its post-Brexit labour market position requires a compelling employer brand and total reward strategy; and its diverse, internationally oriented workforce demands genuine equity and inclusion. As Armstrong and Taylor (2014) conclude, organisations that integrate their people management strategies with clear business objectives, accountability frameworks, and continuous learning are best positioned to sustain competitive advantage. </w:t>
      </w:r>
    </w:p>
    <w:p w14:paraId="75A6AE0B" w14:textId="2D86BBE1" w:rsidR="00F20461" w:rsidRPr="00F20461" w:rsidRDefault="00F20461" w:rsidP="00F20461">
      <w:pPr>
        <w:spacing w:line="360" w:lineRule="auto"/>
        <w:jc w:val="both"/>
        <w:rPr>
          <w:rFonts w:ascii="Arial" w:hAnsi="Arial" w:cs="Arial"/>
        </w:rPr>
      </w:pPr>
      <w:r w:rsidRPr="00F20461">
        <w:rPr>
          <w:rFonts w:ascii="Arial" w:hAnsi="Arial" w:cs="Arial"/>
        </w:rPr>
        <w:t>The following recommendations are proposed for Blue Earth Foods:</w:t>
      </w:r>
    </w:p>
    <w:p w14:paraId="166FCF63" w14:textId="77777777" w:rsidR="00F20461" w:rsidRPr="00F20461" w:rsidRDefault="00F20461" w:rsidP="00F20461">
      <w:pPr>
        <w:spacing w:line="360" w:lineRule="auto"/>
        <w:jc w:val="both"/>
        <w:rPr>
          <w:rFonts w:ascii="Arial" w:hAnsi="Arial" w:cs="Arial"/>
        </w:rPr>
      </w:pPr>
      <w:r w:rsidRPr="00F20461">
        <w:rPr>
          <w:rFonts w:ascii="Arial" w:hAnsi="Arial" w:cs="Arial"/>
        </w:rPr>
        <w:t>Implement a structured digital upskilling programme using contextualised on-the-job learning, technology champions, and reflective coaching support, grounded in Dermol and Cater's (2013) training transfer framework.</w:t>
      </w:r>
    </w:p>
    <w:p w14:paraId="5A73D850" w14:textId="77777777" w:rsidR="00F20461" w:rsidRPr="00F20461" w:rsidRDefault="00F20461" w:rsidP="00313871">
      <w:pPr>
        <w:spacing w:line="360" w:lineRule="auto"/>
        <w:jc w:val="both"/>
        <w:rPr>
          <w:rFonts w:ascii="Arial" w:hAnsi="Arial" w:cs="Arial"/>
        </w:rPr>
      </w:pPr>
      <w:r w:rsidRPr="00F20461">
        <w:rPr>
          <w:rFonts w:ascii="Arial" w:hAnsi="Arial" w:cs="Arial"/>
        </w:rPr>
        <w:t>Develop a values-aligned employer brand strategy and Total Reward framework, including a recognition scheme tied to Blue Earth Foods' four values of Teamwork, Quality, Honesty, and Passion.</w:t>
      </w:r>
    </w:p>
    <w:p w14:paraId="293E5C9D" w14:textId="77777777" w:rsidR="00F20461" w:rsidRPr="00F20461" w:rsidRDefault="00F20461" w:rsidP="00313871">
      <w:pPr>
        <w:spacing w:line="360" w:lineRule="auto"/>
        <w:jc w:val="both"/>
        <w:rPr>
          <w:rFonts w:ascii="Arial" w:hAnsi="Arial" w:cs="Arial"/>
        </w:rPr>
      </w:pPr>
      <w:r w:rsidRPr="00F20461">
        <w:rPr>
          <w:rFonts w:ascii="Arial" w:hAnsi="Arial" w:cs="Arial"/>
        </w:rPr>
        <w:t>Introduce a formal 90-day onboarding programme with mentor pairing to address early attrition, supported by CIPD (2017a) succession planning principles to provide visible internal progression pathways.</w:t>
      </w:r>
    </w:p>
    <w:p w14:paraId="5873CDEC" w14:textId="77777777" w:rsidR="00F20461" w:rsidRPr="00F20461" w:rsidRDefault="00F20461" w:rsidP="00313871">
      <w:pPr>
        <w:spacing w:line="360" w:lineRule="auto"/>
        <w:jc w:val="both"/>
        <w:rPr>
          <w:rFonts w:ascii="Arial" w:hAnsi="Arial" w:cs="Arial"/>
        </w:rPr>
      </w:pPr>
      <w:r w:rsidRPr="00F20461">
        <w:rPr>
          <w:rFonts w:ascii="Arial" w:hAnsi="Arial" w:cs="Arial"/>
        </w:rPr>
        <w:lastRenderedPageBreak/>
        <w:t>Commission a DEI baseline audit and develop cultural intelligence training for all supervisors, drawing on Hofstede (2001) and Javidan et al. (2004), to ensure equitable people management across Blue Earth Foods' diverse, multinational workforce.</w:t>
      </w:r>
    </w:p>
    <w:p w14:paraId="6DAFBD3C" w14:textId="77777777" w:rsidR="00F20461" w:rsidRPr="00F20461" w:rsidRDefault="00F20461" w:rsidP="00313871">
      <w:pPr>
        <w:spacing w:line="360" w:lineRule="auto"/>
        <w:jc w:val="both"/>
        <w:rPr>
          <w:rFonts w:ascii="Arial" w:hAnsi="Arial" w:cs="Arial"/>
        </w:rPr>
      </w:pPr>
      <w:r w:rsidRPr="00F20461">
        <w:rPr>
          <w:rFonts w:ascii="Arial" w:hAnsi="Arial" w:cs="Arial"/>
        </w:rPr>
        <w:t>Deliver a mandatory Management Development Programme covering performance management, coaching, and inclusive leadership, with HR KPIs embedded in all managers' annual performance objectives.</w:t>
      </w:r>
    </w:p>
    <w:p w14:paraId="09FB9339" w14:textId="77777777" w:rsidR="00F20461" w:rsidRPr="00F20461" w:rsidRDefault="00F20461" w:rsidP="00313871">
      <w:pPr>
        <w:spacing w:line="360" w:lineRule="auto"/>
        <w:jc w:val="both"/>
        <w:rPr>
          <w:rFonts w:ascii="Arial" w:hAnsi="Arial" w:cs="Arial"/>
        </w:rPr>
      </w:pPr>
      <w:r w:rsidRPr="00F20461">
        <w:rPr>
          <w:rFonts w:ascii="Arial" w:hAnsi="Arial" w:cs="Arial"/>
        </w:rPr>
        <w:t>Establish an Employee Voice Forum to embed the lived experiences of Blue Earth Foods' diverse workforce into HR policy development, applying Kotter's (1996) change coalition principles to build sustained momentum.</w:t>
      </w:r>
    </w:p>
    <w:p w14:paraId="134B9EE4" w14:textId="20663E79" w:rsidR="00F20461" w:rsidRDefault="00F20461" w:rsidP="00F20461">
      <w:pPr>
        <w:spacing w:line="360" w:lineRule="auto"/>
        <w:jc w:val="both"/>
        <w:rPr>
          <w:rFonts w:ascii="Arial" w:hAnsi="Arial" w:cs="Arial"/>
        </w:rPr>
      </w:pPr>
      <w:r w:rsidRPr="00F20461">
        <w:rPr>
          <w:rFonts w:ascii="Arial" w:hAnsi="Arial" w:cs="Arial"/>
        </w:rPr>
        <w:t>Implemented with urgency and managerial accountability, these recommendations will enable Blue Earth Foods to build a resilient, inclusive, and future-ready workforce</w:t>
      </w:r>
      <w:r w:rsidR="00825B37">
        <w:rPr>
          <w:rFonts w:ascii="Arial" w:hAnsi="Arial" w:cs="Arial"/>
        </w:rPr>
        <w:t>,</w:t>
      </w:r>
      <w:r w:rsidRPr="00F20461">
        <w:rPr>
          <w:rFonts w:ascii="Arial" w:hAnsi="Arial" w:cs="Arial"/>
        </w:rPr>
        <w:t xml:space="preserve"> consistent with its mission to produce 'the finest seafood, sustainably' and to do things the right way.</w:t>
      </w:r>
    </w:p>
    <w:p w14:paraId="479E466D" w14:textId="77777777" w:rsidR="00313871" w:rsidRDefault="00313871" w:rsidP="00F20461">
      <w:pPr>
        <w:spacing w:line="360" w:lineRule="auto"/>
        <w:jc w:val="both"/>
        <w:rPr>
          <w:rFonts w:ascii="Arial" w:hAnsi="Arial" w:cs="Arial"/>
          <w:sz w:val="32"/>
          <w:szCs w:val="32"/>
        </w:rPr>
      </w:pPr>
    </w:p>
    <w:p w14:paraId="49767BEF" w14:textId="77777777" w:rsidR="00825B37" w:rsidRDefault="00825B37" w:rsidP="00F20461">
      <w:pPr>
        <w:spacing w:line="360" w:lineRule="auto"/>
        <w:jc w:val="both"/>
        <w:rPr>
          <w:rFonts w:ascii="Arial" w:hAnsi="Arial" w:cs="Arial"/>
          <w:sz w:val="32"/>
          <w:szCs w:val="32"/>
        </w:rPr>
      </w:pPr>
    </w:p>
    <w:p w14:paraId="20644640" w14:textId="77777777" w:rsidR="00825B37" w:rsidRDefault="00825B37" w:rsidP="00F20461">
      <w:pPr>
        <w:spacing w:line="360" w:lineRule="auto"/>
        <w:jc w:val="both"/>
        <w:rPr>
          <w:rFonts w:ascii="Arial" w:hAnsi="Arial" w:cs="Arial"/>
          <w:sz w:val="32"/>
          <w:szCs w:val="32"/>
        </w:rPr>
      </w:pPr>
    </w:p>
    <w:p w14:paraId="7660B2CB" w14:textId="77777777" w:rsidR="00825B37" w:rsidRDefault="00825B37" w:rsidP="00F20461">
      <w:pPr>
        <w:spacing w:line="360" w:lineRule="auto"/>
        <w:jc w:val="both"/>
        <w:rPr>
          <w:rFonts w:ascii="Arial" w:hAnsi="Arial" w:cs="Arial"/>
          <w:sz w:val="32"/>
          <w:szCs w:val="32"/>
        </w:rPr>
      </w:pPr>
    </w:p>
    <w:p w14:paraId="0DD30CC0" w14:textId="77777777" w:rsidR="00825B37" w:rsidRDefault="00825B37" w:rsidP="00F20461">
      <w:pPr>
        <w:spacing w:line="360" w:lineRule="auto"/>
        <w:jc w:val="both"/>
        <w:rPr>
          <w:rFonts w:ascii="Arial" w:hAnsi="Arial" w:cs="Arial"/>
          <w:sz w:val="32"/>
          <w:szCs w:val="32"/>
        </w:rPr>
      </w:pPr>
    </w:p>
    <w:p w14:paraId="41B24C77" w14:textId="77777777" w:rsidR="00825B37" w:rsidRDefault="00825B37" w:rsidP="00F20461">
      <w:pPr>
        <w:spacing w:line="360" w:lineRule="auto"/>
        <w:jc w:val="both"/>
        <w:rPr>
          <w:rFonts w:ascii="Arial" w:hAnsi="Arial" w:cs="Arial"/>
          <w:sz w:val="32"/>
          <w:szCs w:val="32"/>
        </w:rPr>
      </w:pPr>
    </w:p>
    <w:p w14:paraId="36FB82FF" w14:textId="77777777" w:rsidR="00825B37" w:rsidRDefault="00825B37" w:rsidP="00F20461">
      <w:pPr>
        <w:spacing w:line="360" w:lineRule="auto"/>
        <w:jc w:val="both"/>
        <w:rPr>
          <w:rFonts w:ascii="Arial" w:hAnsi="Arial" w:cs="Arial"/>
          <w:sz w:val="32"/>
          <w:szCs w:val="32"/>
        </w:rPr>
      </w:pPr>
    </w:p>
    <w:p w14:paraId="696DBCC4" w14:textId="77777777" w:rsidR="00825B37" w:rsidRDefault="00825B37" w:rsidP="00F20461">
      <w:pPr>
        <w:spacing w:line="360" w:lineRule="auto"/>
        <w:jc w:val="both"/>
        <w:rPr>
          <w:rFonts w:ascii="Arial" w:hAnsi="Arial" w:cs="Arial"/>
          <w:sz w:val="32"/>
          <w:szCs w:val="32"/>
        </w:rPr>
      </w:pPr>
    </w:p>
    <w:p w14:paraId="50731EC4" w14:textId="77777777" w:rsidR="00825B37" w:rsidRDefault="00825B37" w:rsidP="00F20461">
      <w:pPr>
        <w:spacing w:line="360" w:lineRule="auto"/>
        <w:jc w:val="both"/>
        <w:rPr>
          <w:rFonts w:ascii="Arial" w:hAnsi="Arial" w:cs="Arial"/>
          <w:sz w:val="32"/>
          <w:szCs w:val="32"/>
        </w:rPr>
      </w:pPr>
    </w:p>
    <w:p w14:paraId="4871EE83" w14:textId="77777777" w:rsidR="00825B37" w:rsidRDefault="00825B37" w:rsidP="00F20461">
      <w:pPr>
        <w:spacing w:line="360" w:lineRule="auto"/>
        <w:jc w:val="both"/>
        <w:rPr>
          <w:rFonts w:ascii="Arial" w:hAnsi="Arial" w:cs="Arial"/>
          <w:sz w:val="32"/>
          <w:szCs w:val="32"/>
        </w:rPr>
      </w:pPr>
    </w:p>
    <w:p w14:paraId="57B4E1E0" w14:textId="77777777" w:rsidR="00825B37" w:rsidRDefault="00825B37" w:rsidP="00F20461">
      <w:pPr>
        <w:spacing w:line="360" w:lineRule="auto"/>
        <w:jc w:val="both"/>
        <w:rPr>
          <w:rFonts w:ascii="Arial" w:hAnsi="Arial" w:cs="Arial"/>
          <w:sz w:val="32"/>
          <w:szCs w:val="32"/>
        </w:rPr>
      </w:pPr>
    </w:p>
    <w:p w14:paraId="24FB5765" w14:textId="77777777" w:rsidR="00825B37" w:rsidRDefault="00825B37" w:rsidP="00F20461">
      <w:pPr>
        <w:spacing w:line="360" w:lineRule="auto"/>
        <w:jc w:val="both"/>
        <w:rPr>
          <w:rFonts w:ascii="Arial" w:hAnsi="Arial" w:cs="Arial"/>
          <w:sz w:val="32"/>
          <w:szCs w:val="32"/>
        </w:rPr>
      </w:pPr>
    </w:p>
    <w:p w14:paraId="1665BD3A" w14:textId="04538F0D" w:rsidR="00313871" w:rsidRPr="00F20461" w:rsidRDefault="00313871" w:rsidP="00F20461">
      <w:pPr>
        <w:spacing w:line="360" w:lineRule="auto"/>
        <w:jc w:val="both"/>
        <w:rPr>
          <w:rFonts w:ascii="Arial" w:hAnsi="Arial" w:cs="Arial"/>
          <w:sz w:val="32"/>
          <w:szCs w:val="32"/>
        </w:rPr>
      </w:pPr>
      <w:r w:rsidRPr="00313871">
        <w:rPr>
          <w:rFonts w:ascii="Arial" w:hAnsi="Arial" w:cs="Arial"/>
          <w:sz w:val="32"/>
          <w:szCs w:val="32"/>
        </w:rPr>
        <w:lastRenderedPageBreak/>
        <w:t xml:space="preserve">Reference </w:t>
      </w:r>
    </w:p>
    <w:p w14:paraId="28FD9055" w14:textId="77777777" w:rsidR="00313871" w:rsidRPr="00313871" w:rsidRDefault="00313871" w:rsidP="00313871">
      <w:pPr>
        <w:spacing w:line="360" w:lineRule="auto"/>
        <w:jc w:val="both"/>
        <w:rPr>
          <w:rFonts w:ascii="Arial" w:hAnsi="Arial" w:cs="Arial"/>
        </w:rPr>
      </w:pPr>
      <w:r w:rsidRPr="00313871">
        <w:rPr>
          <w:rFonts w:ascii="Arial" w:hAnsi="Arial" w:cs="Arial"/>
        </w:rPr>
        <w:t>Armstrong, M. and Taylor, S. (2014) Armstrong's handbook of human resource management practice. 13th edn. London: Kogan Page.</w:t>
      </w:r>
    </w:p>
    <w:p w14:paraId="2296DC88" w14:textId="3E48222D" w:rsidR="00313871" w:rsidRPr="00313871" w:rsidRDefault="00313871" w:rsidP="00313871">
      <w:pPr>
        <w:spacing w:line="360" w:lineRule="auto"/>
        <w:jc w:val="both"/>
        <w:rPr>
          <w:rFonts w:ascii="Arial" w:hAnsi="Arial" w:cs="Arial"/>
        </w:rPr>
      </w:pPr>
      <w:r w:rsidRPr="00313871">
        <w:rPr>
          <w:rFonts w:ascii="Arial" w:hAnsi="Arial" w:cs="Arial"/>
        </w:rPr>
        <w:t>Blue Earth Foods Limited (2025) Modern Slavery Statement 2024. Redditch: Blue Earth Foods Ltd. Available at:</w:t>
      </w:r>
      <w:r w:rsidR="00BB6A0A" w:rsidRPr="00BB6A0A">
        <w:t xml:space="preserve"> </w:t>
      </w:r>
      <w:hyperlink r:id="rId9" w:history="1">
        <w:r w:rsidR="00BB6A0A" w:rsidRPr="00BB6A0A">
          <w:rPr>
            <w:color w:val="0000FF"/>
            <w:u w:val="single"/>
          </w:rPr>
          <w:t>Untitled</w:t>
        </w:r>
      </w:hyperlink>
      <w:r w:rsidRPr="00313871">
        <w:rPr>
          <w:rFonts w:ascii="Arial" w:hAnsi="Arial" w:cs="Arial"/>
        </w:rPr>
        <w:t xml:space="preserve"> </w:t>
      </w:r>
      <w:r w:rsidR="00825B37">
        <w:rPr>
          <w:rFonts w:ascii="Arial" w:hAnsi="Arial" w:cs="Arial"/>
        </w:rPr>
        <w:t>(</w:t>
      </w:r>
      <w:r w:rsidRPr="00313871">
        <w:rPr>
          <w:rFonts w:ascii="Arial" w:hAnsi="Arial" w:cs="Arial"/>
        </w:rPr>
        <w:t>Accessed</w:t>
      </w:r>
      <w:r w:rsidR="00825B37">
        <w:rPr>
          <w:rFonts w:ascii="Arial" w:hAnsi="Arial" w:cs="Arial"/>
        </w:rPr>
        <w:t xml:space="preserve"> on</w:t>
      </w:r>
      <w:r w:rsidRPr="00313871">
        <w:rPr>
          <w:rFonts w:ascii="Arial" w:hAnsi="Arial" w:cs="Arial"/>
        </w:rPr>
        <w:t xml:space="preserve"> 1 March 2026</w:t>
      </w:r>
      <w:r w:rsidR="00825B37">
        <w:rPr>
          <w:rFonts w:ascii="Arial" w:hAnsi="Arial" w:cs="Arial"/>
        </w:rPr>
        <w:t>)</w:t>
      </w:r>
      <w:r w:rsidRPr="00313871">
        <w:rPr>
          <w:rFonts w:ascii="Arial" w:hAnsi="Arial" w:cs="Arial"/>
        </w:rPr>
        <w:t>.</w:t>
      </w:r>
    </w:p>
    <w:p w14:paraId="1097041B" w14:textId="39F8A7B8" w:rsidR="00313871" w:rsidRPr="00313871" w:rsidRDefault="00313871" w:rsidP="00313871">
      <w:pPr>
        <w:spacing w:line="360" w:lineRule="auto"/>
        <w:jc w:val="both"/>
        <w:rPr>
          <w:rFonts w:ascii="Arial" w:hAnsi="Arial" w:cs="Arial"/>
        </w:rPr>
      </w:pPr>
      <w:r w:rsidRPr="00313871">
        <w:rPr>
          <w:rFonts w:ascii="Arial" w:hAnsi="Arial" w:cs="Arial"/>
        </w:rPr>
        <w:t xml:space="preserve">Blue Earth Foods Limited (2026) About Us and Our Values. Available at: </w:t>
      </w:r>
      <w:hyperlink r:id="rId10" w:history="1">
        <w:r w:rsidR="004379B4" w:rsidRPr="004379B4">
          <w:rPr>
            <w:rStyle w:val="Hyperlink"/>
            <w:rFonts w:ascii="Arial" w:hAnsi="Arial" w:cs="Arial"/>
          </w:rPr>
          <w:t>Blue Earth Foods | Delicious Seafood Sourced Responsibly</w:t>
        </w:r>
      </w:hyperlink>
      <w:r w:rsidR="004379B4" w:rsidRPr="004379B4">
        <w:rPr>
          <w:rFonts w:ascii="Arial" w:hAnsi="Arial" w:cs="Arial"/>
        </w:rPr>
        <w:t xml:space="preserve"> </w:t>
      </w:r>
      <w:r w:rsidR="00825B37">
        <w:rPr>
          <w:rFonts w:ascii="Arial" w:hAnsi="Arial" w:cs="Arial"/>
        </w:rPr>
        <w:t>(</w:t>
      </w:r>
      <w:r w:rsidR="00825B37" w:rsidRPr="00825B37">
        <w:rPr>
          <w:rFonts w:ascii="Arial" w:hAnsi="Arial" w:cs="Arial"/>
        </w:rPr>
        <w:t xml:space="preserve">(Accessed on </w:t>
      </w:r>
      <w:r w:rsidR="00825B37">
        <w:rPr>
          <w:rFonts w:ascii="Arial" w:hAnsi="Arial" w:cs="Arial"/>
        </w:rPr>
        <w:t>5</w:t>
      </w:r>
      <w:r w:rsidR="00825B37" w:rsidRPr="00825B37">
        <w:rPr>
          <w:rFonts w:ascii="Arial" w:hAnsi="Arial" w:cs="Arial"/>
        </w:rPr>
        <w:t xml:space="preserve"> March 2026).</w:t>
      </w:r>
    </w:p>
    <w:p w14:paraId="0C854A37" w14:textId="77777777" w:rsidR="00313871" w:rsidRPr="00313871" w:rsidRDefault="00313871" w:rsidP="00313871">
      <w:pPr>
        <w:spacing w:line="360" w:lineRule="auto"/>
        <w:jc w:val="both"/>
        <w:rPr>
          <w:rFonts w:ascii="Arial" w:hAnsi="Arial" w:cs="Arial"/>
        </w:rPr>
      </w:pPr>
      <w:r w:rsidRPr="00313871">
        <w:rPr>
          <w:rFonts w:ascii="Arial" w:hAnsi="Arial" w:cs="Arial"/>
        </w:rPr>
        <w:t>Brockbank, A. (2012) Facilitating reflective learning: coaching, mentoring and supervision. 2nd edn. Philadelphia: Kogan Page.</w:t>
      </w:r>
    </w:p>
    <w:p w14:paraId="707CE19D" w14:textId="77777777" w:rsidR="00313871" w:rsidRPr="00313871" w:rsidRDefault="00313871" w:rsidP="00313871">
      <w:pPr>
        <w:spacing w:line="360" w:lineRule="auto"/>
        <w:jc w:val="both"/>
        <w:rPr>
          <w:rFonts w:ascii="Arial" w:hAnsi="Arial" w:cs="Arial"/>
        </w:rPr>
      </w:pPr>
      <w:r w:rsidRPr="00313871">
        <w:rPr>
          <w:rFonts w:ascii="Arial" w:hAnsi="Arial" w:cs="Arial"/>
        </w:rPr>
        <w:t>Buller, P.F. and McEvoy, M.G. (2012) 'Strategy, human resource management and performance: sharpening line of sight', Human Resource Management Review, 22(1), pp. 43–56.</w:t>
      </w:r>
    </w:p>
    <w:p w14:paraId="01E848BD" w14:textId="6E5D9905" w:rsidR="00313871" w:rsidRPr="00313871" w:rsidRDefault="00313871" w:rsidP="00313871">
      <w:pPr>
        <w:spacing w:line="360" w:lineRule="auto"/>
        <w:jc w:val="both"/>
        <w:rPr>
          <w:rFonts w:ascii="Arial" w:hAnsi="Arial" w:cs="Arial"/>
        </w:rPr>
      </w:pPr>
      <w:r w:rsidRPr="00313871">
        <w:rPr>
          <w:rFonts w:ascii="Arial" w:hAnsi="Arial" w:cs="Arial"/>
        </w:rPr>
        <w:t xml:space="preserve">CIPD (2017a) Succession planning. Available at: </w:t>
      </w:r>
      <w:hyperlink r:id="rId11" w:history="1">
        <w:r w:rsidR="004379B4" w:rsidRPr="004379B4">
          <w:rPr>
            <w:rStyle w:val="Hyperlink"/>
            <w:rFonts w:ascii="Arial" w:hAnsi="Arial" w:cs="Arial"/>
          </w:rPr>
          <w:t>CIPD | The Professional Body for HR &amp; People Development</w:t>
        </w:r>
      </w:hyperlink>
      <w:r w:rsidRPr="00313871">
        <w:rPr>
          <w:rFonts w:ascii="Arial" w:hAnsi="Arial" w:cs="Arial"/>
        </w:rPr>
        <w:t xml:space="preserve"> </w:t>
      </w:r>
      <w:r w:rsidR="00825B37" w:rsidRPr="00825B37">
        <w:rPr>
          <w:rFonts w:ascii="Arial" w:hAnsi="Arial" w:cs="Arial"/>
        </w:rPr>
        <w:t>(Accessed on 1</w:t>
      </w:r>
      <w:r w:rsidR="00825B37">
        <w:rPr>
          <w:rFonts w:ascii="Arial" w:hAnsi="Arial" w:cs="Arial"/>
        </w:rPr>
        <w:t>0</w:t>
      </w:r>
      <w:r w:rsidR="00825B37" w:rsidRPr="00825B37">
        <w:rPr>
          <w:rFonts w:ascii="Arial" w:hAnsi="Arial" w:cs="Arial"/>
        </w:rPr>
        <w:t xml:space="preserve"> March 2026).</w:t>
      </w:r>
    </w:p>
    <w:p w14:paraId="473B2226" w14:textId="11FBBD77" w:rsidR="00313871" w:rsidRPr="00313871" w:rsidRDefault="00313871" w:rsidP="00313871">
      <w:pPr>
        <w:spacing w:line="360" w:lineRule="auto"/>
        <w:jc w:val="both"/>
        <w:rPr>
          <w:rFonts w:ascii="Arial" w:hAnsi="Arial" w:cs="Arial"/>
        </w:rPr>
      </w:pPr>
      <w:r w:rsidRPr="00313871">
        <w:rPr>
          <w:rFonts w:ascii="Arial" w:hAnsi="Arial" w:cs="Arial"/>
        </w:rPr>
        <w:t xml:space="preserve">CIPD (2017b) Talent management. Available at: </w:t>
      </w:r>
      <w:hyperlink r:id="rId12" w:history="1">
        <w:r w:rsidR="004379B4" w:rsidRPr="004379B4">
          <w:rPr>
            <w:rStyle w:val="Hyperlink"/>
            <w:rFonts w:ascii="Arial" w:hAnsi="Arial" w:cs="Arial"/>
          </w:rPr>
          <w:t>Delivering on cultural change | CIPD</w:t>
        </w:r>
      </w:hyperlink>
      <w:r w:rsidRPr="00313871">
        <w:rPr>
          <w:rFonts w:ascii="Arial" w:hAnsi="Arial" w:cs="Arial"/>
        </w:rPr>
        <w:t xml:space="preserve"> </w:t>
      </w:r>
      <w:r w:rsidR="00825B37" w:rsidRPr="00825B37">
        <w:rPr>
          <w:rFonts w:ascii="Arial" w:hAnsi="Arial" w:cs="Arial"/>
        </w:rPr>
        <w:t>(Accessed on 1</w:t>
      </w:r>
      <w:r w:rsidR="00825B37">
        <w:rPr>
          <w:rFonts w:ascii="Arial" w:hAnsi="Arial" w:cs="Arial"/>
        </w:rPr>
        <w:t>0</w:t>
      </w:r>
      <w:r w:rsidR="00825B37" w:rsidRPr="00825B37">
        <w:rPr>
          <w:rFonts w:ascii="Arial" w:hAnsi="Arial" w:cs="Arial"/>
        </w:rPr>
        <w:t xml:space="preserve"> March 2026).</w:t>
      </w:r>
    </w:p>
    <w:p w14:paraId="4299DB15" w14:textId="787EAB20" w:rsidR="00313871" w:rsidRPr="00313871" w:rsidRDefault="00313871" w:rsidP="00313871">
      <w:pPr>
        <w:spacing w:line="360" w:lineRule="auto"/>
        <w:jc w:val="both"/>
        <w:rPr>
          <w:rFonts w:ascii="Arial" w:hAnsi="Arial" w:cs="Arial"/>
        </w:rPr>
      </w:pPr>
      <w:r w:rsidRPr="00313871">
        <w:rPr>
          <w:rFonts w:ascii="Arial" w:hAnsi="Arial" w:cs="Arial"/>
        </w:rPr>
        <w:t xml:space="preserve">Companies House (2026) Blue Earth Foods Limited – Company Overview (06631237). Available at: </w:t>
      </w:r>
      <w:hyperlink r:id="rId13" w:history="1">
        <w:r w:rsidR="004379B4" w:rsidRPr="004379B4">
          <w:rPr>
            <w:rStyle w:val="Hyperlink"/>
            <w:rFonts w:ascii="Arial" w:hAnsi="Arial" w:cs="Arial"/>
          </w:rPr>
          <w:t>BLUE EARTH FOODS LIMITED overview - Find and update company information - GOV.UK</w:t>
        </w:r>
      </w:hyperlink>
      <w:r w:rsidR="004379B4" w:rsidRPr="004379B4">
        <w:rPr>
          <w:rFonts w:ascii="Arial" w:hAnsi="Arial" w:cs="Arial"/>
        </w:rPr>
        <w:t xml:space="preserve"> </w:t>
      </w:r>
      <w:r w:rsidR="00825B37" w:rsidRPr="00825B37">
        <w:rPr>
          <w:rFonts w:ascii="Arial" w:hAnsi="Arial" w:cs="Arial"/>
        </w:rPr>
        <w:t xml:space="preserve">(Accessed on </w:t>
      </w:r>
      <w:r w:rsidR="00825B37">
        <w:rPr>
          <w:rFonts w:ascii="Arial" w:hAnsi="Arial" w:cs="Arial"/>
        </w:rPr>
        <w:t>22</w:t>
      </w:r>
      <w:r w:rsidR="00825B37" w:rsidRPr="00825B37">
        <w:rPr>
          <w:rFonts w:ascii="Arial" w:hAnsi="Arial" w:cs="Arial"/>
        </w:rPr>
        <w:t xml:space="preserve"> March 2026).</w:t>
      </w:r>
    </w:p>
    <w:p w14:paraId="237685DA" w14:textId="77777777" w:rsidR="00313871" w:rsidRPr="00313871" w:rsidRDefault="00313871" w:rsidP="00313871">
      <w:pPr>
        <w:spacing w:line="360" w:lineRule="auto"/>
        <w:jc w:val="both"/>
        <w:rPr>
          <w:rFonts w:ascii="Arial" w:hAnsi="Arial" w:cs="Arial"/>
        </w:rPr>
      </w:pPr>
      <w:r w:rsidRPr="00313871">
        <w:rPr>
          <w:rFonts w:ascii="Arial" w:hAnsi="Arial" w:cs="Arial"/>
        </w:rPr>
        <w:t>Dermol, V. and Cater, T. (2013) 'The influence of training and training transfer factors on organisational learning and performance', Personnel Review, 42(3), pp. 324–348.</w:t>
      </w:r>
    </w:p>
    <w:p w14:paraId="14F9D224" w14:textId="77777777" w:rsidR="00313871" w:rsidRPr="00313871" w:rsidRDefault="00313871" w:rsidP="00313871">
      <w:pPr>
        <w:spacing w:line="360" w:lineRule="auto"/>
        <w:jc w:val="both"/>
        <w:rPr>
          <w:rFonts w:ascii="Arial" w:hAnsi="Arial" w:cs="Arial"/>
        </w:rPr>
      </w:pPr>
      <w:r w:rsidRPr="00313871">
        <w:rPr>
          <w:rFonts w:ascii="Arial" w:hAnsi="Arial" w:cs="Arial"/>
        </w:rPr>
        <w:t>Fiol, C.M. and Lyles, M.A. (1985) 'Organizational learning', Academy of Management Review, 10(4), pp. 803–813.</w:t>
      </w:r>
    </w:p>
    <w:p w14:paraId="4EFF6FAA" w14:textId="77777777" w:rsidR="00313871" w:rsidRPr="00313871" w:rsidRDefault="00313871" w:rsidP="00313871">
      <w:pPr>
        <w:spacing w:line="360" w:lineRule="auto"/>
        <w:jc w:val="both"/>
        <w:rPr>
          <w:rFonts w:ascii="Arial" w:hAnsi="Arial" w:cs="Arial"/>
        </w:rPr>
      </w:pPr>
      <w:r w:rsidRPr="00313871">
        <w:rPr>
          <w:rFonts w:ascii="Arial" w:hAnsi="Arial" w:cs="Arial"/>
        </w:rPr>
        <w:t>Ford, J.D., Ford, L.W. and D'Amelio, A. (2008) 'Resistance to change: the rest of the story', Academy of Management Review, 33(2), pp. 362–377.</w:t>
      </w:r>
    </w:p>
    <w:p w14:paraId="386BBCA0" w14:textId="77777777" w:rsidR="00313871" w:rsidRPr="00313871" w:rsidRDefault="00313871" w:rsidP="00313871">
      <w:pPr>
        <w:spacing w:line="360" w:lineRule="auto"/>
        <w:jc w:val="both"/>
        <w:rPr>
          <w:rFonts w:ascii="Arial" w:hAnsi="Arial" w:cs="Arial"/>
        </w:rPr>
      </w:pPr>
      <w:r w:rsidRPr="00313871">
        <w:rPr>
          <w:rFonts w:ascii="Arial" w:hAnsi="Arial" w:cs="Arial"/>
        </w:rPr>
        <w:t>Hofstede, G. (2001) Culture's consequences. 2nd edn. Thousand Oaks, CA: Sage.</w:t>
      </w:r>
    </w:p>
    <w:p w14:paraId="1830273C" w14:textId="77777777" w:rsidR="00313871" w:rsidRPr="00313871" w:rsidRDefault="00313871" w:rsidP="00313871">
      <w:pPr>
        <w:spacing w:line="360" w:lineRule="auto"/>
        <w:jc w:val="both"/>
        <w:rPr>
          <w:rFonts w:ascii="Arial" w:hAnsi="Arial" w:cs="Arial"/>
        </w:rPr>
      </w:pPr>
      <w:r w:rsidRPr="00313871">
        <w:rPr>
          <w:rFonts w:ascii="Arial" w:hAnsi="Arial" w:cs="Arial"/>
        </w:rPr>
        <w:t>Hutchinson, S. (2013) Performance management. London: Chartered Institute of Personnel and Development.</w:t>
      </w:r>
    </w:p>
    <w:p w14:paraId="0A5DEBDC" w14:textId="77777777" w:rsidR="00313871" w:rsidRPr="00313871" w:rsidRDefault="00313871" w:rsidP="00313871">
      <w:pPr>
        <w:spacing w:line="360" w:lineRule="auto"/>
        <w:jc w:val="both"/>
        <w:rPr>
          <w:rFonts w:ascii="Arial" w:hAnsi="Arial" w:cs="Arial"/>
        </w:rPr>
      </w:pPr>
      <w:r w:rsidRPr="00313871">
        <w:rPr>
          <w:rFonts w:ascii="Arial" w:hAnsi="Arial" w:cs="Arial"/>
        </w:rPr>
        <w:lastRenderedPageBreak/>
        <w:t>Javidan, M., House, R.J. and Dorfman, P.W. (2004) 'A non-technical summary of GLOBE findings', in House, R.J. et al. (eds.) Culture, leadership and organisations: the GLOBE study of 62 societies. Thousand Oaks, CA: Sage.</w:t>
      </w:r>
    </w:p>
    <w:p w14:paraId="502E2033" w14:textId="77777777" w:rsidR="00313871" w:rsidRPr="00313871" w:rsidRDefault="00313871" w:rsidP="00313871">
      <w:pPr>
        <w:spacing w:line="360" w:lineRule="auto"/>
        <w:jc w:val="both"/>
        <w:rPr>
          <w:rFonts w:ascii="Arial" w:hAnsi="Arial" w:cs="Arial"/>
        </w:rPr>
      </w:pPr>
      <w:r w:rsidRPr="00313871">
        <w:rPr>
          <w:rFonts w:ascii="Arial" w:hAnsi="Arial" w:cs="Arial"/>
        </w:rPr>
        <w:t>Kotter, J.P. (1996) Leading change. Boston, MA: Harvard Business School Press.</w:t>
      </w:r>
    </w:p>
    <w:p w14:paraId="14963718" w14:textId="77777777" w:rsidR="00313871" w:rsidRPr="00313871" w:rsidRDefault="00313871" w:rsidP="00313871">
      <w:pPr>
        <w:spacing w:line="360" w:lineRule="auto"/>
        <w:jc w:val="both"/>
        <w:rPr>
          <w:rFonts w:ascii="Arial" w:hAnsi="Arial" w:cs="Arial"/>
        </w:rPr>
      </w:pPr>
      <w:r w:rsidRPr="00313871">
        <w:rPr>
          <w:rFonts w:ascii="Arial" w:hAnsi="Arial" w:cs="Arial"/>
        </w:rPr>
        <w:t>Leatherbarrow, C. and Fletcher, J. (2019) Introduction to human resource management: a guide to HR in practice. 4th edn. London: Kogan Page.</w:t>
      </w:r>
    </w:p>
    <w:p w14:paraId="61CC6324" w14:textId="77777777" w:rsidR="00313871" w:rsidRPr="00313871" w:rsidRDefault="00313871" w:rsidP="00313871">
      <w:pPr>
        <w:spacing w:line="360" w:lineRule="auto"/>
        <w:jc w:val="both"/>
        <w:rPr>
          <w:rFonts w:ascii="Arial" w:hAnsi="Arial" w:cs="Arial"/>
        </w:rPr>
      </w:pPr>
      <w:r w:rsidRPr="00313871">
        <w:rPr>
          <w:rFonts w:ascii="Arial" w:hAnsi="Arial" w:cs="Arial"/>
        </w:rPr>
        <w:t>Molloy, E. and Whittington, R. (2005) HR's role in organising: shaping change. London: CIPD.</w:t>
      </w:r>
    </w:p>
    <w:p w14:paraId="79044A98" w14:textId="77777777" w:rsidR="00313871" w:rsidRPr="00313871" w:rsidRDefault="00313871" w:rsidP="00313871">
      <w:pPr>
        <w:spacing w:line="360" w:lineRule="auto"/>
        <w:jc w:val="both"/>
        <w:rPr>
          <w:rFonts w:ascii="Arial" w:hAnsi="Arial" w:cs="Arial"/>
        </w:rPr>
      </w:pPr>
      <w:r w:rsidRPr="00313871">
        <w:rPr>
          <w:rFonts w:ascii="Arial" w:hAnsi="Arial" w:cs="Arial"/>
        </w:rPr>
        <w:t>Mullins, L.J. and McLean, J.E. (2019) Organisational behaviour in the workplace. 12th edn. Harlow: Pearson Education Limited.</w:t>
      </w:r>
    </w:p>
    <w:p w14:paraId="34AEA65A" w14:textId="77777777" w:rsidR="00313871" w:rsidRPr="00313871" w:rsidRDefault="00313871" w:rsidP="00313871">
      <w:pPr>
        <w:spacing w:line="360" w:lineRule="auto"/>
        <w:jc w:val="both"/>
        <w:rPr>
          <w:rFonts w:ascii="Arial" w:hAnsi="Arial" w:cs="Arial"/>
        </w:rPr>
      </w:pPr>
      <w:r w:rsidRPr="00313871">
        <w:rPr>
          <w:rFonts w:ascii="Arial" w:hAnsi="Arial" w:cs="Arial"/>
        </w:rPr>
        <w:t>Rees, W.D. (2015) Skills of management and leadership: managing people in organisations. London: Palgrave Macmillan.</w:t>
      </w:r>
    </w:p>
    <w:p w14:paraId="2B308B5C" w14:textId="77777777" w:rsidR="00313871" w:rsidRPr="00313871" w:rsidRDefault="00313871" w:rsidP="00313871">
      <w:pPr>
        <w:spacing w:line="360" w:lineRule="auto"/>
        <w:jc w:val="both"/>
        <w:rPr>
          <w:rFonts w:ascii="Arial" w:hAnsi="Arial" w:cs="Arial"/>
        </w:rPr>
      </w:pPr>
      <w:r w:rsidRPr="00313871">
        <w:rPr>
          <w:rFonts w:ascii="Arial" w:hAnsi="Arial" w:cs="Arial"/>
        </w:rPr>
        <w:t>Reilly, P. (2012) 'Transforming HR to support strategic change', in Francis, H., Holbeche, L. and Reddington, M. (eds.) People and organisational development. London: CIPD, pp. 125–141.</w:t>
      </w:r>
    </w:p>
    <w:p w14:paraId="005F18E6" w14:textId="77777777" w:rsidR="00313871" w:rsidRPr="00313871" w:rsidRDefault="00313871" w:rsidP="00313871">
      <w:pPr>
        <w:spacing w:line="360" w:lineRule="auto"/>
        <w:jc w:val="both"/>
        <w:rPr>
          <w:rFonts w:ascii="Arial" w:hAnsi="Arial" w:cs="Arial"/>
        </w:rPr>
      </w:pPr>
      <w:r w:rsidRPr="00313871">
        <w:rPr>
          <w:rFonts w:ascii="Arial" w:hAnsi="Arial" w:cs="Arial"/>
        </w:rPr>
        <w:t>Taylor, S. (2014) Resourcing and talent management. 6th edn. London: CIPD.</w:t>
      </w:r>
    </w:p>
    <w:p w14:paraId="081FF760" w14:textId="5B4AE62D" w:rsidR="00F20461" w:rsidRPr="00313871" w:rsidRDefault="00313871" w:rsidP="00313871">
      <w:pPr>
        <w:spacing w:line="360" w:lineRule="auto"/>
        <w:jc w:val="both"/>
        <w:rPr>
          <w:rFonts w:ascii="Arial" w:hAnsi="Arial" w:cs="Arial"/>
        </w:rPr>
      </w:pPr>
      <w:r w:rsidRPr="00313871">
        <w:rPr>
          <w:rFonts w:ascii="Arial" w:hAnsi="Arial" w:cs="Arial"/>
        </w:rPr>
        <w:t>Wellington, P. (2011) Effective people management. London: Kogan Page.</w:t>
      </w:r>
    </w:p>
    <w:p w14:paraId="0FB4FF56" w14:textId="77777777" w:rsidR="00BE3D3E" w:rsidRPr="00BE3D3E" w:rsidRDefault="00BE3D3E" w:rsidP="00D26582">
      <w:pPr>
        <w:spacing w:line="360" w:lineRule="auto"/>
        <w:ind w:left="360"/>
        <w:rPr>
          <w:rFonts w:ascii="Arial" w:hAnsi="Arial" w:cs="Arial"/>
        </w:rPr>
      </w:pPr>
    </w:p>
    <w:p w14:paraId="34364A1C" w14:textId="77777777" w:rsidR="00922F98" w:rsidRPr="00BE3D3E" w:rsidRDefault="00922F98" w:rsidP="00D26582">
      <w:pPr>
        <w:pStyle w:val="ListParagraph"/>
        <w:spacing w:line="360" w:lineRule="auto"/>
        <w:rPr>
          <w:rFonts w:ascii="Arial" w:hAnsi="Arial" w:cs="Arial"/>
        </w:rPr>
      </w:pPr>
    </w:p>
    <w:p w14:paraId="40F55E83" w14:textId="77777777" w:rsidR="00922F98" w:rsidRPr="00BE3D3E" w:rsidRDefault="00922F98" w:rsidP="00E4620E">
      <w:pPr>
        <w:pStyle w:val="ListParagraph"/>
        <w:spacing w:line="360" w:lineRule="auto"/>
        <w:rPr>
          <w:rFonts w:ascii="Arial" w:hAnsi="Arial" w:cs="Arial"/>
          <w:sz w:val="32"/>
          <w:szCs w:val="32"/>
        </w:rPr>
      </w:pPr>
    </w:p>
    <w:sectPr w:rsidR="00922F98" w:rsidRPr="00BE3D3E">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2223EE" w14:textId="77777777" w:rsidR="00F71602" w:rsidRDefault="00F71602" w:rsidP="00B51DA0">
      <w:pPr>
        <w:spacing w:after="0" w:line="240" w:lineRule="auto"/>
      </w:pPr>
      <w:r>
        <w:separator/>
      </w:r>
    </w:p>
  </w:endnote>
  <w:endnote w:type="continuationSeparator" w:id="0">
    <w:p w14:paraId="5C6D02AE" w14:textId="77777777" w:rsidR="00F71602" w:rsidRDefault="00F71602" w:rsidP="00B51D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07739966"/>
      <w:docPartObj>
        <w:docPartGallery w:val="Page Numbers (Bottom of Page)"/>
        <w:docPartUnique/>
      </w:docPartObj>
    </w:sdtPr>
    <w:sdtEndPr>
      <w:rPr>
        <w:noProof/>
      </w:rPr>
    </w:sdtEndPr>
    <w:sdtContent>
      <w:p w14:paraId="3EC4D50C" w14:textId="423132D3" w:rsidR="00B51DA0" w:rsidRDefault="00B51DA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CF6CE50" w14:textId="77777777" w:rsidR="00B51DA0" w:rsidRDefault="00B51D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88AEA0" w14:textId="77777777" w:rsidR="00F71602" w:rsidRDefault="00F71602" w:rsidP="00B51DA0">
      <w:pPr>
        <w:spacing w:after="0" w:line="240" w:lineRule="auto"/>
      </w:pPr>
      <w:r>
        <w:separator/>
      </w:r>
    </w:p>
  </w:footnote>
  <w:footnote w:type="continuationSeparator" w:id="0">
    <w:p w14:paraId="51C9B3EB" w14:textId="77777777" w:rsidR="00F71602" w:rsidRDefault="00F71602" w:rsidP="00B51DA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C36C4C"/>
    <w:multiLevelType w:val="multilevel"/>
    <w:tmpl w:val="5DE0BA1A"/>
    <w:lvl w:ilvl="0">
      <w:start w:val="1"/>
      <w:numFmt w:val="decimal"/>
      <w:lvlText w:val="%1."/>
      <w:lvlJc w:val="left"/>
      <w:pPr>
        <w:ind w:left="720" w:hanging="360"/>
      </w:pPr>
      <w:rPr>
        <w:rFonts w:eastAsia="Times New Roman"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abstractNum w:abstractNumId="1" w15:restartNumberingAfterBreak="0">
    <w:nsid w:val="37EC18AB"/>
    <w:multiLevelType w:val="multilevel"/>
    <w:tmpl w:val="C8029F60"/>
    <w:lvl w:ilvl="0">
      <w:start w:val="1"/>
      <w:numFmt w:val="decimal"/>
      <w:lvlText w:val="%1."/>
      <w:lvlJc w:val="left"/>
      <w:pPr>
        <w:ind w:left="720" w:hanging="360"/>
      </w:pPr>
      <w:rPr>
        <w:rFonts w:hint="default"/>
      </w:rPr>
    </w:lvl>
    <w:lvl w:ilvl="1">
      <w:start w:val="1"/>
      <w:numFmt w:val="decimal"/>
      <w:isLgl/>
      <w:lvlText w:val="%1.%2"/>
      <w:lvlJc w:val="left"/>
      <w:pPr>
        <w:ind w:left="372" w:hanging="372"/>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7E9D0EC8"/>
    <w:multiLevelType w:val="hybridMultilevel"/>
    <w:tmpl w:val="6E6A554C"/>
    <w:lvl w:ilvl="0" w:tplc="9FC01328">
      <w:start w:val="1"/>
      <w:numFmt w:val="bullet"/>
      <w:lvlText w:val="•"/>
      <w:lvlJc w:val="left"/>
      <w:pPr>
        <w:ind w:left="720" w:hanging="360"/>
      </w:pPr>
    </w:lvl>
    <w:lvl w:ilvl="1" w:tplc="6A14DE50">
      <w:numFmt w:val="decimal"/>
      <w:lvlText w:val=""/>
      <w:lvlJc w:val="left"/>
    </w:lvl>
    <w:lvl w:ilvl="2" w:tplc="273EC9E8">
      <w:numFmt w:val="decimal"/>
      <w:lvlText w:val=""/>
      <w:lvlJc w:val="left"/>
    </w:lvl>
    <w:lvl w:ilvl="3" w:tplc="52981694">
      <w:numFmt w:val="decimal"/>
      <w:lvlText w:val=""/>
      <w:lvlJc w:val="left"/>
    </w:lvl>
    <w:lvl w:ilvl="4" w:tplc="6BBEE7BC">
      <w:numFmt w:val="decimal"/>
      <w:lvlText w:val=""/>
      <w:lvlJc w:val="left"/>
    </w:lvl>
    <w:lvl w:ilvl="5" w:tplc="C55E5026">
      <w:numFmt w:val="decimal"/>
      <w:lvlText w:val=""/>
      <w:lvlJc w:val="left"/>
    </w:lvl>
    <w:lvl w:ilvl="6" w:tplc="4614FAE8">
      <w:numFmt w:val="decimal"/>
      <w:lvlText w:val=""/>
      <w:lvlJc w:val="left"/>
    </w:lvl>
    <w:lvl w:ilvl="7" w:tplc="3C585D8A">
      <w:numFmt w:val="decimal"/>
      <w:lvlText w:val=""/>
      <w:lvlJc w:val="left"/>
    </w:lvl>
    <w:lvl w:ilvl="8" w:tplc="0EBE106A">
      <w:numFmt w:val="decimal"/>
      <w:lvlText w:val=""/>
      <w:lvlJc w:val="left"/>
    </w:lvl>
  </w:abstractNum>
  <w:num w:numId="1" w16cid:durableId="2119521015">
    <w:abstractNumId w:val="0"/>
  </w:num>
  <w:num w:numId="2" w16cid:durableId="1164130227">
    <w:abstractNumId w:val="1"/>
  </w:num>
  <w:num w:numId="3" w16cid:durableId="960765210">
    <w:abstractNumId w:val="2"/>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59D4"/>
    <w:rsid w:val="000168CE"/>
    <w:rsid w:val="000F3CA3"/>
    <w:rsid w:val="00144AFD"/>
    <w:rsid w:val="00194657"/>
    <w:rsid w:val="001F35E0"/>
    <w:rsid w:val="002D2767"/>
    <w:rsid w:val="00313871"/>
    <w:rsid w:val="00376855"/>
    <w:rsid w:val="003859D4"/>
    <w:rsid w:val="003A3C75"/>
    <w:rsid w:val="004379B4"/>
    <w:rsid w:val="004524D7"/>
    <w:rsid w:val="004775CF"/>
    <w:rsid w:val="004C7396"/>
    <w:rsid w:val="00522AA3"/>
    <w:rsid w:val="005C1FBF"/>
    <w:rsid w:val="0064184E"/>
    <w:rsid w:val="0069629E"/>
    <w:rsid w:val="0079388E"/>
    <w:rsid w:val="007B3F26"/>
    <w:rsid w:val="00815B74"/>
    <w:rsid w:val="0081731C"/>
    <w:rsid w:val="00825B37"/>
    <w:rsid w:val="008460B7"/>
    <w:rsid w:val="00865CC3"/>
    <w:rsid w:val="008D0ECB"/>
    <w:rsid w:val="00903221"/>
    <w:rsid w:val="00922F98"/>
    <w:rsid w:val="0098038B"/>
    <w:rsid w:val="009C092B"/>
    <w:rsid w:val="009D7D13"/>
    <w:rsid w:val="00B51DA0"/>
    <w:rsid w:val="00BB6A0A"/>
    <w:rsid w:val="00BC5578"/>
    <w:rsid w:val="00BE3D3E"/>
    <w:rsid w:val="00CB6B45"/>
    <w:rsid w:val="00CC1212"/>
    <w:rsid w:val="00D26582"/>
    <w:rsid w:val="00D93C0F"/>
    <w:rsid w:val="00DB454D"/>
    <w:rsid w:val="00E03174"/>
    <w:rsid w:val="00E4620E"/>
    <w:rsid w:val="00E71912"/>
    <w:rsid w:val="00E7477F"/>
    <w:rsid w:val="00ED0360"/>
    <w:rsid w:val="00EF27B0"/>
    <w:rsid w:val="00F20461"/>
    <w:rsid w:val="00F231A8"/>
    <w:rsid w:val="00F716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C2B976"/>
  <w15:chartTrackingRefBased/>
  <w15:docId w15:val="{C6D97D89-B5BA-4F32-8AA4-4DBA28526E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859D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859D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859D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859D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859D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859D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859D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859D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859D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59D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859D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859D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859D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859D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859D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859D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859D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859D4"/>
    <w:rPr>
      <w:rFonts w:eastAsiaTheme="majorEastAsia" w:cstheme="majorBidi"/>
      <w:color w:val="272727" w:themeColor="text1" w:themeTint="D8"/>
    </w:rPr>
  </w:style>
  <w:style w:type="paragraph" w:styleId="Title">
    <w:name w:val="Title"/>
    <w:basedOn w:val="Normal"/>
    <w:next w:val="Normal"/>
    <w:link w:val="TitleChar"/>
    <w:uiPriority w:val="10"/>
    <w:qFormat/>
    <w:rsid w:val="003859D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859D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859D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859D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859D4"/>
    <w:pPr>
      <w:spacing w:before="160"/>
      <w:jc w:val="center"/>
    </w:pPr>
    <w:rPr>
      <w:i/>
      <w:iCs/>
      <w:color w:val="404040" w:themeColor="text1" w:themeTint="BF"/>
    </w:rPr>
  </w:style>
  <w:style w:type="character" w:customStyle="1" w:styleId="QuoteChar">
    <w:name w:val="Quote Char"/>
    <w:basedOn w:val="DefaultParagraphFont"/>
    <w:link w:val="Quote"/>
    <w:uiPriority w:val="29"/>
    <w:rsid w:val="003859D4"/>
    <w:rPr>
      <w:i/>
      <w:iCs/>
      <w:color w:val="404040" w:themeColor="text1" w:themeTint="BF"/>
    </w:rPr>
  </w:style>
  <w:style w:type="paragraph" w:styleId="ListParagraph">
    <w:name w:val="List Paragraph"/>
    <w:basedOn w:val="Normal"/>
    <w:uiPriority w:val="34"/>
    <w:qFormat/>
    <w:rsid w:val="003859D4"/>
    <w:pPr>
      <w:ind w:left="720"/>
      <w:contextualSpacing/>
    </w:pPr>
  </w:style>
  <w:style w:type="character" w:styleId="IntenseEmphasis">
    <w:name w:val="Intense Emphasis"/>
    <w:basedOn w:val="DefaultParagraphFont"/>
    <w:uiPriority w:val="21"/>
    <w:qFormat/>
    <w:rsid w:val="003859D4"/>
    <w:rPr>
      <w:i/>
      <w:iCs/>
      <w:color w:val="0F4761" w:themeColor="accent1" w:themeShade="BF"/>
    </w:rPr>
  </w:style>
  <w:style w:type="paragraph" w:styleId="IntenseQuote">
    <w:name w:val="Intense Quote"/>
    <w:basedOn w:val="Normal"/>
    <w:next w:val="Normal"/>
    <w:link w:val="IntenseQuoteChar"/>
    <w:uiPriority w:val="30"/>
    <w:qFormat/>
    <w:rsid w:val="003859D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859D4"/>
    <w:rPr>
      <w:i/>
      <w:iCs/>
      <w:color w:val="0F4761" w:themeColor="accent1" w:themeShade="BF"/>
    </w:rPr>
  </w:style>
  <w:style w:type="character" w:styleId="IntenseReference">
    <w:name w:val="Intense Reference"/>
    <w:basedOn w:val="DefaultParagraphFont"/>
    <w:uiPriority w:val="32"/>
    <w:qFormat/>
    <w:rsid w:val="003859D4"/>
    <w:rPr>
      <w:b/>
      <w:bCs/>
      <w:smallCaps/>
      <w:color w:val="0F4761" w:themeColor="accent1" w:themeShade="BF"/>
      <w:spacing w:val="5"/>
    </w:rPr>
  </w:style>
  <w:style w:type="character" w:styleId="Hyperlink">
    <w:name w:val="Hyperlink"/>
    <w:basedOn w:val="DefaultParagraphFont"/>
    <w:uiPriority w:val="99"/>
    <w:unhideWhenUsed/>
    <w:rsid w:val="004379B4"/>
    <w:rPr>
      <w:color w:val="0000FF"/>
      <w:u w:val="single"/>
    </w:rPr>
  </w:style>
  <w:style w:type="character" w:styleId="UnresolvedMention">
    <w:name w:val="Unresolved Mention"/>
    <w:basedOn w:val="DefaultParagraphFont"/>
    <w:uiPriority w:val="99"/>
    <w:semiHidden/>
    <w:unhideWhenUsed/>
    <w:rsid w:val="004379B4"/>
    <w:rPr>
      <w:color w:val="605E5C"/>
      <w:shd w:val="clear" w:color="auto" w:fill="E1DFDD"/>
    </w:rPr>
  </w:style>
  <w:style w:type="character" w:styleId="FollowedHyperlink">
    <w:name w:val="FollowedHyperlink"/>
    <w:basedOn w:val="DefaultParagraphFont"/>
    <w:uiPriority w:val="99"/>
    <w:semiHidden/>
    <w:unhideWhenUsed/>
    <w:rsid w:val="002D2767"/>
    <w:rPr>
      <w:color w:val="96607D" w:themeColor="followedHyperlink"/>
      <w:u w:val="single"/>
    </w:rPr>
  </w:style>
  <w:style w:type="paragraph" w:styleId="Header">
    <w:name w:val="header"/>
    <w:basedOn w:val="Normal"/>
    <w:link w:val="HeaderChar"/>
    <w:uiPriority w:val="99"/>
    <w:unhideWhenUsed/>
    <w:rsid w:val="00B51D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1DA0"/>
  </w:style>
  <w:style w:type="paragraph" w:styleId="Footer">
    <w:name w:val="footer"/>
    <w:basedOn w:val="Normal"/>
    <w:link w:val="FooterChar"/>
    <w:uiPriority w:val="99"/>
    <w:unhideWhenUsed/>
    <w:rsid w:val="00B51D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1DA0"/>
  </w:style>
  <w:style w:type="paragraph" w:styleId="TOCHeading">
    <w:name w:val="TOC Heading"/>
    <w:basedOn w:val="Heading1"/>
    <w:next w:val="Normal"/>
    <w:uiPriority w:val="39"/>
    <w:unhideWhenUsed/>
    <w:qFormat/>
    <w:rsid w:val="000F3CA3"/>
    <w:pPr>
      <w:spacing w:before="240" w:after="0"/>
      <w:outlineLvl w:val="9"/>
    </w:pPr>
    <w:rPr>
      <w:kern w:val="0"/>
      <w:sz w:val="32"/>
      <w:szCs w:val="32"/>
      <w:lang w:val="en-US"/>
      <w14:ligatures w14:val="none"/>
    </w:rPr>
  </w:style>
  <w:style w:type="paragraph" w:styleId="TOC2">
    <w:name w:val="toc 2"/>
    <w:basedOn w:val="Normal"/>
    <w:next w:val="Normal"/>
    <w:autoRedefine/>
    <w:uiPriority w:val="39"/>
    <w:unhideWhenUsed/>
    <w:rsid w:val="000F3CA3"/>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0F3CA3"/>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0F3CA3"/>
    <w:pPr>
      <w:spacing w:after="100"/>
      <w:ind w:left="440"/>
    </w:pPr>
    <w:rPr>
      <w:rFonts w:eastAsiaTheme="minorEastAsia" w:cs="Times New Roman"/>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find-and-update.company-information.service.gov.uk/company/06631237"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cipd.org/uk/views-and-insights/thought-leadership/the-world-of-work/delivering-on-cultural-change/"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ipd.org/uk"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blueearthfoods.co.uk/" TargetMode="External"/><Relationship Id="rId4" Type="http://schemas.openxmlformats.org/officeDocument/2006/relationships/settings" Target="settings.xml"/><Relationship Id="rId9" Type="http://schemas.openxmlformats.org/officeDocument/2006/relationships/hyperlink" Target="https://www.blueearthfoods.co.uk/wp-content/uploads/2025/08/2024-SFG-Modern-Slavery-Statement.pdf"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C1F9A58-ACFB-41E5-BF53-C642BC1163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437</TotalTime>
  <Pages>11</Pages>
  <Words>3128</Words>
  <Characters>17830</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Nicolae Bogdan Sandu-Rizea (2418689)</dc:creator>
  <cp:keywords/>
  <dc:description/>
  <cp:lastModifiedBy>Nicolae Bogdan Sandu-Rizea (2418689)</cp:lastModifiedBy>
  <cp:revision>44</cp:revision>
  <dcterms:created xsi:type="dcterms:W3CDTF">2026-03-22T06:45:00Z</dcterms:created>
  <dcterms:modified xsi:type="dcterms:W3CDTF">2026-03-28T17:44:00Z</dcterms:modified>
</cp:coreProperties>
</file>