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9526A" w14:textId="6DC5E512" w:rsidR="004A2033" w:rsidRPr="007D3604" w:rsidRDefault="004A2033" w:rsidP="004A2033">
      <w:pPr>
        <w:jc w:val="center"/>
        <w:rPr>
          <w:rFonts w:ascii="Arial" w:hAnsi="Arial" w:cs="Arial"/>
          <w:b/>
          <w:bCs/>
          <w:color w:val="000000" w:themeColor="text1"/>
          <w:sz w:val="24"/>
          <w:szCs w:val="24"/>
          <w:u w:val="single"/>
        </w:rPr>
      </w:pPr>
      <w:r w:rsidRPr="007D3604">
        <w:rPr>
          <w:rFonts w:ascii="Arial" w:hAnsi="Arial" w:cs="Arial"/>
          <w:b/>
          <w:bCs/>
          <w:color w:val="000000" w:themeColor="text1"/>
          <w:sz w:val="24"/>
          <w:szCs w:val="24"/>
          <w:u w:val="single"/>
        </w:rPr>
        <w:t>Analysis of</w:t>
      </w:r>
      <w:r w:rsidR="00436902">
        <w:rPr>
          <w:rFonts w:ascii="Arial" w:hAnsi="Arial" w:cs="Arial"/>
          <w:b/>
          <w:bCs/>
          <w:color w:val="000000" w:themeColor="text1"/>
          <w:sz w:val="24"/>
          <w:szCs w:val="24"/>
          <w:u w:val="single"/>
        </w:rPr>
        <w:t xml:space="preserve"> the</w:t>
      </w:r>
      <w:r w:rsidRPr="007D3604">
        <w:rPr>
          <w:rFonts w:ascii="Arial" w:hAnsi="Arial" w:cs="Arial"/>
          <w:b/>
          <w:bCs/>
          <w:color w:val="000000" w:themeColor="text1"/>
          <w:sz w:val="24"/>
          <w:szCs w:val="24"/>
          <w:u w:val="single"/>
        </w:rPr>
        <w:t xml:space="preserve"> Web Presence of St Fagans Museum of National History</w:t>
      </w:r>
    </w:p>
    <w:p w14:paraId="6C5B9987" w14:textId="77777777" w:rsidR="004A2033" w:rsidRPr="0061539E" w:rsidRDefault="004A2033" w:rsidP="004A2033">
      <w:pPr>
        <w:jc w:val="both"/>
        <w:rPr>
          <w:rFonts w:ascii="Arial" w:hAnsi="Arial" w:cs="Arial"/>
          <w:b/>
          <w:bCs/>
          <w:color w:val="000000" w:themeColor="text1"/>
        </w:rPr>
      </w:pPr>
    </w:p>
    <w:p w14:paraId="111DB4F9" w14:textId="77777777" w:rsidR="004A2033" w:rsidRPr="0061539E" w:rsidRDefault="004A2033" w:rsidP="004A2033">
      <w:pPr>
        <w:jc w:val="both"/>
        <w:rPr>
          <w:rFonts w:ascii="Arial" w:hAnsi="Arial" w:cs="Arial"/>
          <w:b/>
          <w:bCs/>
          <w:color w:val="000000" w:themeColor="text1"/>
        </w:rPr>
      </w:pPr>
      <w:r w:rsidRPr="0061539E">
        <w:rPr>
          <w:rFonts w:ascii="Arial" w:hAnsi="Arial" w:cs="Arial"/>
          <w:b/>
          <w:bCs/>
          <w:color w:val="000000" w:themeColor="text1"/>
        </w:rPr>
        <w:t xml:space="preserve">Introduction  </w:t>
      </w:r>
    </w:p>
    <w:p w14:paraId="3BB481B5"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The Amgueddfa-Cymru National Museum of Wales is an organisation spread across seven museum sites</w:t>
      </w:r>
      <w:r w:rsidRPr="0061539E">
        <w:rPr>
          <w:rStyle w:val="FootnoteReference"/>
          <w:rFonts w:ascii="Arial" w:hAnsi="Arial" w:cs="Arial"/>
          <w:color w:val="000000" w:themeColor="text1"/>
        </w:rPr>
        <w:footnoteReference w:id="1"/>
      </w:r>
      <w:r w:rsidRPr="0061539E">
        <w:rPr>
          <w:rFonts w:ascii="Arial" w:hAnsi="Arial" w:cs="Arial"/>
          <w:color w:val="000000" w:themeColor="text1"/>
        </w:rPr>
        <w:t>. It refers to it’s website as the Museum’s eighth public site and this analysis will explore how it’s web presence reflects the museums aims and strategies, with particular emphasis on visitor experience online and how the museum’s online presence supports it’s seven physical museum sites. To examine how effectively web presence supports the museum sites, the focus will be on St Fagans National Museum of History. This part of the National Museum is the oldest and most diverse in terms of visitor experience, comprising of indoor exhibitions and galleries, living history, and relocated buildings set in the grounds of a historic building to allow visitors the experience of ‘walking’ through Welsh history.</w:t>
      </w:r>
    </w:p>
    <w:p w14:paraId="16E0E103" w14:textId="77777777" w:rsidR="004A2033" w:rsidRPr="0061539E" w:rsidRDefault="004A2033" w:rsidP="004A2033">
      <w:pPr>
        <w:rPr>
          <w:rFonts w:ascii="Arial" w:hAnsi="Arial" w:cs="Arial"/>
          <w:color w:val="000000" w:themeColor="text1"/>
        </w:rPr>
      </w:pPr>
    </w:p>
    <w:p w14:paraId="4C24E4EA" w14:textId="77777777" w:rsidR="004A2033" w:rsidRPr="0061539E" w:rsidRDefault="004A2033" w:rsidP="004A2033">
      <w:pPr>
        <w:jc w:val="both"/>
        <w:rPr>
          <w:rFonts w:ascii="Arial" w:hAnsi="Arial" w:cs="Arial"/>
          <w:b/>
          <w:bCs/>
          <w:color w:val="000000" w:themeColor="text1"/>
        </w:rPr>
      </w:pPr>
      <w:r w:rsidRPr="0061539E">
        <w:rPr>
          <w:rFonts w:ascii="Arial" w:hAnsi="Arial" w:cs="Arial"/>
          <w:b/>
          <w:bCs/>
          <w:color w:val="000000" w:themeColor="text1"/>
        </w:rPr>
        <w:t>Visitor experience on the website</w:t>
      </w:r>
    </w:p>
    <w:p w14:paraId="3E6EC105"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The website is available in both Welsh and English, allowing the user to switch between English or Welsh for the whole site. This allows greater clarity than having to scroll through both languages on the same page. The Welsh language site and the English language site are not identical in content lay out. For the purposes of this analysis focus will be on the English language site, as it is likely to be the first port of call for most online visitors. Searching for St Fagans in Welsh gives you the website in English in two of the most common web browsers, which could be due to practicality, reflecting the search terms more commonly used, or due to only one version of the website being registered for search engine optimisation with browser providers. It is hard to say from the information available, but intriguing for a national institution founded to preserve Welsh culture and an area for future exploration.</w:t>
      </w:r>
    </w:p>
    <w:p w14:paraId="39EFB8C1" w14:textId="77777777" w:rsidR="004A2033" w:rsidRPr="0061539E" w:rsidRDefault="004A2033" w:rsidP="004A2033">
      <w:pPr>
        <w:jc w:val="both"/>
        <w:rPr>
          <w:color w:val="000000" w:themeColor="text1"/>
        </w:rPr>
      </w:pPr>
      <w:r w:rsidRPr="0061539E">
        <w:rPr>
          <w:rFonts w:ascii="Arial" w:hAnsi="Arial" w:cs="Arial"/>
          <w:color w:val="000000" w:themeColor="text1"/>
        </w:rPr>
        <w:t>The website is attractively laid out in with clear links to different types of information. It is colourful, and there is a good balance between text and image. Information for visit planning is at the top of the page, which until lately also included updated covid measures. For those who chose to scroll down to find out more there are images and links for a range of other aspects of the museum including the blog, social media links, courses, and upcoming exhibitions and events. The images reflect the content of the links, and children as well as adults feature in the pictures, re-enforcing the perception that St Fagans is a family-friendly site. The language used is clear, and text is presented in a clean font in small amounts, in line with recommended practice (</w:t>
      </w:r>
      <w:r w:rsidRPr="0061539E">
        <w:rPr>
          <w:color w:val="000000" w:themeColor="text1"/>
        </w:rPr>
        <w:t>Museum.wales/website/accessibility/</w:t>
      </w:r>
      <w:r w:rsidRPr="0061539E">
        <w:rPr>
          <w:rFonts w:ascii="Arial" w:hAnsi="Arial" w:cs="Arial"/>
          <w:color w:val="000000" w:themeColor="text1"/>
        </w:rPr>
        <w:t>). There are several digital events currently shown, which, while possibly born out covid restrictions as well as the Museum’s ongoing research and interest into digital provision, provide much wider online engagement and present the museum as a place you can engage with even if you can’t get on site. For anyone interested but housebound for whatever reason, this is a valuable point of contact.</w:t>
      </w:r>
    </w:p>
    <w:p w14:paraId="3C8F9915"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 xml:space="preserve">The website is easily navigable with clear labelling and sections. Links work smoothly, connecting to the relevant content. The more you explore, the more you find, with a wide range of articles shared by all seven museums websites reflecting different aspects of the national collection. Each website focusses on its own museum and exhibitions, unlike Bristol Museums, which share space. This allows greater clarity for visitors and a more distinct online presence for each museum site, while still preserving the benefits of shared resources with shared links at the bottom of the page. These include corporate elements including museum practice, and research. Research is presented separately from learning, but a link to research is also available in the Learning section. If scrolling is an online substitute for strolling, the webpage </w:t>
      </w:r>
      <w:proofErr w:type="gramStart"/>
      <w:r w:rsidRPr="0061539E">
        <w:rPr>
          <w:rFonts w:ascii="Arial" w:hAnsi="Arial" w:cs="Arial"/>
          <w:color w:val="000000" w:themeColor="text1"/>
        </w:rPr>
        <w:t>supports effectively</w:t>
      </w:r>
      <w:proofErr w:type="gramEnd"/>
      <w:r w:rsidRPr="0061539E">
        <w:rPr>
          <w:rFonts w:ascii="Arial" w:hAnsi="Arial" w:cs="Arial"/>
          <w:color w:val="000000" w:themeColor="text1"/>
        </w:rPr>
        <w:t xml:space="preserve"> the invitation at the top of the page to walk through Welsh history, with highlights showing different buildings and their surroundings, with internal pictures as well. The visual and content appeal of the website strongly suggests an enjoyable and interesting time at the museum for all ages and encourages visiting.</w:t>
      </w:r>
    </w:p>
    <w:p w14:paraId="6BF093B7" w14:textId="77777777" w:rsidR="004A2033" w:rsidRPr="0061539E" w:rsidRDefault="004A2033" w:rsidP="004A2033">
      <w:pPr>
        <w:rPr>
          <w:rFonts w:ascii="Arial" w:hAnsi="Arial" w:cs="Arial"/>
          <w:color w:val="000000" w:themeColor="text1"/>
        </w:rPr>
      </w:pPr>
    </w:p>
    <w:p w14:paraId="075FD290" w14:textId="77777777" w:rsidR="004A2033" w:rsidRPr="0061539E" w:rsidRDefault="004A2033" w:rsidP="004A2033">
      <w:pPr>
        <w:rPr>
          <w:rFonts w:ascii="Arial" w:hAnsi="Arial" w:cs="Arial"/>
          <w:b/>
          <w:bCs/>
          <w:color w:val="000000" w:themeColor="text1"/>
        </w:rPr>
      </w:pPr>
      <w:r w:rsidRPr="0061539E">
        <w:rPr>
          <w:rFonts w:ascii="Arial" w:hAnsi="Arial" w:cs="Arial"/>
          <w:b/>
          <w:bCs/>
          <w:color w:val="000000" w:themeColor="text1"/>
        </w:rPr>
        <w:lastRenderedPageBreak/>
        <w:t xml:space="preserve">How St Fagans website supports planning museum visits </w:t>
      </w:r>
    </w:p>
    <w:p w14:paraId="021D9431"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Supporting the museums work, the website meets the statements laid out in its visitor charter (</w:t>
      </w:r>
      <w:proofErr w:type="gramStart"/>
      <w:r w:rsidRPr="0061539E">
        <w:rPr>
          <w:rFonts w:ascii="Arial" w:hAnsi="Arial" w:cs="Arial"/>
          <w:color w:val="000000" w:themeColor="text1"/>
        </w:rPr>
        <w:t>museum.wales</w:t>
      </w:r>
      <w:proofErr w:type="gramEnd"/>
      <w:r w:rsidRPr="0061539E">
        <w:rPr>
          <w:rFonts w:ascii="Arial" w:hAnsi="Arial" w:cs="Arial"/>
          <w:color w:val="000000" w:themeColor="text1"/>
        </w:rPr>
        <w:t>/about/visitor-charter/). It facilitates planning visits with detailed information about the site and facilities. It is available in Welsh and presents a welcoming website and museum site. It does request in it’s visitor charter that people communicate positively with staff and suggest ways to improve things, but given it’s tucked away in the about link at the bottom of the page, it’s unclear how many visitors see this request for dialogue.</w:t>
      </w:r>
    </w:p>
    <w:p w14:paraId="43CABFEB"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Other ways the website supports the museums aims and objectives is in supporting inclusivity. Thought has gone into providing information for disability and it is relatively easy to find. There are some elements of disconnect with this, but the intention is met. It is demonstrable this is part of reflective practice, which suggests it will be responsive to adapting provision as new information about doing so, and the museum is actively seeking that information out. It is light years ahead in several aspects, providing adult changing facilities with a hoist at the museum, and stating an intention to make BSL its third language</w:t>
      </w:r>
      <w:hyperlink r:id="rId6" w:history="1">
        <w:r w:rsidRPr="0061539E">
          <w:rPr>
            <w:rStyle w:val="Hyperlink"/>
          </w:rPr>
          <w:t>Widening Engagement Action Plan | National Museum Wales</w:t>
        </w:r>
      </w:hyperlink>
      <w:r w:rsidRPr="0061539E">
        <w:rPr>
          <w:rFonts w:ascii="Arial" w:hAnsi="Arial" w:cs="Arial"/>
          <w:color w:val="000000" w:themeColor="text1"/>
        </w:rPr>
        <w:t xml:space="preserve">.  For anyone who has, works </w:t>
      </w:r>
      <w:proofErr w:type="gramStart"/>
      <w:r w:rsidRPr="0061539E">
        <w:rPr>
          <w:rFonts w:ascii="Arial" w:hAnsi="Arial" w:cs="Arial"/>
          <w:color w:val="000000" w:themeColor="text1"/>
        </w:rPr>
        <w:t>with</w:t>
      </w:r>
      <w:proofErr w:type="gramEnd"/>
      <w:r w:rsidRPr="0061539E">
        <w:rPr>
          <w:rFonts w:ascii="Arial" w:hAnsi="Arial" w:cs="Arial"/>
          <w:color w:val="000000" w:themeColor="text1"/>
        </w:rPr>
        <w:t xml:space="preserve"> or has worked with disability and difference, this is hugely significant, as it also implies support and differentiation for other differences and impediments as well, which in turn fosters the likelihood of visits. It also demonstrates an understanding of the social rather than medical model of disability, which again supports the museum’s acceptance and inclusivity.</w:t>
      </w:r>
    </w:p>
    <w:p w14:paraId="543162FA" w14:textId="77777777" w:rsidR="004A2033" w:rsidRPr="0061539E" w:rsidRDefault="004A2033" w:rsidP="004A2033">
      <w:pPr>
        <w:rPr>
          <w:rFonts w:ascii="Arial" w:hAnsi="Arial" w:cs="Arial"/>
          <w:color w:val="000000" w:themeColor="text1"/>
        </w:rPr>
      </w:pPr>
    </w:p>
    <w:p w14:paraId="05AF020A" w14:textId="77777777" w:rsidR="004A2033" w:rsidRPr="0061539E" w:rsidRDefault="004A2033" w:rsidP="004A2033">
      <w:pPr>
        <w:rPr>
          <w:rFonts w:ascii="Arial" w:hAnsi="Arial" w:cs="Arial"/>
          <w:b/>
          <w:bCs/>
          <w:color w:val="000000" w:themeColor="text1"/>
        </w:rPr>
      </w:pPr>
      <w:r>
        <w:rPr>
          <w:rFonts w:ascii="Arial" w:hAnsi="Arial" w:cs="Arial"/>
          <w:b/>
          <w:bCs/>
          <w:color w:val="000000" w:themeColor="text1"/>
        </w:rPr>
        <w:t xml:space="preserve">Use of </w:t>
      </w:r>
      <w:r w:rsidRPr="0061539E">
        <w:rPr>
          <w:rFonts w:ascii="Arial" w:hAnsi="Arial" w:cs="Arial"/>
          <w:b/>
          <w:bCs/>
          <w:color w:val="000000" w:themeColor="text1"/>
        </w:rPr>
        <w:t>social media used to maintain the museums presence online</w:t>
      </w:r>
    </w:p>
    <w:p w14:paraId="25EDFEB8" w14:textId="77777777" w:rsidR="004A2033" w:rsidRPr="0061539E" w:rsidRDefault="004A2033" w:rsidP="004A2033">
      <w:pPr>
        <w:jc w:val="both"/>
        <w:rPr>
          <w:color w:val="000000" w:themeColor="text1"/>
        </w:rPr>
      </w:pPr>
      <w:r w:rsidRPr="0061539E">
        <w:rPr>
          <w:rFonts w:ascii="Arial" w:hAnsi="Arial" w:cs="Arial"/>
          <w:color w:val="000000" w:themeColor="text1"/>
        </w:rPr>
        <w:t>The museum adds to it’s online presence by using social media, with icons being offered on the St Fagans page for Twitter and Facebook. The Twitter page appears to be more active than the Facebook page, though both seem to be primarily used as a noticeboard to promote events rather than for dialogue with followers, as for example, Reading Museum of Rural life engages with the public and other museums (</w:t>
      </w:r>
      <w:r w:rsidRPr="0061539E">
        <w:rPr>
          <w:color w:val="000000" w:themeColor="text1"/>
        </w:rPr>
        <w:t>Twitter.com/theMERL</w:t>
      </w:r>
      <w:r w:rsidRPr="0061539E">
        <w:rPr>
          <w:rFonts w:ascii="Arial" w:hAnsi="Arial" w:cs="Arial"/>
          <w:color w:val="000000" w:themeColor="text1"/>
        </w:rPr>
        <w:t>). The Facebook page is set to public, so can be accessed by anyone with an internet connection. Access to the Twitter account is restricted by having to log in to Twitter to see more than a few posts. Facebook photos spot checked all appear to have been uploaded by visitors, though again this appears to be uploaded without response or interaction. Both the museums social platforms could be used more effectively to support its aims and mission, as per usage by other museums, such as Bath Fashion Museum, the Museum of London, and Reading Rural Life Museum. Given there are areas on the website encouraging people to share information and stories, not to use the social media platforms outside the museum to facilitate this seems a missed opportunity</w:t>
      </w:r>
      <w:r w:rsidRPr="0061539E">
        <w:rPr>
          <w:color w:val="000000" w:themeColor="text1"/>
        </w:rPr>
        <w:t>.</w:t>
      </w:r>
      <w:r w:rsidRPr="0061539E">
        <w:rPr>
          <w:rFonts w:ascii="Arial" w:hAnsi="Arial" w:cs="Arial"/>
          <w:color w:val="000000" w:themeColor="text1"/>
        </w:rPr>
        <w:t xml:space="preserve"> It is surprising that while the museums blog is available on its website, blog posts are not cross posted on its social media accounts.</w:t>
      </w:r>
    </w:p>
    <w:p w14:paraId="36519E74" w14:textId="77777777" w:rsidR="004A2033" w:rsidRPr="0061539E" w:rsidRDefault="004A2033" w:rsidP="004A2033">
      <w:pPr>
        <w:rPr>
          <w:rFonts w:ascii="Arial" w:hAnsi="Arial" w:cs="Arial"/>
          <w:color w:val="000000" w:themeColor="text1"/>
        </w:rPr>
      </w:pPr>
    </w:p>
    <w:p w14:paraId="74389829" w14:textId="77777777" w:rsidR="004A2033" w:rsidRPr="0061539E" w:rsidRDefault="004A2033" w:rsidP="004A2033">
      <w:pPr>
        <w:jc w:val="both"/>
        <w:rPr>
          <w:rFonts w:ascii="Arial" w:hAnsi="Arial" w:cs="Arial"/>
          <w:b/>
          <w:bCs/>
          <w:color w:val="000000" w:themeColor="text1"/>
        </w:rPr>
      </w:pPr>
      <w:r w:rsidRPr="0061539E">
        <w:rPr>
          <w:rFonts w:ascii="Arial" w:hAnsi="Arial" w:cs="Arial"/>
          <w:b/>
          <w:bCs/>
          <w:color w:val="000000" w:themeColor="text1"/>
        </w:rPr>
        <w:t>Effectiveness in supporting education, learning and education visits</w:t>
      </w:r>
    </w:p>
    <w:p w14:paraId="3A325CCC"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 xml:space="preserve">The Museum offers online and on-site teaching and learning resources aimed at learners from toddlers to adults and outreach learning. The learning section of the website is well laid out and contains some excellent resources for each section - toddler, Foundation Phase, KS2 etc up to community learning and adult learning. Provision is made for EFL classes to visit. There is some overlap with some resources being part of several ranges. Inexplicably, the highly relevant eBooks and education packs based on artefacts within the collection, created as part of a broader project are not listed on the KS3 and KS4 tiles, which could lead to them being missed. They are well pitched, well presented, and engaging across the ability range, though targeted differentiation may be necessary by teachers. The section also provides clear information for planning education visits to the Museum site(s) and digital visits. These provide opportunity not just in the face of COVID restrictions, but as a way of learning beyond the classroom walls at a time when school visits, especially for KS3 and KS4 are increasingly rare due to funding issues. Clear information and planning visits are laid out on the learning part of the website for schools and organisers. The paperwork for organising visits is not downloadable, but clear points of contact are given to </w:t>
      </w:r>
      <w:proofErr w:type="gramStart"/>
      <w:r w:rsidRPr="0061539E">
        <w:rPr>
          <w:rFonts w:ascii="Arial" w:hAnsi="Arial" w:cs="Arial"/>
          <w:color w:val="000000" w:themeColor="text1"/>
        </w:rPr>
        <w:t>make arrangements</w:t>
      </w:r>
      <w:proofErr w:type="gramEnd"/>
      <w:r w:rsidRPr="0061539E">
        <w:rPr>
          <w:rFonts w:ascii="Arial" w:hAnsi="Arial" w:cs="Arial"/>
          <w:color w:val="000000" w:themeColor="text1"/>
        </w:rPr>
        <w:t xml:space="preserve"> for visits.</w:t>
      </w:r>
    </w:p>
    <w:p w14:paraId="391EDA59" w14:textId="77777777" w:rsidR="004A2033" w:rsidRPr="0061539E" w:rsidRDefault="004A2033" w:rsidP="004A2033">
      <w:pPr>
        <w:rPr>
          <w:rFonts w:ascii="Arial" w:hAnsi="Arial" w:cs="Arial"/>
          <w:color w:val="000000" w:themeColor="text1"/>
        </w:rPr>
      </w:pPr>
    </w:p>
    <w:p w14:paraId="2C636209" w14:textId="77777777" w:rsidR="004A2033" w:rsidRDefault="004A2033" w:rsidP="004A2033">
      <w:pPr>
        <w:rPr>
          <w:rFonts w:ascii="Arial" w:hAnsi="Arial" w:cs="Arial"/>
          <w:b/>
          <w:bCs/>
          <w:color w:val="000000" w:themeColor="text1"/>
        </w:rPr>
      </w:pPr>
    </w:p>
    <w:p w14:paraId="6FAB52CF" w14:textId="51B874BD" w:rsidR="004A2033" w:rsidRPr="0061539E" w:rsidRDefault="004A2033" w:rsidP="004A2033">
      <w:pPr>
        <w:rPr>
          <w:rFonts w:ascii="Arial" w:hAnsi="Arial" w:cs="Arial"/>
          <w:b/>
          <w:bCs/>
          <w:color w:val="000000" w:themeColor="text1"/>
        </w:rPr>
      </w:pPr>
      <w:r w:rsidRPr="0061539E">
        <w:rPr>
          <w:rFonts w:ascii="Arial" w:hAnsi="Arial" w:cs="Arial"/>
          <w:b/>
          <w:bCs/>
          <w:color w:val="000000" w:themeColor="text1"/>
        </w:rPr>
        <w:lastRenderedPageBreak/>
        <w:t>Engaging with wider academic community</w:t>
      </w:r>
    </w:p>
    <w:p w14:paraId="1A94BE2C" w14:textId="77777777" w:rsidR="004A2033" w:rsidRPr="0061539E" w:rsidRDefault="004A2033" w:rsidP="004A2033">
      <w:pPr>
        <w:pStyle w:val="NormalWeb"/>
        <w:shd w:val="clear" w:color="auto" w:fill="FFFFFF"/>
        <w:spacing w:before="0" w:beforeAutospacing="0" w:after="0" w:afterAutospacing="0"/>
        <w:jc w:val="both"/>
        <w:rPr>
          <w:rFonts w:ascii="Arial" w:hAnsi="Arial" w:cs="Arial"/>
          <w:color w:val="000000" w:themeColor="text1"/>
          <w:sz w:val="22"/>
          <w:szCs w:val="22"/>
        </w:rPr>
      </w:pPr>
      <w:r w:rsidRPr="0061539E">
        <w:rPr>
          <w:rFonts w:ascii="Arial" w:hAnsi="Arial" w:cs="Arial"/>
          <w:color w:val="000000" w:themeColor="text1"/>
          <w:sz w:val="22"/>
          <w:szCs w:val="22"/>
        </w:rPr>
        <w:t>There is demonstrable interaction between the museum and wider academic and research communities. Projects are run collaboratively as well as by the museum, and information is split into several different research areas across all seven museums. The natural history collection is prominent in this research, and details of access to online and physical collections are provided. Some of this research is described in blog posts. Amgueddfa-Cymru - National Museum of Wales is recognised by UK Research and Innovation as an independent research organisation (</w:t>
      </w:r>
      <w:hyperlink r:id="rId7" w:tgtFrame="new" w:history="1">
        <w:r w:rsidRPr="0061539E">
          <w:rPr>
            <w:rStyle w:val="Hyperlink"/>
            <w:rFonts w:ascii="Arial" w:hAnsi="Arial" w:cs="Arial"/>
            <w:color w:val="000000" w:themeColor="text1"/>
            <w:sz w:val="22"/>
            <w:szCs w:val="22"/>
            <w:bdr w:val="none" w:sz="0" w:space="0" w:color="auto" w:frame="1"/>
          </w:rPr>
          <w:t>IRO</w:t>
        </w:r>
      </w:hyperlink>
      <w:r w:rsidRPr="0061539E">
        <w:rPr>
          <w:rFonts w:ascii="Arial" w:hAnsi="Arial" w:cs="Arial"/>
          <w:color w:val="000000" w:themeColor="text1"/>
          <w:sz w:val="22"/>
          <w:szCs w:val="22"/>
        </w:rPr>
        <w:t>) and a member of </w:t>
      </w:r>
      <w:hyperlink r:id="rId8" w:tgtFrame="new" w:history="1">
        <w:r w:rsidRPr="0061539E">
          <w:rPr>
            <w:rStyle w:val="Hyperlink"/>
            <w:rFonts w:ascii="Arial" w:hAnsi="Arial" w:cs="Arial"/>
            <w:color w:val="000000" w:themeColor="text1"/>
            <w:sz w:val="22"/>
            <w:szCs w:val="22"/>
            <w:bdr w:val="none" w:sz="0" w:space="0" w:color="auto" w:frame="1"/>
          </w:rPr>
          <w:t>IROC</w:t>
        </w:r>
      </w:hyperlink>
      <w:r w:rsidRPr="0061539E">
        <w:rPr>
          <w:rFonts w:ascii="Arial" w:hAnsi="Arial" w:cs="Arial"/>
          <w:color w:val="000000" w:themeColor="text1"/>
          <w:sz w:val="22"/>
          <w:szCs w:val="22"/>
        </w:rPr>
        <w:t>, the UK’s IRO Consortium. There is mention of research into things like visitor engagement, but no indicators of when it will be completed or if completed, how it has been utilised, which is an area of communication that could perhaps be developed.</w:t>
      </w:r>
    </w:p>
    <w:p w14:paraId="575051E9" w14:textId="77777777" w:rsidR="004A2033" w:rsidRPr="0061539E" w:rsidRDefault="004A2033" w:rsidP="004A2033">
      <w:pPr>
        <w:rPr>
          <w:rFonts w:ascii="Arial" w:hAnsi="Arial" w:cs="Arial"/>
          <w:color w:val="000000" w:themeColor="text1"/>
        </w:rPr>
      </w:pPr>
    </w:p>
    <w:p w14:paraId="3F632CC3" w14:textId="77777777" w:rsidR="004A2033" w:rsidRPr="0061539E" w:rsidRDefault="004A2033" w:rsidP="004A2033">
      <w:pPr>
        <w:rPr>
          <w:rFonts w:ascii="Arial" w:hAnsi="Arial" w:cs="Arial"/>
          <w:b/>
          <w:bCs/>
          <w:color w:val="000000" w:themeColor="text1"/>
        </w:rPr>
      </w:pPr>
      <w:r w:rsidRPr="0061539E">
        <w:rPr>
          <w:rFonts w:ascii="Arial" w:hAnsi="Arial" w:cs="Arial"/>
          <w:b/>
          <w:bCs/>
          <w:color w:val="000000" w:themeColor="text1"/>
        </w:rPr>
        <w:t>Conclusion</w:t>
      </w:r>
    </w:p>
    <w:p w14:paraId="5AB91BDD"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 xml:space="preserve">Overall, this is an engaging and interesting website. It provides detailed information to get to the Museum, and an appealing overview of what visitors can expect when they get there. It is clearly laid out in sections, enabling a quick check on opening times and facilities, or a more leisurely browse and explore of key elements of the Museum. </w:t>
      </w:r>
    </w:p>
    <w:p w14:paraId="0A6EE420"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There are clear links to school education resources and academic and professional research. Aims, strategies and policy documents are also laid out accessibly in their own section, providing transparency and accountability in the Museums heritage practice. It has a great number of strengths, not least it’s declared intention of continually building on it’s digital practice. This will hopefully involve making more of the opportunities offered by social media.</w:t>
      </w:r>
    </w:p>
    <w:p w14:paraId="5B32563F"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Things that could support its current practice include promoting it’s blog on its social media sites and using social media less to broadcast and more to engage beyond specific projects. While the Digital research case studies state the museum is followed online by “around 200000 fans and followers on its Facebook and twitter profiles”, it is not clear whether any are duplicated across the two platforms, or how many of those are historic or still active, allowing more focused information for “ethical research into how people interact with offline and online content</w:t>
      </w:r>
      <w:proofErr w:type="gramStart"/>
      <w:r w:rsidRPr="0061539E">
        <w:rPr>
          <w:rFonts w:ascii="Arial" w:hAnsi="Arial" w:cs="Arial"/>
          <w:color w:val="000000" w:themeColor="text1"/>
        </w:rPr>
        <w:t>.”(</w:t>
      </w:r>
      <w:proofErr w:type="gramEnd"/>
      <w:r w:rsidRPr="0061539E">
        <w:rPr>
          <w:rFonts w:ascii="Arial" w:hAnsi="Arial" w:cs="Arial"/>
          <w:color w:val="000000" w:themeColor="text1"/>
        </w:rPr>
        <w:t xml:space="preserve">Digital research link). </w:t>
      </w:r>
    </w:p>
    <w:p w14:paraId="352398B0"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The social media profiles could be used with far greater effect, relatively simply, in line with comparable museums. For example, blog posts could be cross posted to social media. Social media could also be used to engage in dialogue with visitors about specific exhibitions and projects. Given the nature of the relocated buildings at St Fagans and ongoing restoration projects, this seems to have many possibilities for engagement and curation. While ‘crowd curation</w:t>
      </w:r>
      <w:proofErr w:type="gramStart"/>
      <w:r w:rsidRPr="0061539E">
        <w:rPr>
          <w:rFonts w:ascii="Arial" w:hAnsi="Arial" w:cs="Arial"/>
          <w:color w:val="000000" w:themeColor="text1"/>
        </w:rPr>
        <w:t>’(</w:t>
      </w:r>
      <w:proofErr w:type="gramEnd"/>
      <w:r w:rsidRPr="0061539E">
        <w:rPr>
          <w:rFonts w:ascii="Arial" w:hAnsi="Arial" w:cs="Arial"/>
          <w:color w:val="000000" w:themeColor="text1"/>
        </w:rPr>
        <w:t xml:space="preserve">Egberts &amp; Alvarez, 2018, p140) is contentious, it could also provide a useful resource for the museum in content and metadata.  More focussed use of social media would also support engagement with differentiating access, for example, using it routinely to interact and engage with D/deaf community groups and other groups for people with difference, such as ASD, where more specific information about the site is important, and knowing there is acceptance and inclusion is significant in visit planning. </w:t>
      </w:r>
    </w:p>
    <w:p w14:paraId="31A55DB2" w14:textId="77777777" w:rsidR="004A2033" w:rsidRPr="0061539E" w:rsidRDefault="004A2033" w:rsidP="004A2033">
      <w:pPr>
        <w:jc w:val="both"/>
        <w:rPr>
          <w:rFonts w:ascii="Arial" w:hAnsi="Arial" w:cs="Arial"/>
          <w:color w:val="000000" w:themeColor="text1"/>
        </w:rPr>
      </w:pPr>
      <w:r w:rsidRPr="0061539E">
        <w:rPr>
          <w:rFonts w:ascii="Arial" w:hAnsi="Arial" w:cs="Arial"/>
          <w:color w:val="000000" w:themeColor="text1"/>
        </w:rPr>
        <w:t xml:space="preserve">Russo states that “The contemporary museum continues to provide authoritative knowledge but is increasingly experimenting with a many-to-many communication to engage it’s audiences.” (Egbert &amp; Alverez, 2018) As part of AC-NMW, St Fagans Museum of National History seems to be doing just that in it’s use of web presence, but like many other organisations in the heritage sector, it is still evolving it’s practice. At present, while it doesn’t fully utilise social media to promote its web presence, it has an effective website to draw in visitors virtual and actual, and a huge potential to build on it. </w:t>
      </w:r>
    </w:p>
    <w:p w14:paraId="300853A0" w14:textId="77777777" w:rsidR="004A2033" w:rsidRPr="0061539E" w:rsidRDefault="004A2033" w:rsidP="004A2033">
      <w:pPr>
        <w:jc w:val="both"/>
        <w:rPr>
          <w:rFonts w:ascii="Arial" w:hAnsi="Arial" w:cs="Arial"/>
          <w:color w:val="000000" w:themeColor="text1"/>
        </w:rPr>
      </w:pPr>
    </w:p>
    <w:p w14:paraId="464E571D" w14:textId="77777777" w:rsidR="004A2033" w:rsidRDefault="004A2033" w:rsidP="004A2033">
      <w:pPr>
        <w:jc w:val="both"/>
        <w:rPr>
          <w:rFonts w:ascii="Arial" w:hAnsi="Arial" w:cs="Arial"/>
          <w:b/>
          <w:bCs/>
          <w:color w:val="000000" w:themeColor="text1"/>
        </w:rPr>
      </w:pPr>
    </w:p>
    <w:p w14:paraId="7218FB4F" w14:textId="77777777" w:rsidR="004A2033" w:rsidRDefault="004A2033" w:rsidP="004A2033">
      <w:pPr>
        <w:jc w:val="both"/>
        <w:rPr>
          <w:rFonts w:ascii="Arial" w:hAnsi="Arial" w:cs="Arial"/>
          <w:b/>
          <w:bCs/>
          <w:color w:val="000000" w:themeColor="text1"/>
        </w:rPr>
      </w:pPr>
    </w:p>
    <w:p w14:paraId="6DFC6B36" w14:textId="77777777" w:rsidR="004A2033" w:rsidRDefault="004A2033" w:rsidP="004A2033">
      <w:pPr>
        <w:jc w:val="both"/>
        <w:rPr>
          <w:rFonts w:ascii="Arial" w:hAnsi="Arial" w:cs="Arial"/>
          <w:b/>
          <w:bCs/>
          <w:color w:val="000000" w:themeColor="text1"/>
        </w:rPr>
      </w:pPr>
    </w:p>
    <w:p w14:paraId="1EBC449F" w14:textId="77777777" w:rsidR="004A2033" w:rsidRDefault="004A2033" w:rsidP="004A2033">
      <w:pPr>
        <w:jc w:val="both"/>
        <w:rPr>
          <w:rFonts w:ascii="Arial" w:hAnsi="Arial" w:cs="Arial"/>
          <w:b/>
          <w:bCs/>
          <w:color w:val="000000" w:themeColor="text1"/>
        </w:rPr>
      </w:pPr>
    </w:p>
    <w:p w14:paraId="420266F5" w14:textId="77777777" w:rsidR="004A2033" w:rsidRDefault="004A2033" w:rsidP="004A2033">
      <w:pPr>
        <w:jc w:val="both"/>
        <w:rPr>
          <w:rFonts w:ascii="Arial" w:hAnsi="Arial" w:cs="Arial"/>
          <w:b/>
          <w:bCs/>
          <w:color w:val="000000" w:themeColor="text1"/>
        </w:rPr>
      </w:pPr>
    </w:p>
    <w:p w14:paraId="6505A8C2" w14:textId="7134A582" w:rsidR="004A2033" w:rsidRPr="00562619" w:rsidRDefault="004A2033" w:rsidP="004A2033">
      <w:pPr>
        <w:jc w:val="both"/>
        <w:rPr>
          <w:rFonts w:ascii="Arial" w:hAnsi="Arial" w:cs="Arial"/>
          <w:b/>
          <w:bCs/>
          <w:color w:val="000000" w:themeColor="text1"/>
        </w:rPr>
      </w:pPr>
      <w:r w:rsidRPr="000C7995">
        <w:rPr>
          <w:rFonts w:ascii="Arial" w:hAnsi="Arial" w:cs="Arial"/>
          <w:b/>
          <w:bCs/>
          <w:color w:val="000000" w:themeColor="text1"/>
        </w:rPr>
        <w:lastRenderedPageBreak/>
        <w:t>Bibliography</w:t>
      </w:r>
      <w:r w:rsidRPr="00562619">
        <w:rPr>
          <w:rFonts w:ascii="Arial" w:eastAsia="Times New Roman" w:hAnsi="Arial" w:cs="Arial"/>
          <w:color w:val="000000" w:themeColor="text1"/>
          <w:lang w:eastAsia="en-GB"/>
        </w:rPr>
        <w:t> </w:t>
      </w:r>
    </w:p>
    <w:p w14:paraId="2527FB70"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i/>
          <w:iCs/>
          <w:color w:val="000000" w:themeColor="text1"/>
          <w:sz w:val="20"/>
          <w:szCs w:val="20"/>
          <w:lang w:eastAsia="en-GB"/>
        </w:rPr>
        <w:t xml:space="preserve">Representing the Nation – A Reader: Histories, </w:t>
      </w:r>
      <w:proofErr w:type="gramStart"/>
      <w:r w:rsidRPr="00562619">
        <w:rPr>
          <w:rFonts w:ascii="Arial" w:eastAsia="Times New Roman" w:hAnsi="Arial" w:cs="Arial"/>
          <w:i/>
          <w:iCs/>
          <w:color w:val="000000" w:themeColor="text1"/>
          <w:sz w:val="20"/>
          <w:szCs w:val="20"/>
          <w:lang w:eastAsia="en-GB"/>
        </w:rPr>
        <w:t>Heritage</w:t>
      </w:r>
      <w:proofErr w:type="gramEnd"/>
      <w:r w:rsidRPr="00562619">
        <w:rPr>
          <w:rFonts w:ascii="Arial" w:eastAsia="Times New Roman" w:hAnsi="Arial" w:cs="Arial"/>
          <w:i/>
          <w:iCs/>
          <w:color w:val="000000" w:themeColor="text1"/>
          <w:sz w:val="20"/>
          <w:szCs w:val="20"/>
          <w:lang w:eastAsia="en-GB"/>
        </w:rPr>
        <w:t xml:space="preserve"> and Museums</w:t>
      </w:r>
    </w:p>
    <w:p w14:paraId="09E5ACD1"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xml:space="preserve">Ed. </w:t>
      </w:r>
      <w:proofErr w:type="gramStart"/>
      <w:r w:rsidRPr="00562619">
        <w:rPr>
          <w:rFonts w:ascii="Arial" w:eastAsia="Times New Roman" w:hAnsi="Arial" w:cs="Arial"/>
          <w:color w:val="000000" w:themeColor="text1"/>
          <w:sz w:val="20"/>
          <w:szCs w:val="20"/>
          <w:lang w:eastAsia="en-GB"/>
        </w:rPr>
        <w:t>D.Boswell</w:t>
      </w:r>
      <w:proofErr w:type="gramEnd"/>
      <w:r w:rsidRPr="00562619">
        <w:rPr>
          <w:rFonts w:ascii="Arial" w:eastAsia="Times New Roman" w:hAnsi="Arial" w:cs="Arial"/>
          <w:color w:val="000000" w:themeColor="text1"/>
          <w:sz w:val="20"/>
          <w:szCs w:val="20"/>
          <w:lang w:eastAsia="en-GB"/>
        </w:rPr>
        <w:t xml:space="preserve"> &amp; J. Evans (Routledge 2005)</w:t>
      </w:r>
    </w:p>
    <w:p w14:paraId="4B237916"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w:t>
      </w:r>
    </w:p>
    <w:p w14:paraId="2AE90C72"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i/>
          <w:iCs/>
          <w:color w:val="000000" w:themeColor="text1"/>
          <w:sz w:val="20"/>
          <w:szCs w:val="20"/>
          <w:lang w:eastAsia="en-GB"/>
        </w:rPr>
        <w:t>Heritage, Museums and Galleries: An Introductory Reader</w:t>
      </w:r>
    </w:p>
    <w:p w14:paraId="498F47E2"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Ed. G Corsane (Routledge 2005)</w:t>
      </w:r>
    </w:p>
    <w:p w14:paraId="18C5741C"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w:t>
      </w:r>
    </w:p>
    <w:p w14:paraId="6A0402D4"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i/>
          <w:iCs/>
          <w:color w:val="000000" w:themeColor="text1"/>
          <w:sz w:val="20"/>
          <w:szCs w:val="20"/>
          <w:lang w:eastAsia="en-GB"/>
        </w:rPr>
        <w:t>Curated Decay: Heritage Beyond Saving</w:t>
      </w:r>
    </w:p>
    <w:p w14:paraId="36ED62BF"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C. Desilvey (University of Minnesota Press, 2017)</w:t>
      </w:r>
    </w:p>
    <w:p w14:paraId="4BF20A29"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w:t>
      </w:r>
    </w:p>
    <w:p w14:paraId="1F7C9965"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i/>
          <w:iCs/>
          <w:color w:val="000000" w:themeColor="text1"/>
          <w:sz w:val="20"/>
          <w:szCs w:val="20"/>
          <w:lang w:eastAsia="en-GB"/>
        </w:rPr>
        <w:t xml:space="preserve">Heritage and Tourism: Places, </w:t>
      </w:r>
      <w:proofErr w:type="gramStart"/>
      <w:r w:rsidRPr="00562619">
        <w:rPr>
          <w:rFonts w:ascii="Arial" w:eastAsia="Times New Roman" w:hAnsi="Arial" w:cs="Arial"/>
          <w:i/>
          <w:iCs/>
          <w:color w:val="000000" w:themeColor="text1"/>
          <w:sz w:val="20"/>
          <w:szCs w:val="20"/>
          <w:lang w:eastAsia="en-GB"/>
        </w:rPr>
        <w:t>Imageries</w:t>
      </w:r>
      <w:proofErr w:type="gramEnd"/>
      <w:r w:rsidRPr="00562619">
        <w:rPr>
          <w:rFonts w:ascii="Arial" w:eastAsia="Times New Roman" w:hAnsi="Arial" w:cs="Arial"/>
          <w:i/>
          <w:iCs/>
          <w:color w:val="000000" w:themeColor="text1"/>
          <w:sz w:val="20"/>
          <w:szCs w:val="20"/>
          <w:lang w:eastAsia="en-GB"/>
        </w:rPr>
        <w:t xml:space="preserve"> and the Digital Age.</w:t>
      </w:r>
    </w:p>
    <w:p w14:paraId="0A156AA5"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roofErr w:type="gramStart"/>
      <w:r w:rsidRPr="00562619">
        <w:rPr>
          <w:rFonts w:ascii="Arial" w:eastAsia="Times New Roman" w:hAnsi="Arial" w:cs="Arial"/>
          <w:color w:val="000000" w:themeColor="text1"/>
          <w:sz w:val="20"/>
          <w:szCs w:val="20"/>
          <w:lang w:eastAsia="en-GB"/>
        </w:rPr>
        <w:t>Ed.s</w:t>
      </w:r>
      <w:proofErr w:type="gramEnd"/>
      <w:r w:rsidRPr="00562619">
        <w:rPr>
          <w:rFonts w:ascii="Arial" w:eastAsia="Times New Roman" w:hAnsi="Arial" w:cs="Arial"/>
          <w:color w:val="000000" w:themeColor="text1"/>
          <w:sz w:val="20"/>
          <w:szCs w:val="20"/>
          <w:lang w:eastAsia="en-GB"/>
        </w:rPr>
        <w:t xml:space="preserve"> L. Egberts &amp; M. D. Alvarez (Amsterdam University Press, 2018)</w:t>
      </w:r>
    </w:p>
    <w:p w14:paraId="72A90332"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w:t>
      </w:r>
    </w:p>
    <w:p w14:paraId="58EC8B66"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i/>
          <w:iCs/>
          <w:color w:val="000000" w:themeColor="text1"/>
          <w:sz w:val="20"/>
          <w:szCs w:val="20"/>
          <w:lang w:eastAsia="en-GB"/>
        </w:rPr>
        <w:t xml:space="preserve">Heritage and </w:t>
      </w:r>
      <w:proofErr w:type="gramStart"/>
      <w:r w:rsidRPr="00562619">
        <w:rPr>
          <w:rFonts w:ascii="Arial" w:eastAsia="Times New Roman" w:hAnsi="Arial" w:cs="Arial"/>
          <w:i/>
          <w:iCs/>
          <w:color w:val="000000" w:themeColor="text1"/>
          <w:sz w:val="20"/>
          <w:szCs w:val="20"/>
          <w:lang w:eastAsia="en-GB"/>
        </w:rPr>
        <w:t>Social Media</w:t>
      </w:r>
      <w:proofErr w:type="gramEnd"/>
      <w:r w:rsidRPr="00562619">
        <w:rPr>
          <w:rFonts w:ascii="Arial" w:eastAsia="Times New Roman" w:hAnsi="Arial" w:cs="Arial"/>
          <w:i/>
          <w:iCs/>
          <w:color w:val="000000" w:themeColor="text1"/>
          <w:sz w:val="20"/>
          <w:szCs w:val="20"/>
          <w:lang w:eastAsia="en-GB"/>
        </w:rPr>
        <w:t>: Understanding Heritage in a Participatory Culture</w:t>
      </w:r>
    </w:p>
    <w:p w14:paraId="05ACBA2D"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Ed. E. Giaccardi (2012)</w:t>
      </w:r>
    </w:p>
    <w:p w14:paraId="4E6EF5F6"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11DEBF41" w14:textId="77777777" w:rsidR="004A2033" w:rsidRPr="004A2033" w:rsidRDefault="004A2033" w:rsidP="004A2033">
      <w:pPr>
        <w:shd w:val="clear" w:color="auto" w:fill="FFFFFF"/>
        <w:spacing w:after="0" w:line="240" w:lineRule="auto"/>
        <w:rPr>
          <w:rFonts w:ascii="Arial" w:eastAsia="Times New Roman" w:hAnsi="Arial" w:cs="Arial"/>
          <w:i/>
          <w:iCs/>
          <w:color w:val="000000" w:themeColor="text1"/>
          <w:sz w:val="20"/>
          <w:szCs w:val="20"/>
          <w:lang w:eastAsia="en-GB"/>
        </w:rPr>
      </w:pPr>
      <w:r w:rsidRPr="004A2033">
        <w:rPr>
          <w:rFonts w:ascii="Arial" w:eastAsia="Times New Roman" w:hAnsi="Arial" w:cs="Arial"/>
          <w:i/>
          <w:iCs/>
          <w:color w:val="000000" w:themeColor="text1"/>
          <w:sz w:val="20"/>
          <w:szCs w:val="20"/>
          <w:lang w:eastAsia="en-GB"/>
        </w:rPr>
        <w:t xml:space="preserve">Connecting to </w:t>
      </w:r>
      <w:proofErr w:type="gramStart"/>
      <w:r w:rsidRPr="004A2033">
        <w:rPr>
          <w:rFonts w:ascii="Arial" w:eastAsia="Times New Roman" w:hAnsi="Arial" w:cs="Arial"/>
          <w:i/>
          <w:iCs/>
          <w:color w:val="000000" w:themeColor="text1"/>
          <w:sz w:val="20"/>
          <w:szCs w:val="20"/>
          <w:lang w:eastAsia="en-GB"/>
        </w:rPr>
        <w:t>Every Day</w:t>
      </w:r>
      <w:proofErr w:type="gramEnd"/>
      <w:r w:rsidRPr="004A2033">
        <w:rPr>
          <w:rFonts w:ascii="Arial" w:eastAsia="Times New Roman" w:hAnsi="Arial" w:cs="Arial"/>
          <w:i/>
          <w:iCs/>
          <w:color w:val="000000" w:themeColor="text1"/>
          <w:sz w:val="20"/>
          <w:szCs w:val="20"/>
          <w:lang w:eastAsia="en-GB"/>
        </w:rPr>
        <w:t xml:space="preserve"> Practices: Experiences from the Digital Natives Exhibition</w:t>
      </w:r>
    </w:p>
    <w:p w14:paraId="295BCEC5"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4A2033">
        <w:rPr>
          <w:rFonts w:ascii="Arial" w:eastAsia="Times New Roman" w:hAnsi="Arial" w:cs="Arial"/>
          <w:color w:val="000000" w:themeColor="text1"/>
          <w:sz w:val="20"/>
          <w:szCs w:val="20"/>
          <w:lang w:eastAsia="en-GB"/>
        </w:rPr>
        <w:t xml:space="preserve">O.S. Iversen &amp; R.C. Smith, chapter 7, </w:t>
      </w:r>
      <w:proofErr w:type="gramStart"/>
      <w:r w:rsidRPr="00562619">
        <w:rPr>
          <w:rFonts w:ascii="Arial" w:eastAsia="Times New Roman" w:hAnsi="Arial" w:cs="Arial"/>
          <w:i/>
          <w:iCs/>
          <w:color w:val="000000" w:themeColor="text1"/>
          <w:sz w:val="20"/>
          <w:szCs w:val="20"/>
          <w:lang w:eastAsia="en-GB"/>
        </w:rPr>
        <w:t>Heritage</w:t>
      </w:r>
      <w:proofErr w:type="gramEnd"/>
      <w:r w:rsidRPr="00562619">
        <w:rPr>
          <w:rFonts w:ascii="Arial" w:eastAsia="Times New Roman" w:hAnsi="Arial" w:cs="Arial"/>
          <w:i/>
          <w:iCs/>
          <w:color w:val="000000" w:themeColor="text1"/>
          <w:sz w:val="20"/>
          <w:szCs w:val="20"/>
          <w:lang w:eastAsia="en-GB"/>
        </w:rPr>
        <w:t xml:space="preserve"> and Tourism: Places, Imageries and the Digital Age.</w:t>
      </w:r>
    </w:p>
    <w:p w14:paraId="42183136"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roofErr w:type="gramStart"/>
      <w:r w:rsidRPr="00562619">
        <w:rPr>
          <w:rFonts w:ascii="Arial" w:eastAsia="Times New Roman" w:hAnsi="Arial" w:cs="Arial"/>
          <w:color w:val="000000" w:themeColor="text1"/>
          <w:sz w:val="20"/>
          <w:szCs w:val="20"/>
          <w:lang w:eastAsia="en-GB"/>
        </w:rPr>
        <w:t>Ed.s</w:t>
      </w:r>
      <w:proofErr w:type="gramEnd"/>
      <w:r w:rsidRPr="00562619">
        <w:rPr>
          <w:rFonts w:ascii="Arial" w:eastAsia="Times New Roman" w:hAnsi="Arial" w:cs="Arial"/>
          <w:color w:val="000000" w:themeColor="text1"/>
          <w:sz w:val="20"/>
          <w:szCs w:val="20"/>
          <w:lang w:eastAsia="en-GB"/>
        </w:rPr>
        <w:t xml:space="preserve"> L. Egberts &amp; M. D. Alvarez (Amsterdam University Press, 2018</w:t>
      </w:r>
      <w:r w:rsidRPr="004A2033">
        <w:rPr>
          <w:rFonts w:ascii="Arial" w:eastAsia="Times New Roman" w:hAnsi="Arial" w:cs="Arial"/>
          <w:color w:val="000000" w:themeColor="text1"/>
          <w:sz w:val="20"/>
          <w:szCs w:val="20"/>
          <w:lang w:eastAsia="en-GB"/>
        </w:rPr>
        <w:t>)</w:t>
      </w:r>
    </w:p>
    <w:p w14:paraId="3524AFB2"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5B7519A7"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w:t>
      </w:r>
    </w:p>
    <w:p w14:paraId="3665FB47"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i/>
          <w:iCs/>
          <w:color w:val="000000" w:themeColor="text1"/>
          <w:sz w:val="20"/>
          <w:szCs w:val="20"/>
          <w:lang w:eastAsia="en-GB"/>
        </w:rPr>
        <w:t>Mythic Frontiers: Remembering, Forgetting and Profiting with Cultural Heritage Tourism</w:t>
      </w:r>
    </w:p>
    <w:p w14:paraId="0165A3F2"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D.R. Maher (University Press of Florida, 2016)</w:t>
      </w:r>
    </w:p>
    <w:p w14:paraId="334F2387"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w:t>
      </w:r>
    </w:p>
    <w:p w14:paraId="7E12B6C0"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i/>
          <w:iCs/>
          <w:color w:val="000000" w:themeColor="text1"/>
          <w:sz w:val="20"/>
          <w:szCs w:val="20"/>
          <w:lang w:eastAsia="en-GB"/>
        </w:rPr>
        <w:t>Cultural Heritage and Tourism: An Introduction</w:t>
      </w:r>
    </w:p>
    <w:p w14:paraId="2EF9DEBF"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D.J. Timothy (2011)</w:t>
      </w:r>
    </w:p>
    <w:p w14:paraId="42E31257"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w:t>
      </w:r>
    </w:p>
    <w:p w14:paraId="1D806F96" w14:textId="69E64A93"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u w:val="single"/>
          <w:lang w:eastAsia="en-GB"/>
        </w:rPr>
      </w:pPr>
    </w:p>
    <w:p w14:paraId="634581CA" w14:textId="42C7D7B2" w:rsidR="004A2033" w:rsidRPr="004A2033" w:rsidRDefault="004A2033" w:rsidP="004A2033">
      <w:pPr>
        <w:rPr>
          <w:rFonts w:ascii="Arial" w:hAnsi="Arial" w:cs="Arial"/>
          <w:color w:val="000000" w:themeColor="text1"/>
          <w:sz w:val="20"/>
          <w:szCs w:val="20"/>
        </w:rPr>
      </w:pPr>
      <w:r w:rsidRPr="004A2033">
        <w:rPr>
          <w:rFonts w:ascii="Arial" w:hAnsi="Arial" w:cs="Arial"/>
          <w:color w:val="000000" w:themeColor="text1"/>
          <w:sz w:val="20"/>
          <w:szCs w:val="20"/>
        </w:rPr>
        <w:fldChar w:fldCharType="begin"/>
      </w:r>
      <w:r w:rsidRPr="004A2033">
        <w:rPr>
          <w:rFonts w:ascii="Arial" w:hAnsi="Arial" w:cs="Arial"/>
          <w:color w:val="000000" w:themeColor="text1"/>
          <w:sz w:val="20"/>
          <w:szCs w:val="20"/>
        </w:rPr>
        <w:instrText xml:space="preserve"> HYPERLINK "https://merl.reading.ac.uk/?msclkid=a0db8a58b8dd11ecbda6b2a01cf80bcf" </w:instrText>
      </w:r>
      <w:r w:rsidRPr="004A2033">
        <w:rPr>
          <w:rFonts w:ascii="Arial" w:hAnsi="Arial" w:cs="Arial"/>
          <w:color w:val="000000" w:themeColor="text1"/>
          <w:sz w:val="20"/>
          <w:szCs w:val="20"/>
        </w:rPr>
        <w:fldChar w:fldCharType="separate"/>
      </w:r>
      <w:r w:rsidRPr="004A2033">
        <w:rPr>
          <w:rFonts w:ascii="Arial" w:hAnsi="Arial" w:cs="Arial"/>
          <w:color w:val="000000" w:themeColor="text1"/>
          <w:sz w:val="20"/>
          <w:szCs w:val="20"/>
        </w:rPr>
        <w:t xml:space="preserve">Twitter.com/theMERL    </w:t>
      </w:r>
    </w:p>
    <w:p w14:paraId="7C911A57" w14:textId="77777777" w:rsidR="004A2033" w:rsidRPr="004A2033" w:rsidRDefault="004A2033" w:rsidP="004A2033">
      <w:pPr>
        <w:rPr>
          <w:rFonts w:ascii="Arial" w:hAnsi="Arial" w:cs="Arial"/>
          <w:color w:val="000000" w:themeColor="text1"/>
          <w:sz w:val="20"/>
          <w:szCs w:val="20"/>
        </w:rPr>
      </w:pPr>
      <w:r w:rsidRPr="004A2033">
        <w:rPr>
          <w:rStyle w:val="Hyperlink"/>
          <w:rFonts w:ascii="Arial" w:hAnsi="Arial" w:cs="Arial"/>
          <w:color w:val="000000" w:themeColor="text1"/>
          <w:sz w:val="20"/>
          <w:szCs w:val="20"/>
        </w:rPr>
        <w:t>Museum of English Rural Life (reading.ac.uk)</w:t>
      </w:r>
      <w:r w:rsidRPr="004A2033">
        <w:rPr>
          <w:rFonts w:ascii="Arial" w:hAnsi="Arial" w:cs="Arial"/>
          <w:color w:val="000000" w:themeColor="text1"/>
          <w:sz w:val="20"/>
          <w:szCs w:val="20"/>
        </w:rPr>
        <w:fldChar w:fldCharType="end"/>
      </w:r>
    </w:p>
    <w:p w14:paraId="65AC7463" w14:textId="77777777" w:rsidR="004A2033" w:rsidRPr="00562619" w:rsidRDefault="004A2033" w:rsidP="004A2033">
      <w:pPr>
        <w:rPr>
          <w:rFonts w:ascii="Arial" w:hAnsi="Arial" w:cs="Arial"/>
          <w:color w:val="000000" w:themeColor="text1"/>
          <w:sz w:val="20"/>
          <w:szCs w:val="20"/>
        </w:rPr>
      </w:pPr>
      <w:hyperlink r:id="rId9" w:history="1">
        <w:r w:rsidRPr="004A2033">
          <w:rPr>
            <w:rStyle w:val="Hyperlink"/>
            <w:rFonts w:ascii="Arial" w:hAnsi="Arial" w:cs="Arial"/>
            <w:color w:val="000000" w:themeColor="text1"/>
            <w:sz w:val="20"/>
            <w:szCs w:val="20"/>
          </w:rPr>
          <w:t>The Museum of English Rural Life | Facebook</w:t>
        </w:r>
      </w:hyperlink>
    </w:p>
    <w:p w14:paraId="23F9F2AD"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Museums.wales/stfagans/</w:t>
      </w:r>
      <w:r w:rsidRPr="004A2033">
        <w:rPr>
          <w:rFonts w:ascii="Arial" w:eastAsia="Times New Roman" w:hAnsi="Arial" w:cs="Arial"/>
          <w:color w:val="000000" w:themeColor="text1"/>
          <w:sz w:val="20"/>
          <w:szCs w:val="20"/>
          <w:lang w:eastAsia="en-GB"/>
        </w:rPr>
        <w:t xml:space="preserve">  </w:t>
      </w:r>
    </w:p>
    <w:p w14:paraId="46DFA23A"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0C5F5A93"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Museums.wales/stfagans/blog/</w:t>
      </w:r>
    </w:p>
    <w:p w14:paraId="4122622A"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5F1CB7E7"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Museums.wales/stfagans/collections/</w:t>
      </w:r>
    </w:p>
    <w:p w14:paraId="6BC8002B"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72BB56FF"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Museums.wales/collections/online/</w:t>
      </w:r>
    </w:p>
    <w:p w14:paraId="18056BB3"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23017DA2"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Museums.wales/stfagans/curatorial/library/</w:t>
      </w:r>
    </w:p>
    <w:p w14:paraId="0B3D6DE5"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4EADACF4"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Museum.wales/stfafans/learning/</w:t>
      </w:r>
    </w:p>
    <w:p w14:paraId="77D0E068"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233DF8D5"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Museum.wales</w:t>
      </w:r>
    </w:p>
    <w:p w14:paraId="1B7FD162"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11905374"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Museum.wales/about/policy/</w:t>
      </w:r>
    </w:p>
    <w:p w14:paraId="68DE3B1E"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308ECDA8"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Museums.wales/aims/</w:t>
      </w:r>
    </w:p>
    <w:p w14:paraId="7174851D"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1E2396A2"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Museum.wales/about/policy/community-engagement-strategy/</w:t>
      </w:r>
    </w:p>
    <w:p w14:paraId="56568A4F"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5104E126"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Museum.wales/about/policy/cultural-rights-and-cultural-democracy-in-the-celtic-nations/</w:t>
      </w:r>
    </w:p>
    <w:p w14:paraId="433E5096"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Museum.wales/about/policy/equality-diversity/</w:t>
      </w:r>
    </w:p>
    <w:p w14:paraId="48A665E8"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32A03FD6"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Museum.wales/about/policy/learning_and_access_policy/</w:t>
      </w:r>
    </w:p>
    <w:p w14:paraId="48BDC451"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33212D85"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Museum.wales/vision-consultation/</w:t>
      </w:r>
    </w:p>
    <w:p w14:paraId="1ADC15D8"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083EC0BC" w14:textId="77777777" w:rsidR="004A2033" w:rsidRPr="00562619"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Museum.wales/media/48964/visitor-experience-strategy.pdf</w:t>
      </w:r>
    </w:p>
    <w:p w14:paraId="6A74A7CA" w14:textId="77777777" w:rsidR="004A2033"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p>
    <w:p w14:paraId="1855D2C4" w14:textId="77777777" w:rsidR="004A2033" w:rsidRPr="004A2033" w:rsidRDefault="004A2033" w:rsidP="004A2033">
      <w:pPr>
        <w:rPr>
          <w:rFonts w:ascii="Arial" w:hAnsi="Arial" w:cs="Arial"/>
          <w:color w:val="000000" w:themeColor="text1"/>
          <w:sz w:val="20"/>
          <w:szCs w:val="20"/>
        </w:rPr>
      </w:pPr>
      <w:r w:rsidRPr="004A2033">
        <w:rPr>
          <w:rFonts w:ascii="Arial" w:hAnsi="Arial" w:cs="Arial"/>
          <w:color w:val="000000" w:themeColor="text1"/>
          <w:sz w:val="20"/>
          <w:szCs w:val="20"/>
        </w:rPr>
        <w:t>Museum.wales/website/accessibility/</w:t>
      </w:r>
    </w:p>
    <w:p w14:paraId="4323AC28" w14:textId="0BBE6AA2" w:rsidR="00DD1FE9" w:rsidRPr="004A2033" w:rsidRDefault="004A2033" w:rsidP="004A2033">
      <w:pPr>
        <w:shd w:val="clear" w:color="auto" w:fill="FFFFFF"/>
        <w:spacing w:after="0" w:line="240" w:lineRule="auto"/>
        <w:rPr>
          <w:rFonts w:ascii="Arial" w:eastAsia="Times New Roman" w:hAnsi="Arial" w:cs="Arial"/>
          <w:color w:val="000000" w:themeColor="text1"/>
          <w:sz w:val="20"/>
          <w:szCs w:val="20"/>
          <w:lang w:eastAsia="en-GB"/>
        </w:rPr>
      </w:pPr>
      <w:r w:rsidRPr="00562619">
        <w:rPr>
          <w:rFonts w:ascii="Arial" w:eastAsia="Times New Roman" w:hAnsi="Arial" w:cs="Arial"/>
          <w:color w:val="000000" w:themeColor="text1"/>
          <w:sz w:val="20"/>
          <w:szCs w:val="20"/>
          <w:lang w:eastAsia="en-GB"/>
        </w:rPr>
        <w:t> </w:t>
      </w:r>
      <w:r w:rsidRPr="004A2033">
        <w:rPr>
          <w:rFonts w:ascii="Arial" w:eastAsia="Times New Roman" w:hAnsi="Arial" w:cs="Arial"/>
          <w:color w:val="000000" w:themeColor="text1"/>
          <w:sz w:val="20"/>
          <w:szCs w:val="20"/>
          <w:lang w:eastAsia="en-GB"/>
        </w:rPr>
        <w:t>Twitter.com/theMERL</w:t>
      </w:r>
    </w:p>
    <w:sectPr w:rsidR="00DD1FE9" w:rsidRPr="004A2033" w:rsidSect="0015089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97E37" w14:textId="77777777" w:rsidR="003573EE" w:rsidRDefault="003573EE" w:rsidP="004A2033">
      <w:pPr>
        <w:spacing w:after="0" w:line="240" w:lineRule="auto"/>
      </w:pPr>
      <w:r>
        <w:separator/>
      </w:r>
    </w:p>
  </w:endnote>
  <w:endnote w:type="continuationSeparator" w:id="0">
    <w:p w14:paraId="02A0158D" w14:textId="77777777" w:rsidR="003573EE" w:rsidRDefault="003573EE" w:rsidP="004A2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66DEE" w14:textId="77777777" w:rsidR="003573EE" w:rsidRDefault="003573EE" w:rsidP="004A2033">
      <w:pPr>
        <w:spacing w:after="0" w:line="240" w:lineRule="auto"/>
      </w:pPr>
      <w:r>
        <w:separator/>
      </w:r>
    </w:p>
  </w:footnote>
  <w:footnote w:type="continuationSeparator" w:id="0">
    <w:p w14:paraId="0BF7DF7A" w14:textId="77777777" w:rsidR="003573EE" w:rsidRDefault="003573EE" w:rsidP="004A2033">
      <w:pPr>
        <w:spacing w:after="0" w:line="240" w:lineRule="auto"/>
      </w:pPr>
      <w:r>
        <w:continuationSeparator/>
      </w:r>
    </w:p>
  </w:footnote>
  <w:footnote w:id="1">
    <w:p w14:paraId="31FB3E4D" w14:textId="77777777" w:rsidR="004A2033" w:rsidRDefault="004A2033" w:rsidP="004A2033">
      <w:pPr>
        <w:pStyle w:val="FootnoteText"/>
      </w:pPr>
      <w:r>
        <w:rPr>
          <w:rStyle w:val="FootnoteReference"/>
        </w:rPr>
        <w:footnoteRef/>
      </w:r>
      <w:r>
        <w:t xml:space="preserve"> The National Museum of Wales comprises of St Fagans Museum of National History, Big Pit National Coal Museum, The National Waterfront Museum, The National Slate Museum, The National Wool Museum, The National Roman Legion Museum, and The National Museum Cardiff.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B89"/>
    <w:rsid w:val="003573EE"/>
    <w:rsid w:val="00436902"/>
    <w:rsid w:val="004A2033"/>
    <w:rsid w:val="008848F1"/>
    <w:rsid w:val="009D18B4"/>
    <w:rsid w:val="00AC4B89"/>
    <w:rsid w:val="00DD1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3365F"/>
  <w15:chartTrackingRefBased/>
  <w15:docId w15:val="{13A96FC3-D92F-4934-9CEB-D307988E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0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1FE9"/>
    <w:rPr>
      <w:color w:val="0000FF"/>
      <w:u w:val="single"/>
    </w:rPr>
  </w:style>
  <w:style w:type="paragraph" w:styleId="FootnoteText">
    <w:name w:val="footnote text"/>
    <w:basedOn w:val="Normal"/>
    <w:link w:val="FootnoteTextChar"/>
    <w:uiPriority w:val="99"/>
    <w:semiHidden/>
    <w:unhideWhenUsed/>
    <w:rsid w:val="004A20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033"/>
    <w:rPr>
      <w:sz w:val="20"/>
      <w:szCs w:val="20"/>
    </w:rPr>
  </w:style>
  <w:style w:type="character" w:styleId="FootnoteReference">
    <w:name w:val="footnote reference"/>
    <w:basedOn w:val="DefaultParagraphFont"/>
    <w:uiPriority w:val="99"/>
    <w:semiHidden/>
    <w:unhideWhenUsed/>
    <w:rsid w:val="004A2033"/>
    <w:rPr>
      <w:vertAlign w:val="superscript"/>
    </w:rPr>
  </w:style>
  <w:style w:type="paragraph" w:styleId="NormalWeb">
    <w:name w:val="Normal (Web)"/>
    <w:basedOn w:val="Normal"/>
    <w:uiPriority w:val="99"/>
    <w:unhideWhenUsed/>
    <w:rsid w:val="004A20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A20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hrc-iroc.org/" TargetMode="External"/><Relationship Id="rId3" Type="http://schemas.openxmlformats.org/officeDocument/2006/relationships/webSettings" Target="webSettings.xml"/><Relationship Id="rId7" Type="http://schemas.openxmlformats.org/officeDocument/2006/relationships/hyperlink" Target="https://ahrc.ukri.org/funding/research/ir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useum.wales/aims/vision-commitments-and-values/widening-engagement-action-pla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facebook.com/MuseumofEnglishRural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2209</Words>
  <Characters>12596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creator>
  <cp:keywords/>
  <dc:description/>
  <cp:lastModifiedBy>s</cp:lastModifiedBy>
  <cp:revision>2</cp:revision>
  <dcterms:created xsi:type="dcterms:W3CDTF">2022-04-10T13:07:00Z</dcterms:created>
  <dcterms:modified xsi:type="dcterms:W3CDTF">2022-04-10T15:52:00Z</dcterms:modified>
</cp:coreProperties>
</file>